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SCHEDULE 14A INFORMATION</w:t>
      </w:r>
    </w:p>
    <w:p>
      <w:pPr>
        <w:spacing w:after="0" w:line="33"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300"/>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No.)</w:t>
      </w:r>
    </w:p>
    <w:p>
      <w:pPr>
        <w:spacing w:after="0" w:line="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23"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FLYWIRE CORPORATION</w:t>
      </w:r>
    </w:p>
    <w:p>
      <w:pPr>
        <w:spacing w:after="0" w:line="33"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(Name of Registrant as Specified in its Charter)</w:t>
      </w: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April 22, 2024</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You are cordially invited to attend the 2024 Annual Meeting of Stockholders of Flywire Corporation (Flywire) that will be held on Tuesday, June 4, 2024 at 9:30 a.m. EDT (the Annual Meeting). The Annual Meeting will be held virtually via live audio webcast on the internet at www.virtualshareholdermeeting.com/FLYW2024. Even though our Annual Meeting will be held virtually, stockholders will still have the ability to participate in the meeting and vote their shares at the Annual Meeting if they wish.</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Details regarding the Annual Meeting and the business to be conducted are described in the accompanying proxy materials. Also included is a copy of our annual report on Form 10-K for the year ended December 31, 2023. We encourage you to read this information carefully. Your vote is important. Whether or not you plan to attend the Annual Meeting, we hope you will vote as soon as possible. You may vote over the internet, by telephone or by mailing a proxy card, if you have requested one. Please review the instructions on the Notice of Internet Availability of Proxy Materials you received in the mail regarding each of these voting options.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ongoing support of Flywire.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Massaro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FLYWIRE CORPORATION</w:t>
      </w:r>
    </w:p>
    <w:p>
      <w:pPr>
        <w:jc w:val="right"/>
        <w:ind w:right="40"/>
        <w:spacing w:after="0" w:line="201" w:lineRule="auto"/>
        <w:rPr>
          <w:sz w:val="20"/>
          <w:szCs w:val="20"/>
          <w:color w:val="auto"/>
        </w:rPr>
      </w:pPr>
      <w:r>
        <w:rPr>
          <w:rFonts w:ascii="Arial" w:cs="Arial" w:eastAsia="Arial" w:hAnsi="Arial"/>
          <w:sz w:val="16"/>
          <w:szCs w:val="16"/>
          <w:b w:val="1"/>
          <w:bCs w:val="1"/>
          <w:color w:val="auto"/>
        </w:rPr>
        <w:t>141 Tremont St., 10</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right"/>
        <w:spacing w:after="0"/>
        <w:rPr>
          <w:sz w:val="20"/>
          <w:szCs w:val="20"/>
          <w:color w:val="auto"/>
        </w:rPr>
      </w:pPr>
      <w:r>
        <w:rPr>
          <w:rFonts w:ascii="Arial" w:cs="Arial" w:eastAsia="Arial" w:hAnsi="Arial"/>
          <w:sz w:val="16"/>
          <w:szCs w:val="16"/>
          <w:b w:val="1"/>
          <w:bCs w:val="1"/>
          <w:color w:val="auto"/>
        </w:rPr>
        <w:t>Boston, Massachusetts 02111</w:t>
      </w:r>
    </w:p>
    <w:p>
      <w:pPr>
        <w:spacing w:after="0" w:line="346" w:lineRule="exact"/>
        <w:rPr>
          <w:sz w:val="20"/>
          <w:szCs w:val="20"/>
          <w:color w:val="auto"/>
        </w:rPr>
      </w:pPr>
    </w:p>
    <w:p>
      <w:pPr>
        <w:ind w:right="2960"/>
        <w:spacing w:after="0" w:line="267" w:lineRule="auto"/>
        <w:rPr>
          <w:sz w:val="20"/>
          <w:szCs w:val="20"/>
          <w:color w:val="auto"/>
        </w:rPr>
      </w:pPr>
      <w:r>
        <w:rPr>
          <w:rFonts w:ascii="Arial" w:cs="Arial" w:eastAsia="Arial" w:hAnsi="Arial"/>
          <w:sz w:val="50"/>
          <w:szCs w:val="50"/>
          <w:b w:val="1"/>
          <w:bCs w:val="1"/>
          <w:color w:val="auto"/>
        </w:rPr>
        <w:t>Notice of Annual Meeting for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596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Pr>
          <w:p>
            <w:pPr>
              <w:ind w:left="680"/>
              <w:spacing w:after="0"/>
              <w:rPr>
                <w:sz w:val="20"/>
                <w:szCs w:val="20"/>
                <w:color w:val="auto"/>
              </w:rPr>
            </w:pPr>
            <w:r>
              <w:rPr>
                <w:rFonts w:ascii="Arial" w:cs="Arial" w:eastAsia="Arial" w:hAnsi="Arial"/>
                <w:sz w:val="16"/>
                <w:szCs w:val="16"/>
                <w:b w:val="1"/>
                <w:bCs w:val="1"/>
                <w:color w:val="007FC4"/>
              </w:rPr>
              <w:t>Time and Date:</w:t>
            </w:r>
          </w:p>
        </w:tc>
        <w:tc>
          <w:tcPr>
            <w:tcW w:w="2660" w:type="dxa"/>
            <w:vAlign w:val="bottom"/>
          </w:tcPr>
          <w:p>
            <w:pPr>
              <w:ind w:left="620"/>
              <w:spacing w:after="0"/>
              <w:rPr>
                <w:sz w:val="20"/>
                <w:szCs w:val="20"/>
                <w:color w:val="auto"/>
              </w:rPr>
            </w:pPr>
            <w:r>
              <w:rPr>
                <w:rFonts w:ascii="Arial" w:cs="Arial" w:eastAsia="Arial" w:hAnsi="Arial"/>
                <w:sz w:val="16"/>
                <w:szCs w:val="16"/>
                <w:b w:val="1"/>
                <w:bCs w:val="1"/>
                <w:color w:val="007FC4"/>
              </w:rPr>
              <w:t>Place:</w:t>
            </w:r>
          </w:p>
        </w:tc>
        <w:tc>
          <w:tcPr>
            <w:tcW w:w="0" w:type="dxa"/>
            <w:vAlign w:val="bottom"/>
          </w:tcPr>
          <w:p>
            <w:pPr>
              <w:spacing w:after="0"/>
              <w:rPr>
                <w:sz w:val="1"/>
                <w:szCs w:val="1"/>
                <w:color w:val="auto"/>
              </w:rPr>
            </w:pPr>
          </w:p>
        </w:tc>
      </w:tr>
      <w:tr>
        <w:trPr>
          <w:trHeight w:val="162"/>
        </w:trPr>
        <w:tc>
          <w:tcPr>
            <w:tcW w:w="2780" w:type="dxa"/>
            <w:vAlign w:val="bottom"/>
          </w:tcPr>
          <w:p>
            <w:pPr>
              <w:ind w:left="680"/>
              <w:spacing w:after="0"/>
              <w:rPr>
                <w:sz w:val="20"/>
                <w:szCs w:val="20"/>
                <w:color w:val="auto"/>
              </w:rPr>
            </w:pPr>
            <w:r>
              <w:rPr>
                <w:rFonts w:ascii="Arial" w:cs="Arial" w:eastAsia="Arial" w:hAnsi="Arial"/>
                <w:sz w:val="14"/>
                <w:szCs w:val="14"/>
                <w:color w:val="auto"/>
              </w:rPr>
              <w:t>Tuesday, June 4,</w:t>
            </w:r>
          </w:p>
        </w:tc>
        <w:tc>
          <w:tcPr>
            <w:tcW w:w="2660" w:type="dxa"/>
            <w:vAlign w:val="bottom"/>
          </w:tcPr>
          <w:p>
            <w:pPr>
              <w:ind w:left="620"/>
              <w:spacing w:after="0"/>
              <w:rPr>
                <w:sz w:val="20"/>
                <w:szCs w:val="20"/>
                <w:color w:val="auto"/>
              </w:rPr>
            </w:pPr>
            <w:r>
              <w:rPr>
                <w:rFonts w:ascii="Arial" w:cs="Arial" w:eastAsia="Arial" w:hAnsi="Arial"/>
                <w:sz w:val="14"/>
                <w:szCs w:val="14"/>
                <w:color w:val="auto"/>
              </w:rPr>
              <w:t>The Annual Meeting will be held</w:t>
            </w:r>
          </w:p>
        </w:tc>
        <w:tc>
          <w:tcPr>
            <w:tcW w:w="0" w:type="dxa"/>
            <w:vAlign w:val="bottom"/>
          </w:tcPr>
          <w:p>
            <w:pPr>
              <w:spacing w:after="0"/>
              <w:rPr>
                <w:sz w:val="1"/>
                <w:szCs w:val="1"/>
                <w:color w:val="auto"/>
              </w:rPr>
            </w:pPr>
          </w:p>
        </w:tc>
      </w:tr>
      <w:tr>
        <w:trPr>
          <w:trHeight w:val="162"/>
        </w:trPr>
        <w:tc>
          <w:tcPr>
            <w:tcW w:w="2780" w:type="dxa"/>
            <w:vAlign w:val="bottom"/>
          </w:tcPr>
          <w:p>
            <w:pPr>
              <w:ind w:left="680"/>
              <w:spacing w:after="0"/>
              <w:rPr>
                <w:sz w:val="20"/>
                <w:szCs w:val="20"/>
                <w:color w:val="auto"/>
              </w:rPr>
            </w:pPr>
            <w:r>
              <w:rPr>
                <w:rFonts w:ascii="Arial" w:cs="Arial" w:eastAsia="Arial" w:hAnsi="Arial"/>
                <w:sz w:val="14"/>
                <w:szCs w:val="14"/>
                <w:color w:val="auto"/>
              </w:rPr>
              <w:t>2024 at 9:30 a.m. EDT.</w:t>
            </w:r>
          </w:p>
        </w:tc>
        <w:tc>
          <w:tcPr>
            <w:tcW w:w="2660" w:type="dxa"/>
            <w:vAlign w:val="bottom"/>
          </w:tcPr>
          <w:p>
            <w:pPr>
              <w:ind w:left="620"/>
              <w:spacing w:after="0"/>
              <w:rPr>
                <w:sz w:val="20"/>
                <w:szCs w:val="20"/>
                <w:color w:val="auto"/>
              </w:rPr>
            </w:pPr>
            <w:r>
              <w:rPr>
                <w:rFonts w:ascii="Arial" w:cs="Arial" w:eastAsia="Arial" w:hAnsi="Arial"/>
                <w:sz w:val="14"/>
                <w:szCs w:val="14"/>
                <w:color w:val="auto"/>
              </w:rPr>
              <w:t>via live webcast at</w:t>
            </w: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Arial" w:cs="Arial" w:eastAsia="Arial" w:hAnsi="Arial"/>
                <w:sz w:val="14"/>
                <w:szCs w:val="14"/>
                <w:color w:val="auto"/>
              </w:rPr>
              <w:t> </w:t>
            </w:r>
          </w:p>
        </w:tc>
        <w:tc>
          <w:tcPr>
            <w:tcW w:w="2660" w:type="dxa"/>
            <w:vAlign w:val="bottom"/>
          </w:tcPr>
          <w:p>
            <w:pPr>
              <w:ind w:left="620"/>
              <w:spacing w:after="0"/>
              <w:rPr>
                <w:sz w:val="20"/>
                <w:szCs w:val="20"/>
                <w:color w:val="auto"/>
              </w:rPr>
            </w:pPr>
            <w:r>
              <w:rPr>
                <w:rFonts w:ascii="Arial" w:cs="Arial" w:eastAsia="Arial" w:hAnsi="Arial"/>
                <w:sz w:val="14"/>
                <w:szCs w:val="14"/>
                <w:color w:val="auto"/>
              </w:rPr>
              <w:t>www.virtualshareholdermeeting.</w:t>
            </w:r>
          </w:p>
        </w:tc>
        <w:tc>
          <w:tcPr>
            <w:tcW w:w="0" w:type="dxa"/>
            <w:vAlign w:val="bottom"/>
          </w:tcPr>
          <w:p>
            <w:pPr>
              <w:spacing w:after="0"/>
              <w:rPr>
                <w:sz w:val="1"/>
                <w:szCs w:val="1"/>
                <w:color w:val="auto"/>
              </w:rPr>
            </w:pPr>
          </w:p>
        </w:tc>
      </w:tr>
      <w:tr>
        <w:trPr>
          <w:trHeight w:val="109"/>
        </w:trPr>
        <w:tc>
          <w:tcPr>
            <w:tcW w:w="2780" w:type="dxa"/>
            <w:vAlign w:val="bottom"/>
            <w:vMerge w:val="continue"/>
          </w:tcPr>
          <w:p>
            <w:pPr>
              <w:spacing w:after="0"/>
              <w:rPr>
                <w:sz w:val="9"/>
                <w:szCs w:val="9"/>
                <w:color w:val="auto"/>
              </w:rPr>
            </w:pPr>
          </w:p>
        </w:tc>
        <w:tc>
          <w:tcPr>
            <w:tcW w:w="2660" w:type="dxa"/>
            <w:vAlign w:val="bottom"/>
            <w:vMerge w:val="restart"/>
          </w:tcPr>
          <w:p>
            <w:pPr>
              <w:ind w:left="620"/>
              <w:spacing w:after="0"/>
              <w:rPr>
                <w:sz w:val="20"/>
                <w:szCs w:val="20"/>
                <w:color w:val="auto"/>
              </w:rPr>
            </w:pPr>
            <w:r>
              <w:rPr>
                <w:rFonts w:ascii="Arial" w:cs="Arial" w:eastAsia="Arial" w:hAnsi="Arial"/>
                <w:sz w:val="14"/>
                <w:szCs w:val="14"/>
                <w:color w:val="auto"/>
              </w:rPr>
              <w:t>com/FLYW2024. To participate,</w:t>
            </w:r>
          </w:p>
        </w:tc>
        <w:tc>
          <w:tcPr>
            <w:tcW w:w="0" w:type="dxa"/>
            <w:vAlign w:val="bottom"/>
          </w:tcPr>
          <w:p>
            <w:pPr>
              <w:spacing w:after="0"/>
              <w:rPr>
                <w:sz w:val="1"/>
                <w:szCs w:val="1"/>
                <w:color w:val="auto"/>
              </w:rPr>
            </w:pPr>
          </w:p>
        </w:tc>
      </w:tr>
      <w:tr>
        <w:trPr>
          <w:trHeight w:val="53"/>
        </w:trPr>
        <w:tc>
          <w:tcPr>
            <w:tcW w:w="278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660" w:type="dxa"/>
            <w:vAlign w:val="bottom"/>
          </w:tcPr>
          <w:p>
            <w:pPr>
              <w:ind w:left="620"/>
              <w:spacing w:after="0"/>
              <w:rPr>
                <w:sz w:val="20"/>
                <w:szCs w:val="20"/>
                <w:color w:val="auto"/>
              </w:rPr>
            </w:pPr>
            <w:r>
              <w:rPr>
                <w:rFonts w:ascii="Arial" w:cs="Arial" w:eastAsia="Arial" w:hAnsi="Arial"/>
                <w:sz w:val="14"/>
                <w:szCs w:val="14"/>
                <w:color w:val="auto"/>
              </w:rPr>
              <w:t>you will need the 16-digit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660" w:type="dxa"/>
            <w:vAlign w:val="bottom"/>
          </w:tcPr>
          <w:p>
            <w:pPr>
              <w:ind w:left="620"/>
              <w:spacing w:after="0"/>
              <w:rPr>
                <w:sz w:val="20"/>
                <w:szCs w:val="20"/>
                <w:color w:val="auto"/>
              </w:rPr>
            </w:pPr>
            <w:r>
              <w:rPr>
                <w:rFonts w:ascii="Arial" w:cs="Arial" w:eastAsia="Arial" w:hAnsi="Arial"/>
                <w:sz w:val="14"/>
                <w:szCs w:val="14"/>
                <w:color w:val="auto"/>
              </w:rPr>
              <w:t>control number provided on</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660" w:type="dxa"/>
            <w:vAlign w:val="bottom"/>
          </w:tcPr>
          <w:p>
            <w:pPr>
              <w:ind w:left="620"/>
              <w:spacing w:after="0"/>
              <w:rPr>
                <w:sz w:val="20"/>
                <w:szCs w:val="20"/>
                <w:color w:val="auto"/>
              </w:rPr>
            </w:pPr>
            <w:r>
              <w:rPr>
                <w:rFonts w:ascii="Arial" w:cs="Arial" w:eastAsia="Arial" w:hAnsi="Arial"/>
                <w:sz w:val="14"/>
                <w:szCs w:val="14"/>
                <w:color w:val="auto"/>
              </w:rPr>
              <w:t>your proxy card or voting</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660" w:type="dxa"/>
            <w:vAlign w:val="bottom"/>
          </w:tcPr>
          <w:p>
            <w:pPr>
              <w:ind w:left="620"/>
              <w:spacing w:after="0"/>
              <w:rPr>
                <w:sz w:val="20"/>
                <w:szCs w:val="20"/>
                <w:color w:val="auto"/>
              </w:rPr>
            </w:pPr>
            <w:r>
              <w:rPr>
                <w:rFonts w:ascii="Arial" w:cs="Arial" w:eastAsia="Arial" w:hAnsi="Arial"/>
                <w:sz w:val="14"/>
                <w:szCs w:val="14"/>
                <w:color w:val="auto"/>
              </w:rPr>
              <w:t>instruction 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5966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-954405</wp:posOffset>
            </wp:positionV>
            <wp:extent cx="3771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-954405</wp:posOffset>
            </wp:positionV>
            <wp:extent cx="3771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-107315</wp:posOffset>
            </wp:positionV>
            <wp:extent cx="37719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4" w:lineRule="exact"/>
        <w:rPr>
          <w:sz w:val="20"/>
          <w:szCs w:val="20"/>
          <w:color w:val="auto"/>
        </w:rPr>
      </w:pPr>
    </w:p>
    <w:p>
      <w:pPr>
        <w:ind w:right="1120"/>
        <w:spacing w:after="0" w:line="247" w:lineRule="auto"/>
        <w:rPr>
          <w:sz w:val="20"/>
          <w:szCs w:val="20"/>
          <w:color w:val="auto"/>
        </w:rPr>
      </w:pPr>
      <w:r>
        <w:rPr>
          <w:rFonts w:ascii="Arial" w:cs="Arial" w:eastAsia="Arial" w:hAnsi="Arial"/>
          <w:sz w:val="14"/>
          <w:szCs w:val="14"/>
          <w:color w:val="auto"/>
        </w:rPr>
        <w:t>You are entitled to vote if you were a stockholder of record as of the close of business on April 8, 2024.</w:t>
      </w:r>
    </w:p>
    <w:p>
      <w:pPr>
        <w:spacing w:after="0" w:line="847" w:lineRule="exact"/>
        <w:rPr>
          <w:sz w:val="20"/>
          <w:szCs w:val="20"/>
          <w:color w:val="auto"/>
        </w:rPr>
      </w:pPr>
    </w:p>
    <w:p>
      <w:pPr>
        <w:sectPr>
          <w:pgSz w:w="11900" w:h="16838" w:orient="portrait"/>
          <w:cols w:equalWidth="0" w:num="2">
            <w:col w:w="5900" w:space="720"/>
            <w:col w:w="2780"/>
          </w:cols>
          <w:pgMar w:left="1240" w:top="114" w:right="125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ITEMS OF BUSINESS</w:t>
      </w:r>
    </w:p>
    <w:p>
      <w:pPr>
        <w:spacing w:after="0" w:line="248" w:lineRule="exact"/>
        <w:rPr>
          <w:sz w:val="20"/>
          <w:szCs w:val="20"/>
          <w:color w:val="auto"/>
        </w:rPr>
      </w:pPr>
    </w:p>
    <w:p>
      <w:pPr>
        <w:ind w:left="960" w:right="120" w:hanging="617"/>
        <w:spacing w:after="0" w:line="183" w:lineRule="auto"/>
        <w:tabs>
          <w:tab w:leader="none" w:pos="960" w:val="left"/>
        </w:tabs>
        <w:numPr>
          <w:ilvl w:val="0"/>
          <w:numId w:val="3"/>
        </w:numPr>
        <w:rPr>
          <w:rFonts w:ascii="Arial" w:cs="Arial" w:eastAsia="Arial" w:hAnsi="Arial"/>
          <w:sz w:val="32"/>
          <w:szCs w:val="32"/>
          <w:b w:val="1"/>
          <w:bCs w:val="1"/>
          <w:color w:val="007FC4"/>
          <w:vertAlign w:val="subscript"/>
        </w:rPr>
      </w:pPr>
      <w:r>
        <w:rPr>
          <w:rFonts w:ascii="Arial" w:cs="Arial" w:eastAsia="Arial" w:hAnsi="Arial"/>
          <w:sz w:val="14"/>
          <w:szCs w:val="14"/>
          <w:color w:val="auto"/>
        </w:rPr>
        <w:t>To elect the two directors named in the proxy statement accompanying this notice to serve as Class III directors until the annual meeting held in 2027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5966460"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454025"/>
                    </a:xfrm>
                    <a:prstGeom prst="rect">
                      <a:avLst/>
                    </a:prstGeom>
                    <a:noFill/>
                  </pic:spPr>
                </pic:pic>
              </a:graphicData>
            </a:graphic>
          </wp:anchor>
        </w:drawing>
      </w:r>
    </w:p>
    <w:p>
      <w:pPr>
        <w:spacing w:after="0" w:line="279" w:lineRule="exact"/>
        <w:rPr>
          <w:sz w:val="20"/>
          <w:szCs w:val="20"/>
          <w:color w:val="auto"/>
        </w:rPr>
      </w:pPr>
    </w:p>
    <w:p>
      <w:pPr>
        <w:ind w:left="960" w:right="120" w:hanging="617"/>
        <w:spacing w:after="0" w:line="183" w:lineRule="auto"/>
        <w:tabs>
          <w:tab w:leader="none" w:pos="960" w:val="left"/>
        </w:tabs>
        <w:numPr>
          <w:ilvl w:val="0"/>
          <w:numId w:val="4"/>
        </w:numPr>
        <w:rPr>
          <w:rFonts w:ascii="Arial" w:cs="Arial" w:eastAsia="Arial" w:hAnsi="Arial"/>
          <w:sz w:val="32"/>
          <w:szCs w:val="32"/>
          <w:b w:val="1"/>
          <w:bCs w:val="1"/>
          <w:color w:val="007FC4"/>
          <w:vertAlign w:val="subscript"/>
        </w:rPr>
      </w:pPr>
      <w:r>
        <w:rPr>
          <w:rFonts w:ascii="Arial" w:cs="Arial" w:eastAsia="Arial" w:hAnsi="Arial"/>
          <w:sz w:val="14"/>
          <w:szCs w:val="14"/>
          <w:color w:val="auto"/>
        </w:rPr>
        <w:t>To ratify the appointment of PricewaterhouseCoopers LLP as Flywire Corporation’s independent registered public accounting firm for the year ending December 31, 2024.</w:t>
      </w:r>
    </w:p>
    <w:p>
      <w:pPr>
        <w:spacing w:after="0" w:line="299" w:lineRule="exact"/>
        <w:rPr>
          <w:sz w:val="20"/>
          <w:szCs w:val="20"/>
          <w:color w:val="auto"/>
        </w:rPr>
      </w:pPr>
    </w:p>
    <w:p>
      <w:pPr>
        <w:ind w:left="960" w:right="120" w:hanging="617"/>
        <w:spacing w:after="0" w:line="183" w:lineRule="auto"/>
        <w:tabs>
          <w:tab w:leader="none" w:pos="960" w:val="left"/>
        </w:tabs>
        <w:numPr>
          <w:ilvl w:val="0"/>
          <w:numId w:val="5"/>
        </w:numPr>
        <w:rPr>
          <w:rFonts w:ascii="Arial" w:cs="Arial" w:eastAsia="Arial" w:hAnsi="Arial"/>
          <w:sz w:val="32"/>
          <w:szCs w:val="32"/>
          <w:b w:val="1"/>
          <w:bCs w:val="1"/>
          <w:color w:val="007FC4"/>
          <w:vertAlign w:val="subscript"/>
        </w:rPr>
      </w:pPr>
      <w:r>
        <w:rPr>
          <w:rFonts w:ascii="Arial" w:cs="Arial" w:eastAsia="Arial" w:hAnsi="Arial"/>
          <w:sz w:val="14"/>
          <w:szCs w:val="14"/>
          <w:color w:val="auto"/>
        </w:rPr>
        <w:t>To approve, on a non-binding, advisory basis, the compensation of Flywire Corporation’s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596646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39433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Annual Meeting or any adjournment thereof.</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These items of business are more fully described in the proxy statement accompanying this notice.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ADJOURNMENTS AND POSTPONEMENTS</w:t>
      </w:r>
    </w:p>
    <w:p>
      <w:pPr>
        <w:spacing w:after="0" w:line="18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VOTING</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entitled “Questions and Answers about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92075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59"/>
        <w:spacing w:after="0" w:line="256" w:lineRule="auto"/>
        <w:rPr>
          <w:sz w:val="20"/>
          <w:szCs w:val="20"/>
          <w:color w:val="auto"/>
        </w:rPr>
      </w:pPr>
      <w:r>
        <w:rPr>
          <w:rFonts w:ascii="Arial" w:cs="Arial" w:eastAsia="Arial" w:hAnsi="Arial"/>
          <w:sz w:val="16"/>
          <w:szCs w:val="16"/>
          <w:color w:val="auto"/>
        </w:rPr>
        <w:t>A Notice of Internet Availability of Proxy Materials (Notice) has been mailed to stockholders of record on or about April 22, 2024. The Notice contains instructions on how to access our proxy statement for our 2024 Annual Meeting of Stockholders and our annual report on Form 10-K for the year ended December 31, 2023 (together, the proxy materials). The Notice also provides instructions on how to vote online, by telephone or by mail and includes instructions on how to receive a paper copy of proxy materials by mail. The proxy materials can be accessed directly at the following internet address: www.proxyvote.com.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Massaro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153" w:lineRule="exact"/>
        <w:rPr>
          <w:sz w:val="20"/>
          <w:szCs w:val="20"/>
          <w:color w:val="auto"/>
        </w:rPr>
      </w:pPr>
    </w:p>
    <w:p>
      <w:pPr>
        <w:ind w:right="379"/>
        <w:spacing w:after="0" w:line="283" w:lineRule="auto"/>
        <w:rPr>
          <w:sz w:val="20"/>
          <w:szCs w:val="20"/>
          <w:color w:val="auto"/>
        </w:rPr>
      </w:pPr>
      <w:r>
        <w:rPr>
          <w:rFonts w:ascii="Arial" w:cs="Arial" w:eastAsia="Arial" w:hAnsi="Arial"/>
          <w:sz w:val="16"/>
          <w:szCs w:val="16"/>
          <w:i w:val="1"/>
          <w:iCs w:val="1"/>
          <w:color w:val="auto"/>
        </w:rPr>
        <w:t>This notice of annual meeting, proxy statement and accompanying form of proxy card are being made available on or about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83820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left="800"/>
        <w:spacing w:after="0"/>
        <w:rPr>
          <w:sz w:val="20"/>
          <w:szCs w:val="20"/>
          <w:color w:val="auto"/>
        </w:rPr>
      </w:pPr>
      <w:r>
        <w:rPr>
          <w:rFonts w:ascii="Arial" w:cs="Arial" w:eastAsia="Arial" w:hAnsi="Arial"/>
          <w:sz w:val="50"/>
          <w:szCs w:val="5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163195</wp:posOffset>
            </wp:positionV>
            <wp:extent cx="5966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8420" w:type="dxa"/>
            <w:vAlign w:val="bottom"/>
            <w:gridSpan w:val="20"/>
          </w:tcPr>
          <w:p>
            <w:pPr>
              <w:spacing w:after="0"/>
              <w:rPr>
                <w:sz w:val="20"/>
                <w:szCs w:val="20"/>
                <w:color w:val="auto"/>
              </w:rPr>
            </w:pPr>
            <w:r>
              <w:rPr>
                <w:rFonts w:ascii="Arial" w:cs="Arial" w:eastAsia="Arial" w:hAnsi="Arial"/>
                <w:sz w:val="16"/>
                <w:szCs w:val="16"/>
                <w:b w:val="1"/>
                <w:bCs w:val="1"/>
                <w:color w:val="0000EE"/>
              </w:rPr>
              <w:t>Questions and Answers about Procedural Matters</w:t>
            </w: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w:t>
            </w:r>
          </w:p>
        </w:tc>
        <w:tc>
          <w:tcPr>
            <w:tcW w:w="820" w:type="dxa"/>
            <w:vAlign w:val="bottom"/>
          </w:tcPr>
          <w:p>
            <w:pPr>
              <w:spacing w:after="0"/>
              <w:rPr>
                <w:sz w:val="16"/>
                <w:szCs w:val="16"/>
                <w:color w:val="auto"/>
              </w:rPr>
            </w:pPr>
          </w:p>
        </w:tc>
      </w:tr>
      <w:tr>
        <w:trPr>
          <w:trHeight w:val="493"/>
        </w:trPr>
        <w:tc>
          <w:tcPr>
            <w:tcW w:w="80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rPr>
              <w:t>Annual Meeting</w:t>
            </w:r>
          </w:p>
        </w:tc>
        <w:tc>
          <w:tcPr>
            <w:tcW w:w="2700" w:type="dxa"/>
            <w:vAlign w:val="bottom"/>
            <w:tcBorders>
              <w:top w:val="single" w:sz="8" w:color="0000EE"/>
            </w:tcBorders>
            <w:gridSpan w:val="13"/>
          </w:tcPr>
          <w:p>
            <w:pPr>
              <w:spacing w:after="0"/>
              <w:rPr>
                <w:sz w:val="24"/>
                <w:szCs w:val="24"/>
                <w:color w:val="auto"/>
              </w:rPr>
            </w:pPr>
          </w:p>
        </w:tc>
        <w:tc>
          <w:tcPr>
            <w:tcW w:w="4580" w:type="dxa"/>
            <w:vAlign w:val="bottom"/>
            <w:gridSpan w:val="5"/>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6"/>
                <w:szCs w:val="16"/>
                <w:color w:val="0000EE"/>
                <w:w w:val="89"/>
              </w:rPr>
              <w:t>2</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Stock Ownership</w:t>
            </w:r>
          </w:p>
        </w:tc>
        <w:tc>
          <w:tcPr>
            <w:tcW w:w="7180" w:type="dxa"/>
            <w:vAlign w:val="bottom"/>
            <w:gridSpan w:val="16"/>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3</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Quorum and Voting</w:t>
            </w:r>
          </w:p>
        </w:tc>
        <w:tc>
          <w:tcPr>
            <w:tcW w:w="980" w:type="dxa"/>
            <w:vAlign w:val="bottom"/>
            <w:gridSpan w:val="3"/>
          </w:tcPr>
          <w:p>
            <w:pPr>
              <w:jc w:val="right"/>
              <w:spacing w:after="0"/>
              <w:rPr>
                <w:sz w:val="20"/>
                <w:szCs w:val="20"/>
                <w:color w:val="auto"/>
              </w:rPr>
            </w:pPr>
            <w:r>
              <w:rPr>
                <w:rFonts w:ascii="Arial" w:cs="Arial" w:eastAsia="Arial" w:hAnsi="Arial"/>
                <w:sz w:val="16"/>
                <w:szCs w:val="16"/>
                <w:color w:val="0000EE"/>
              </w:rPr>
              <w:t>3</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350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Stockholder Proposals and Director Nominations</w:t>
            </w:r>
          </w:p>
        </w:tc>
        <w:tc>
          <w:tcPr>
            <w:tcW w:w="4920" w:type="dxa"/>
            <w:vAlign w:val="bottom"/>
            <w:gridSpan w:val="6"/>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34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Additional Information about the Proxy Materials</w:t>
            </w:r>
          </w:p>
        </w:tc>
        <w:tc>
          <w:tcPr>
            <w:tcW w:w="4960" w:type="dxa"/>
            <w:vAlign w:val="bottom"/>
            <w:gridSpan w:val="7"/>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7</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Important Notice Regarding the Availability of Proxy Materials for the Stockholder Meeting to be Held on June 4, 2023</w:t>
            </w: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8</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252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b w:val="1"/>
                <w:bCs w:val="1"/>
                <w:color w:val="0000EE"/>
              </w:rPr>
              <w:t>Proposal 1: Election of Directors</w:t>
            </w:r>
          </w:p>
        </w:tc>
        <w:tc>
          <w:tcPr>
            <w:tcW w:w="5900" w:type="dxa"/>
            <w:vAlign w:val="bottom"/>
            <w:gridSpan w:val="11"/>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9"/>
              </w:rPr>
              <w:t>9</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General</w:t>
            </w:r>
          </w:p>
        </w:tc>
        <w:tc>
          <w:tcPr>
            <w:tcW w:w="980" w:type="dxa"/>
            <w:vAlign w:val="bottom"/>
            <w:gridSpan w:val="3"/>
          </w:tcPr>
          <w:p>
            <w:pPr>
              <w:jc w:val="right"/>
              <w:spacing w:after="0"/>
              <w:rPr>
                <w:sz w:val="20"/>
                <w:szCs w:val="20"/>
                <w:color w:val="auto"/>
              </w:rPr>
            </w:pPr>
            <w:r>
              <w:rPr>
                <w:rFonts w:ascii="Arial" w:cs="Arial" w:eastAsia="Arial" w:hAnsi="Arial"/>
                <w:sz w:val="16"/>
                <w:szCs w:val="16"/>
                <w:color w:val="0000EE"/>
              </w:rPr>
              <w:t>9</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47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Nominees for Election as Class III Directors at the Annual Meeting</w:t>
            </w:r>
          </w:p>
        </w:tc>
        <w:tc>
          <w:tcPr>
            <w:tcW w:w="3660" w:type="dxa"/>
            <w:vAlign w:val="bottom"/>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9</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552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Required Vote and Recommendation of the Board of Directors for Proposal 1</w:t>
            </w:r>
          </w:p>
        </w:tc>
        <w:tc>
          <w:tcPr>
            <w:tcW w:w="290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10</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332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Continuing Directors Not Standing for Election</w:t>
            </w:r>
          </w:p>
        </w:tc>
        <w:tc>
          <w:tcPr>
            <w:tcW w:w="510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11</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b w:val="1"/>
                <w:bCs w:val="1"/>
                <w:color w:val="0000EE"/>
              </w:rPr>
              <w:t>Proposal 2: Ratification of the Appointment of Independent Registered Public Accounting Firm</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89"/>
              </w:rPr>
              <w:t>14</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General</w:t>
            </w:r>
          </w:p>
        </w:tc>
        <w:tc>
          <w:tcPr>
            <w:tcW w:w="1800" w:type="dxa"/>
            <w:vAlign w:val="bottom"/>
            <w:gridSpan w:val="4"/>
          </w:tcPr>
          <w:p>
            <w:pPr>
              <w:ind w:left="780"/>
              <w:spacing w:after="0"/>
              <w:rPr>
                <w:sz w:val="20"/>
                <w:szCs w:val="20"/>
                <w:color w:val="auto"/>
              </w:rPr>
            </w:pPr>
            <w:r>
              <w:rPr>
                <w:rFonts w:ascii="Arial" w:cs="Arial" w:eastAsia="Arial" w:hAnsi="Arial"/>
                <w:sz w:val="16"/>
                <w:szCs w:val="16"/>
                <w:color w:val="0000EE"/>
              </w:rPr>
              <w:t>14</w:t>
            </w: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Principal Accounting Fees and Services</w:t>
            </w:r>
          </w:p>
        </w:tc>
        <w:tc>
          <w:tcPr>
            <w:tcW w:w="1800" w:type="dxa"/>
            <w:vAlign w:val="bottom"/>
            <w:gridSpan w:val="4"/>
          </w:tcPr>
          <w:p>
            <w:pPr>
              <w:ind w:left="780"/>
              <w:spacing w:after="0"/>
              <w:rPr>
                <w:sz w:val="20"/>
                <w:szCs w:val="20"/>
                <w:color w:val="auto"/>
              </w:rPr>
            </w:pPr>
            <w:r>
              <w:rPr>
                <w:rFonts w:ascii="Arial" w:cs="Arial" w:eastAsia="Arial" w:hAnsi="Arial"/>
                <w:sz w:val="16"/>
                <w:szCs w:val="16"/>
                <w:color w:val="0000EE"/>
              </w:rPr>
              <w:t>14</w:t>
            </w:r>
          </w:p>
        </w:tc>
      </w:tr>
      <w:tr>
        <w:trPr>
          <w:trHeight w:val="20"/>
        </w:trPr>
        <w:tc>
          <w:tcPr>
            <w:tcW w:w="8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33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Pre-Approval of Audit and Non-Audit Services</w:t>
            </w:r>
          </w:p>
        </w:tc>
        <w:tc>
          <w:tcPr>
            <w:tcW w:w="51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15</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b w:val="1"/>
                <w:bCs w:val="1"/>
                <w:color w:val="0000EE"/>
              </w:rPr>
              <w:t>Proposal 3: Advisory Vote on Executive Compensation</w:t>
            </w:r>
          </w:p>
        </w:tc>
        <w:tc>
          <w:tcPr>
            <w:tcW w:w="1800" w:type="dxa"/>
            <w:vAlign w:val="bottom"/>
            <w:gridSpan w:val="4"/>
          </w:tcPr>
          <w:p>
            <w:pPr>
              <w:ind w:left="780"/>
              <w:spacing w:after="0"/>
              <w:rPr>
                <w:sz w:val="20"/>
                <w:szCs w:val="20"/>
                <w:color w:val="auto"/>
              </w:rPr>
            </w:pPr>
            <w:r>
              <w:rPr>
                <w:rFonts w:ascii="Arial" w:cs="Arial" w:eastAsia="Arial" w:hAnsi="Arial"/>
                <w:sz w:val="16"/>
                <w:szCs w:val="16"/>
                <w:b w:val="1"/>
                <w:bCs w:val="1"/>
                <w:color w:val="0000EE"/>
              </w:rPr>
              <w:t>16</w:t>
            </w:r>
          </w:p>
        </w:tc>
      </w:tr>
      <w:tr>
        <w:trPr>
          <w:trHeight w:val="493"/>
        </w:trPr>
        <w:tc>
          <w:tcPr>
            <w:tcW w:w="800" w:type="dxa"/>
            <w:vAlign w:val="bottom"/>
          </w:tcPr>
          <w:p>
            <w:pPr>
              <w:spacing w:after="0"/>
              <w:rPr>
                <w:sz w:val="24"/>
                <w:szCs w:val="24"/>
                <w:color w:val="auto"/>
              </w:rPr>
            </w:pPr>
          </w:p>
        </w:tc>
        <w:tc>
          <w:tcPr>
            <w:tcW w:w="4220" w:type="dxa"/>
            <w:vAlign w:val="bottom"/>
            <w:tcBorders>
              <w:top w:val="single" w:sz="8" w:color="0000EE"/>
            </w:tcBorders>
            <w:gridSpan w:val="16"/>
          </w:tcPr>
          <w:p>
            <w:pPr>
              <w:spacing w:after="0"/>
              <w:rPr>
                <w:sz w:val="20"/>
                <w:szCs w:val="20"/>
                <w:color w:val="auto"/>
              </w:rPr>
            </w:pPr>
            <w:r>
              <w:rPr>
                <w:rFonts w:ascii="Arial" w:cs="Arial" w:eastAsia="Arial" w:hAnsi="Arial"/>
                <w:sz w:val="16"/>
                <w:szCs w:val="16"/>
                <w:b w:val="1"/>
                <w:bCs w:val="1"/>
                <w:color w:val="0000EE"/>
              </w:rPr>
              <w:t>Corporate Governance</w:t>
            </w:r>
          </w:p>
        </w:tc>
        <w:tc>
          <w:tcPr>
            <w:tcW w:w="420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6"/>
                <w:szCs w:val="16"/>
                <w:b w:val="1"/>
                <w:bCs w:val="1"/>
                <w:color w:val="0000EE"/>
                <w:w w:val="89"/>
              </w:rPr>
              <w:t>17</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rPr>
              <w:t>Code of Conduct</w:t>
            </w:r>
          </w:p>
        </w:tc>
        <w:tc>
          <w:tcPr>
            <w:tcW w:w="666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w w:val="89"/>
              </w:rPr>
              <w:t>17</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332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Environmental, Social and Governance (ESG)</w:t>
            </w:r>
          </w:p>
        </w:tc>
        <w:tc>
          <w:tcPr>
            <w:tcW w:w="510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17</w:t>
            </w:r>
          </w:p>
        </w:tc>
        <w:tc>
          <w:tcPr>
            <w:tcW w:w="820" w:type="dxa"/>
            <w:vAlign w:val="bottom"/>
          </w:tcPr>
          <w:p>
            <w:pPr>
              <w:spacing w:after="0"/>
              <w:rPr>
                <w:sz w:val="24"/>
                <w:szCs w:val="24"/>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Board Composition</w:t>
            </w:r>
          </w:p>
        </w:tc>
        <w:tc>
          <w:tcPr>
            <w:tcW w:w="1800" w:type="dxa"/>
            <w:vAlign w:val="bottom"/>
            <w:gridSpan w:val="4"/>
          </w:tcPr>
          <w:p>
            <w:pPr>
              <w:ind w:left="780"/>
              <w:spacing w:after="0"/>
              <w:rPr>
                <w:sz w:val="20"/>
                <w:szCs w:val="20"/>
                <w:color w:val="auto"/>
              </w:rPr>
            </w:pPr>
            <w:r>
              <w:rPr>
                <w:rFonts w:ascii="Arial" w:cs="Arial" w:eastAsia="Arial" w:hAnsi="Arial"/>
                <w:sz w:val="16"/>
                <w:szCs w:val="16"/>
                <w:color w:val="0000EE"/>
              </w:rPr>
              <w:t>18</w:t>
            </w:r>
          </w:p>
        </w:tc>
      </w:tr>
      <w:tr>
        <w:trPr>
          <w:trHeight w:val="20"/>
        </w:trPr>
        <w:tc>
          <w:tcPr>
            <w:tcW w:w="80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Director Independence</w:t>
            </w:r>
          </w:p>
        </w:tc>
        <w:tc>
          <w:tcPr>
            <w:tcW w:w="1800" w:type="dxa"/>
            <w:vAlign w:val="bottom"/>
            <w:gridSpan w:val="4"/>
          </w:tcPr>
          <w:p>
            <w:pPr>
              <w:ind w:left="780"/>
              <w:spacing w:after="0"/>
              <w:rPr>
                <w:sz w:val="20"/>
                <w:szCs w:val="20"/>
                <w:color w:val="auto"/>
              </w:rPr>
            </w:pPr>
            <w:r>
              <w:rPr>
                <w:rFonts w:ascii="Arial" w:cs="Arial" w:eastAsia="Arial" w:hAnsi="Arial"/>
                <w:sz w:val="16"/>
                <w:szCs w:val="16"/>
                <w:color w:val="0000EE"/>
              </w:rPr>
              <w:t>18</w:t>
            </w:r>
          </w:p>
        </w:tc>
      </w:tr>
      <w:tr>
        <w:trPr>
          <w:trHeight w:val="20"/>
        </w:trPr>
        <w:tc>
          <w:tcPr>
            <w:tcW w:w="80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6"/>
                <w:szCs w:val="16"/>
                <w:color w:val="0000EE"/>
              </w:rPr>
              <w:t>Board Leadership Structure</w:t>
            </w:r>
          </w:p>
        </w:tc>
        <w:tc>
          <w:tcPr>
            <w:tcW w:w="1800" w:type="dxa"/>
            <w:vAlign w:val="bottom"/>
            <w:gridSpan w:val="4"/>
          </w:tcPr>
          <w:p>
            <w:pPr>
              <w:ind w:left="780"/>
              <w:spacing w:after="0"/>
              <w:rPr>
                <w:sz w:val="20"/>
                <w:szCs w:val="20"/>
                <w:color w:val="auto"/>
              </w:rPr>
            </w:pPr>
            <w:r>
              <w:rPr>
                <w:rFonts w:ascii="Arial" w:cs="Arial" w:eastAsia="Arial" w:hAnsi="Arial"/>
                <w:sz w:val="16"/>
                <w:szCs w:val="16"/>
                <w:color w:val="0000EE"/>
              </w:rPr>
              <w:t>18</w:t>
            </w:r>
          </w:p>
        </w:tc>
      </w:tr>
      <w:tr>
        <w:trPr>
          <w:trHeight w:val="493"/>
        </w:trPr>
        <w:tc>
          <w:tcPr>
            <w:tcW w:w="80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0000EE"/>
              </w:rPr>
              <w:t>Board Committees</w:t>
            </w:r>
          </w:p>
        </w:tc>
        <w:tc>
          <w:tcPr>
            <w:tcW w:w="64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w w:val="89"/>
              </w:rPr>
              <w:t>19</w:t>
            </w:r>
          </w:p>
        </w:tc>
        <w:tc>
          <w:tcPr>
            <w:tcW w:w="820" w:type="dxa"/>
            <w:vAlign w:val="bottom"/>
          </w:tcPr>
          <w:p>
            <w:pPr>
              <w:spacing w:after="0"/>
              <w:rPr>
                <w:sz w:val="24"/>
                <w:szCs w:val="24"/>
                <w:color w:val="auto"/>
              </w:rPr>
            </w:pPr>
          </w:p>
        </w:tc>
      </w:tr>
      <w:tr>
        <w:trPr>
          <w:trHeight w:val="257"/>
        </w:trPr>
        <w:tc>
          <w:tcPr>
            <w:tcW w:w="800" w:type="dxa"/>
            <w:vAlign w:val="bottom"/>
            <w:tcBorders>
              <w:bottom w:val="single" w:sz="8" w:color="auto"/>
            </w:tcBorders>
          </w:tcPr>
          <w:p>
            <w:pPr>
              <w:spacing w:after="0"/>
              <w:rPr>
                <w:sz w:val="22"/>
                <w:szCs w:val="22"/>
                <w:color w:val="auto"/>
              </w:rPr>
            </w:pPr>
          </w:p>
        </w:tc>
        <w:tc>
          <w:tcPr>
            <w:tcW w:w="580" w:type="dxa"/>
            <w:vAlign w:val="bottom"/>
            <w:tcBorders>
              <w:top w:val="single" w:sz="8" w:color="0000EE"/>
              <w:bottom w:val="single" w:sz="8" w:color="auto"/>
            </w:tcBorders>
          </w:tcPr>
          <w:p>
            <w:pPr>
              <w:spacing w:after="0"/>
              <w:rPr>
                <w:sz w:val="22"/>
                <w:szCs w:val="22"/>
                <w:color w:val="auto"/>
              </w:rPr>
            </w:pPr>
          </w:p>
        </w:tc>
        <w:tc>
          <w:tcPr>
            <w:tcW w:w="56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12"/>
        </w:trPr>
        <w:tc>
          <w:tcPr>
            <w:tcW w:w="80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0000EE"/>
              </w:rPr>
              <w:t>Audit Committee</w:t>
            </w:r>
          </w:p>
        </w:tc>
        <w:tc>
          <w:tcPr>
            <w:tcW w:w="7660" w:type="dxa"/>
            <w:vAlign w:val="bottom"/>
            <w:gridSpan w:val="18"/>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19</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People &amp; Compensation Committee</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20</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Nominating and Corporate Governance Committee</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20</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3660" w:type="dxa"/>
            <w:vAlign w:val="bottom"/>
            <w:gridSpan w:val="17"/>
          </w:tcPr>
          <w:p>
            <w:pPr>
              <w:spacing w:after="0"/>
              <w:rPr>
                <w:sz w:val="20"/>
                <w:szCs w:val="20"/>
                <w:color w:val="auto"/>
              </w:rPr>
            </w:pPr>
            <w:r>
              <w:rPr>
                <w:rFonts w:ascii="Arial" w:cs="Arial" w:eastAsia="Arial" w:hAnsi="Arial"/>
                <w:sz w:val="16"/>
                <w:szCs w:val="16"/>
                <w:color w:val="0000EE"/>
              </w:rPr>
              <w:t>Board Diversity</w:t>
            </w:r>
          </w:p>
        </w:tc>
        <w:tc>
          <w:tcPr>
            <w:tcW w:w="5540" w:type="dxa"/>
            <w:vAlign w:val="bottom"/>
            <w:gridSpan w:val="6"/>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22</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People &amp; Compensation Committee Interlocks and Insider Participation</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22</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0000EE"/>
              </w:rPr>
              <w:t>Compensation Risk</w:t>
            </w:r>
          </w:p>
        </w:tc>
        <w:tc>
          <w:tcPr>
            <w:tcW w:w="3680" w:type="dxa"/>
            <w:vAlign w:val="bottom"/>
            <w:gridSpan w:val="17"/>
          </w:tcPr>
          <w:p>
            <w:pPr>
              <w:spacing w:after="0"/>
              <w:rPr>
                <w:sz w:val="24"/>
                <w:szCs w:val="24"/>
                <w:color w:val="auto"/>
              </w:rPr>
            </w:pPr>
          </w:p>
        </w:tc>
        <w:tc>
          <w:tcPr>
            <w:tcW w:w="4100" w:type="dxa"/>
            <w:vAlign w:val="bottom"/>
            <w:gridSpan w:val="2"/>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22</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Meetings of the Board of Directors</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23</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660" w:type="dxa"/>
            <w:vAlign w:val="bottom"/>
            <w:gridSpan w:val="6"/>
          </w:tcPr>
          <w:p>
            <w:pPr>
              <w:spacing w:after="0"/>
              <w:rPr>
                <w:sz w:val="20"/>
                <w:szCs w:val="20"/>
                <w:color w:val="auto"/>
              </w:rPr>
            </w:pPr>
            <w:r>
              <w:rPr>
                <w:rFonts w:ascii="Arial" w:cs="Arial" w:eastAsia="Arial" w:hAnsi="Arial"/>
                <w:sz w:val="16"/>
                <w:szCs w:val="16"/>
                <w:color w:val="0000EE"/>
                <w:w w:val="95"/>
              </w:rPr>
              <w:t>Board Oversight of Risk</w:t>
            </w:r>
          </w:p>
        </w:tc>
        <w:tc>
          <w:tcPr>
            <w:tcW w:w="740" w:type="dxa"/>
            <w:vAlign w:val="bottom"/>
            <w:gridSpan w:val="4"/>
          </w:tcPr>
          <w:p>
            <w:pPr>
              <w:spacing w:after="0"/>
              <w:rPr>
                <w:sz w:val="24"/>
                <w:szCs w:val="24"/>
                <w:color w:val="auto"/>
              </w:rPr>
            </w:pPr>
          </w:p>
        </w:tc>
        <w:tc>
          <w:tcPr>
            <w:tcW w:w="6800" w:type="dxa"/>
            <w:vAlign w:val="bottom"/>
            <w:gridSpan w:val="13"/>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23</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660" w:type="dxa"/>
            <w:vAlign w:val="bottom"/>
            <w:gridSpan w:val="6"/>
          </w:tcPr>
          <w:p>
            <w:pPr>
              <w:spacing w:after="0"/>
              <w:rPr>
                <w:sz w:val="20"/>
                <w:szCs w:val="20"/>
                <w:color w:val="auto"/>
              </w:rPr>
            </w:pPr>
            <w:r>
              <w:rPr>
                <w:rFonts w:ascii="Arial" w:cs="Arial" w:eastAsia="Arial" w:hAnsi="Arial"/>
                <w:sz w:val="16"/>
                <w:szCs w:val="16"/>
                <w:color w:val="0000EE"/>
                <w:w w:val="98"/>
              </w:rPr>
              <w:t>Director Compensation</w:t>
            </w:r>
          </w:p>
        </w:tc>
        <w:tc>
          <w:tcPr>
            <w:tcW w:w="7540" w:type="dxa"/>
            <w:vAlign w:val="bottom"/>
            <w:gridSpan w:val="17"/>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23</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2780" w:type="dxa"/>
            <w:vAlign w:val="bottom"/>
            <w:gridSpan w:val="13"/>
          </w:tcPr>
          <w:p>
            <w:pPr>
              <w:spacing w:after="0"/>
              <w:rPr>
                <w:sz w:val="20"/>
                <w:szCs w:val="20"/>
                <w:color w:val="auto"/>
              </w:rPr>
            </w:pPr>
            <w:r>
              <w:rPr>
                <w:rFonts w:ascii="Arial" w:cs="Arial" w:eastAsia="Arial" w:hAnsi="Arial"/>
                <w:sz w:val="16"/>
                <w:szCs w:val="16"/>
                <w:color w:val="0000EE"/>
              </w:rPr>
              <w:t>Non-Employee Director Compensation</w:t>
            </w:r>
          </w:p>
        </w:tc>
        <w:tc>
          <w:tcPr>
            <w:tcW w:w="6420" w:type="dxa"/>
            <w:vAlign w:val="bottom"/>
            <w:gridSpan w:val="10"/>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25</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Stockholder Communications with the Board of Directors</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25</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3140" w:type="dxa"/>
            <w:vAlign w:val="bottom"/>
            <w:gridSpan w:val="15"/>
          </w:tcPr>
          <w:p>
            <w:pPr>
              <w:spacing w:after="0"/>
              <w:rPr>
                <w:sz w:val="20"/>
                <w:szCs w:val="20"/>
                <w:color w:val="auto"/>
              </w:rPr>
            </w:pPr>
            <w:r>
              <w:rPr>
                <w:rFonts w:ascii="Arial" w:cs="Arial" w:eastAsia="Arial" w:hAnsi="Arial"/>
                <w:sz w:val="16"/>
                <w:szCs w:val="16"/>
                <w:b w:val="1"/>
                <w:bCs w:val="1"/>
                <w:color w:val="0000EE"/>
                <w:w w:val="99"/>
              </w:rPr>
              <w:t>Information About our Executive Officers</w:t>
            </w:r>
          </w:p>
        </w:tc>
        <w:tc>
          <w:tcPr>
            <w:tcW w:w="920" w:type="dxa"/>
            <w:vAlign w:val="bottom"/>
            <w:gridSpan w:val="3"/>
          </w:tcPr>
          <w:p>
            <w:pPr>
              <w:spacing w:after="0"/>
              <w:rPr>
                <w:sz w:val="24"/>
                <w:szCs w:val="24"/>
                <w:color w:val="auto"/>
              </w:rPr>
            </w:pPr>
          </w:p>
        </w:tc>
        <w:tc>
          <w:tcPr>
            <w:tcW w:w="5140" w:type="dxa"/>
            <w:vAlign w:val="bottom"/>
            <w:gridSpan w:val="5"/>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26</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940" w:type="dxa"/>
            <w:vAlign w:val="bottom"/>
            <w:gridSpan w:val="8"/>
          </w:tcPr>
          <w:p>
            <w:pPr>
              <w:spacing w:after="0"/>
              <w:rPr>
                <w:sz w:val="20"/>
                <w:szCs w:val="20"/>
                <w:color w:val="auto"/>
              </w:rPr>
            </w:pPr>
            <w:r>
              <w:rPr>
                <w:rFonts w:ascii="Arial" w:cs="Arial" w:eastAsia="Arial" w:hAnsi="Arial"/>
                <w:sz w:val="16"/>
                <w:szCs w:val="16"/>
                <w:b w:val="1"/>
                <w:bCs w:val="1"/>
                <w:color w:val="0000EE"/>
              </w:rPr>
              <w:t>Executive Compensation</w:t>
            </w:r>
          </w:p>
        </w:tc>
        <w:tc>
          <w:tcPr>
            <w:tcW w:w="1200" w:type="dxa"/>
            <w:vAlign w:val="bottom"/>
            <w:gridSpan w:val="7"/>
          </w:tcPr>
          <w:p>
            <w:pPr>
              <w:spacing w:after="0"/>
              <w:rPr>
                <w:sz w:val="24"/>
                <w:szCs w:val="24"/>
                <w:color w:val="auto"/>
              </w:rPr>
            </w:pPr>
          </w:p>
        </w:tc>
        <w:tc>
          <w:tcPr>
            <w:tcW w:w="6060" w:type="dxa"/>
            <w:vAlign w:val="bottom"/>
            <w:gridSpan w:val="8"/>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28</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color w:val="0000EE"/>
              </w:rPr>
              <w:t>Compensation Discussion and Analysis</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28</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2480" w:type="dxa"/>
            <w:vAlign w:val="bottom"/>
            <w:gridSpan w:val="11"/>
          </w:tcPr>
          <w:p>
            <w:pPr>
              <w:spacing w:after="0"/>
              <w:rPr>
                <w:sz w:val="20"/>
                <w:szCs w:val="20"/>
                <w:color w:val="auto"/>
              </w:rPr>
            </w:pPr>
            <w:r>
              <w:rPr>
                <w:rFonts w:ascii="Arial" w:cs="Arial" w:eastAsia="Arial" w:hAnsi="Arial"/>
                <w:sz w:val="16"/>
                <w:szCs w:val="16"/>
                <w:b w:val="1"/>
                <w:bCs w:val="1"/>
                <w:color w:val="0000EE"/>
              </w:rPr>
              <w:t>Executive Compensation Tables</w:t>
            </w:r>
          </w:p>
        </w:tc>
        <w:tc>
          <w:tcPr>
            <w:tcW w:w="360" w:type="dxa"/>
            <w:vAlign w:val="bottom"/>
            <w:gridSpan w:val="3"/>
          </w:tcPr>
          <w:p>
            <w:pPr>
              <w:spacing w:after="0"/>
              <w:rPr>
                <w:sz w:val="24"/>
                <w:szCs w:val="24"/>
                <w:color w:val="auto"/>
              </w:rPr>
            </w:pPr>
          </w:p>
        </w:tc>
        <w:tc>
          <w:tcPr>
            <w:tcW w:w="6360" w:type="dxa"/>
            <w:vAlign w:val="bottom"/>
            <w:gridSpan w:val="9"/>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38</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10"/>
          </w:tcPr>
          <w:p>
            <w:pPr>
              <w:spacing w:after="0"/>
              <w:rPr>
                <w:sz w:val="20"/>
                <w:szCs w:val="20"/>
                <w:color w:val="auto"/>
              </w:rPr>
            </w:pPr>
            <w:r>
              <w:rPr>
                <w:rFonts w:ascii="Arial" w:cs="Arial" w:eastAsia="Arial" w:hAnsi="Arial"/>
                <w:sz w:val="16"/>
                <w:szCs w:val="16"/>
                <w:color w:val="0000EE"/>
              </w:rPr>
              <w:t>Summary Compensation Table</w:t>
            </w:r>
          </w:p>
        </w:tc>
        <w:tc>
          <w:tcPr>
            <w:tcW w:w="6720" w:type="dxa"/>
            <w:vAlign w:val="bottom"/>
            <w:gridSpan w:val="12"/>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38</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8"/>
          </w:tcPr>
          <w:p>
            <w:pPr>
              <w:spacing w:after="0"/>
              <w:rPr>
                <w:sz w:val="20"/>
                <w:szCs w:val="20"/>
                <w:color w:val="auto"/>
              </w:rPr>
            </w:pPr>
            <w:r>
              <w:rPr>
                <w:rFonts w:ascii="Arial" w:cs="Arial" w:eastAsia="Arial" w:hAnsi="Arial"/>
                <w:sz w:val="16"/>
                <w:szCs w:val="16"/>
                <w:color w:val="0000EE"/>
              </w:rPr>
              <w:t>Grants of Plan-Based Awards</w:t>
            </w:r>
          </w:p>
        </w:tc>
        <w:tc>
          <w:tcPr>
            <w:tcW w:w="80" w:type="dxa"/>
            <w:vAlign w:val="bottom"/>
          </w:tcPr>
          <w:p>
            <w:pPr>
              <w:spacing w:after="0"/>
              <w:rPr>
                <w:sz w:val="24"/>
                <w:szCs w:val="24"/>
                <w:color w:val="auto"/>
              </w:rPr>
            </w:pPr>
          </w:p>
        </w:tc>
        <w:tc>
          <w:tcPr>
            <w:tcW w:w="6800" w:type="dxa"/>
            <w:vAlign w:val="bottom"/>
            <w:gridSpan w:val="13"/>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40</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5"/>
          </w:tcPr>
          <w:p>
            <w:pPr>
              <w:spacing w:after="0"/>
              <w:rPr>
                <w:sz w:val="20"/>
                <w:szCs w:val="20"/>
                <w:color w:val="auto"/>
              </w:rPr>
            </w:pPr>
            <w:r>
              <w:rPr>
                <w:rFonts w:ascii="Arial" w:cs="Arial" w:eastAsia="Arial" w:hAnsi="Arial"/>
                <w:sz w:val="16"/>
                <w:szCs w:val="16"/>
                <w:color w:val="0000EE"/>
              </w:rPr>
              <w:t>Outstanding Equity Awards at Fiscal Year-End</w:t>
            </w:r>
          </w:p>
        </w:tc>
        <w:tc>
          <w:tcPr>
            <w:tcW w:w="5700" w:type="dxa"/>
            <w:vAlign w:val="bottom"/>
            <w:gridSpan w:val="7"/>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41</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5"/>
          </w:tcPr>
          <w:p>
            <w:pPr>
              <w:spacing w:after="0"/>
              <w:rPr>
                <w:sz w:val="20"/>
                <w:szCs w:val="20"/>
                <w:color w:val="auto"/>
              </w:rPr>
            </w:pPr>
            <w:r>
              <w:rPr>
                <w:rFonts w:ascii="Arial" w:cs="Arial" w:eastAsia="Arial" w:hAnsi="Arial"/>
                <w:sz w:val="16"/>
                <w:szCs w:val="16"/>
                <w:color w:val="0000EE"/>
              </w:rPr>
              <w:t>Option Exercises and Stock Vested Table</w:t>
            </w:r>
          </w:p>
        </w:tc>
        <w:tc>
          <w:tcPr>
            <w:tcW w:w="5700" w:type="dxa"/>
            <w:vAlign w:val="bottom"/>
            <w:gridSpan w:val="7"/>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42</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20" w:type="dxa"/>
            <w:vAlign w:val="bottom"/>
            <w:gridSpan w:val="22"/>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color w:val="0000EE"/>
                <w:w w:val="89"/>
              </w:rPr>
              <w:t>43</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156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b w:val="1"/>
                <w:bCs w:val="1"/>
                <w:color w:val="0000EE"/>
              </w:rPr>
              <w:t>Pay Versus Performance</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45</w:t>
            </w:r>
          </w:p>
        </w:tc>
      </w:tr>
      <w:tr>
        <w:trPr>
          <w:trHeight w:val="20"/>
        </w:trPr>
        <w:tc>
          <w:tcPr>
            <w:tcW w:w="8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50</w:t>
            </w:r>
          </w:p>
        </w:tc>
      </w:tr>
      <w:tr>
        <w:trPr>
          <w:trHeight w:val="20"/>
        </w:trPr>
        <w:tc>
          <w:tcPr>
            <w:tcW w:w="8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1560" w:type="dxa"/>
            <w:vAlign w:val="bottom"/>
            <w:tcBorders>
              <w:left w:val="single" w:sz="8" w:color="0000EE"/>
            </w:tcBorders>
            <w:gridSpan w:val="7"/>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5140" w:type="dxa"/>
            <w:vAlign w:val="bottom"/>
            <w:gridSpan w:val="22"/>
          </w:tcPr>
          <w:p>
            <w:pPr>
              <w:spacing w:after="0"/>
              <w:rPr>
                <w:sz w:val="20"/>
                <w:szCs w:val="20"/>
                <w:color w:val="auto"/>
              </w:rPr>
            </w:pPr>
            <w:r>
              <w:rPr>
                <w:rFonts w:ascii="Arial" w:cs="Arial" w:eastAsia="Arial" w:hAnsi="Arial"/>
                <w:sz w:val="16"/>
                <w:szCs w:val="16"/>
                <w:b w:val="1"/>
                <w:bCs w:val="1"/>
                <w:color w:val="0000EE"/>
              </w:rPr>
              <w:t>Certain Relationships and Related Party Transactions</w:t>
            </w:r>
          </w:p>
        </w:tc>
        <w:tc>
          <w:tcPr>
            <w:tcW w:w="4060" w:type="dxa"/>
            <w:vAlign w:val="bottom"/>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53</w:t>
            </w:r>
          </w:p>
        </w:tc>
      </w:tr>
      <w:tr>
        <w:trPr>
          <w:trHeight w:val="20"/>
        </w:trPr>
        <w:tc>
          <w:tcPr>
            <w:tcW w:w="8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1560" w:type="dxa"/>
            <w:vAlign w:val="bottom"/>
            <w:tcBorders>
              <w:left w:val="single" w:sz="8" w:color="0000EE"/>
            </w:tcBorders>
            <w:gridSpan w:val="7"/>
            <w:shd w:val="clear" w:color="auto" w:fill="0000EE"/>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4120" w:type="dxa"/>
            <w:vAlign w:val="bottom"/>
            <w:gridSpan w:val="19"/>
          </w:tcPr>
          <w:p>
            <w:pPr>
              <w:spacing w:after="0"/>
              <w:rPr>
                <w:sz w:val="20"/>
                <w:szCs w:val="20"/>
                <w:color w:val="auto"/>
              </w:rPr>
            </w:pPr>
            <w:r>
              <w:rPr>
                <w:rFonts w:ascii="Arial" w:cs="Arial" w:eastAsia="Arial" w:hAnsi="Arial"/>
                <w:sz w:val="16"/>
                <w:szCs w:val="16"/>
                <w:b w:val="1"/>
                <w:bCs w:val="1"/>
                <w:color w:val="0000EE"/>
              </w:rPr>
              <w:t>Audit Committee Report</w:t>
            </w:r>
          </w:p>
        </w:tc>
        <w:tc>
          <w:tcPr>
            <w:tcW w:w="5080" w:type="dxa"/>
            <w:vAlign w:val="bottom"/>
            <w:gridSpan w:val="4"/>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54</w:t>
            </w:r>
          </w:p>
        </w:tc>
      </w:tr>
      <w:tr>
        <w:trPr>
          <w:trHeight w:val="20"/>
        </w:trPr>
        <w:tc>
          <w:tcPr>
            <w:tcW w:w="8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640" w:type="dxa"/>
            <w:vAlign w:val="bottom"/>
            <w:gridSpan w:val="11"/>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2560" w:type="dxa"/>
            <w:vAlign w:val="bottom"/>
            <w:gridSpan w:val="12"/>
          </w:tcPr>
          <w:p>
            <w:pPr>
              <w:spacing w:after="0"/>
              <w:rPr>
                <w:sz w:val="20"/>
                <w:szCs w:val="20"/>
                <w:color w:val="auto"/>
              </w:rPr>
            </w:pPr>
            <w:r>
              <w:rPr>
                <w:rFonts w:ascii="Arial" w:cs="Arial" w:eastAsia="Arial" w:hAnsi="Arial"/>
                <w:sz w:val="16"/>
                <w:szCs w:val="16"/>
                <w:b w:val="1"/>
                <w:bCs w:val="1"/>
                <w:color w:val="0000EE"/>
              </w:rPr>
              <w:t>Delinquent Section 16(a) Reports</w:t>
            </w:r>
          </w:p>
        </w:tc>
        <w:tc>
          <w:tcPr>
            <w:tcW w:w="6640" w:type="dxa"/>
            <w:vAlign w:val="bottom"/>
            <w:gridSpan w:val="11"/>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55</w:t>
            </w:r>
          </w:p>
        </w:tc>
      </w:tr>
      <w:tr>
        <w:trPr>
          <w:trHeight w:val="20"/>
        </w:trPr>
        <w:tc>
          <w:tcPr>
            <w:tcW w:w="8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6640" w:type="dxa"/>
            <w:vAlign w:val="bottom"/>
            <w:gridSpan w:val="11"/>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2560" w:type="dxa"/>
            <w:vAlign w:val="bottom"/>
            <w:gridSpan w:val="12"/>
          </w:tcPr>
          <w:p>
            <w:pPr>
              <w:spacing w:after="0"/>
              <w:rPr>
                <w:sz w:val="20"/>
                <w:szCs w:val="20"/>
                <w:color w:val="auto"/>
              </w:rPr>
            </w:pPr>
            <w:r>
              <w:rPr>
                <w:rFonts w:ascii="Arial" w:cs="Arial" w:eastAsia="Arial" w:hAnsi="Arial"/>
                <w:sz w:val="16"/>
                <w:szCs w:val="16"/>
                <w:b w:val="1"/>
                <w:bCs w:val="1"/>
                <w:color w:val="0000EE"/>
              </w:rPr>
              <w:t>Other Matters</w:t>
            </w:r>
          </w:p>
        </w:tc>
        <w:tc>
          <w:tcPr>
            <w:tcW w:w="6640" w:type="dxa"/>
            <w:vAlign w:val="bottom"/>
            <w:gridSpan w:val="11"/>
          </w:tcPr>
          <w:p>
            <w:pPr>
              <w:spacing w:after="0"/>
              <w:rPr>
                <w:sz w:val="24"/>
                <w:szCs w:val="24"/>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0000EE"/>
                <w:w w:val="89"/>
              </w:rPr>
              <w:t>56</w:t>
            </w:r>
          </w:p>
        </w:tc>
      </w:tr>
      <w:tr>
        <w:trPr>
          <w:trHeight w:val="244"/>
        </w:trPr>
        <w:tc>
          <w:tcPr>
            <w:tcW w:w="800" w:type="dxa"/>
            <w:vAlign w:val="bottom"/>
            <w:tcBorders>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920" w:type="dxa"/>
            <w:vAlign w:val="bottom"/>
            <w:tcBorders>
              <w:top w:val="single" w:sz="8" w:color="0000EE"/>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FLYWIRE CORPORATION</w:t>
      </w:r>
    </w:p>
    <w:p>
      <w:pPr>
        <w:jc w:val="right"/>
        <w:ind w:right="40"/>
        <w:spacing w:after="0" w:line="201" w:lineRule="auto"/>
        <w:rPr>
          <w:sz w:val="20"/>
          <w:szCs w:val="20"/>
          <w:color w:val="auto"/>
        </w:rPr>
      </w:pPr>
      <w:r>
        <w:rPr>
          <w:rFonts w:ascii="Arial" w:cs="Arial" w:eastAsia="Arial" w:hAnsi="Arial"/>
          <w:sz w:val="16"/>
          <w:szCs w:val="16"/>
          <w:b w:val="1"/>
          <w:bCs w:val="1"/>
          <w:color w:val="auto"/>
        </w:rPr>
        <w:t>141 Tremont St., 10</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right"/>
        <w:spacing w:after="0"/>
        <w:rPr>
          <w:sz w:val="20"/>
          <w:szCs w:val="20"/>
          <w:color w:val="auto"/>
        </w:rPr>
      </w:pPr>
      <w:r>
        <w:rPr>
          <w:rFonts w:ascii="Arial" w:cs="Arial" w:eastAsia="Arial" w:hAnsi="Arial"/>
          <w:sz w:val="16"/>
          <w:szCs w:val="16"/>
          <w:b w:val="1"/>
          <w:bCs w:val="1"/>
          <w:color w:val="auto"/>
        </w:rPr>
        <w:t>Boston, Massachusetts 02111</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w:t>
      </w:r>
    </w:p>
    <w:p>
      <w:pPr>
        <w:spacing w:after="0" w:line="159" w:lineRule="exact"/>
        <w:rPr>
          <w:sz w:val="20"/>
          <w:szCs w:val="20"/>
          <w:color w:val="auto"/>
        </w:rPr>
      </w:pPr>
    </w:p>
    <w:p>
      <w:pPr>
        <w:ind w:right="2820"/>
        <w:spacing w:after="0" w:line="292" w:lineRule="auto"/>
        <w:rPr>
          <w:sz w:val="20"/>
          <w:szCs w:val="20"/>
          <w:color w:val="auto"/>
        </w:rPr>
      </w:pPr>
      <w:r>
        <w:rPr>
          <w:rFonts w:ascii="Arial" w:cs="Arial" w:eastAsia="Arial" w:hAnsi="Arial"/>
          <w:sz w:val="50"/>
          <w:szCs w:val="50"/>
          <w:b w:val="1"/>
          <w:bCs w:val="1"/>
          <w:color w:val="auto"/>
        </w:rPr>
        <w:t>For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proxy statement is furnished in connection with the solicitation of proxies by our Board of Directors for use at the 2024 Annual Meeting of Stockholders (the Annual Meeting) to be held at 9:30 a.m. EDT on Tuesday, June 4, 2024, and any postponements or adjournments thereof. The Annual Meeting will be held virtually via a live audio webcast on the internet at www.virtualshareholdermeeting.com/FLYW2024. There will not be a physical meeting location available for in-person participation. We believe holding our Annual Meeting online will facilitate greater stockholder attendance while still providing comparable rights and opportunities to participate, including the ability to ask questions, as a stockholder would have if he, she or they were attending our Annual Meeting in person. Beginning on or about April 22, 2024, we mailed to our stockholders a Notice of Internet Availability of Proxy Materials (Notice) containing instructions on how to access our proxy materials. As used in this proxy statement, the terms “Flywire,” the “Company,” “we,” “us,” and “our” mean Flywire Corporation unless the context indicates otherwise. Unless otherwise noted or unless the context provides otherwise, all references in this proxy statement to our “common stock” refers to our voting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2020"/>
        <w:spacing w:after="0" w:line="292" w:lineRule="auto"/>
        <w:rPr>
          <w:sz w:val="20"/>
          <w:szCs w:val="20"/>
          <w:color w:val="auto"/>
        </w:rPr>
      </w:pPr>
      <w:r>
        <w:rPr>
          <w:rFonts w:ascii="Arial" w:cs="Arial" w:eastAsia="Arial" w:hAnsi="Arial"/>
          <w:sz w:val="50"/>
          <w:szCs w:val="50"/>
          <w:b w:val="1"/>
          <w:bCs w:val="1"/>
          <w:color w:val="007FC4"/>
        </w:rPr>
        <w:t>Questions and Answers about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167" w:lineRule="exact"/>
        <w:rPr>
          <w:sz w:val="20"/>
          <w:szCs w:val="20"/>
          <w:color w:val="auto"/>
        </w:rPr>
      </w:pPr>
    </w:p>
    <w:p>
      <w:pPr>
        <w:ind w:left="360" w:hanging="354"/>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WHY AM I RECEIVING THESE PROXY MATERIALS?</w:t>
      </w:r>
    </w:p>
    <w:p>
      <w:pPr>
        <w:spacing w:after="0" w:line="194" w:lineRule="exact"/>
        <w:rPr>
          <w:sz w:val="20"/>
          <w:szCs w:val="20"/>
          <w:color w:val="auto"/>
        </w:rPr>
      </w:pPr>
    </w:p>
    <w:p>
      <w:pPr>
        <w:ind w:left="360" w:hanging="354"/>
        <w:spacing w:after="0" w:line="254" w:lineRule="auto"/>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Board of Directors is providing these proxy materials to you in connection with the solicitation of proxies for use at the Annual Meeting to be held on Tuesday, June 4, 2024 at 9:30 a.m. EDT, and at any adjournment or postponement thereof, for the purpose of considering and acting upon the matters set forth herein. The notice of Annual Meeting, this proxy statement and accompanying form of proxy card are being made available to you on or about April 22, 2024. This proxy statement includes information that we are required to provide to you under Securities and Exchange Commission (SEC) rules and that is designed to assist you in voting your shares.</w:t>
      </w:r>
    </w:p>
    <w:p>
      <w:pPr>
        <w:spacing w:after="0" w:line="101" w:lineRule="exact"/>
        <w:rPr>
          <w:sz w:val="20"/>
          <w:szCs w:val="20"/>
          <w:color w:val="auto"/>
        </w:rPr>
      </w:pPr>
    </w:p>
    <w:p>
      <w:pPr>
        <w:ind w:left="360" w:hanging="354"/>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WHAT IS INCLUDED IN THE PROXY MATERIALS?</w:t>
      </w:r>
    </w:p>
    <w:p>
      <w:pPr>
        <w:spacing w:after="0" w:line="194" w:lineRule="exact"/>
        <w:rPr>
          <w:sz w:val="20"/>
          <w:szCs w:val="20"/>
          <w:color w:val="auto"/>
        </w:rPr>
      </w:pPr>
    </w:p>
    <w:p>
      <w:pPr>
        <w:ind w:left="360" w:hanging="354"/>
        <w:spacing w:after="0"/>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proxy materials include:</w:t>
      </w:r>
    </w:p>
    <w:p>
      <w:pPr>
        <w:spacing w:after="0" w:line="180" w:lineRule="exact"/>
        <w:rPr>
          <w:rFonts w:ascii="Arial" w:cs="Arial" w:eastAsia="Arial" w:hAnsi="Arial"/>
          <w:sz w:val="16"/>
          <w:szCs w:val="16"/>
          <w:b w:val="1"/>
          <w:bCs w:val="1"/>
          <w:color w:val="auto"/>
        </w:rPr>
      </w:pPr>
    </w:p>
    <w:p>
      <w:pPr>
        <w:ind w:left="980" w:hanging="326"/>
        <w:spacing w:after="0"/>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This proxy statement for the Annual Meeting;</w:t>
      </w:r>
    </w:p>
    <w:p>
      <w:pPr>
        <w:spacing w:after="0" w:line="180" w:lineRule="exact"/>
        <w:rPr>
          <w:rFonts w:ascii="Arial" w:cs="Arial" w:eastAsia="Arial" w:hAnsi="Arial"/>
          <w:sz w:val="16"/>
          <w:szCs w:val="16"/>
          <w:color w:val="auto"/>
        </w:rPr>
      </w:pPr>
    </w:p>
    <w:p>
      <w:pPr>
        <w:ind w:left="980" w:hanging="326"/>
        <w:spacing w:after="0"/>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2023 (the 2023 Annual Report); and</w:t>
      </w:r>
    </w:p>
    <w:p>
      <w:pPr>
        <w:spacing w:after="0" w:line="194" w:lineRule="exact"/>
        <w:rPr>
          <w:rFonts w:ascii="Arial" w:cs="Arial" w:eastAsia="Arial" w:hAnsi="Arial"/>
          <w:sz w:val="16"/>
          <w:szCs w:val="16"/>
          <w:color w:val="auto"/>
        </w:rPr>
      </w:pPr>
    </w:p>
    <w:p>
      <w:pPr>
        <w:ind w:left="980" w:hanging="326"/>
        <w:spacing w:after="0" w:line="286"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proxy card or a voting instruction form for the Annual Meeting, if you have requested that the proxy materials be mailed to you.</w:t>
      </w:r>
    </w:p>
    <w:p>
      <w:pPr>
        <w:spacing w:after="0" w:line="75" w:lineRule="exact"/>
        <w:rPr>
          <w:sz w:val="20"/>
          <w:szCs w:val="20"/>
          <w:color w:val="auto"/>
        </w:rPr>
      </w:pPr>
    </w:p>
    <w:p>
      <w:pPr>
        <w:ind w:left="360" w:hanging="35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HOW CAN I GET ELECTRONIC ACCESS TO THE PROXY MATERIALS?</w:t>
      </w:r>
    </w:p>
    <w:p>
      <w:pPr>
        <w:spacing w:after="0" w:line="194" w:lineRule="exact"/>
        <w:rPr>
          <w:sz w:val="20"/>
          <w:szCs w:val="20"/>
          <w:color w:val="auto"/>
        </w:rPr>
      </w:pPr>
    </w:p>
    <w:p>
      <w:pPr>
        <w:ind w:left="360" w:right="280" w:hanging="354"/>
        <w:spacing w:after="0" w:line="286" w:lineRule="auto"/>
        <w:tabs>
          <w:tab w:leader="none" w:pos="3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proxy materials are available at www.proxyvote.com and at https://ir.flywire.com. Our website address is included for reference only. The information contained on our website is not incorporated by reference into this proxy statement.</w:t>
      </w:r>
    </w:p>
    <w:p>
      <w:pPr>
        <w:spacing w:after="0" w:line="101" w:lineRule="exact"/>
        <w:rPr>
          <w:rFonts w:ascii="Arial" w:cs="Arial" w:eastAsia="Arial" w:hAnsi="Arial"/>
          <w:sz w:val="16"/>
          <w:szCs w:val="16"/>
          <w:b w:val="1"/>
          <w:bCs w:val="1"/>
          <w:color w:val="auto"/>
        </w:rPr>
      </w:pPr>
    </w:p>
    <w:p>
      <w:pPr>
        <w:ind w:left="36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You can find directions on how to instruct us to send future proxy materials to you by email at www.proxyvote.com.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99" w:lineRule="exact"/>
        <w:rPr>
          <w:sz w:val="20"/>
          <w:szCs w:val="20"/>
          <w:color w:val="auto"/>
        </w:rPr>
      </w:pPr>
    </w:p>
    <w:p>
      <w:pPr>
        <w:ind w:left="360" w:hanging="354"/>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WHAT INFORMATION IS CONTAINED IN THIS PROXY STATEMENT?</w:t>
      </w:r>
    </w:p>
    <w:p>
      <w:pPr>
        <w:spacing w:after="0" w:line="194" w:lineRule="exact"/>
        <w:rPr>
          <w:sz w:val="20"/>
          <w:szCs w:val="20"/>
          <w:color w:val="auto"/>
        </w:rPr>
      </w:pPr>
    </w:p>
    <w:p>
      <w:pPr>
        <w:ind w:left="360" w:hanging="354"/>
        <w:spacing w:after="0" w:line="266" w:lineRule="auto"/>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90"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WHERE IS THE ANNUAL MEETING?</w:t>
      </w:r>
    </w:p>
    <w:p>
      <w:pPr>
        <w:spacing w:after="0" w:line="194" w:lineRule="exact"/>
        <w:rPr>
          <w:sz w:val="20"/>
          <w:szCs w:val="20"/>
          <w:color w:val="auto"/>
        </w:rPr>
      </w:pPr>
    </w:p>
    <w:p>
      <w:pPr>
        <w:ind w:left="360" w:right="3160" w:hanging="354"/>
        <w:spacing w:after="0" w:line="286" w:lineRule="auto"/>
        <w:tabs>
          <w:tab w:leader="none" w:pos="3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 Annual Meeting will be held virtually via live audio webcast on the internet at www.virtualshareholdermeeting.com/FLYW2024.</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Flywire Corporation      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hanging="354"/>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CAN I ATTEND THE ANNUAL MEETING?</w:t>
      </w:r>
    </w:p>
    <w:p>
      <w:pPr>
        <w:spacing w:after="0" w:line="181" w:lineRule="exact"/>
        <w:rPr>
          <w:sz w:val="20"/>
          <w:szCs w:val="20"/>
          <w:color w:val="auto"/>
        </w:rPr>
      </w:pPr>
    </w:p>
    <w:p>
      <w:pPr>
        <w:ind w:left="360" w:right="120" w:hanging="354"/>
        <w:spacing w:after="0" w:line="286" w:lineRule="auto"/>
        <w:tabs>
          <w:tab w:leader="none" w:pos="3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You are invited to attend the Annual Meeting if you were a stockholder of record or a beneficial owner as of April 8, 2024 (the Record Date). The Annual Meeting will begin promptly at 9:30 a.m. EDT on Tuesday, June 4, 2024.</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w:t>
      </w:r>
    </w:p>
    <w:p>
      <w:pPr>
        <w:spacing w:after="0" w:line="167" w:lineRule="exact"/>
        <w:rPr>
          <w:sz w:val="20"/>
          <w:szCs w:val="20"/>
          <w:color w:val="auto"/>
        </w:rPr>
      </w:pPr>
    </w:p>
    <w:p>
      <w:pPr>
        <w:ind w:left="360" w:right="100" w:hanging="354"/>
        <w:spacing w:after="0" w:line="286"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WHAT IS THE DIFFERENCE BETWEEN HOLDING SHARES AS A STOCKHOLDER OF RECORD AND AS A BENEFICIAL OWNER?</w:t>
      </w:r>
    </w:p>
    <w:p>
      <w:pPr>
        <w:spacing w:after="0" w:line="115" w:lineRule="exact"/>
        <w:rPr>
          <w:sz w:val="20"/>
          <w:szCs w:val="20"/>
          <w:color w:val="auto"/>
        </w:rPr>
      </w:pPr>
    </w:p>
    <w:p>
      <w:pPr>
        <w:ind w:left="360" w:right="20" w:hanging="354"/>
        <w:spacing w:after="0" w:line="259" w:lineRule="auto"/>
        <w:tabs>
          <w:tab w:leader="none" w:pos="360" w:val="left"/>
        </w:tabs>
        <w:numPr>
          <w:ilvl w:val="0"/>
          <w:numId w:val="19"/>
        </w:numPr>
        <w:rPr>
          <w:rFonts w:ascii="Arial" w:cs="Arial" w:eastAsia="Arial" w:hAnsi="Arial"/>
          <w:sz w:val="16"/>
          <w:szCs w:val="16"/>
          <w:b w:val="1"/>
          <w:bCs w:val="1"/>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—If your shares are registered directly in your name with our transfer agent, Computershare Inc.</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(Computershare), you are considered, with respect to those shares, the “stockholder of record,” and the Notice was provided to you directly by us. As the stockholder of record, you have the right to grant your voting proxy directly to the individuals listed on the proxy card or to vote at the Annual Meeting.</w:t>
      </w:r>
    </w:p>
    <w:p>
      <w:pPr>
        <w:spacing w:after="0" w:line="123" w:lineRule="exact"/>
        <w:rPr>
          <w:rFonts w:ascii="Arial" w:cs="Arial" w:eastAsia="Arial" w:hAnsi="Arial"/>
          <w:sz w:val="16"/>
          <w:szCs w:val="16"/>
          <w:b w:val="1"/>
          <w:bCs w:val="1"/>
          <w:color w:val="auto"/>
        </w:rPr>
      </w:pPr>
    </w:p>
    <w:p>
      <w:pPr>
        <w:ind w:left="360" w:right="60"/>
        <w:spacing w:after="0" w:line="257" w:lineRule="auto"/>
        <w:rPr>
          <w:rFonts w:ascii="Arial" w:cs="Arial" w:eastAsia="Arial" w:hAnsi="Arial"/>
          <w:sz w:val="16"/>
          <w:szCs w:val="16"/>
          <w:b w:val="1"/>
          <w:bCs w:val="1"/>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—Many Flywire stockholders hold their shares through a broker, bank, trustee or other nominee,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in their own name. If your shares are held in a brokerage account or by a bank or another nominee (commonly referred to as being held in “street name”), you are considered the “beneficial owner” of such shares. The Notice was forwarded to you by your broker, trustee or nominee who is considered, with respect to those shares, the stockholder of record.</w:t>
      </w:r>
    </w:p>
    <w:p>
      <w:pPr>
        <w:spacing w:after="0" w:line="318" w:lineRule="exact"/>
        <w:rPr>
          <w:rFonts w:ascii="Arial" w:cs="Arial" w:eastAsia="Arial" w:hAnsi="Arial"/>
          <w:sz w:val="16"/>
          <w:szCs w:val="16"/>
          <w:b w:val="1"/>
          <w:bCs w:val="1"/>
          <w:color w:val="auto"/>
        </w:rPr>
      </w:pPr>
    </w:p>
    <w:p>
      <w:pPr>
        <w:ind w:left="360" w:right="10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at the Annual Meeting unless you follow your broker’s procedures for obtaining a legal proxy. If you request a printed copy of the proxy materials by mail, your broker or nominee will provide a voting instruction card for you to use.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QUORUM AND VOTING</w:t>
      </w:r>
    </w:p>
    <w:p>
      <w:pPr>
        <w:spacing w:after="0" w:line="167" w:lineRule="exact"/>
        <w:rPr>
          <w:sz w:val="20"/>
          <w:szCs w:val="20"/>
          <w:color w:val="auto"/>
        </w:rPr>
      </w:pPr>
    </w:p>
    <w:p>
      <w:pPr>
        <w:ind w:left="360" w:hanging="354"/>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HOW MANY SHARES MUST BE PRESENT OR REPRESENTED TO CONDUCT BUSINESS AT THE ANNUAL MEETING?</w:t>
      </w:r>
    </w:p>
    <w:p>
      <w:pPr>
        <w:spacing w:after="0" w:line="181" w:lineRule="exact"/>
        <w:rPr>
          <w:sz w:val="20"/>
          <w:szCs w:val="20"/>
          <w:color w:val="auto"/>
        </w:rPr>
      </w:pPr>
    </w:p>
    <w:p>
      <w:pPr>
        <w:ind w:left="360" w:right="80" w:hanging="354"/>
        <w:spacing w:after="0" w:line="259" w:lineRule="auto"/>
        <w:tabs>
          <w:tab w:leader="none" w:pos="3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 quorum is the minimum number of shares required to be present at the Annual Meeting for the meeting to be properly held under our Bylaws and the General Corporation Law of the State of Delaware. The presence, in person or represented by proxy, of the holders of a majority of the voting power of the shares of stock issued and outstanding and entitled to vote at the meeting will constitute a quorum at the meeting.</w:t>
      </w:r>
    </w:p>
    <w:p>
      <w:pPr>
        <w:spacing w:after="0" w:line="123" w:lineRule="exact"/>
        <w:rPr>
          <w:rFonts w:ascii="Arial" w:cs="Arial" w:eastAsia="Arial" w:hAnsi="Arial"/>
          <w:sz w:val="16"/>
          <w:szCs w:val="16"/>
          <w:b w:val="1"/>
          <w:bCs w:val="1"/>
          <w:color w:val="auto"/>
        </w:rPr>
      </w:pPr>
    </w:p>
    <w:p>
      <w:pPr>
        <w:ind w:left="360" w:right="8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A proxy submitted by a stockholder may indicate that the shares represented by the proxy are not being voted with respect to a particular matter.</w:t>
      </w:r>
    </w:p>
    <w:p>
      <w:pPr>
        <w:spacing w:after="0" w:line="101" w:lineRule="exact"/>
        <w:rPr>
          <w:rFonts w:ascii="Arial" w:cs="Arial" w:eastAsia="Arial" w:hAnsi="Arial"/>
          <w:sz w:val="16"/>
          <w:szCs w:val="16"/>
          <w:b w:val="1"/>
          <w:bCs w:val="1"/>
          <w:color w:val="auto"/>
        </w:rPr>
      </w:pPr>
    </w:p>
    <w:p>
      <w:pPr>
        <w:ind w:left="360" w:right="6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Under the General Corporation Law of the State of Delaware, abstentions and broker “non-votes” are counted as present and entitled to vote and are, therefore, included for purposes of determining whether a quorum is present at the Annual Meeting.</w:t>
      </w:r>
    </w:p>
    <w:p>
      <w:pPr>
        <w:spacing w:after="0" w:line="101" w:lineRule="exact"/>
        <w:rPr>
          <w:rFonts w:ascii="Arial" w:cs="Arial" w:eastAsia="Arial" w:hAnsi="Arial"/>
          <w:sz w:val="16"/>
          <w:szCs w:val="16"/>
          <w:b w:val="1"/>
          <w:bCs w:val="1"/>
          <w:color w:val="auto"/>
        </w:rPr>
      </w:pPr>
    </w:p>
    <w:p>
      <w:pPr>
        <w:ind w:left="360" w:right="32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04" w:lineRule="exact"/>
        <w:rPr>
          <w:sz w:val="20"/>
          <w:szCs w:val="20"/>
          <w:color w:val="auto"/>
        </w:rPr>
      </w:pPr>
    </w:p>
    <w:p>
      <w:pPr>
        <w:ind w:left="360" w:hanging="354"/>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WHO IS ENTITLED TO VOTE AT THE ANNUAL MEETING?</w:t>
      </w:r>
    </w:p>
    <w:p>
      <w:pPr>
        <w:spacing w:after="0" w:line="181" w:lineRule="exact"/>
        <w:rPr>
          <w:sz w:val="20"/>
          <w:szCs w:val="20"/>
          <w:color w:val="auto"/>
        </w:rPr>
      </w:pPr>
    </w:p>
    <w:p>
      <w:pPr>
        <w:ind w:left="360" w:hanging="354"/>
        <w:spacing w:after="0" w:line="256" w:lineRule="auto"/>
        <w:tabs>
          <w:tab w:leader="none" w:pos="3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Holders of record of our common stock at the close of business on the Record Date are entitled to receive notice of and to vote their shares at the Annual Meeting. As of the Record Date, we had 122,262,045 shares of voting common stock outstanding. In deciding all matters at the Annual Meeting, each holder of shares of our voting common stock will be entitled to one vote for each share of voting common stock held as of the close of business on the Record Date. We do not have cumulative voting rights for the election of directors.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hanging="354"/>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HOW CAN I VOTE MY SHARES AT THE ANNUAL MEETING?</w:t>
      </w:r>
    </w:p>
    <w:p>
      <w:pPr>
        <w:spacing w:after="0" w:line="181" w:lineRule="exact"/>
        <w:rPr>
          <w:sz w:val="20"/>
          <w:szCs w:val="20"/>
          <w:color w:val="auto"/>
        </w:rPr>
      </w:pPr>
    </w:p>
    <w:p>
      <w:pPr>
        <w:ind w:left="360" w:right="40" w:hanging="354"/>
        <w:spacing w:after="0" w:line="256" w:lineRule="auto"/>
        <w:tabs>
          <w:tab w:leader="none" w:pos="3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Even if you 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112" w:lineRule="exact"/>
        <w:rPr>
          <w:sz w:val="20"/>
          <w:szCs w:val="20"/>
          <w:color w:val="auto"/>
        </w:rPr>
      </w:pPr>
    </w:p>
    <w:p>
      <w:pPr>
        <w:ind w:left="360" w:hanging="354"/>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HOW CAN I VOTE MY SHARES WITHOUT ATTENDING THE ANNUAL MEETING?</w:t>
      </w:r>
    </w:p>
    <w:p>
      <w:pPr>
        <w:spacing w:after="0" w:line="181"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6"/>
          <w:szCs w:val="16"/>
          <w:b w:val="1"/>
          <w:bCs w:val="1"/>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there are three ways to vote without attending the Annual Meeting:</w:t>
      </w:r>
    </w:p>
    <w:p>
      <w:pPr>
        <w:sectPr>
          <w:pgSz w:w="11900" w:h="16838" w:orient="portrait"/>
          <w:cols w:equalWidth="0" w:num="1">
            <w:col w:w="9360"/>
          </w:cols>
          <w:pgMar w:left="1240" w:top="114" w:right="1299" w:bottom="1440" w:gutter="0" w:footer="0" w:header="0"/>
        </w:sect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-95885</wp:posOffset>
            </wp:positionV>
            <wp:extent cx="37719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ind w:left="920" w:right="420"/>
        <w:spacing w:after="0" w:line="244" w:lineRule="auto"/>
        <w:rPr>
          <w:sz w:val="20"/>
          <w:szCs w:val="20"/>
          <w:color w:val="auto"/>
        </w:rPr>
      </w:pPr>
      <w:r>
        <w:rPr>
          <w:rFonts w:ascii="Arial" w:cs="Arial" w:eastAsia="Arial" w:hAnsi="Arial"/>
          <w:sz w:val="14"/>
          <w:szCs w:val="14"/>
          <w:color w:val="auto"/>
        </w:rPr>
        <w:t>You may vote by proxy via the internet by following the instructions provided in the Notice or, if you requested printed copies of the proxy materials by mail, by following the instructions provided in the proxy card.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-95885</wp:posOffset>
            </wp:positionV>
            <wp:extent cx="37719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ind w:right="440"/>
        <w:spacing w:after="0" w:line="244" w:lineRule="auto"/>
        <w:rPr>
          <w:sz w:val="20"/>
          <w:szCs w:val="20"/>
          <w:color w:val="auto"/>
        </w:rPr>
      </w:pPr>
      <w:r>
        <w:rPr>
          <w:rFonts w:ascii="Arial" w:cs="Arial" w:eastAsia="Arial" w:hAnsi="Arial"/>
          <w:sz w:val="14"/>
          <w:szCs w:val="14"/>
          <w:color w:val="auto"/>
        </w:rPr>
        <w:t>You may vote by proxy by telephone by following the instructions provided in the Notice or, if you requested printed copies of the proxy materials by mail, by calling the toll free number found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22860</wp:posOffset>
            </wp:positionV>
            <wp:extent cx="5966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-95885</wp:posOffset>
            </wp:positionV>
            <wp:extent cx="37719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ind w:right="100"/>
        <w:spacing w:after="0" w:line="246" w:lineRule="auto"/>
        <w:rPr>
          <w:sz w:val="20"/>
          <w:szCs w:val="20"/>
          <w:color w:val="auto"/>
        </w:rPr>
      </w:pPr>
      <w:r>
        <w:rPr>
          <w:rFonts w:ascii="Arial" w:cs="Arial" w:eastAsia="Arial" w:hAnsi="Arial"/>
          <w:sz w:val="14"/>
          <w:szCs w:val="14"/>
          <w:color w:val="auto"/>
        </w:rPr>
        <w:t>If you request printed copies of the proxy materials by mail, you will receive a proxy card and you may vote by proxy by filling out the proxy card and returning it in the envelope provided.</w:t>
      </w:r>
    </w:p>
    <w:p>
      <w:pPr>
        <w:spacing w:after="0" w:line="519" w:lineRule="exact"/>
        <w:rPr>
          <w:sz w:val="20"/>
          <w:szCs w:val="20"/>
          <w:color w:val="auto"/>
        </w:rPr>
      </w:pPr>
    </w:p>
    <w:p>
      <w:pPr>
        <w:sectPr>
          <w:pgSz w:w="11900" w:h="16838" w:orient="portrait"/>
          <w:cols w:equalWidth="0" w:num="3">
            <w:col w:w="3300" w:space="720"/>
            <w:col w:w="2440" w:space="720"/>
            <w:col w:w="2180"/>
          </w:cols>
          <w:pgMar w:left="1240" w:top="114" w:right="1299" w:bottom="1440" w:gutter="0" w:footer="0" w:header="0"/>
          <w:type w:val="continuous"/>
        </w:sectPr>
      </w:pPr>
    </w:p>
    <w:p>
      <w:pPr>
        <w:spacing w:after="0" w:line="105"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holding shares through a bank, broker or other nominee, please refer to your</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or other information forwarded by your bank or broker to see which voting options are available to you.</w:t>
      </w:r>
    </w:p>
    <w:p>
      <w:pPr>
        <w:spacing w:after="0" w:line="88" w:lineRule="exact"/>
        <w:rPr>
          <w:sz w:val="20"/>
          <w:szCs w:val="20"/>
          <w:color w:val="auto"/>
        </w:rPr>
      </w:pPr>
    </w:p>
    <w:p>
      <w:pPr>
        <w:ind w:left="360" w:hanging="354"/>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WHAT HAPPENS IF I DO NOT GIVE SPECIFIC VOTING INSTRUCTIONS?</w:t>
      </w:r>
    </w:p>
    <w:p>
      <w:pPr>
        <w:spacing w:after="0" w:line="181" w:lineRule="exact"/>
        <w:rPr>
          <w:sz w:val="20"/>
          <w:szCs w:val="20"/>
          <w:color w:val="auto"/>
        </w:rPr>
      </w:pPr>
    </w:p>
    <w:p>
      <w:pPr>
        <w:ind w:left="360" w:hanging="354"/>
        <w:spacing w:after="0"/>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and you:</w:t>
      </w:r>
    </w:p>
    <w:p>
      <w:pPr>
        <w:spacing w:after="0" w:line="180" w:lineRule="exact"/>
        <w:rPr>
          <w:rFonts w:ascii="Arial" w:cs="Arial" w:eastAsia="Arial" w:hAnsi="Arial"/>
          <w:sz w:val="16"/>
          <w:szCs w:val="16"/>
          <w:b w:val="1"/>
          <w:bCs w:val="1"/>
          <w:color w:val="auto"/>
        </w:rPr>
      </w:pPr>
    </w:p>
    <w:p>
      <w:pPr>
        <w:ind w:left="980" w:right="660" w:hanging="326"/>
        <w:spacing w:after="0" w:line="286"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Indicate when voting via the internet or by telephone that you wish to vote as recommended by our Board of Directors; or</w:t>
      </w:r>
    </w:p>
    <w:p>
      <w:pPr>
        <w:spacing w:after="0" w:line="128" w:lineRule="exact"/>
        <w:rPr>
          <w:rFonts w:ascii="Arial" w:cs="Arial" w:eastAsia="Arial" w:hAnsi="Arial"/>
          <w:sz w:val="16"/>
          <w:szCs w:val="16"/>
          <w:color w:val="auto"/>
        </w:rPr>
      </w:pPr>
    </w:p>
    <w:p>
      <w:pPr>
        <w:ind w:left="980" w:right="40" w:hanging="326"/>
        <w:spacing w:after="0" w:line="259"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Sign and return a proxy card without giving specific voting instructions, then the persons named as proxy holders will vote your shares in the manner recommended by our Board of Directors on all matters presented in this proxy statement and as the proxy holders may determine in their discretion with respect to any other matters properly presented for a vote at the Annual Meeting.</w:t>
      </w:r>
    </w:p>
    <w:p>
      <w:pPr>
        <w:spacing w:after="0" w:line="124" w:lineRule="exact"/>
        <w:rPr>
          <w:sz w:val="20"/>
          <w:szCs w:val="20"/>
          <w:color w:val="auto"/>
        </w:rPr>
      </w:pPr>
    </w:p>
    <w:p>
      <w:pPr>
        <w:ind w:left="360" w:right="80"/>
        <w:spacing w:after="0" w:line="253"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of shares held in street name and do not provide the organization that holds</w:t>
      </w:r>
      <w:r>
        <w:rPr>
          <w:rFonts w:ascii="Arial" w:cs="Arial" w:eastAsia="Arial" w:hAnsi="Arial"/>
          <w:sz w:val="16"/>
          <w:szCs w:val="16"/>
          <w:i w:val="1"/>
          <w:iCs w:val="1"/>
          <w:color w:val="auto"/>
        </w:rPr>
        <w:t xml:space="preserve"> </w:t>
      </w:r>
      <w:r>
        <w:rPr>
          <w:rFonts w:ascii="Arial" w:cs="Arial" w:eastAsia="Arial" w:hAnsi="Arial"/>
          <w:sz w:val="16"/>
          <w:szCs w:val="16"/>
          <w:color w:val="auto"/>
        </w:rPr>
        <w:t>your shares with specific voting instructions then, under applicable rules, the organization that holds your shares may generally vote on “routine” matters but cannot vote on “non-routine” matters. However, several large brokers have recently eliminated the practice of discretionary voting of uninstructed shares, including on matters generally identified as “routine”.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Flywire Corporation      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hanging="354"/>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WHAT PROPOSALS WILL BE VOTED ON AT THE ANNUAL MEETING?</w:t>
      </w:r>
    </w:p>
    <w:p>
      <w:pPr>
        <w:spacing w:after="0" w:line="181" w:lineRule="exact"/>
        <w:rPr>
          <w:sz w:val="20"/>
          <w:szCs w:val="20"/>
          <w:color w:val="auto"/>
        </w:rPr>
      </w:pPr>
    </w:p>
    <w:p>
      <w:pPr>
        <w:ind w:left="360" w:right="360" w:hanging="354"/>
        <w:spacing w:after="0" w:line="266" w:lineRule="auto"/>
        <w:tabs>
          <w:tab w:leader="none" w:pos="36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following chart sets forth the proposals scheduled for a vote at the Annual Meeting, our Board of Directors’ recommendation with respect to such proposals, the vote required for such proposals to be approved and whether broker discretionary voting is allowed on such proposal.</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620" w:type="dxa"/>
            <w:vAlign w:val="bottom"/>
            <w:vMerge w:val="restart"/>
          </w:tcPr>
          <w:p>
            <w:pPr>
              <w:spacing w:after="0"/>
              <w:rPr>
                <w:sz w:val="20"/>
                <w:szCs w:val="20"/>
                <w:color w:val="auto"/>
              </w:rPr>
            </w:pPr>
            <w:r>
              <w:rPr>
                <w:rFonts w:ascii="Arial" w:cs="Arial" w:eastAsia="Arial" w:hAnsi="Arial"/>
                <w:sz w:val="13"/>
                <w:szCs w:val="13"/>
                <w:b w:val="1"/>
                <w:bCs w:val="1"/>
                <w:color w:val="auto"/>
              </w:rPr>
              <w:t>PROPOSAL</w:t>
            </w:r>
          </w:p>
        </w:tc>
        <w:tc>
          <w:tcPr>
            <w:tcW w:w="4520" w:type="dxa"/>
            <w:vAlign w:val="bottom"/>
          </w:tcPr>
          <w:p>
            <w:pPr>
              <w:ind w:left="2280"/>
              <w:spacing w:after="0"/>
              <w:rPr>
                <w:sz w:val="20"/>
                <w:szCs w:val="20"/>
                <w:color w:val="auto"/>
              </w:rPr>
            </w:pPr>
            <w:r>
              <w:rPr>
                <w:rFonts w:ascii="Arial" w:cs="Arial" w:eastAsia="Arial" w:hAnsi="Arial"/>
                <w:sz w:val="13"/>
                <w:szCs w:val="13"/>
                <w:b w:val="1"/>
                <w:bCs w:val="1"/>
                <w:color w:val="auto"/>
              </w:rPr>
              <w:t>BOARD</w:t>
            </w:r>
          </w:p>
        </w:tc>
        <w:tc>
          <w:tcPr>
            <w:tcW w:w="172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BROKER DISCRETIONARY</w:t>
            </w:r>
          </w:p>
        </w:tc>
        <w:tc>
          <w:tcPr>
            <w:tcW w:w="0" w:type="dxa"/>
            <w:vAlign w:val="bottom"/>
          </w:tcPr>
          <w:p>
            <w:pPr>
              <w:spacing w:after="0"/>
              <w:rPr>
                <w:sz w:val="1"/>
                <w:szCs w:val="1"/>
                <w:color w:val="auto"/>
              </w:rPr>
            </w:pPr>
          </w:p>
        </w:tc>
      </w:tr>
      <w:tr>
        <w:trPr>
          <w:trHeight w:val="172"/>
        </w:trPr>
        <w:tc>
          <w:tcPr>
            <w:tcW w:w="2620" w:type="dxa"/>
            <w:vAlign w:val="bottom"/>
            <w:vMerge w:val="continue"/>
          </w:tcPr>
          <w:p>
            <w:pPr>
              <w:spacing w:after="0"/>
              <w:rPr>
                <w:sz w:val="14"/>
                <w:szCs w:val="14"/>
                <w:color w:val="auto"/>
              </w:rPr>
            </w:pPr>
          </w:p>
        </w:tc>
        <w:tc>
          <w:tcPr>
            <w:tcW w:w="4520" w:type="dxa"/>
            <w:vAlign w:val="bottom"/>
          </w:tcPr>
          <w:p>
            <w:pPr>
              <w:ind w:left="1920"/>
              <w:spacing w:after="0"/>
              <w:rPr>
                <w:sz w:val="20"/>
                <w:szCs w:val="20"/>
                <w:color w:val="auto"/>
              </w:rPr>
            </w:pPr>
            <w:r>
              <w:rPr>
                <w:rFonts w:ascii="Arial" w:cs="Arial" w:eastAsia="Arial" w:hAnsi="Arial"/>
                <w:sz w:val="13"/>
                <w:szCs w:val="13"/>
                <w:b w:val="1"/>
                <w:bCs w:val="1"/>
                <w:color w:val="auto"/>
              </w:rPr>
              <w:t>RECOMMENDATION   VOTE REQUIRED</w:t>
            </w:r>
          </w:p>
        </w:tc>
        <w:tc>
          <w:tcPr>
            <w:tcW w:w="1720" w:type="dxa"/>
            <w:vAlign w:val="bottom"/>
          </w:tcPr>
          <w:p>
            <w:pPr>
              <w:jc w:val="center"/>
              <w:ind w:left="77"/>
              <w:spacing w:after="0"/>
              <w:rPr>
                <w:sz w:val="20"/>
                <w:szCs w:val="20"/>
                <w:color w:val="auto"/>
              </w:rPr>
            </w:pPr>
            <w:r>
              <w:rPr>
                <w:rFonts w:ascii="Arial" w:cs="Arial" w:eastAsia="Arial" w:hAnsi="Arial"/>
                <w:sz w:val="13"/>
                <w:szCs w:val="13"/>
                <w:b w:val="1"/>
                <w:bCs w:val="1"/>
                <w:color w:val="auto"/>
                <w:w w:val="95"/>
              </w:rPr>
              <w:t>VOTING ALLOWED</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9380"/>
          </w:cols>
          <w:pgMar w:left="1240" w:top="114" w:right="1279" w:bottom="1440" w:gutter="0" w:footer="0" w:header="0"/>
        </w:sectPr>
      </w:pPr>
    </w:p>
    <w:p>
      <w:pPr>
        <w:ind w:left="920" w:hanging="464"/>
        <w:spacing w:after="0" w:line="183" w:lineRule="auto"/>
        <w:tabs>
          <w:tab w:leader="none" w:pos="920" w:val="left"/>
        </w:tabs>
        <w:numPr>
          <w:ilvl w:val="0"/>
          <w:numId w:val="32"/>
        </w:numPr>
        <w:rPr>
          <w:rFonts w:ascii="Arial" w:cs="Arial" w:eastAsia="Arial" w:hAnsi="Arial"/>
          <w:sz w:val="32"/>
          <w:szCs w:val="32"/>
          <w:b w:val="1"/>
          <w:bCs w:val="1"/>
          <w:color w:val="007FC4"/>
          <w:vertAlign w:val="subscript"/>
        </w:rPr>
      </w:pPr>
      <w:r>
        <w:rPr>
          <w:rFonts w:ascii="Arial" w:cs="Arial" w:eastAsia="Arial" w:hAnsi="Arial"/>
          <w:sz w:val="14"/>
          <w:szCs w:val="14"/>
          <w:color w:val="auto"/>
        </w:rPr>
        <w:t>Elect two directors to serve as Class III directors until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596646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420370"/>
                    </a:xfrm>
                    <a:prstGeom prst="rect">
                      <a:avLst/>
                    </a:prstGeom>
                    <a:noFill/>
                  </pic:spPr>
                </pic:pic>
              </a:graphicData>
            </a:graphic>
          </wp:anchor>
        </w:drawing>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Ratify the appointment of PricewaterhouseCoopers</w:t>
      </w:r>
    </w:p>
    <w:p>
      <w:pPr>
        <w:spacing w:after="0" w:line="21" w:lineRule="exact"/>
        <w:rPr>
          <w:sz w:val="20"/>
          <w:szCs w:val="20"/>
          <w:color w:val="auto"/>
        </w:rPr>
      </w:pPr>
    </w:p>
    <w:p>
      <w:pPr>
        <w:ind w:left="920" w:right="20" w:hanging="464"/>
        <w:spacing w:after="0" w:line="214" w:lineRule="auto"/>
        <w:tabs>
          <w:tab w:leader="none" w:pos="920" w:val="left"/>
        </w:tabs>
        <w:numPr>
          <w:ilvl w:val="0"/>
          <w:numId w:val="33"/>
        </w:numPr>
        <w:rPr>
          <w:rFonts w:ascii="Arial" w:cs="Arial" w:eastAsia="Arial" w:hAnsi="Arial"/>
          <w:sz w:val="42"/>
          <w:szCs w:val="42"/>
          <w:b w:val="1"/>
          <w:bCs w:val="1"/>
          <w:color w:val="007FC4"/>
          <w:vertAlign w:val="subscript"/>
        </w:rPr>
      </w:pPr>
      <w:r>
        <w:rPr>
          <w:rFonts w:ascii="Arial" w:cs="Arial" w:eastAsia="Arial" w:hAnsi="Arial"/>
          <w:sz w:val="14"/>
          <w:szCs w:val="14"/>
          <w:color w:val="auto"/>
        </w:rPr>
        <w:t>LLP as Flywire Corporation’s independent registered public accounting firm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966460"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514350"/>
                    </a:xfrm>
                    <a:prstGeom prst="rect">
                      <a:avLst/>
                    </a:prstGeom>
                    <a:noFill/>
                  </pic:spPr>
                </pic:pic>
              </a:graphicData>
            </a:graphic>
          </wp:anchor>
        </w:drawing>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Approve, on a non-binding, advisory basis, the</w:t>
      </w:r>
    </w:p>
    <w:p>
      <w:pPr>
        <w:spacing w:after="0" w:line="77" w:lineRule="exact"/>
        <w:rPr>
          <w:sz w:val="20"/>
          <w:szCs w:val="20"/>
          <w:color w:val="auto"/>
        </w:rPr>
      </w:pPr>
    </w:p>
    <w:p>
      <w:pPr>
        <w:ind w:left="920" w:right="500" w:hanging="464"/>
        <w:spacing w:after="0" w:line="183" w:lineRule="auto"/>
        <w:tabs>
          <w:tab w:leader="none" w:pos="920" w:val="left"/>
        </w:tabs>
        <w:numPr>
          <w:ilvl w:val="0"/>
          <w:numId w:val="34"/>
        </w:numPr>
        <w:rPr>
          <w:rFonts w:ascii="Arial" w:cs="Arial" w:eastAsia="Arial" w:hAnsi="Arial"/>
          <w:sz w:val="30"/>
          <w:szCs w:val="30"/>
          <w:b w:val="1"/>
          <w:bCs w:val="1"/>
          <w:color w:val="007FC4"/>
        </w:rPr>
      </w:pPr>
      <w:r>
        <w:rPr>
          <w:rFonts w:ascii="Arial" w:cs="Arial" w:eastAsia="Arial" w:hAnsi="Arial"/>
          <w:sz w:val="16"/>
          <w:szCs w:val="16"/>
          <w:color w:val="auto"/>
        </w:rPr>
        <w:t>compensation of Flywire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5966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6"/>
                <w:szCs w:val="16"/>
                <w:color w:val="auto"/>
              </w:rPr>
              <w:t>FOR</w:t>
            </w:r>
          </w:p>
        </w:tc>
        <w:tc>
          <w:tcPr>
            <w:tcW w:w="1820" w:type="dxa"/>
            <w:vAlign w:val="bottom"/>
          </w:tcPr>
          <w:p>
            <w:pPr>
              <w:jc w:val="center"/>
              <w:ind w:right="79"/>
              <w:spacing w:after="0"/>
              <w:rPr>
                <w:sz w:val="20"/>
                <w:szCs w:val="20"/>
                <w:color w:val="auto"/>
              </w:rPr>
            </w:pPr>
            <w:r>
              <w:rPr>
                <w:rFonts w:ascii="Arial" w:cs="Arial" w:eastAsia="Arial" w:hAnsi="Arial"/>
                <w:sz w:val="16"/>
                <w:szCs w:val="16"/>
                <w:color w:val="auto"/>
              </w:rPr>
              <w:t>Plurality</w:t>
            </w:r>
          </w:p>
        </w:tc>
        <w:tc>
          <w:tcPr>
            <w:tcW w:w="720" w:type="dxa"/>
            <w:vAlign w:val="bottom"/>
          </w:tcPr>
          <w:p>
            <w:pPr>
              <w:ind w:left="480"/>
              <w:spacing w:after="0"/>
              <w:rPr>
                <w:sz w:val="20"/>
                <w:szCs w:val="20"/>
                <w:color w:val="auto"/>
              </w:rPr>
            </w:pPr>
            <w:r>
              <w:rPr>
                <w:rFonts w:ascii="Arial" w:cs="Arial" w:eastAsia="Arial" w:hAnsi="Arial"/>
                <w:sz w:val="16"/>
                <w:szCs w:val="16"/>
                <w:color w:val="auto"/>
              </w:rPr>
              <w:t>No</w:t>
            </w:r>
          </w:p>
        </w:tc>
      </w:tr>
      <w:tr>
        <w:trPr>
          <w:trHeight w:val="891"/>
        </w:trPr>
        <w:tc>
          <w:tcPr>
            <w:tcW w:w="680" w:type="dxa"/>
            <w:vAlign w:val="bottom"/>
          </w:tcPr>
          <w:p>
            <w:pPr>
              <w:spacing w:after="0"/>
              <w:rPr>
                <w:sz w:val="20"/>
                <w:szCs w:val="20"/>
                <w:color w:val="auto"/>
              </w:rPr>
            </w:pPr>
            <w:r>
              <w:rPr>
                <w:rFonts w:ascii="Arial" w:cs="Arial" w:eastAsia="Arial" w:hAnsi="Arial"/>
                <w:sz w:val="16"/>
                <w:szCs w:val="16"/>
                <w:color w:val="auto"/>
              </w:rPr>
              <w:t>FOR</w:t>
            </w:r>
          </w:p>
        </w:tc>
        <w:tc>
          <w:tcPr>
            <w:tcW w:w="1820" w:type="dxa"/>
            <w:vAlign w:val="bottom"/>
          </w:tcPr>
          <w:p>
            <w:pPr>
              <w:jc w:val="center"/>
              <w:ind w:right="59"/>
              <w:spacing w:after="0"/>
              <w:rPr>
                <w:sz w:val="20"/>
                <w:szCs w:val="20"/>
                <w:color w:val="auto"/>
              </w:rPr>
            </w:pPr>
            <w:r>
              <w:rPr>
                <w:rFonts w:ascii="Arial" w:cs="Arial" w:eastAsia="Arial" w:hAnsi="Arial"/>
                <w:sz w:val="16"/>
                <w:szCs w:val="16"/>
                <w:color w:val="auto"/>
              </w:rPr>
              <w:t>Majority Voted</w:t>
            </w:r>
          </w:p>
        </w:tc>
        <w:tc>
          <w:tcPr>
            <w:tcW w:w="720" w:type="dxa"/>
            <w:vAlign w:val="bottom"/>
          </w:tcPr>
          <w:p>
            <w:pPr>
              <w:ind w:left="460"/>
              <w:spacing w:after="0"/>
              <w:rPr>
                <w:sz w:val="20"/>
                <w:szCs w:val="20"/>
                <w:color w:val="auto"/>
              </w:rPr>
            </w:pPr>
            <w:r>
              <w:rPr>
                <w:rFonts w:ascii="Arial" w:cs="Arial" w:eastAsia="Arial" w:hAnsi="Arial"/>
                <w:sz w:val="16"/>
                <w:szCs w:val="16"/>
                <w:color w:val="auto"/>
                <w:w w:val="86"/>
              </w:rPr>
              <w:t>Yes</w:t>
            </w:r>
          </w:p>
        </w:tc>
      </w:tr>
      <w:tr>
        <w:trPr>
          <w:trHeight w:val="986"/>
        </w:trPr>
        <w:tc>
          <w:tcPr>
            <w:tcW w:w="680" w:type="dxa"/>
            <w:vAlign w:val="bottom"/>
          </w:tcPr>
          <w:p>
            <w:pPr>
              <w:spacing w:after="0"/>
              <w:rPr>
                <w:sz w:val="20"/>
                <w:szCs w:val="20"/>
                <w:color w:val="auto"/>
              </w:rPr>
            </w:pPr>
            <w:r>
              <w:rPr>
                <w:rFonts w:ascii="Arial" w:cs="Arial" w:eastAsia="Arial" w:hAnsi="Arial"/>
                <w:sz w:val="16"/>
                <w:szCs w:val="16"/>
                <w:color w:val="auto"/>
              </w:rPr>
              <w:t>FOR</w:t>
            </w:r>
          </w:p>
        </w:tc>
        <w:tc>
          <w:tcPr>
            <w:tcW w:w="1820" w:type="dxa"/>
            <w:vAlign w:val="bottom"/>
          </w:tcPr>
          <w:p>
            <w:pPr>
              <w:jc w:val="center"/>
              <w:ind w:right="59"/>
              <w:spacing w:after="0"/>
              <w:rPr>
                <w:sz w:val="20"/>
                <w:szCs w:val="20"/>
                <w:color w:val="auto"/>
              </w:rPr>
            </w:pPr>
            <w:r>
              <w:rPr>
                <w:rFonts w:ascii="Arial" w:cs="Arial" w:eastAsia="Arial" w:hAnsi="Arial"/>
                <w:sz w:val="16"/>
                <w:szCs w:val="16"/>
                <w:color w:val="auto"/>
              </w:rPr>
              <w:t>Majority Voted</w:t>
            </w:r>
          </w:p>
        </w:tc>
        <w:tc>
          <w:tcPr>
            <w:tcW w:w="720" w:type="dxa"/>
            <w:vAlign w:val="bottom"/>
          </w:tcPr>
          <w:p>
            <w:pPr>
              <w:ind w:left="480"/>
              <w:spacing w:after="0"/>
              <w:rPr>
                <w:sz w:val="20"/>
                <w:szCs w:val="20"/>
                <w:color w:val="auto"/>
              </w:rPr>
            </w:pPr>
            <w:r>
              <w:rPr>
                <w:rFonts w:ascii="Arial" w:cs="Arial" w:eastAsia="Arial" w:hAnsi="Arial"/>
                <w:sz w:val="16"/>
                <w:szCs w:val="16"/>
                <w:color w:val="auto"/>
              </w:rPr>
              <w:t>No</w:t>
            </w:r>
          </w:p>
        </w:tc>
      </w:tr>
    </w:tbl>
    <w:p>
      <w:pPr>
        <w:spacing w:after="0" w:line="388" w:lineRule="exact"/>
        <w:rPr>
          <w:sz w:val="20"/>
          <w:szCs w:val="20"/>
          <w:color w:val="auto"/>
        </w:rPr>
      </w:pPr>
    </w:p>
    <w:p>
      <w:pPr>
        <w:sectPr>
          <w:pgSz w:w="11900" w:h="16838" w:orient="portrait"/>
          <w:cols w:equalWidth="0" w:num="2">
            <w:col w:w="4720" w:space="600"/>
            <w:col w:w="4060"/>
          </w:cols>
          <w:pgMar w:left="1240" w:top="114" w:right="1279" w:bottom="1440" w:gutter="0" w:footer="0" w:header="0"/>
          <w:type w:val="continuous"/>
        </w:sectPr>
      </w:pPr>
    </w:p>
    <w:p>
      <w:pPr>
        <w:spacing w:after="0" w:line="141" w:lineRule="exact"/>
        <w:rPr>
          <w:sz w:val="20"/>
          <w:szCs w:val="20"/>
          <w:color w:val="auto"/>
        </w:rPr>
      </w:pPr>
    </w:p>
    <w:p>
      <w:pPr>
        <w:ind w:left="360" w:right="100"/>
        <w:spacing w:after="0" w:line="258" w:lineRule="auto"/>
        <w:rPr>
          <w:sz w:val="20"/>
          <w:szCs w:val="20"/>
          <w:color w:val="auto"/>
        </w:rPr>
      </w:pPr>
      <w:r>
        <w:rPr>
          <w:rFonts w:ascii="Arial" w:cs="Arial" w:eastAsia="Arial" w:hAnsi="Arial"/>
          <w:sz w:val="16"/>
          <w:szCs w:val="16"/>
          <w:i w:val="1"/>
          <w:iCs w:val="1"/>
          <w:color w:val="auto"/>
        </w:rPr>
        <w:t>Plurality—Directors will be elected by a plurality of the votes cast at the meeting. Consequently, the director nominees receiving the most votes of the holders of our common stock will be elected as directors. Only votes cast FOR a nominee will be counted. A properly executed proxy marked “WITHHOLD” and “broker non-votes” with respect to the election of one or more directors will not be voted with respect to the director or directors indicated.</w:t>
      </w:r>
    </w:p>
    <w:p>
      <w:pPr>
        <w:spacing w:after="0" w:line="127" w:lineRule="exact"/>
        <w:rPr>
          <w:sz w:val="20"/>
          <w:szCs w:val="20"/>
          <w:color w:val="auto"/>
        </w:rPr>
      </w:pPr>
    </w:p>
    <w:p>
      <w:pPr>
        <w:ind w:left="360" w:right="260"/>
        <w:spacing w:after="0" w:line="258" w:lineRule="auto"/>
        <w:rPr>
          <w:sz w:val="20"/>
          <w:szCs w:val="20"/>
          <w:color w:val="auto"/>
        </w:rPr>
      </w:pPr>
      <w:r>
        <w:rPr>
          <w:rFonts w:ascii="Arial" w:cs="Arial" w:eastAsia="Arial" w:hAnsi="Arial"/>
          <w:sz w:val="16"/>
          <w:szCs w:val="16"/>
          <w:i w:val="1"/>
          <w:iCs w:val="1"/>
          <w:color w:val="auto"/>
        </w:rPr>
        <w:t>Majority Voted—The proposal will be approved by the affirmative vote of the holders of a majority of the shares of common stock that are present in person or represented by proxy at the meeting and are voted FOR or AGAINST the matter. Abstentions and broker non-votes will not be counted as votes cast either FOR or AGAINST this proposal and will have no effect on the outcome of the proposal.</w:t>
      </w:r>
    </w:p>
    <w:p>
      <w:pPr>
        <w:spacing w:after="0" w:line="127" w:lineRule="exact"/>
        <w:rPr>
          <w:sz w:val="20"/>
          <w:szCs w:val="20"/>
          <w:color w:val="auto"/>
        </w:rPr>
      </w:pPr>
    </w:p>
    <w:p>
      <w:pPr>
        <w:ind w:left="360" w:right="160"/>
        <w:spacing w:after="0" w:line="283" w:lineRule="auto"/>
        <w:rPr>
          <w:sz w:val="20"/>
          <w:szCs w:val="20"/>
          <w:color w:val="auto"/>
        </w:rPr>
      </w:pPr>
      <w:r>
        <w:rPr>
          <w:rFonts w:ascii="Arial" w:cs="Arial" w:eastAsia="Arial" w:hAnsi="Arial"/>
          <w:sz w:val="16"/>
          <w:szCs w:val="16"/>
          <w:i w:val="1"/>
          <w:iCs w:val="1"/>
          <w:color w:val="auto"/>
        </w:rPr>
        <w:t>Broker Discretionary Voting—occurs when a broker does not receive voting instructions from the beneficial owner and votes those shares in its discretion on any proposal on which it is permitted to vote.</w:t>
      </w:r>
    </w:p>
    <w:p>
      <w:pPr>
        <w:spacing w:after="0" w:line="104" w:lineRule="exact"/>
        <w:rPr>
          <w:sz w:val="20"/>
          <w:szCs w:val="20"/>
          <w:color w:val="auto"/>
        </w:rPr>
      </w:pPr>
    </w:p>
    <w:p>
      <w:pPr>
        <w:jc w:val="both"/>
        <w:ind w:left="360" w:right="480"/>
        <w:spacing w:after="0" w:line="266" w:lineRule="auto"/>
        <w:rPr>
          <w:sz w:val="20"/>
          <w:szCs w:val="20"/>
          <w:color w:val="auto"/>
        </w:rPr>
      </w:pPr>
      <w:r>
        <w:rPr>
          <w:rFonts w:ascii="Arial" w:cs="Arial" w:eastAsia="Arial" w:hAnsi="Arial"/>
          <w:sz w:val="16"/>
          <w:szCs w:val="16"/>
          <w:color w:val="auto"/>
        </w:rPr>
        <w:t>Even though your votes on Proposal 3 are advisory and therefore will not be binding on us, our Board of Directors or its People &amp; Compensation Committee will review the voting results and take them into consideration when making future decisions regarding executive compensation of our named executive officers.</w:t>
      </w:r>
    </w:p>
    <w:p>
      <w:pPr>
        <w:spacing w:after="0" w:line="104" w:lineRule="exact"/>
        <w:rPr>
          <w:sz w:val="20"/>
          <w:szCs w:val="20"/>
          <w:color w:val="auto"/>
        </w:rPr>
      </w:pPr>
    </w:p>
    <w:p>
      <w:pPr>
        <w:ind w:left="360" w:hanging="354"/>
        <w:spacing w:after="0"/>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WHAT HAPPENS IF ADDITIONAL MATTERS ARE PRESENTED AT THE ANNUAL MEETING?</w:t>
      </w:r>
    </w:p>
    <w:p>
      <w:pPr>
        <w:spacing w:after="0" w:line="181" w:lineRule="exact"/>
        <w:rPr>
          <w:sz w:val="20"/>
          <w:szCs w:val="20"/>
          <w:color w:val="auto"/>
        </w:rPr>
      </w:pPr>
    </w:p>
    <w:p>
      <w:pPr>
        <w:ind w:left="360" w:right="60" w:hanging="354"/>
        <w:spacing w:after="0" w:line="256" w:lineRule="auto"/>
        <w:tabs>
          <w:tab w:leader="none" w:pos="3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12" w:lineRule="exact"/>
        <w:rPr>
          <w:sz w:val="20"/>
          <w:szCs w:val="20"/>
          <w:color w:val="auto"/>
        </w:rPr>
      </w:pPr>
    </w:p>
    <w:p>
      <w:pPr>
        <w:ind w:left="360" w:hanging="354"/>
        <w:spacing w:after="0"/>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CAN I CHANGE OR REVOKE MY VOTE?</w:t>
      </w:r>
    </w:p>
    <w:p>
      <w:pPr>
        <w:spacing w:after="0" w:line="181" w:lineRule="exact"/>
        <w:rPr>
          <w:sz w:val="20"/>
          <w:szCs w:val="20"/>
          <w:color w:val="auto"/>
        </w:rPr>
      </w:pPr>
    </w:p>
    <w:p>
      <w:pPr>
        <w:ind w:left="360" w:right="280" w:hanging="354"/>
        <w:spacing w:after="0" w:line="286" w:lineRule="auto"/>
        <w:tabs>
          <w:tab w:leader="none" w:pos="36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Subject to any rules your broker, trustee or nominee may have, you may change your proxy instructions at any time before your proxy is voted at the Annual Meeting.</w:t>
      </w:r>
    </w:p>
    <w:p>
      <w:pPr>
        <w:spacing w:after="0" w:line="101" w:lineRule="exact"/>
        <w:rPr>
          <w:rFonts w:ascii="Arial" w:cs="Arial" w:eastAsia="Arial" w:hAnsi="Arial"/>
          <w:sz w:val="16"/>
          <w:szCs w:val="16"/>
          <w:b w:val="1"/>
          <w:bCs w:val="1"/>
          <w:color w:val="auto"/>
        </w:rPr>
      </w:pPr>
    </w:p>
    <w:p>
      <w:pPr>
        <w:ind w:left="36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via the internet or by telephone may also change his or her vote by later making a timely and valid internet or telephone vote.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Flywire Corporation      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100"/>
        <w:spacing w:after="0" w:line="259" w:lineRule="auto"/>
        <w:rPr>
          <w:sz w:val="20"/>
          <w:szCs w:val="20"/>
          <w:color w:val="auto"/>
        </w:rPr>
      </w:pPr>
      <w:r>
        <w:rPr>
          <w:rFonts w:ascii="Arial" w:cs="Arial" w:eastAsia="Arial" w:hAnsi="Arial"/>
          <w:sz w:val="16"/>
          <w:szCs w:val="16"/>
          <w:color w:val="auto"/>
        </w:rPr>
        <w:t>If you are a beneficial owner of shares held in street name, you may change your vote (1) by submitting new voting instructions to your broker, trustee or other nominee or (2) if you have obtained a legal proxy from the broker, trustee or other nominee that holds your shares giving you the right to vote the shares, by attending the Annual Meeting and voting in person (although attendance at the Annual Meeting will not, by itself, revoke a proxy).</w:t>
      </w:r>
    </w:p>
    <w:p>
      <w:pPr>
        <w:spacing w:after="0" w:line="124" w:lineRule="exact"/>
        <w:rPr>
          <w:sz w:val="20"/>
          <w:szCs w:val="20"/>
          <w:color w:val="auto"/>
        </w:rPr>
      </w:pPr>
    </w:p>
    <w:p>
      <w:pPr>
        <w:ind w:left="360" w:right="140"/>
        <w:spacing w:after="0" w:line="259" w:lineRule="auto"/>
        <w:rPr>
          <w:sz w:val="20"/>
          <w:szCs w:val="20"/>
          <w:color w:val="auto"/>
        </w:rPr>
      </w:pPr>
      <w:r>
        <w:rPr>
          <w:rFonts w:ascii="Arial" w:cs="Arial" w:eastAsia="Arial" w:hAnsi="Arial"/>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(see below for address), Attention: Corporate Secretary.</w:t>
      </w:r>
    </w:p>
    <w:p>
      <w:pPr>
        <w:spacing w:after="0" w:line="97"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WHO WILL BEAR THE COST OF SOLICITING VOTES FOR THE ANNUAL MEETING?</w:t>
      </w:r>
    </w:p>
    <w:p>
      <w:pPr>
        <w:spacing w:after="0" w:line="194" w:lineRule="exact"/>
        <w:rPr>
          <w:sz w:val="20"/>
          <w:szCs w:val="20"/>
          <w:color w:val="auto"/>
        </w:rPr>
      </w:pPr>
    </w:p>
    <w:p>
      <w:pPr>
        <w:ind w:left="360" w:hanging="354"/>
        <w:spacing w:after="0" w:line="251" w:lineRule="auto"/>
        <w:tabs>
          <w:tab w:leader="none" w:pos="36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04" w:lineRule="exact"/>
        <w:rPr>
          <w:sz w:val="20"/>
          <w:szCs w:val="20"/>
          <w:color w:val="auto"/>
        </w:rPr>
      </w:pPr>
    </w:p>
    <w:p>
      <w:pPr>
        <w:ind w:left="360" w:hanging="354"/>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IS MY VOTE CONFIDENTIAL?</w:t>
      </w:r>
    </w:p>
    <w:p>
      <w:pPr>
        <w:spacing w:after="0" w:line="194" w:lineRule="exact"/>
        <w:rPr>
          <w:sz w:val="20"/>
          <w:szCs w:val="20"/>
          <w:color w:val="auto"/>
        </w:rPr>
      </w:pPr>
    </w:p>
    <w:p>
      <w:pPr>
        <w:ind w:left="360" w:hanging="354"/>
        <w:spacing w:after="0" w:line="259" w:lineRule="auto"/>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Flywire or to third parties, except as necessary to meet applicable legal requirements, to allow for the tabulation of votes and certification of the vote, or to facilitate a successful proxy solicitation.</w:t>
      </w:r>
    </w:p>
    <w:p>
      <w:pPr>
        <w:spacing w:after="0" w:line="97" w:lineRule="exact"/>
        <w:rPr>
          <w:sz w:val="20"/>
          <w:szCs w:val="20"/>
          <w:color w:val="auto"/>
        </w:rPr>
      </w:pPr>
    </w:p>
    <w:p>
      <w:pPr>
        <w:ind w:left="360" w:hanging="35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WHERE CAN I FIND THE VOTING RESULTS OF THE ANNUAL MEETING?</w:t>
      </w:r>
    </w:p>
    <w:p>
      <w:pPr>
        <w:spacing w:after="0" w:line="194" w:lineRule="exact"/>
        <w:rPr>
          <w:sz w:val="20"/>
          <w:szCs w:val="20"/>
          <w:color w:val="auto"/>
        </w:rPr>
      </w:pPr>
    </w:p>
    <w:p>
      <w:pPr>
        <w:ind w:left="360" w:right="340" w:hanging="354"/>
        <w:spacing w:after="0" w:line="286" w:lineRule="auto"/>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We intend to announce preliminary voting results at the Annual Meeting and will publish final results in a current report on Form 8-K within four business days after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STOCKHOLDER PROPOSALS AND DIRECTOR NOMINATIONS</w:t>
      </w:r>
    </w:p>
    <w:p>
      <w:pPr>
        <w:spacing w:after="0" w:line="167" w:lineRule="exact"/>
        <w:rPr>
          <w:sz w:val="20"/>
          <w:szCs w:val="20"/>
          <w:color w:val="auto"/>
        </w:rPr>
      </w:pPr>
    </w:p>
    <w:p>
      <w:pPr>
        <w:ind w:left="360" w:right="380" w:hanging="354"/>
        <w:spacing w:after="0" w:line="286" w:lineRule="auto"/>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WHAT IS THE DEADLINE TO PROPOSE ACTIONS FOR CONSIDERATION AT NEXT YEAR’S ANNUAL MEETING OF STOCKHOLDERS OR TO NOMINATE INDIVIDUALS TO SERVE AS DIRECTORS?</w:t>
      </w:r>
    </w:p>
    <w:p>
      <w:pPr>
        <w:spacing w:after="0" w:line="129" w:lineRule="exact"/>
        <w:rPr>
          <w:sz w:val="20"/>
          <w:szCs w:val="20"/>
          <w:color w:val="auto"/>
        </w:rPr>
      </w:pPr>
    </w:p>
    <w:p>
      <w:pPr>
        <w:ind w:left="360" w:hanging="354"/>
        <w:spacing w:after="0"/>
        <w:tabs>
          <w:tab w:leader="none" w:pos="36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You may submit proposals, including director nominations, for consideration at future stockholder meetings.</w:t>
      </w:r>
    </w:p>
    <w:p>
      <w:pPr>
        <w:spacing w:after="0" w:line="167" w:lineRule="exact"/>
        <w:rPr>
          <w:rFonts w:ascii="Arial" w:cs="Arial" w:eastAsia="Arial" w:hAnsi="Arial"/>
          <w:sz w:val="16"/>
          <w:szCs w:val="16"/>
          <w:b w:val="1"/>
          <w:bCs w:val="1"/>
          <w:color w:val="auto"/>
        </w:rPr>
      </w:pPr>
    </w:p>
    <w:p>
      <w:pPr>
        <w:ind w:left="360"/>
        <w:spacing w:after="0" w:line="254" w:lineRule="auto"/>
        <w:rPr>
          <w:rFonts w:ascii="Arial" w:cs="Arial" w:eastAsia="Arial" w:hAnsi="Arial"/>
          <w:sz w:val="16"/>
          <w:szCs w:val="16"/>
          <w:b w:val="1"/>
          <w:bCs w:val="1"/>
          <w:color w:val="auto"/>
        </w:rPr>
      </w:pPr>
      <w:r>
        <w:rPr>
          <w:rFonts w:ascii="Arial" w:cs="Arial" w:eastAsia="Arial" w:hAnsi="Arial"/>
          <w:sz w:val="16"/>
          <w:szCs w:val="16"/>
          <w:i w:val="1"/>
          <w:iCs w:val="1"/>
          <w:color w:val="auto"/>
        </w:rPr>
        <w:t>Requirements for stockholder proposals to be considered for inclusion in our proxy materials</w:t>
      </w:r>
      <w:r>
        <w:rPr>
          <w:rFonts w:ascii="Arial" w:cs="Arial" w:eastAsia="Arial" w:hAnsi="Arial"/>
          <w:sz w:val="16"/>
          <w:szCs w:val="16"/>
          <w:color w:val="auto"/>
        </w:rPr>
        <w:t>—Stockholders may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 proposals for inclusion in our proxy statement and for consideration at our next annual meeting of stockholders by submitting their proposals in writing to our Corporate Secretary in a timely manner. In order to be included in the proxy statement for the 2025 annual meeting of stockholders, stockholder proposals must be received by our Corporate Secretary no later than December 24, 2024, and must otherwise comply with the requirements of Rule 14a-8 of the Securities Exchange Act of 1934, as amended (the Exchange Act).</w:t>
      </w:r>
    </w:p>
    <w:p>
      <w:pPr>
        <w:spacing w:after="0" w:line="127" w:lineRule="exact"/>
        <w:rPr>
          <w:rFonts w:ascii="Arial" w:cs="Arial" w:eastAsia="Arial" w:hAnsi="Arial"/>
          <w:sz w:val="16"/>
          <w:szCs w:val="16"/>
          <w:b w:val="1"/>
          <w:bCs w:val="1"/>
          <w:color w:val="auto"/>
        </w:rPr>
      </w:pPr>
    </w:p>
    <w:p>
      <w:pPr>
        <w:ind w:left="360" w:right="100"/>
        <w:spacing w:after="0" w:line="253" w:lineRule="auto"/>
        <w:rPr>
          <w:rFonts w:ascii="Arial" w:cs="Arial" w:eastAsia="Arial" w:hAnsi="Arial"/>
          <w:sz w:val="16"/>
          <w:szCs w:val="16"/>
          <w:b w:val="1"/>
          <w:bCs w:val="1"/>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127" w:lineRule="exact"/>
        <w:rPr>
          <w:rFonts w:ascii="Arial" w:cs="Arial" w:eastAsia="Arial" w:hAnsi="Arial"/>
          <w:sz w:val="16"/>
          <w:szCs w:val="16"/>
          <w:b w:val="1"/>
          <w:bCs w:val="1"/>
          <w:color w:val="auto"/>
        </w:rPr>
      </w:pPr>
    </w:p>
    <w:p>
      <w:pPr>
        <w:jc w:val="both"/>
        <w:ind w:left="36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6 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20"/>
        <w:spacing w:after="0" w:line="286" w:lineRule="auto"/>
        <w:rPr>
          <w:sz w:val="20"/>
          <w:szCs w:val="20"/>
          <w:color w:val="auto"/>
        </w:rPr>
      </w:pPr>
      <w:r>
        <w:rPr>
          <w:rFonts w:ascii="Arial" w:cs="Arial" w:eastAsia="Arial" w:hAnsi="Arial"/>
          <w:sz w:val="16"/>
          <w:szCs w:val="16"/>
          <w:color w:val="auto"/>
        </w:rPr>
        <w:t>before the meeting by a stockholder who has delivered written notice to our Corporate Secretary no later than the Notice Deadline (as defined below).</w:t>
      </w:r>
    </w:p>
    <w:p>
      <w:pPr>
        <w:spacing w:after="0" w:line="115" w:lineRule="exact"/>
        <w:rPr>
          <w:sz w:val="20"/>
          <w:szCs w:val="20"/>
          <w:color w:val="auto"/>
        </w:rPr>
      </w:pPr>
    </w:p>
    <w:p>
      <w:pPr>
        <w:ind w:left="360" w:right="40"/>
        <w:spacing w:after="0" w:line="256" w:lineRule="auto"/>
        <w:rPr>
          <w:sz w:val="20"/>
          <w:szCs w:val="20"/>
          <w:color w:val="auto"/>
        </w:rPr>
      </w:pPr>
      <w:r>
        <w:rPr>
          <w:rFonts w:ascii="Arial" w:cs="Arial" w:eastAsia="Arial" w:hAnsi="Arial"/>
          <w:sz w:val="16"/>
          <w:szCs w:val="16"/>
          <w:color w:val="auto"/>
        </w:rPr>
        <w:t>The “Notice Deadline” is defined as that date which is not less than 90 days nor more than 120 days prior to the one year anniversary of the previous year’s annual meeting of stockholders. As a result, the Notice Deadline for the 2025 annual meeting of stockholders is between February 4, 2025 and March 6, 2025. If a stockholder who has notified us of his or her intention to present a proposal at an annual meeting does not appear to present his or her proposal at such meeting, we need not present the proposal for vote at such meeting.</w:t>
      </w:r>
    </w:p>
    <w:p>
      <w:pPr>
        <w:spacing w:after="0" w:line="126" w:lineRule="exact"/>
        <w:rPr>
          <w:sz w:val="20"/>
          <w:szCs w:val="20"/>
          <w:color w:val="auto"/>
        </w:rPr>
      </w:pPr>
    </w:p>
    <w:p>
      <w:pPr>
        <w:ind w:left="360" w:right="100"/>
        <w:spacing w:after="0" w:line="266" w:lineRule="auto"/>
        <w:rPr>
          <w:sz w:val="20"/>
          <w:szCs w:val="20"/>
          <w:color w:val="auto"/>
        </w:rPr>
      </w:pPr>
      <w:r>
        <w:rPr>
          <w:rFonts w:ascii="Arial" w:cs="Arial" w:eastAsia="Arial" w:hAnsi="Arial"/>
          <w:sz w:val="16"/>
          <w:szCs w:val="16"/>
          <w:i w:val="1"/>
          <w:iCs w:val="1"/>
          <w:color w:val="auto"/>
        </w:rPr>
        <w:t xml:space="preserve">Recommendation of director candidates </w:t>
      </w:r>
      <w:r>
        <w:rPr>
          <w:rFonts w:ascii="Arial" w:cs="Arial" w:eastAsia="Arial" w:hAnsi="Arial"/>
          <w:sz w:val="16"/>
          <w:szCs w:val="16"/>
          <w:color w:val="auto"/>
        </w:rPr>
        <w:t>—You may recommend candidates to our Board of Directors for consideration by our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and Corporate Governance Committee by following the procedures set forth below in “</w:t>
      </w:r>
      <w:r>
        <w:rPr>
          <w:rFonts w:ascii="Arial" w:cs="Arial" w:eastAsia="Arial" w:hAnsi="Arial"/>
          <w:sz w:val="16"/>
          <w:szCs w:val="16"/>
          <w:i w:val="1"/>
          <w:iCs w:val="1"/>
          <w:color w:val="auto"/>
        </w:rPr>
        <w:t>Corporate Governance-Board Committees - Nominating and Corporate Governance Committee.</w:t>
      </w:r>
      <w:r>
        <w:rPr>
          <w:rFonts w:ascii="Arial" w:cs="Arial" w:eastAsia="Arial" w:hAnsi="Arial"/>
          <w:sz w:val="16"/>
          <w:szCs w:val="16"/>
          <w:color w:val="auto"/>
        </w:rPr>
        <w:t>”</w:t>
      </w:r>
    </w:p>
    <w:p>
      <w:pPr>
        <w:spacing w:after="0" w:line="104" w:lineRule="exact"/>
        <w:rPr>
          <w:sz w:val="20"/>
          <w:szCs w:val="20"/>
          <w:color w:val="auto"/>
        </w:rPr>
      </w:pPr>
    </w:p>
    <w:p>
      <w:pPr>
        <w:ind w:left="360" w:right="840" w:hanging="354"/>
        <w:spacing w:after="0" w:line="286"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HOW MAY I OBTAIN A COPY OF THE BYLAW PROVISIONS REGARDING STOCKHOLDER PROPOSALS AND DIRECTOR NOMINATIONS?</w:t>
      </w:r>
    </w:p>
    <w:p>
      <w:pPr>
        <w:spacing w:after="0" w:line="115" w:lineRule="exact"/>
        <w:rPr>
          <w:sz w:val="20"/>
          <w:szCs w:val="20"/>
          <w:color w:val="auto"/>
        </w:rPr>
      </w:pPr>
    </w:p>
    <w:p>
      <w:pPr>
        <w:ind w:left="360" w:right="220" w:hanging="354"/>
        <w:spacing w:after="0" w:line="254" w:lineRule="auto"/>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A copy of the full text of the bylaw provisions discussed above may be obtained from our website at www.flywire.com or by writing to our Corporate Secretary. In addition, this and other information about Flywire may be obtained at the website maintained by the SEC that contains reports, proxy and information statements, and other information regarding registrants that file electronically with the SEC. The address of the SEC’s website is www.sec.gov. All notices of proposals by stockholders, whether or not included in our proxy materials, should be sent to our principal executive offices (see below for address), Attention: Corporate Secretary.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THE PROXY MATERIALS</w:t>
      </w:r>
    </w:p>
    <w:p>
      <w:pPr>
        <w:spacing w:after="0" w:line="167" w:lineRule="exact"/>
        <w:rPr>
          <w:sz w:val="20"/>
          <w:szCs w:val="20"/>
          <w:color w:val="auto"/>
        </w:rPr>
      </w:pPr>
    </w:p>
    <w:p>
      <w:pPr>
        <w:ind w:left="360" w:right="120" w:hanging="354"/>
        <w:spacing w:after="0" w:line="286"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WHY DID I RECEIVE A NOTICE REGARDING THE AVAILABILITY OF PROXY MATERIALS ON THE INTERNET INSTEAD OF A FULL SET OF PROXY MATERIALS?</w:t>
      </w:r>
    </w:p>
    <w:p>
      <w:pPr>
        <w:spacing w:after="0" w:line="115" w:lineRule="exact"/>
        <w:rPr>
          <w:sz w:val="20"/>
          <w:szCs w:val="20"/>
          <w:color w:val="auto"/>
        </w:rPr>
      </w:pPr>
    </w:p>
    <w:p>
      <w:pPr>
        <w:ind w:left="360" w:right="40" w:hanging="354"/>
        <w:spacing w:after="0" w:line="253" w:lineRule="auto"/>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In accordance with SEC rules, we have elected to furnish our proxy materials, including this proxy statement and the 2023 Annual Report, to our stockholders primarily via the internet. Beginning on or about April 22, 2024, we mailed to our stockholders a “Notice of Internet Availability of Proxy Materials” that contains notice of the Annual Meeting and instructions on how to access our proxy materials on the internet, how to vote at the Annual Meeting, and how to request printed copies of the proxy materials. Stockholders may request to receive all future proxy materials in printed form by mail or electronically by e-mail by following the instructions contained at www.proxyvote.com. We encourage stockholders to take advantage of the availability of the proxy materials on the internet to help reduce the environmental impact of our annual meetings.</w:t>
      </w:r>
    </w:p>
    <w:p>
      <w:pPr>
        <w:spacing w:after="0" w:line="114" w:lineRule="exact"/>
        <w:rPr>
          <w:sz w:val="20"/>
          <w:szCs w:val="20"/>
          <w:color w:val="auto"/>
        </w:rPr>
      </w:pPr>
    </w:p>
    <w:p>
      <w:pPr>
        <w:ind w:left="360" w:right="80" w:hanging="354"/>
        <w:spacing w:after="0" w:line="286"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WHAT DOES IT MEAN IF MULTIPLE MEMBERS OF MY HOUSEHOLD ARE STOCKHOLDERS BUT WE ONLY RECEIVED ONE NOTICE OR FULL SET OF PROXY MATERIALS IN THE MAIL?</w:t>
      </w:r>
    </w:p>
    <w:p>
      <w:pPr>
        <w:spacing w:after="0" w:line="115" w:lineRule="exact"/>
        <w:rPr>
          <w:sz w:val="20"/>
          <w:szCs w:val="20"/>
          <w:color w:val="auto"/>
        </w:rPr>
      </w:pPr>
    </w:p>
    <w:p>
      <w:pPr>
        <w:ind w:left="360" w:hanging="354"/>
        <w:spacing w:after="0" w:line="251" w:lineRule="auto"/>
        <w:tabs>
          <w:tab w:leader="none" w:pos="36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and, if applicable, the proxy materials to any stockholder at a shared address to which we delivered a single copy of any of these documents. To receive a separate copy of the Notice and, if applicable, the proxy materials, stockholders should send their requests to our principal executive offices (see below for address), Attention: Corporate Secretary. Stockholders who hold shares in street name (as described below) may contact their brokerage firm, bank, broker-dealer, or other similar organization to request information about householding.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7 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hanging="354"/>
        <w:spacing w:after="0"/>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WHAT IS THE MAILING ADDRESS FOR FLYWIRE’S PRINCIPAL EXECUTIVE OFFICES?</w:t>
      </w:r>
    </w:p>
    <w:p>
      <w:pPr>
        <w:spacing w:after="0" w:line="181" w:lineRule="exact"/>
        <w:rPr>
          <w:sz w:val="20"/>
          <w:szCs w:val="20"/>
          <w:color w:val="auto"/>
        </w:rPr>
      </w:pPr>
    </w:p>
    <w:p>
      <w:pPr>
        <w:ind w:left="360" w:right="140" w:hanging="354"/>
        <w:spacing w:after="0" w:line="286" w:lineRule="auto"/>
        <w:tabs>
          <w:tab w:leader="none" w:pos="3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Our principal executive offices are located at 141 Tremont St., 10th Floor, Boston, MA 02111. The telephone number at that location is (617) 329-4524.</w:t>
      </w:r>
    </w:p>
    <w:p>
      <w:pPr>
        <w:spacing w:after="0" w:line="101" w:lineRule="exact"/>
        <w:rPr>
          <w:rFonts w:ascii="Arial" w:cs="Arial" w:eastAsia="Arial" w:hAnsi="Arial"/>
          <w:sz w:val="16"/>
          <w:szCs w:val="16"/>
          <w:b w:val="1"/>
          <w:bCs w:val="1"/>
          <w:color w:val="auto"/>
        </w:rPr>
      </w:pPr>
    </w:p>
    <w:p>
      <w:pPr>
        <w:jc w:val="both"/>
        <w:ind w:left="36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Any written requests for additional information, copies of the proxy materials and 2023 Annual Report, notices of stockholder proposals, recommendations for candidates to our Board of Directors, communications to our Board of Directors or any other communications should be sent to the address above.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STOCKHOLDER MEETING TO BE HELD ON JUNE 4, 2024.</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proxy statement and the 2023 Annual Report are available on-line at www.proxyvote.com.</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Flywire Corporation      8 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PROPOSAL ONE</w:t>
      </w:r>
    </w:p>
    <w:p>
      <w:pPr>
        <w:spacing w:after="0" w:line="213"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GENERAL</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Board of Directors may establish the authorized number of directors from time to time by resolution. Our Board of Directors is currently comprised of seven members who are divided into three classes with staggered three-year terms. A director serves in office until his or her respective successor is duly elected and qualified or until his or her earlier death, resignation or removal. This classification of the Board of Directors into three classes with staggered three-year terms may have the effect of delaying or preventing changes in our control or management. Your proxy cannot be voted for a greater number of persons than the number of nominees named 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NOMINEES FOR ELECTION AS CLASS III DIRECTORS AT THE ANNUAL MEETING</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This year’s nominees for election to the Board of Directors as our Class III directors to serve for a term of three years expiring at the 2027 annual meeting of stockholders, or until their successors have been duly elected and qualified or until their earlier death, resignation or removal, are provided below. All of the nominees listed below are currently directors of the Company. The age of each director as of April 8, 2024 is set forth below. Each of the nominees has agreed to serve as a director if elected, and we have no reason to believe that any nominee will be unable to serve if elected.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NAME</w:t>
            </w:r>
          </w:p>
        </w:tc>
        <w:tc>
          <w:tcPr>
            <w:tcW w:w="3900" w:type="dxa"/>
            <w:vAlign w:val="bottom"/>
            <w:vMerge w:val="restart"/>
          </w:tcPr>
          <w:p>
            <w:pPr>
              <w:jc w:val="center"/>
              <w:ind w:left="1431"/>
              <w:spacing w:after="0"/>
              <w:rPr>
                <w:sz w:val="20"/>
                <w:szCs w:val="20"/>
                <w:color w:val="auto"/>
              </w:rPr>
            </w:pPr>
            <w:r>
              <w:rPr>
                <w:rFonts w:ascii="Arial" w:cs="Arial" w:eastAsia="Arial" w:hAnsi="Arial"/>
                <w:sz w:val="13"/>
                <w:szCs w:val="13"/>
                <w:b w:val="1"/>
                <w:bCs w:val="1"/>
                <w:color w:val="auto"/>
                <w:w w:val="99"/>
              </w:rPr>
              <w:t>AGE</w:t>
            </w: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DIRECTOR</w:t>
            </w:r>
          </w:p>
        </w:tc>
        <w:tc>
          <w:tcPr>
            <w:tcW w:w="0" w:type="dxa"/>
            <w:vAlign w:val="bottom"/>
          </w:tcPr>
          <w:p>
            <w:pPr>
              <w:spacing w:after="0"/>
              <w:rPr>
                <w:sz w:val="1"/>
                <w:szCs w:val="1"/>
                <w:color w:val="auto"/>
              </w:rPr>
            </w:pPr>
          </w:p>
        </w:tc>
      </w:tr>
      <w:tr>
        <w:trPr>
          <w:trHeight w:val="172"/>
        </w:trPr>
        <w:tc>
          <w:tcPr>
            <w:tcW w:w="3680" w:type="dxa"/>
            <w:vAlign w:val="bottom"/>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SINCE</w:t>
            </w:r>
          </w:p>
        </w:tc>
        <w:tc>
          <w:tcPr>
            <w:tcW w:w="0" w:type="dxa"/>
            <w:vAlign w:val="bottom"/>
          </w:tcPr>
          <w:p>
            <w:pPr>
              <w:spacing w:after="0"/>
              <w:rPr>
                <w:sz w:val="1"/>
                <w:szCs w:val="1"/>
                <w:color w:val="auto"/>
              </w:rPr>
            </w:pPr>
          </w:p>
        </w:tc>
      </w:tr>
      <w:tr>
        <w:trPr>
          <w:trHeight w:val="48"/>
        </w:trPr>
        <w:tc>
          <w:tcPr>
            <w:tcW w:w="368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36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Phillip Riese</w:t>
            </w:r>
          </w:p>
        </w:tc>
        <w:tc>
          <w:tcPr>
            <w:tcW w:w="3900" w:type="dxa"/>
            <w:vAlign w:val="bottom"/>
            <w:shd w:val="clear" w:color="auto" w:fill="E5EBF7"/>
          </w:tcPr>
          <w:p>
            <w:pPr>
              <w:jc w:val="center"/>
              <w:ind w:left="1431"/>
              <w:spacing w:after="0"/>
              <w:rPr>
                <w:sz w:val="20"/>
                <w:szCs w:val="20"/>
                <w:color w:val="auto"/>
              </w:rPr>
            </w:pPr>
            <w:r>
              <w:rPr>
                <w:rFonts w:ascii="Arial" w:cs="Arial" w:eastAsia="Arial" w:hAnsi="Arial"/>
                <w:sz w:val="14"/>
                <w:szCs w:val="14"/>
                <w:color w:val="auto"/>
              </w:rPr>
              <w:t>74</w:t>
            </w:r>
          </w:p>
        </w:tc>
        <w:tc>
          <w:tcPr>
            <w:tcW w:w="1820" w:type="dxa"/>
            <w:vAlign w:val="bottom"/>
            <w:shd w:val="clear" w:color="auto" w:fill="E5EBF7"/>
          </w:tcPr>
          <w:p>
            <w:pPr>
              <w:jc w:val="right"/>
              <w:ind w:right="37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83"/>
        </w:trPr>
        <w:tc>
          <w:tcPr>
            <w:tcW w:w="3680" w:type="dxa"/>
            <w:vAlign w:val="bottom"/>
            <w:shd w:val="clear" w:color="auto" w:fill="E5EBF7"/>
          </w:tcPr>
          <w:p>
            <w:pPr>
              <w:spacing w:after="0"/>
              <w:rPr>
                <w:sz w:val="7"/>
                <w:szCs w:val="7"/>
                <w:color w:val="auto"/>
              </w:rPr>
            </w:pPr>
          </w:p>
        </w:tc>
        <w:tc>
          <w:tcPr>
            <w:tcW w:w="3900" w:type="dxa"/>
            <w:vAlign w:val="bottom"/>
            <w:shd w:val="clear" w:color="auto" w:fill="E5EBF7"/>
          </w:tcPr>
          <w:p>
            <w:pPr>
              <w:spacing w:after="0"/>
              <w:rPr>
                <w:sz w:val="7"/>
                <w:szCs w:val="7"/>
                <w:color w:val="auto"/>
              </w:rPr>
            </w:pPr>
          </w:p>
        </w:tc>
        <w:tc>
          <w:tcPr>
            <w:tcW w:w="18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680" w:type="dxa"/>
            <w:vAlign w:val="bottom"/>
          </w:tcPr>
          <w:p>
            <w:pPr>
              <w:ind w:left="180"/>
              <w:spacing w:after="0"/>
              <w:rPr>
                <w:sz w:val="20"/>
                <w:szCs w:val="20"/>
                <w:color w:val="auto"/>
              </w:rPr>
            </w:pPr>
            <w:r>
              <w:rPr>
                <w:rFonts w:ascii="Arial" w:cs="Arial" w:eastAsia="Arial" w:hAnsi="Arial"/>
                <w:sz w:val="14"/>
                <w:szCs w:val="14"/>
                <w:b w:val="1"/>
                <w:bCs w:val="1"/>
                <w:color w:val="007FC4"/>
              </w:rPr>
              <w:t>Edwin Santos</w:t>
            </w:r>
          </w:p>
        </w:tc>
        <w:tc>
          <w:tcPr>
            <w:tcW w:w="3900" w:type="dxa"/>
            <w:vAlign w:val="bottom"/>
          </w:tcPr>
          <w:p>
            <w:pPr>
              <w:jc w:val="center"/>
              <w:ind w:left="1431"/>
              <w:spacing w:after="0"/>
              <w:rPr>
                <w:sz w:val="20"/>
                <w:szCs w:val="20"/>
                <w:color w:val="auto"/>
              </w:rPr>
            </w:pPr>
            <w:r>
              <w:rPr>
                <w:rFonts w:ascii="Arial" w:cs="Arial" w:eastAsia="Arial" w:hAnsi="Arial"/>
                <w:sz w:val="14"/>
                <w:szCs w:val="14"/>
                <w:color w:val="auto"/>
              </w:rPr>
              <w:t>64</w:t>
            </w:r>
          </w:p>
        </w:tc>
        <w:tc>
          <w:tcPr>
            <w:tcW w:w="1820" w:type="dxa"/>
            <w:vAlign w:val="bottom"/>
          </w:tcPr>
          <w:p>
            <w:pPr>
              <w:jc w:val="right"/>
              <w:ind w:right="37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9"/>
        </w:trPr>
        <w:tc>
          <w:tcPr>
            <w:tcW w:w="3680" w:type="dxa"/>
            <w:vAlign w:val="bottom"/>
            <w:tcBorders>
              <w:bottom w:val="single" w:sz="8" w:color="007FC4"/>
            </w:tcBorders>
          </w:tcPr>
          <w:p>
            <w:pPr>
              <w:spacing w:after="0"/>
              <w:rPr>
                <w:sz w:val="2"/>
                <w:szCs w:val="2"/>
                <w:color w:val="auto"/>
              </w:rPr>
            </w:pPr>
          </w:p>
        </w:tc>
        <w:tc>
          <w:tcPr>
            <w:tcW w:w="3900" w:type="dxa"/>
            <w:vAlign w:val="bottom"/>
            <w:tcBorders>
              <w:bottom w:val="single" w:sz="8" w:color="007FC4"/>
            </w:tcBorders>
          </w:tcPr>
          <w:p>
            <w:pPr>
              <w:spacing w:after="0"/>
              <w:rPr>
                <w:sz w:val="2"/>
                <w:szCs w:val="2"/>
                <w:color w:val="auto"/>
              </w:rPr>
            </w:pPr>
          </w:p>
        </w:tc>
        <w:tc>
          <w:tcPr>
            <w:tcW w:w="1820" w:type="dxa"/>
            <w:vAlign w:val="bottom"/>
            <w:tcBorders>
              <w:bottom w:val="single" w:sz="8" w:color="007FC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nominees should serve as one of our directors.</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-1456055</wp:posOffset>
            </wp:positionV>
            <wp:extent cx="1337310" cy="1337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color w:val="007FC4"/>
        </w:rPr>
        <w:t>Phillip</w:t>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Riese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Age: 74  |  Director since: 2013</w:t>
      </w:r>
    </w:p>
    <w:p>
      <w:pPr>
        <w:spacing w:after="0" w:line="6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b w:val="1"/>
          <w:bCs w:val="1"/>
          <w:color w:val="007FC4"/>
        </w:rPr>
        <w:t xml:space="preserve">Mr. Riese </w:t>
      </w:r>
      <w:r>
        <w:rPr>
          <w:rFonts w:ascii="Arial" w:cs="Arial" w:eastAsia="Arial" w:hAnsi="Arial"/>
          <w:sz w:val="16"/>
          <w:szCs w:val="16"/>
          <w:color w:val="000000"/>
        </w:rPr>
        <w:t>has served as a member and Chair of our Board of Directors since August 2013. In</w:t>
      </w:r>
      <w:r>
        <w:rPr>
          <w:rFonts w:ascii="Arial" w:cs="Arial" w:eastAsia="Arial" w:hAnsi="Arial"/>
          <w:sz w:val="16"/>
          <w:szCs w:val="16"/>
          <w:b w:val="1"/>
          <w:bCs w:val="1"/>
          <w:color w:val="007FC4"/>
        </w:rPr>
        <w:t xml:space="preserve"> </w:t>
      </w:r>
      <w:r>
        <w:rPr>
          <w:rFonts w:ascii="Arial" w:cs="Arial" w:eastAsia="Arial" w:hAnsi="Arial"/>
          <w:sz w:val="16"/>
          <w:szCs w:val="16"/>
          <w:color w:val="000000"/>
        </w:rPr>
        <w:t>November 1998, Mr. Riese 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w:t>
      </w:r>
    </w:p>
    <w:p>
      <w:pPr>
        <w:spacing w:after="0" w:line="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public and private companies, including Remitly, Betterment LLC and Cross River Bank. Mr. Riese holds a Bachelor’s degree in Commerce from Leeds University in England, a M.B.A. from the University of Cape Town in South Africa and a Master of Science degree from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4380230"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80230" cy="600075"/>
                    </a:xfrm>
                    <a:prstGeom prst="rect">
                      <a:avLst/>
                    </a:prstGeom>
                    <a:noFill/>
                  </pic:spPr>
                </pic:pic>
              </a:graphicData>
            </a:graphic>
          </wp:anchor>
        </w:drawing>
      </w:r>
    </w:p>
    <w:p>
      <w:pPr>
        <w:spacing w:after="0" w:line="340" w:lineRule="exact"/>
        <w:rPr>
          <w:sz w:val="20"/>
          <w:szCs w:val="20"/>
          <w:color w:val="auto"/>
        </w:rPr>
      </w:pPr>
    </w:p>
    <w:p>
      <w:pPr>
        <w:ind w:left="180" w:right="380"/>
        <w:spacing w:after="0" w:line="306" w:lineRule="auto"/>
        <w:rPr>
          <w:sz w:val="20"/>
          <w:szCs w:val="20"/>
          <w:color w:val="auto"/>
        </w:rPr>
      </w:pPr>
      <w:r>
        <w:rPr>
          <w:rFonts w:ascii="Arial" w:cs="Arial" w:eastAsia="Arial" w:hAnsi="Arial"/>
          <w:sz w:val="16"/>
          <w:szCs w:val="16"/>
          <w:b w:val="1"/>
          <w:bCs w:val="1"/>
          <w:color w:val="007FC4"/>
        </w:rPr>
        <w:t>We believe Mr. Riese is qualified to serve on our Board of Directors because of his extensive experience in the payments industry and his senior management experience.</w:t>
      </w:r>
    </w:p>
    <w:p>
      <w:pPr>
        <w:spacing w:after="0" w:line="200" w:lineRule="exact"/>
        <w:rPr>
          <w:sz w:val="20"/>
          <w:szCs w:val="20"/>
          <w:color w:val="auto"/>
        </w:rPr>
      </w:pPr>
    </w:p>
    <w:p>
      <w:pPr>
        <w:sectPr>
          <w:pgSz w:w="11900" w:h="16838" w:orient="portrait"/>
          <w:cols w:equalWidth="0" w:num="2">
            <w:col w:w="1780" w:space="720"/>
            <w:col w:w="6900"/>
          </w:cols>
          <w:pgMar w:left="1240" w:top="114" w:right="1259" w:bottom="1440"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Flywire Corporation      9 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240030</wp:posOffset>
            </wp:positionV>
            <wp:extent cx="1337310" cy="1337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color w:val="007FC4"/>
        </w:rPr>
        <w:t>Edwin</w:t>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Santos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Age: 64  |  Director since: 2021</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007FC4"/>
        </w:rPr>
        <w:t xml:space="preserve">Mr. Santos </w:t>
      </w:r>
      <w:r>
        <w:rPr>
          <w:rFonts w:ascii="Arial" w:cs="Arial" w:eastAsia="Arial" w:hAnsi="Arial"/>
          <w:sz w:val="16"/>
          <w:szCs w:val="16"/>
          <w:color w:val="000000"/>
        </w:rPr>
        <w:t>has served as a member of our Board of Directors since April 2021. Mr. Santos has</w:t>
      </w:r>
      <w:r>
        <w:rPr>
          <w:rFonts w:ascii="Arial" w:cs="Arial" w:eastAsia="Arial" w:hAnsi="Arial"/>
          <w:sz w:val="16"/>
          <w:szCs w:val="16"/>
          <w:b w:val="1"/>
          <w:bCs w:val="1"/>
          <w:color w:val="007FC4"/>
        </w:rPr>
        <w:t xml:space="preserve"> </w:t>
      </w:r>
      <w:r>
        <w:rPr>
          <w:rFonts w:ascii="Arial" w:cs="Arial" w:eastAsia="Arial" w:hAnsi="Arial"/>
          <w:sz w:val="16"/>
          <w:szCs w:val="16"/>
          <w:color w:val="000000"/>
        </w:rPr>
        <w:t>had a distinguished career in 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Washington Trust Bancorp Inc. and Fidelity Institutional Asset Management, a Fidelity Investments company. He is also the former President of the Board of Trustees of Rocky Hill School, and a member of the Bryant University Board of Trustees. Mr. Santos holds a Bachelor’s degree in Business Administration and Accounting from Bryant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4380230"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80230" cy="462915"/>
                    </a:xfrm>
                    <a:prstGeom prst="rect">
                      <a:avLst/>
                    </a:prstGeom>
                    <a:noFill/>
                  </pic:spPr>
                </pic:pic>
              </a:graphicData>
            </a:graphic>
          </wp:anchor>
        </w:drawing>
      </w:r>
    </w:p>
    <w:p>
      <w:pPr>
        <w:spacing w:after="0" w:line="342" w:lineRule="exact"/>
        <w:rPr>
          <w:sz w:val="20"/>
          <w:szCs w:val="20"/>
          <w:color w:val="auto"/>
        </w:rPr>
      </w:pPr>
    </w:p>
    <w:p>
      <w:pPr>
        <w:ind w:left="180" w:right="200"/>
        <w:spacing w:after="0" w:line="332" w:lineRule="auto"/>
        <w:rPr>
          <w:sz w:val="20"/>
          <w:szCs w:val="20"/>
          <w:color w:val="auto"/>
        </w:rPr>
      </w:pPr>
      <w:r>
        <w:rPr>
          <w:rFonts w:ascii="Arial" w:cs="Arial" w:eastAsia="Arial" w:hAnsi="Arial"/>
          <w:sz w:val="16"/>
          <w:szCs w:val="16"/>
          <w:b w:val="1"/>
          <w:bCs w:val="1"/>
          <w:color w:val="007FC4"/>
        </w:rPr>
        <w:t>We believe Mr. Santos is qualified to serve on our Board of Directors because of his professional competency and broad experience in the financial services industry.</w:t>
      </w:r>
    </w:p>
    <w:p>
      <w:pPr>
        <w:spacing w:after="0" w:line="200" w:lineRule="exact"/>
        <w:rPr>
          <w:sz w:val="20"/>
          <w:szCs w:val="20"/>
          <w:color w:val="auto"/>
        </w:rPr>
      </w:pPr>
    </w:p>
    <w:p>
      <w:pPr>
        <w:sectPr>
          <w:pgSz w:w="11900" w:h="16838" w:orient="portrait"/>
          <w:cols w:equalWidth="0" w:num="2">
            <w:col w:w="1780" w:space="720"/>
            <w:col w:w="6820"/>
          </w:cols>
          <w:pgMar w:left="1240" w:top="114" w:right="1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REQUIRED VOTE AND RECOMMENDATION OF THE BOARD OF DIRECTORS FOR PROPOSAL 1</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affirmative vote of a plurality of the votes cast at the Annual Meeting is required for the election of our Class III directors. The two nominees receiving the most “FOR” votes among votes properly cast in person or by proxy will be elected to the Board of Directors as Class III directors. You may vote “FOR” or “WITHHOLD” on each of the nominees for election as director. Shares represented by signed proxy cards will be voted on Proposal 1 “FOR” the election of Phillip Riese and Edwin Santos to the Board of Directors at the Annual Meeting, unless otherwise marked on the card. A broker non-vote or a properly executed proxy marked “WITHHOLD” with respect to the election of a Class III director will not be voted with respect to such director, although it will be counted for purposes of determining whether there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966460" cy="29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299720"/>
                    </a:xfrm>
                    <a:prstGeom prst="rect">
                      <a:avLst/>
                    </a:prstGeom>
                    <a:noFill/>
                  </pic:spPr>
                </pic:pic>
              </a:graphicData>
            </a:graphic>
          </wp:anchor>
        </w:drawing>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7FC4"/>
        </w:rPr>
        <w:t>Our Board of Directors unanimously recommends a vote “FOR ALL” The Class III nominees named above.</w:t>
      </w: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Flywire Corporation      10 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CONTINUING DIRECTORS NOT STANDING FOR ELECTION</w:t>
      </w:r>
    </w:p>
    <w:p>
      <w:pPr>
        <w:spacing w:after="0" w:line="18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directors should serve as one of our directors. The age of each director as of April 8, 2024 is set forth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07FC4"/>
        </w:rPr>
        <w:t>Incumbent Class I Directors Whose Term Expires in 2025</w:t>
      </w:r>
    </w:p>
    <w:p>
      <w:pPr>
        <w:sectPr>
          <w:pgSz w:w="11900" w:h="16838" w:orient="portrait"/>
          <w:cols w:equalWidth="0" w:num="1">
            <w:col w:w="9300"/>
          </w:cols>
          <w:pgMar w:left="124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-1456055</wp:posOffset>
            </wp:positionV>
            <wp:extent cx="1337310" cy="1337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ind w:right="460"/>
        <w:spacing w:after="0" w:line="293" w:lineRule="auto"/>
        <w:rPr>
          <w:sz w:val="20"/>
          <w:szCs w:val="20"/>
          <w:color w:val="auto"/>
        </w:rPr>
      </w:pPr>
      <w:r>
        <w:rPr>
          <w:rFonts w:ascii="Arial" w:cs="Arial" w:eastAsia="Arial" w:hAnsi="Arial"/>
          <w:sz w:val="32"/>
          <w:szCs w:val="32"/>
          <w:color w:val="007FC4"/>
        </w:rPr>
        <w:t xml:space="preserve">Michael </w:t>
      </w:r>
      <w:r>
        <w:rPr>
          <w:rFonts w:ascii="Arial" w:cs="Arial" w:eastAsia="Arial" w:hAnsi="Arial"/>
          <w:sz w:val="32"/>
          <w:szCs w:val="32"/>
          <w:b w:val="1"/>
          <w:bCs w:val="1"/>
          <w:color w:val="007FC4"/>
        </w:rPr>
        <w:t>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224155</wp:posOffset>
            </wp:positionV>
            <wp:extent cx="1337310" cy="1337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8" w:lineRule="exact"/>
        <w:rPr>
          <w:sz w:val="20"/>
          <w:szCs w:val="20"/>
          <w:color w:val="auto"/>
        </w:rPr>
      </w:pPr>
    </w:p>
    <w:p>
      <w:pPr>
        <w:ind w:right="360"/>
        <w:spacing w:after="0" w:line="284" w:lineRule="auto"/>
        <w:rPr>
          <w:sz w:val="20"/>
          <w:szCs w:val="20"/>
          <w:color w:val="auto"/>
        </w:rPr>
      </w:pPr>
      <w:r>
        <w:rPr>
          <w:rFonts w:ascii="Arial" w:cs="Arial" w:eastAsia="Arial" w:hAnsi="Arial"/>
          <w:sz w:val="32"/>
          <w:szCs w:val="32"/>
          <w:color w:val="007FC4"/>
        </w:rPr>
        <w:t xml:space="preserve">Diane </w:t>
      </w:r>
      <w:r>
        <w:rPr>
          <w:rFonts w:ascii="Arial" w:cs="Arial" w:eastAsia="Arial" w:hAnsi="Arial"/>
          <w:sz w:val="32"/>
          <w:szCs w:val="32"/>
          <w:b w:val="1"/>
          <w:bCs w:val="1"/>
          <w:color w:val="007FC4"/>
        </w:rPr>
        <w:t>Offereins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Age: 45  |  Director since: 2013</w:t>
      </w:r>
    </w:p>
    <w:p>
      <w:pPr>
        <w:spacing w:after="0" w:line="81" w:lineRule="exact"/>
        <w:rPr>
          <w:sz w:val="20"/>
          <w:szCs w:val="20"/>
          <w:color w:val="auto"/>
        </w:rPr>
      </w:pPr>
    </w:p>
    <w:p>
      <w:pPr>
        <w:ind w:right="500"/>
        <w:spacing w:after="0" w:line="256" w:lineRule="auto"/>
        <w:rPr>
          <w:sz w:val="20"/>
          <w:szCs w:val="20"/>
          <w:color w:val="auto"/>
        </w:rPr>
      </w:pPr>
      <w:r>
        <w:rPr>
          <w:rFonts w:ascii="Arial" w:cs="Arial" w:eastAsia="Arial" w:hAnsi="Arial"/>
          <w:sz w:val="16"/>
          <w:szCs w:val="16"/>
          <w:b w:val="1"/>
          <w:bCs w:val="1"/>
          <w:color w:val="007FC4"/>
        </w:rPr>
        <w:t xml:space="preserve">Mr. Massaro </w:t>
      </w:r>
      <w:r>
        <w:rPr>
          <w:rFonts w:ascii="Arial" w:cs="Arial" w:eastAsia="Arial" w:hAnsi="Arial"/>
          <w:sz w:val="16"/>
          <w:szCs w:val="16"/>
          <w:color w:val="000000"/>
        </w:rPr>
        <w:t>has served as our Chief Executive Officer and a member of our Board of</w:t>
      </w:r>
      <w:r>
        <w:rPr>
          <w:rFonts w:ascii="Arial" w:cs="Arial" w:eastAsia="Arial" w:hAnsi="Arial"/>
          <w:sz w:val="16"/>
          <w:szCs w:val="16"/>
          <w:b w:val="1"/>
          <w:bCs w:val="1"/>
          <w:color w:val="007FC4"/>
        </w:rPr>
        <w:t xml:space="preserve"> </w:t>
      </w:r>
      <w:r>
        <w:rPr>
          <w:rFonts w:ascii="Arial" w:cs="Arial" w:eastAsia="Arial" w:hAnsi="Arial"/>
          <w:sz w:val="16"/>
          <w:szCs w:val="16"/>
          <w:color w:val="000000"/>
        </w:rPr>
        <w:t>Directors since December 2013. Prior to being appointed as our Chief Executive Officer,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PricewaterhouseCoopers LLP. He earned his Bachelor of Science degree in Management Information Systems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4380230" cy="771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80230" cy="7715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220"/>
        <w:spacing w:after="0" w:line="298" w:lineRule="auto"/>
        <w:rPr>
          <w:sz w:val="20"/>
          <w:szCs w:val="20"/>
          <w:color w:val="auto"/>
        </w:rPr>
      </w:pPr>
      <w:r>
        <w:rPr>
          <w:rFonts w:ascii="Arial" w:cs="Arial" w:eastAsia="Arial" w:hAnsi="Arial"/>
          <w:sz w:val="16"/>
          <w:szCs w:val="16"/>
          <w:b w:val="1"/>
          <w:bCs w:val="1"/>
          <w:color w:val="007FC4"/>
        </w:rPr>
        <w:t>Mr. Massaro’s extensive knowledge of our business, as well as his years of experience in the payments industry, including executive leadership in several companies, contributed to our conclusion that he should serve as a member of our Board of Directors.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Age: 66  |  Director since: 2023</w:t>
      </w:r>
    </w:p>
    <w:p>
      <w:pPr>
        <w:spacing w:after="0" w:line="6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color w:val="007FC4"/>
        </w:rPr>
        <w:t xml:space="preserve">Ms. Offereins </w:t>
      </w:r>
      <w:r>
        <w:rPr>
          <w:rFonts w:ascii="Arial" w:cs="Arial" w:eastAsia="Arial" w:hAnsi="Arial"/>
          <w:sz w:val="16"/>
          <w:szCs w:val="16"/>
          <w:color w:val="000000"/>
        </w:rPr>
        <w:t>has served as a member of our Board of Directors since 2023. Ms. Offereins</w:t>
      </w:r>
      <w:r>
        <w:rPr>
          <w:rFonts w:ascii="Arial" w:cs="Arial" w:eastAsia="Arial" w:hAnsi="Arial"/>
          <w:sz w:val="16"/>
          <w:szCs w:val="16"/>
          <w:b w:val="1"/>
          <w:bCs w:val="1"/>
          <w:color w:val="007FC4"/>
        </w:rPr>
        <w:t xml:space="preserve"> </w:t>
      </w:r>
      <w:r>
        <w:rPr>
          <w:rFonts w:ascii="Arial" w:cs="Arial" w:eastAsia="Arial" w:hAnsi="Arial"/>
          <w:sz w:val="16"/>
          <w:szCs w:val="16"/>
          <w:color w:val="000000"/>
        </w:rPr>
        <w:t>served as the former Executive Vice President and President, Payment Services at Discover Financial Services, where she was responsible for the growth of the Discover Global Network, consisting of three payment networks - Discover Network, Diners Club International and PULSE from 2009 until her retirement in June 2023. Ms. Offereins previously held several positions within the company, including Executive Vice President, Payment Services and Executive Vice President and Chief Information Officer. Prior to Discover, Ms. Offereins held leadership positions at Bank of America and SouthEast Bank. Ms. Offereins is on the Board of Directors of Brighthouse Financial, Inc., where she chairs the Compensation and Human Capital Committee and serves on the Finance and Risk and Nominating and Corporate Governance Committees. She earned her B.B.A. in Accounting from Loyola University of New Orleans.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4380230" cy="462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80230" cy="462915"/>
                    </a:xfrm>
                    <a:prstGeom prst="rect">
                      <a:avLst/>
                    </a:prstGeom>
                    <a:noFill/>
                  </pic:spPr>
                </pic:pic>
              </a:graphicData>
            </a:graphic>
          </wp:anchor>
        </w:drawing>
      </w:r>
    </w:p>
    <w:p>
      <w:pPr>
        <w:spacing w:after="0" w:line="340" w:lineRule="exact"/>
        <w:rPr>
          <w:sz w:val="20"/>
          <w:szCs w:val="20"/>
          <w:color w:val="auto"/>
        </w:rPr>
      </w:pPr>
    </w:p>
    <w:p>
      <w:pPr>
        <w:ind w:left="180" w:right="240"/>
        <w:spacing w:after="0" w:line="332" w:lineRule="auto"/>
        <w:rPr>
          <w:sz w:val="20"/>
          <w:szCs w:val="20"/>
          <w:color w:val="auto"/>
        </w:rPr>
      </w:pPr>
      <w:r>
        <w:rPr>
          <w:rFonts w:ascii="Arial" w:cs="Arial" w:eastAsia="Arial" w:hAnsi="Arial"/>
          <w:sz w:val="16"/>
          <w:szCs w:val="16"/>
          <w:b w:val="1"/>
          <w:bCs w:val="1"/>
          <w:color w:val="007FC4"/>
        </w:rPr>
        <w:t>We believe Ms. Offereins is qualified to serve on our Board of Directors because of her extensive background in payments, financial services and cybersecurity.</w:t>
      </w:r>
    </w:p>
    <w:p>
      <w:pPr>
        <w:spacing w:after="0" w:line="200" w:lineRule="exact"/>
        <w:rPr>
          <w:sz w:val="20"/>
          <w:szCs w:val="20"/>
          <w:color w:val="auto"/>
        </w:rPr>
      </w:pPr>
    </w:p>
    <w:p>
      <w:pPr>
        <w:sectPr>
          <w:pgSz w:w="11900" w:h="16838" w:orient="portrait"/>
          <w:cols w:equalWidth="0" w:num="2">
            <w:col w:w="1780" w:space="720"/>
            <w:col w:w="6800"/>
          </w:cols>
          <w:pgMar w:left="1240" w:top="114" w:right="135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Flywire Corporation      11 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007FC4"/>
        </w:rPr>
        <w:t>Incumbent Class II Directors Whose Term Expires in 2026</w:t>
      </w:r>
    </w:p>
    <w:p>
      <w:pPr>
        <w:sectPr>
          <w:pgSz w:w="11900" w:h="16838" w:orient="portrait"/>
          <w:cols w:equalWidth="0" w:num="1">
            <w:col w:w="9240"/>
          </w:cols>
          <w:pgMar w:left="1240" w:top="11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-1456055</wp:posOffset>
            </wp:positionV>
            <wp:extent cx="1337310" cy="1337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color w:val="007FC4"/>
        </w:rPr>
        <w:t>Alex</w:t>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37310" cy="1337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color w:val="007FC4"/>
        </w:rPr>
        <w:t>Matthew</w:t>
      </w:r>
    </w:p>
    <w:p>
      <w:pPr>
        <w:spacing w:after="0" w:line="29"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Harris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Age: 48  |  Director since: 2011</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007FC4"/>
        </w:rPr>
        <w:t xml:space="preserve">Mr. Finkelstein </w:t>
      </w:r>
      <w:r>
        <w:rPr>
          <w:rFonts w:ascii="Arial" w:cs="Arial" w:eastAsia="Arial" w:hAnsi="Arial"/>
          <w:sz w:val="16"/>
          <w:szCs w:val="16"/>
          <w:color w:val="000000"/>
        </w:rPr>
        <w:t>has served as a member of our Board of Directors since 2011. Mr. Finkelstein</w:t>
      </w:r>
      <w:r>
        <w:rPr>
          <w:rFonts w:ascii="Arial" w:cs="Arial" w:eastAsia="Arial" w:hAnsi="Arial"/>
          <w:sz w:val="16"/>
          <w:szCs w:val="16"/>
          <w:b w:val="1"/>
          <w:bCs w:val="1"/>
          <w:color w:val="007FC4"/>
        </w:rPr>
        <w:t xml:space="preserve"> </w:t>
      </w:r>
      <w:r>
        <w:rPr>
          <w:rFonts w:ascii="Arial" w:cs="Arial" w:eastAsia="Arial" w:hAnsi="Arial"/>
          <w:sz w:val="16"/>
          <w:szCs w:val="16"/>
          <w:color w:val="000000"/>
        </w:rPr>
        <w:t>has served as a General Partner at Spark Capital, a venture capital firm, since 2005.</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Finkelstein began his career 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Mr. Finkelstein earned his Bachelor of Arts in Political Science from Middlebury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4380230" cy="668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80230" cy="6686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80" w:right="20"/>
        <w:spacing w:after="0" w:line="306" w:lineRule="auto"/>
        <w:rPr>
          <w:sz w:val="20"/>
          <w:szCs w:val="20"/>
          <w:color w:val="auto"/>
        </w:rPr>
      </w:pPr>
      <w:r>
        <w:rPr>
          <w:rFonts w:ascii="Arial" w:cs="Arial" w:eastAsia="Arial" w:hAnsi="Arial"/>
          <w:sz w:val="16"/>
          <w:szCs w:val="16"/>
          <w:b w:val="1"/>
          <w:bCs w:val="1"/>
          <w:color w:val="007FC4"/>
        </w:rPr>
        <w:t>We believe Mr. Finkelstein is qualified to serve on our Board of Directors because of his extensive business experience with technology companies, including experience in the formation, development and business strategy of multiple start-up companies.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Age: 51  |  Director since: 2015</w:t>
      </w:r>
    </w:p>
    <w:p>
      <w:pPr>
        <w:spacing w:after="0" w:line="8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007FC4"/>
        </w:rPr>
        <w:t xml:space="preserve">Mr. Harris </w:t>
      </w:r>
      <w:r>
        <w:rPr>
          <w:rFonts w:ascii="Arial" w:cs="Arial" w:eastAsia="Arial" w:hAnsi="Arial"/>
          <w:sz w:val="16"/>
          <w:szCs w:val="16"/>
          <w:color w:val="000000"/>
        </w:rPr>
        <w:t>has served as a member of our Board of Directors since January 2015. Mr. Harris</w:t>
      </w:r>
      <w:r>
        <w:rPr>
          <w:rFonts w:ascii="Arial" w:cs="Arial" w:eastAsia="Arial" w:hAnsi="Arial"/>
          <w:sz w:val="16"/>
          <w:szCs w:val="16"/>
          <w:b w:val="1"/>
          <w:bCs w:val="1"/>
          <w:color w:val="007FC4"/>
        </w:rPr>
        <w:t xml:space="preserve"> </w:t>
      </w:r>
      <w:r>
        <w:rPr>
          <w:rFonts w:ascii="Arial" w:cs="Arial" w:eastAsia="Arial" w:hAnsi="Arial"/>
          <w:sz w:val="16"/>
          <w:szCs w:val="16"/>
          <w:color w:val="000000"/>
        </w:rPr>
        <w:t>joined Bain Capital Ventures in September 2012 to lead the New York City office, where he currently serves as a Partner. Mr. Harris focuses on business services companies, with a particular interest in financial services. Mr. Harris has served as a member of the board of directors of AvidXchange Holdings, Inc., a provider of accounts payable automation software and payment solutions for middle market businesses and their suppliers, since July 2015. Mr. Harris has also served as a member of the board of directors of BTRS Holdings Inc. (f/k/a Factor Systems, Inc. (dba Billtrust)), a provider of cloud-based software and integrated payment processing solutions, until December 2022. Prior to joining Bain Capital Ventures, Mr. Harris founded Village Ventures, Inc., an early stage venture capital firm focused on the media and financial services sectors, and served as Managing Director from January 2000 to September 2012. Mr. Harris holds a Bachelor of Arts degree from Williams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4380230" cy="737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80230" cy="737235"/>
                    </a:xfrm>
                    <a:prstGeom prst="rect">
                      <a:avLst/>
                    </a:prstGeom>
                    <a:noFill/>
                  </pic:spPr>
                </pic:pic>
              </a:graphicData>
            </a:graphic>
          </wp:anchor>
        </w:drawing>
      </w:r>
    </w:p>
    <w:p>
      <w:pPr>
        <w:spacing w:after="0" w:line="326" w:lineRule="exact"/>
        <w:rPr>
          <w:sz w:val="20"/>
          <w:szCs w:val="20"/>
          <w:color w:val="auto"/>
        </w:rPr>
      </w:pPr>
    </w:p>
    <w:p>
      <w:pPr>
        <w:jc w:val="both"/>
        <w:ind w:left="180" w:right="80"/>
        <w:spacing w:after="0" w:line="298" w:lineRule="auto"/>
        <w:rPr>
          <w:sz w:val="20"/>
          <w:szCs w:val="20"/>
          <w:color w:val="auto"/>
        </w:rPr>
      </w:pPr>
      <w:r>
        <w:rPr>
          <w:rFonts w:ascii="Arial" w:cs="Arial" w:eastAsia="Arial" w:hAnsi="Arial"/>
          <w:sz w:val="16"/>
          <w:szCs w:val="16"/>
          <w:b w:val="1"/>
          <w:bCs w:val="1"/>
          <w:color w:val="007FC4"/>
        </w:rPr>
        <w:t>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200" w:lineRule="exact"/>
        <w:rPr>
          <w:sz w:val="20"/>
          <w:szCs w:val="20"/>
          <w:color w:val="auto"/>
        </w:rPr>
      </w:pPr>
    </w:p>
    <w:p>
      <w:pPr>
        <w:sectPr>
          <w:pgSz w:w="11900" w:h="16838" w:orient="portrait"/>
          <w:cols w:equalWidth="0" w:num="2">
            <w:col w:w="1780" w:space="720"/>
            <w:col w:w="6740"/>
          </w:cols>
          <w:pgMar w:left="1240" w:top="114" w:right="1419" w:bottom="1440" w:gutter="0" w:footer="0" w:header="0"/>
          <w:type w:val="continuous"/>
        </w:sectPr>
      </w:pPr>
    </w:p>
    <w:p>
      <w:pPr>
        <w:spacing w:after="0" w:line="57"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Flywire Corporation      12 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40" w:top="114" w:right="1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240030</wp:posOffset>
            </wp:positionV>
            <wp:extent cx="1337310" cy="1337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8" w:lineRule="exact"/>
        <w:rPr>
          <w:sz w:val="20"/>
          <w:szCs w:val="20"/>
          <w:color w:val="auto"/>
        </w:rPr>
      </w:pPr>
    </w:p>
    <w:p>
      <w:pPr>
        <w:ind w:right="440"/>
        <w:spacing w:after="0" w:line="284" w:lineRule="auto"/>
        <w:rPr>
          <w:sz w:val="20"/>
          <w:szCs w:val="20"/>
          <w:color w:val="auto"/>
        </w:rPr>
      </w:pPr>
      <w:r>
        <w:rPr>
          <w:rFonts w:ascii="Arial" w:cs="Arial" w:eastAsia="Arial" w:hAnsi="Arial"/>
          <w:sz w:val="32"/>
          <w:szCs w:val="32"/>
          <w:color w:val="007FC4"/>
        </w:rPr>
        <w:t xml:space="preserve">Gretchen </w:t>
      </w:r>
      <w:r>
        <w:rPr>
          <w:rFonts w:ascii="Arial" w:cs="Arial" w:eastAsia="Arial" w:hAnsi="Arial"/>
          <w:sz w:val="32"/>
          <w:szCs w:val="32"/>
          <w:b w:val="1"/>
          <w:bCs w:val="1"/>
          <w:color w:val="007FC4"/>
        </w:rPr>
        <w:t>Howard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Age: 50  |  Director since: 2023</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007FC4"/>
        </w:rPr>
        <w:t xml:space="preserve">Ms. Howard </w:t>
      </w:r>
      <w:r>
        <w:rPr>
          <w:rFonts w:ascii="Arial" w:cs="Arial" w:eastAsia="Arial" w:hAnsi="Arial"/>
          <w:sz w:val="16"/>
          <w:szCs w:val="16"/>
          <w:color w:val="000000"/>
        </w:rPr>
        <w:t>has served as a member of our Board of Directors since September 2023.</w:t>
      </w:r>
      <w:r>
        <w:rPr>
          <w:rFonts w:ascii="Arial" w:cs="Arial" w:eastAsia="Arial" w:hAnsi="Arial"/>
          <w:sz w:val="16"/>
          <w:szCs w:val="16"/>
          <w:b w:val="1"/>
          <w:bCs w:val="1"/>
          <w:color w:val="007FC4"/>
        </w:rPr>
        <w:t xml:space="preserve"> </w:t>
      </w:r>
      <w:r>
        <w:rPr>
          <w:rFonts w:ascii="Arial" w:cs="Arial" w:eastAsia="Arial" w:hAnsi="Arial"/>
          <w:sz w:val="16"/>
          <w:szCs w:val="16"/>
          <w:color w:val="000000"/>
        </w:rPr>
        <w:t>Ms. Howard served as the former Chief Operating Officer of Robinhood Markets, Inc. from January 2019 until January 2024, where among other functions, she oversaw brokerage, cash compliance and operations, human resources and recruiting, customer trust and safety, as well as customer support and business strategy. Prior to her leadership role at Robinhood,</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Ms. Howard was a Partner with CapitalG, Alphabet Inc.’s growth equity fund from 2014 to 2019. Prior to her time at CapitalG, Ms. Howard held various positions at Google and Fidelity Investments. Ms. Howard is on the Board of Directors of AllTrails, a mobile app connecting people to the outdoors. She is also a member of the Board of Trustees at Williams College and a former board member of the YMCA of San Francisco. She holds a B.A. from Williams College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4380230" cy="737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80230" cy="737235"/>
                    </a:xfrm>
                    <a:prstGeom prst="rect">
                      <a:avLst/>
                    </a:prstGeom>
                    <a:noFill/>
                  </pic:spPr>
                </pic:pic>
              </a:graphicData>
            </a:graphic>
          </wp:anchor>
        </w:drawing>
      </w:r>
    </w:p>
    <w:p>
      <w:pPr>
        <w:spacing w:after="0" w:line="340" w:lineRule="exact"/>
        <w:rPr>
          <w:sz w:val="20"/>
          <w:szCs w:val="20"/>
          <w:color w:val="auto"/>
        </w:rPr>
      </w:pPr>
    </w:p>
    <w:p>
      <w:pPr>
        <w:ind w:left="180" w:right="40"/>
        <w:spacing w:after="0" w:line="298" w:lineRule="auto"/>
        <w:rPr>
          <w:sz w:val="20"/>
          <w:szCs w:val="20"/>
          <w:color w:val="auto"/>
        </w:rPr>
      </w:pPr>
      <w:r>
        <w:rPr>
          <w:rFonts w:ascii="Arial" w:cs="Arial" w:eastAsia="Arial" w:hAnsi="Arial"/>
          <w:sz w:val="16"/>
          <w:szCs w:val="16"/>
          <w:b w:val="1"/>
          <w:bCs w:val="1"/>
          <w:color w:val="007FC4"/>
        </w:rPr>
        <w:t>We believe Ms. Howard is qualified to serve on our Board of Directors because of her extensive business experience with technology companies, including experience in the formation, development and business strategy of multiple start-up companies in the payments sector.</w:t>
      </w:r>
    </w:p>
    <w:p>
      <w:pPr>
        <w:spacing w:after="0" w:line="200" w:lineRule="exact"/>
        <w:rPr>
          <w:sz w:val="20"/>
          <w:szCs w:val="20"/>
          <w:color w:val="auto"/>
        </w:rPr>
      </w:pPr>
    </w:p>
    <w:p>
      <w:pPr>
        <w:sectPr>
          <w:pgSz w:w="11900" w:h="16838" w:orient="portrait"/>
          <w:cols w:equalWidth="0" w:num="2">
            <w:col w:w="1780" w:space="720"/>
            <w:col w:w="6780"/>
          </w:cols>
          <w:pgMar w:left="1240" w:top="114" w:right="1379" w:bottom="1440" w:gutter="0" w:footer="0" w:header="0"/>
        </w:sectPr>
      </w:pPr>
    </w:p>
    <w:p>
      <w:pPr>
        <w:spacing w:after="0" w:line="27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are no family relationships among any of our directors or executive officers. See “Corporate Governance” below for additional information regarding our Board of Directors.</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Flywire Corporation      13 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PROPOSAL TWO:</w:t>
      </w:r>
    </w:p>
    <w:p>
      <w:pPr>
        <w:spacing w:after="0" w:line="213" w:lineRule="exact"/>
        <w:rPr>
          <w:sz w:val="20"/>
          <w:szCs w:val="20"/>
          <w:color w:val="auto"/>
        </w:rPr>
      </w:pPr>
    </w:p>
    <w:p>
      <w:pPr>
        <w:ind w:right="1280"/>
        <w:spacing w:after="0" w:line="267" w:lineRule="auto"/>
        <w:rPr>
          <w:sz w:val="20"/>
          <w:szCs w:val="20"/>
          <w:color w:val="auto"/>
        </w:rPr>
      </w:pPr>
      <w:r>
        <w:rPr>
          <w:rFonts w:ascii="Arial" w:cs="Arial" w:eastAsia="Arial" w:hAnsi="Arial"/>
          <w:sz w:val="50"/>
          <w:szCs w:val="50"/>
          <w:b w:val="1"/>
          <w:bCs w:val="1"/>
          <w:color w:val="007FC4"/>
        </w:rPr>
        <w:t>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5966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GENERAL</w:t>
      </w:r>
    </w:p>
    <w:p>
      <w:pPr>
        <w:spacing w:after="0" w:line="18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Audit Committee has appointed the firm of PricewaterhouseCoopers LLP, independent registered public accountants, to audit our financial statements for the year ending December 31, 2024. PricewaterhouseCoopers LLP has audited our financial statements since the fiscal year ended December 31, 2019.</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Flywire and its stockholders. At the Annual Meeting, the stockholders are being asked to ratify the appointment of PricewaterhouseCoopers LLP as our independent registered public accounting firm for the year ending December 31, 2024. Our Audit Committee is submitting the selection of PricewaterhouseCoopers LLP to our stockholders because we value our stockholders’ views on our independent registered public accounting firm and as a matter of good corporate governance. Representatives of PricewaterhouseCoopers LLP are expected to be present at the Annual Meeting and they will have an opportunity to make statements and will be available to respond to appropriate questions from stockholders.</w:t>
      </w:r>
    </w:p>
    <w:p>
      <w:pPr>
        <w:spacing w:after="0" w:line="129"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If this proposal does not receive a “FOR” vote from the holders of a majority of the shares of common stock present in person or represented by proxy at the Annual Meeting and voted “FOR” or “AGAINST” the proposal, the Audit Committee would reconsider the appointment. Abstentions and broker non-votes will have no effect on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FEES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all fees paid or accrued by us for professional audit services and other services rendered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during the years ended December 31, 2023 and 2022:</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3800" w:type="dxa"/>
            <w:vAlign w:val="bottom"/>
          </w:tcPr>
          <w:p>
            <w:pPr>
              <w:jc w:val="right"/>
              <w:ind w:right="470"/>
              <w:spacing w:after="0"/>
              <w:rPr>
                <w:sz w:val="20"/>
                <w:szCs w:val="20"/>
                <w:color w:val="auto"/>
              </w:rPr>
            </w:pPr>
            <w:r>
              <w:rPr>
                <w:rFonts w:ascii="Arial" w:cs="Arial" w:eastAsia="Arial" w:hAnsi="Arial"/>
                <w:sz w:val="13"/>
                <w:szCs w:val="13"/>
                <w:b w:val="1"/>
                <w:bCs w:val="1"/>
                <w:color w:val="auto"/>
              </w:rPr>
              <w:t>2023 ($)</w:t>
            </w:r>
          </w:p>
        </w:tc>
        <w:tc>
          <w:tcPr>
            <w:tcW w:w="1300" w:type="dxa"/>
            <w:vAlign w:val="bottom"/>
          </w:tcPr>
          <w:p>
            <w:pPr>
              <w:jc w:val="right"/>
              <w:ind w:right="10"/>
              <w:spacing w:after="0"/>
              <w:rPr>
                <w:sz w:val="20"/>
                <w:szCs w:val="20"/>
                <w:color w:val="auto"/>
              </w:rPr>
            </w:pPr>
            <w:r>
              <w:rPr>
                <w:rFonts w:ascii="Arial" w:cs="Arial" w:eastAsia="Arial" w:hAnsi="Arial"/>
                <w:sz w:val="13"/>
                <w:szCs w:val="13"/>
                <w:b w:val="1"/>
                <w:bCs w:val="1"/>
                <w:color w:val="auto"/>
              </w:rPr>
              <w:t>2022 ($)</w:t>
            </w:r>
          </w:p>
        </w:tc>
      </w:tr>
      <w:tr>
        <w:trPr>
          <w:trHeight w:val="48"/>
        </w:trPr>
        <w:tc>
          <w:tcPr>
            <w:tcW w:w="43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419"/>
        </w:trPr>
        <w:tc>
          <w:tcPr>
            <w:tcW w:w="4300" w:type="dxa"/>
            <w:vAlign w:val="bottom"/>
            <w:shd w:val="clear" w:color="auto" w:fill="E5EBF7"/>
          </w:tcPr>
          <w:p>
            <w:pPr>
              <w:ind w:left="240"/>
              <w:spacing w:after="0"/>
              <w:rPr>
                <w:sz w:val="20"/>
                <w:szCs w:val="20"/>
                <w:color w:val="auto"/>
              </w:rPr>
            </w:pPr>
            <w:r>
              <w:rPr>
                <w:rFonts w:ascii="Arial" w:cs="Arial" w:eastAsia="Arial" w:hAnsi="Arial"/>
                <w:sz w:val="14"/>
                <w:szCs w:val="14"/>
                <w:b w:val="1"/>
                <w:bCs w:val="1"/>
                <w:color w:val="007FC4"/>
              </w:rPr>
              <w:t>Audit Fees</w:t>
            </w:r>
            <w:r>
              <w:rPr>
                <w:rFonts w:ascii="Arial" w:cs="Arial" w:eastAsia="Arial" w:hAnsi="Arial"/>
                <w:sz w:val="23"/>
                <w:szCs w:val="23"/>
                <w:b w:val="1"/>
                <w:bCs w:val="1"/>
                <w:color w:val="007FC4"/>
                <w:vertAlign w:val="superscript"/>
              </w:rPr>
              <w:t>(1)</w:t>
            </w:r>
          </w:p>
        </w:tc>
        <w:tc>
          <w:tcPr>
            <w:tcW w:w="3800" w:type="dxa"/>
            <w:vAlign w:val="bottom"/>
            <w:shd w:val="clear" w:color="auto" w:fill="E5EBF7"/>
          </w:tcPr>
          <w:p>
            <w:pPr>
              <w:jc w:val="right"/>
              <w:ind w:right="490"/>
              <w:spacing w:after="0"/>
              <w:rPr>
                <w:sz w:val="20"/>
                <w:szCs w:val="20"/>
                <w:color w:val="auto"/>
              </w:rPr>
            </w:pPr>
            <w:r>
              <w:rPr>
                <w:rFonts w:ascii="Arial" w:cs="Arial" w:eastAsia="Arial" w:hAnsi="Arial"/>
                <w:sz w:val="14"/>
                <w:szCs w:val="14"/>
                <w:color w:val="auto"/>
              </w:rPr>
              <w:t>3,815,904</w:t>
            </w:r>
          </w:p>
        </w:tc>
        <w:tc>
          <w:tcPr>
            <w:tcW w:w="1300" w:type="dxa"/>
            <w:vAlign w:val="bottom"/>
            <w:shd w:val="clear" w:color="auto" w:fill="E5EBF7"/>
          </w:tcPr>
          <w:p>
            <w:pPr>
              <w:jc w:val="right"/>
              <w:ind w:right="30"/>
              <w:spacing w:after="0"/>
              <w:rPr>
                <w:sz w:val="20"/>
                <w:szCs w:val="20"/>
                <w:color w:val="auto"/>
              </w:rPr>
            </w:pPr>
            <w:r>
              <w:rPr>
                <w:rFonts w:ascii="Arial" w:cs="Arial" w:eastAsia="Arial" w:hAnsi="Arial"/>
                <w:sz w:val="14"/>
                <w:szCs w:val="14"/>
                <w:color w:val="auto"/>
              </w:rPr>
              <w:t>4,724,741​</w:t>
            </w:r>
          </w:p>
        </w:tc>
      </w:tr>
      <w:tr>
        <w:trPr>
          <w:trHeight w:val="405"/>
        </w:trPr>
        <w:tc>
          <w:tcPr>
            <w:tcW w:w="4300" w:type="dxa"/>
            <w:vAlign w:val="bottom"/>
          </w:tcPr>
          <w:p>
            <w:pPr>
              <w:ind w:left="240"/>
              <w:spacing w:after="0"/>
              <w:rPr>
                <w:sz w:val="20"/>
                <w:szCs w:val="20"/>
                <w:color w:val="auto"/>
              </w:rPr>
            </w:pPr>
            <w:r>
              <w:rPr>
                <w:rFonts w:ascii="Arial" w:cs="Arial" w:eastAsia="Arial" w:hAnsi="Arial"/>
                <w:sz w:val="14"/>
                <w:szCs w:val="14"/>
                <w:b w:val="1"/>
                <w:bCs w:val="1"/>
                <w:color w:val="007FC4"/>
              </w:rPr>
              <w:t>Audit-Related Fees</w:t>
            </w:r>
            <w:r>
              <w:rPr>
                <w:rFonts w:ascii="Arial" w:cs="Arial" w:eastAsia="Arial" w:hAnsi="Arial"/>
                <w:sz w:val="23"/>
                <w:szCs w:val="23"/>
                <w:b w:val="1"/>
                <w:bCs w:val="1"/>
                <w:color w:val="007FC4"/>
                <w:vertAlign w:val="superscript"/>
              </w:rPr>
              <w:t>(2)</w:t>
            </w:r>
          </w:p>
        </w:tc>
        <w:tc>
          <w:tcPr>
            <w:tcW w:w="3800" w:type="dxa"/>
            <w:vAlign w:val="bottom"/>
          </w:tcPr>
          <w:p>
            <w:pPr>
              <w:jc w:val="right"/>
              <w:ind w:right="490"/>
              <w:spacing w:after="0"/>
              <w:rPr>
                <w:sz w:val="20"/>
                <w:szCs w:val="20"/>
                <w:color w:val="auto"/>
              </w:rPr>
            </w:pPr>
            <w:r>
              <w:rPr>
                <w:rFonts w:ascii="Arial" w:cs="Arial" w:eastAsia="Arial" w:hAnsi="Arial"/>
                <w:sz w:val="14"/>
                <w:szCs w:val="14"/>
                <w:color w:val="auto"/>
              </w:rPr>
              <w:t>176,089</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405"/>
        </w:trPr>
        <w:tc>
          <w:tcPr>
            <w:tcW w:w="4300" w:type="dxa"/>
            <w:vAlign w:val="bottom"/>
            <w:shd w:val="clear" w:color="auto" w:fill="E5EBF7"/>
          </w:tcPr>
          <w:p>
            <w:pPr>
              <w:ind w:left="240"/>
              <w:spacing w:after="0"/>
              <w:rPr>
                <w:sz w:val="20"/>
                <w:szCs w:val="20"/>
                <w:color w:val="auto"/>
              </w:rPr>
            </w:pPr>
            <w:r>
              <w:rPr>
                <w:rFonts w:ascii="Arial" w:cs="Arial" w:eastAsia="Arial" w:hAnsi="Arial"/>
                <w:sz w:val="14"/>
                <w:szCs w:val="14"/>
                <w:b w:val="1"/>
                <w:bCs w:val="1"/>
                <w:color w:val="007FC4"/>
              </w:rPr>
              <w:t>Tax Fees</w:t>
            </w:r>
            <w:r>
              <w:rPr>
                <w:rFonts w:ascii="Arial" w:cs="Arial" w:eastAsia="Arial" w:hAnsi="Arial"/>
                <w:sz w:val="23"/>
                <w:szCs w:val="23"/>
                <w:b w:val="1"/>
                <w:bCs w:val="1"/>
                <w:color w:val="007FC4"/>
                <w:vertAlign w:val="superscript"/>
              </w:rPr>
              <w:t>(3)</w:t>
            </w:r>
          </w:p>
        </w:tc>
        <w:tc>
          <w:tcPr>
            <w:tcW w:w="3800" w:type="dxa"/>
            <w:vAlign w:val="bottom"/>
            <w:shd w:val="clear" w:color="auto" w:fill="E5EBF7"/>
          </w:tcPr>
          <w:p>
            <w:pPr>
              <w:jc w:val="right"/>
              <w:ind w:right="490"/>
              <w:spacing w:after="0"/>
              <w:rPr>
                <w:sz w:val="20"/>
                <w:szCs w:val="20"/>
                <w:color w:val="auto"/>
              </w:rPr>
            </w:pPr>
            <w:r>
              <w:rPr>
                <w:rFonts w:ascii="Arial" w:cs="Arial" w:eastAsia="Arial" w:hAnsi="Arial"/>
                <w:sz w:val="14"/>
                <w:szCs w:val="14"/>
                <w:color w:val="auto"/>
              </w:rPr>
              <w:t>630,002</w:t>
            </w:r>
          </w:p>
        </w:tc>
        <w:tc>
          <w:tcPr>
            <w:tcW w:w="1300" w:type="dxa"/>
            <w:vAlign w:val="bottom"/>
            <w:shd w:val="clear" w:color="auto" w:fill="E5EBF7"/>
          </w:tcPr>
          <w:p>
            <w:pPr>
              <w:jc w:val="right"/>
              <w:ind w:right="50"/>
              <w:spacing w:after="0"/>
              <w:rPr>
                <w:sz w:val="20"/>
                <w:szCs w:val="20"/>
                <w:color w:val="auto"/>
              </w:rPr>
            </w:pPr>
            <w:r>
              <w:rPr>
                <w:rFonts w:ascii="Arial" w:cs="Arial" w:eastAsia="Arial" w:hAnsi="Arial"/>
                <w:sz w:val="14"/>
                <w:szCs w:val="14"/>
                <w:color w:val="auto"/>
              </w:rPr>
              <w:t>518,406</w:t>
            </w:r>
          </w:p>
        </w:tc>
      </w:tr>
      <w:tr>
        <w:trPr>
          <w:trHeight w:val="405"/>
        </w:trPr>
        <w:tc>
          <w:tcPr>
            <w:tcW w:w="4300" w:type="dxa"/>
            <w:vAlign w:val="bottom"/>
          </w:tcPr>
          <w:p>
            <w:pPr>
              <w:ind w:left="240"/>
              <w:spacing w:after="0"/>
              <w:rPr>
                <w:sz w:val="20"/>
                <w:szCs w:val="20"/>
                <w:color w:val="auto"/>
              </w:rPr>
            </w:pPr>
            <w:r>
              <w:rPr>
                <w:rFonts w:ascii="Arial" w:cs="Arial" w:eastAsia="Arial" w:hAnsi="Arial"/>
                <w:sz w:val="14"/>
                <w:szCs w:val="14"/>
                <w:b w:val="1"/>
                <w:bCs w:val="1"/>
                <w:color w:val="007FC4"/>
              </w:rPr>
              <w:t>All Other Fees</w:t>
            </w:r>
            <w:r>
              <w:rPr>
                <w:rFonts w:ascii="Arial" w:cs="Arial" w:eastAsia="Arial" w:hAnsi="Arial"/>
                <w:sz w:val="23"/>
                <w:szCs w:val="23"/>
                <w:b w:val="1"/>
                <w:bCs w:val="1"/>
                <w:color w:val="007FC4"/>
                <w:vertAlign w:val="superscript"/>
              </w:rPr>
              <w:t>(4)</w:t>
            </w:r>
          </w:p>
        </w:tc>
        <w:tc>
          <w:tcPr>
            <w:tcW w:w="3800" w:type="dxa"/>
            <w:vAlign w:val="bottom"/>
          </w:tcPr>
          <w:p>
            <w:pPr>
              <w:jc w:val="right"/>
              <w:ind w:right="490"/>
              <w:spacing w:after="0"/>
              <w:rPr>
                <w:sz w:val="20"/>
                <w:szCs w:val="20"/>
                <w:color w:val="auto"/>
              </w:rPr>
            </w:pPr>
            <w:r>
              <w:rPr>
                <w:rFonts w:ascii="Arial" w:cs="Arial" w:eastAsia="Arial" w:hAnsi="Arial"/>
                <w:sz w:val="14"/>
                <w:szCs w:val="14"/>
                <w:color w:val="auto"/>
              </w:rPr>
              <w:t>2,125</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4,409</w:t>
            </w:r>
          </w:p>
        </w:tc>
      </w:tr>
      <w:tr>
        <w:trPr>
          <w:trHeight w:val="304"/>
        </w:trPr>
        <w:tc>
          <w:tcPr>
            <w:tcW w:w="4300" w:type="dxa"/>
            <w:vAlign w:val="bottom"/>
            <w:tcBorders>
              <w:bottom w:val="single" w:sz="8" w:color="E5EBF7"/>
            </w:tcBorders>
            <w:shd w:val="clear" w:color="auto" w:fill="E5EBF7"/>
          </w:tcPr>
          <w:p>
            <w:pPr>
              <w:ind w:left="240"/>
              <w:spacing w:after="0"/>
              <w:rPr>
                <w:sz w:val="20"/>
                <w:szCs w:val="20"/>
                <w:color w:val="auto"/>
              </w:rPr>
            </w:pPr>
            <w:r>
              <w:rPr>
                <w:rFonts w:ascii="Arial" w:cs="Arial" w:eastAsia="Arial" w:hAnsi="Arial"/>
                <w:sz w:val="14"/>
                <w:szCs w:val="14"/>
                <w:b w:val="1"/>
                <w:bCs w:val="1"/>
                <w:color w:val="007FC4"/>
              </w:rPr>
              <w:t>Total Fees</w:t>
            </w:r>
          </w:p>
        </w:tc>
        <w:tc>
          <w:tcPr>
            <w:tcW w:w="3800" w:type="dxa"/>
            <w:vAlign w:val="bottom"/>
            <w:tcBorders>
              <w:bottom w:val="single" w:sz="8" w:color="E5EBF7"/>
            </w:tcBorders>
            <w:shd w:val="clear" w:color="auto" w:fill="E5EBF7"/>
          </w:tcPr>
          <w:p>
            <w:pPr>
              <w:jc w:val="right"/>
              <w:ind w:right="490"/>
              <w:spacing w:after="0"/>
              <w:rPr>
                <w:sz w:val="20"/>
                <w:szCs w:val="20"/>
                <w:color w:val="auto"/>
              </w:rPr>
            </w:pPr>
            <w:r>
              <w:rPr>
                <w:rFonts w:ascii="Arial" w:cs="Arial" w:eastAsia="Arial" w:hAnsi="Arial"/>
                <w:sz w:val="14"/>
                <w:szCs w:val="14"/>
                <w:color w:val="auto"/>
              </w:rPr>
              <w:t>4,624,120</w:t>
            </w:r>
          </w:p>
        </w:tc>
        <w:tc>
          <w:tcPr>
            <w:tcW w:w="1300" w:type="dxa"/>
            <w:vAlign w:val="bottom"/>
            <w:tcBorders>
              <w:bottom w:val="single" w:sz="8" w:color="E5EBF7"/>
            </w:tcBorders>
            <w:shd w:val="clear" w:color="auto" w:fill="E5EBF7"/>
          </w:tcPr>
          <w:p>
            <w:pPr>
              <w:jc w:val="right"/>
              <w:ind w:right="30"/>
              <w:spacing w:after="0"/>
              <w:rPr>
                <w:sz w:val="20"/>
                <w:szCs w:val="20"/>
                <w:color w:val="auto"/>
              </w:rPr>
            </w:pPr>
            <w:r>
              <w:rPr>
                <w:rFonts w:ascii="Arial" w:cs="Arial" w:eastAsia="Arial" w:hAnsi="Arial"/>
                <w:sz w:val="14"/>
                <w:szCs w:val="14"/>
                <w:color w:val="auto"/>
              </w:rPr>
              <w:t>5,247,556​</w:t>
            </w:r>
          </w:p>
        </w:tc>
      </w:tr>
      <w:tr>
        <w:trPr>
          <w:trHeight w:val="20"/>
        </w:trPr>
        <w:tc>
          <w:tcPr>
            <w:tcW w:w="4300" w:type="dxa"/>
            <w:vAlign w:val="bottom"/>
            <w:shd w:val="clear" w:color="auto" w:fill="007FC4"/>
          </w:tcPr>
          <w:p>
            <w:pPr>
              <w:spacing w:after="0" w:line="20" w:lineRule="exact"/>
              <w:rPr>
                <w:sz w:val="1"/>
                <w:szCs w:val="1"/>
                <w:color w:val="auto"/>
              </w:rPr>
            </w:pPr>
          </w:p>
        </w:tc>
        <w:tc>
          <w:tcPr>
            <w:tcW w:w="3800" w:type="dxa"/>
            <w:vAlign w:val="bottom"/>
            <w:shd w:val="clear" w:color="auto" w:fill="007FC4"/>
          </w:tcPr>
          <w:p>
            <w:pPr>
              <w:spacing w:after="0" w:line="20" w:lineRule="exact"/>
              <w:rPr>
                <w:sz w:val="1"/>
                <w:szCs w:val="1"/>
                <w:color w:val="auto"/>
              </w:rPr>
            </w:pPr>
          </w:p>
        </w:tc>
        <w:tc>
          <w:tcPr>
            <w:tcW w:w="1300" w:type="dxa"/>
            <w:vAlign w:val="bottom"/>
            <w:shd w:val="clear" w:color="auto" w:fill="007FC4"/>
          </w:tcPr>
          <w:p>
            <w:pPr>
              <w:spacing w:after="0" w:line="20" w:lineRule="exact"/>
              <w:rPr>
                <w:sz w:val="1"/>
                <w:szCs w:val="1"/>
                <w:color w:val="auto"/>
              </w:rPr>
            </w:pPr>
          </w:p>
        </w:tc>
      </w:tr>
    </w:tbl>
    <w:p>
      <w:pPr>
        <w:spacing w:after="0" w:line="90" w:lineRule="exact"/>
        <w:rPr>
          <w:sz w:val="20"/>
          <w:szCs w:val="20"/>
          <w:color w:val="auto"/>
        </w:rPr>
      </w:pPr>
    </w:p>
    <w:p>
      <w:pPr>
        <w:ind w:left="360" w:right="40" w:hanging="354"/>
        <w:spacing w:after="0" w:line="229" w:lineRule="auto"/>
        <w:tabs>
          <w:tab w:leader="none" w:pos="360" w:val="left"/>
        </w:tabs>
        <w:numPr>
          <w:ilvl w:val="0"/>
          <w:numId w:val="55"/>
        </w:numPr>
        <w:rPr>
          <w:rFonts w:ascii="Arial" w:cs="Arial" w:eastAsia="Arial" w:hAnsi="Arial"/>
          <w:sz w:val="13"/>
          <w:szCs w:val="13"/>
          <w:color w:val="333333"/>
        </w:rPr>
      </w:pPr>
      <w:r>
        <w:rPr>
          <w:rFonts w:ascii="Arial" w:cs="Arial" w:eastAsia="Arial" w:hAnsi="Arial"/>
          <w:sz w:val="13"/>
          <w:szCs w:val="13"/>
          <w:color w:val="333333"/>
        </w:rPr>
        <w:t>Consists of fees billed for professional services rendered in connection with the annual audit of our consolidated financial statements and internal controls over financial reporting, including audited financial statements presented in the 2023 Annual Report, reviews of our interim unaudited consolidated financial statements included in our quarterly reports, issuances of consents and services normally provided in connection with regulatory filings. Fees billed for the year ended December 31, 2023 also included services rendered in connection with our follow-on public offering in August 2023.</w:t>
      </w:r>
    </w:p>
    <w:p>
      <w:pPr>
        <w:spacing w:after="0" w:line="77" w:lineRule="exact"/>
        <w:rPr>
          <w:rFonts w:ascii="Arial" w:cs="Arial" w:eastAsia="Arial" w:hAnsi="Arial"/>
          <w:sz w:val="13"/>
          <w:szCs w:val="13"/>
          <w:color w:val="333333"/>
        </w:rPr>
      </w:pPr>
    </w:p>
    <w:p>
      <w:pPr>
        <w:ind w:left="360" w:right="200" w:hanging="354"/>
        <w:spacing w:after="0" w:line="233" w:lineRule="auto"/>
        <w:tabs>
          <w:tab w:leader="none" w:pos="360" w:val="left"/>
        </w:tabs>
        <w:numPr>
          <w:ilvl w:val="0"/>
          <w:numId w:val="55"/>
        </w:numPr>
        <w:rPr>
          <w:rFonts w:ascii="Arial" w:cs="Arial" w:eastAsia="Arial" w:hAnsi="Arial"/>
          <w:sz w:val="13"/>
          <w:szCs w:val="13"/>
          <w:color w:val="333333"/>
        </w:rPr>
      </w:pPr>
      <w:r>
        <w:rPr>
          <w:rFonts w:ascii="Arial" w:cs="Arial" w:eastAsia="Arial" w:hAnsi="Arial"/>
          <w:sz w:val="13"/>
          <w:szCs w:val="13"/>
          <w:color w:val="333333"/>
        </w:rPr>
        <w:t>Consists of fees billed for assurance services that are reasonably related to the performance of the audit or review of our consolidated financial statements and are not reported under “Audit Fees”. For the year ended December 31, 2023, services rendered related to acquisition due diligence procedures. For the year ended December 31, 2022, there were no audit-related fees incurred for professional services.</w:t>
      </w:r>
    </w:p>
    <w:p>
      <w:pPr>
        <w:spacing w:after="0" w:line="77" w:lineRule="exact"/>
        <w:rPr>
          <w:rFonts w:ascii="Arial" w:cs="Arial" w:eastAsia="Arial" w:hAnsi="Arial"/>
          <w:sz w:val="13"/>
          <w:szCs w:val="13"/>
          <w:color w:val="333333"/>
        </w:rPr>
      </w:pPr>
    </w:p>
    <w:p>
      <w:pPr>
        <w:ind w:left="360" w:right="80" w:hanging="354"/>
        <w:spacing w:after="0" w:line="243" w:lineRule="auto"/>
        <w:tabs>
          <w:tab w:leader="none" w:pos="360" w:val="left"/>
        </w:tabs>
        <w:numPr>
          <w:ilvl w:val="0"/>
          <w:numId w:val="55"/>
        </w:numPr>
        <w:rPr>
          <w:rFonts w:ascii="Arial" w:cs="Arial" w:eastAsia="Arial" w:hAnsi="Arial"/>
          <w:sz w:val="13"/>
          <w:szCs w:val="13"/>
          <w:color w:val="333333"/>
        </w:rPr>
      </w:pPr>
      <w:r>
        <w:rPr>
          <w:rFonts w:ascii="Arial" w:cs="Arial" w:eastAsia="Arial" w:hAnsi="Arial"/>
          <w:sz w:val="13"/>
          <w:szCs w:val="13"/>
          <w:color w:val="333333"/>
        </w:rPr>
        <w:t>Consists of fees billed for professional services for tax compliance, tax advice and tax planning. For both the years ended December 31, 2023 and December 31, 2022, these services included assistance regarding federal, state and international tax compliance.</w:t>
      </w:r>
    </w:p>
    <w:p>
      <w:pPr>
        <w:spacing w:after="0" w:line="75" w:lineRule="exact"/>
        <w:rPr>
          <w:rFonts w:ascii="Arial" w:cs="Arial" w:eastAsia="Arial" w:hAnsi="Arial"/>
          <w:sz w:val="13"/>
          <w:szCs w:val="13"/>
          <w:color w:val="333333"/>
        </w:rPr>
      </w:pPr>
    </w:p>
    <w:p>
      <w:pPr>
        <w:ind w:left="360" w:hanging="354"/>
        <w:spacing w:after="0"/>
        <w:tabs>
          <w:tab w:leader="none" w:pos="360" w:val="left"/>
        </w:tabs>
        <w:numPr>
          <w:ilvl w:val="0"/>
          <w:numId w:val="55"/>
        </w:numPr>
        <w:rPr>
          <w:rFonts w:ascii="Arial" w:cs="Arial" w:eastAsia="Arial" w:hAnsi="Arial"/>
          <w:sz w:val="13"/>
          <w:szCs w:val="13"/>
          <w:color w:val="333333"/>
        </w:rPr>
      </w:pPr>
      <w:r>
        <w:rPr>
          <w:rFonts w:ascii="Arial" w:cs="Arial" w:eastAsia="Arial" w:hAnsi="Arial"/>
          <w:sz w:val="13"/>
          <w:szCs w:val="13"/>
          <w:color w:val="333333"/>
        </w:rPr>
        <w:t>Consists of fees for permitted products and services other than those that meet the criteria above.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14 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PRE-APPROVAL OF AUDIT AND NON-AUDIT SERVICES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of the Audit Committee if such approval is needed on a time urgent basis) generally pre-approves of all audit and permissible non-audit services provided by the independent registered public accounting firm. These services may include audit services, audit-related services, tax services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5966460"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539750"/>
                    </a:xfrm>
                    <a:prstGeom prst="rect">
                      <a:avLst/>
                    </a:prstGeom>
                    <a:noFill/>
                  </pic:spPr>
                </pic:pic>
              </a:graphicData>
            </a:graphic>
          </wp:anchor>
        </w:drawing>
      </w:r>
    </w:p>
    <w:p>
      <w:pPr>
        <w:spacing w:after="0" w:line="283" w:lineRule="exact"/>
        <w:rPr>
          <w:sz w:val="20"/>
          <w:szCs w:val="20"/>
          <w:color w:val="auto"/>
        </w:rPr>
      </w:pPr>
    </w:p>
    <w:p>
      <w:pPr>
        <w:ind w:left="500" w:right="800"/>
        <w:spacing w:after="0" w:line="271" w:lineRule="auto"/>
        <w:rPr>
          <w:sz w:val="20"/>
          <w:szCs w:val="20"/>
          <w:color w:val="auto"/>
        </w:rPr>
      </w:pPr>
      <w:r>
        <w:rPr>
          <w:rFonts w:ascii="Arial" w:cs="Arial" w:eastAsia="Arial" w:hAnsi="Arial"/>
          <w:sz w:val="16"/>
          <w:szCs w:val="16"/>
          <w:b w:val="1"/>
          <w:bCs w:val="1"/>
          <w:color w:val="007FC4"/>
        </w:rPr>
        <w:t>Our Board of Directors unanimously recommends a vote “FOR” ratification of the appointment of PricewaterHouseCoopers LLP as our independent registered public accounting firm for the year ending December 31, 2024.</w:t>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Flywire Corporation      15 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PROPOSAL THREE:</w:t>
      </w:r>
    </w:p>
    <w:p>
      <w:pPr>
        <w:spacing w:after="0" w:line="146" w:lineRule="exact"/>
        <w:rPr>
          <w:sz w:val="20"/>
          <w:szCs w:val="20"/>
          <w:color w:val="auto"/>
        </w:rPr>
      </w:pPr>
    </w:p>
    <w:p>
      <w:pPr>
        <w:ind w:right="2720"/>
        <w:spacing w:after="0" w:line="292" w:lineRule="auto"/>
        <w:rPr>
          <w:sz w:val="20"/>
          <w:szCs w:val="20"/>
          <w:color w:val="auto"/>
        </w:rPr>
      </w:pPr>
      <w:r>
        <w:rPr>
          <w:rFonts w:ascii="Arial" w:cs="Arial" w:eastAsia="Arial" w:hAnsi="Arial"/>
          <w:sz w:val="50"/>
          <w:szCs w:val="50"/>
          <w:b w:val="1"/>
          <w:bCs w:val="1"/>
          <w:color w:val="007FC4"/>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accordance with Section 14A of the Exchange Act and as a matter of good corporate governance, our Board of Directors is providing the stockholders with the opportunity to vote to approve, on a non-binding, advisory basis, the compensation of our named executive officers as described in the section below entitled “Executive Officer Compensation” and accompanying compensation tables, and as discussed in the related narrative disclosure below. This advisory vote is commonly referred to as a “say-on-pay” vote. Stockholders may express their views on the design and effectiveness of our executive compensation program by abstaining or voting “For” or “Against” approval, on a non-binding, advisory basis, of the compensation of our named executive officers. This vote is not intended to address any specific element of compensation, but rather the overall compensation of the named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COMPENSATION PROGRAM AND PHILOSOPHY</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executive compensation philosophy and programs are designed to be market-competitive, enabling Flywire to attract and retain top talent in a highly-competitive global technology market. We believe that our executive compensation programs foster a performance-oriented culture that aligns our executives’ interests with those of our stockholders over the long term. We believe that the compensation of our executives is both appropriate for and responsive to the goal of improving stockholder value. Specifically, our total executive compensation is heavily weighted toward equity incentive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w:t>
      </w:r>
    </w:p>
    <w:p>
      <w:pPr>
        <w:spacing w:after="0" w:line="181"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Stockholders are urged to read the “Compensation Discussion and Analysis” section of this Proxy Statement and the tables and narrative discussion that follow for detail about our executive compensation programs, including information about the fiscal year 2023 compensation of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REQUIRED VOTE AND RECOMMENDATION OF THE BOARD OF DIRECTORS FOR PROPOSAL 3</w:t>
      </w:r>
    </w:p>
    <w:p>
      <w:pPr>
        <w:spacing w:after="0" w:line="181"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A “FOR” vote from the holders of a majority of the shares of common stock present in person or represented by proxy at the Annual Meeting and voted “FOR” or “AGAINST” the proposal is required to approve, on a non-binding, advisory basis, the compensation of our named executive officers. Abstentions and broker non-votes will not be counted “For” or “Against” this proposal and will have no effect on this proposal.</w:t>
      </w:r>
    </w:p>
    <w:p>
      <w:pPr>
        <w:spacing w:after="0" w:line="124"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Because say-on-pay votes are advisory and non-binding, voting results cannot overrule any decisions made by the Board of Directors or People &amp; Compensation Committee. However, our People &amp; Compensation Committee will take into account the outcome of the vote when considering future compensation arrangements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420370"/>
                    </a:xfrm>
                    <a:prstGeom prst="rect">
                      <a:avLst/>
                    </a:prstGeom>
                    <a:noFill/>
                  </pic:spPr>
                </pic:pic>
              </a:graphicData>
            </a:graphic>
          </wp:anchor>
        </w:drawing>
      </w:r>
    </w:p>
    <w:p>
      <w:pPr>
        <w:spacing w:after="0" w:line="273" w:lineRule="exact"/>
        <w:rPr>
          <w:sz w:val="20"/>
          <w:szCs w:val="20"/>
          <w:color w:val="auto"/>
        </w:rPr>
      </w:pPr>
    </w:p>
    <w:p>
      <w:pPr>
        <w:ind w:left="500" w:right="400"/>
        <w:spacing w:after="0" w:line="296" w:lineRule="auto"/>
        <w:rPr>
          <w:sz w:val="20"/>
          <w:szCs w:val="20"/>
          <w:color w:val="auto"/>
        </w:rPr>
      </w:pPr>
      <w:r>
        <w:rPr>
          <w:rFonts w:ascii="Arial" w:cs="Arial" w:eastAsia="Arial" w:hAnsi="Arial"/>
          <w:sz w:val="16"/>
          <w:szCs w:val="16"/>
          <w:b w:val="1"/>
          <w:bCs w:val="1"/>
          <w:color w:val="007FC4"/>
        </w:rPr>
        <w:t>The Board of Directors unanimously recommends a vote “FOR” approval, on a non-binding, advisory basis, of the compensation of our named executive officers.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16 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CODE OF CONDUCT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Board of Directors adopted a code of business conduct that applies to each of our directors, officers and employees. The full text of our code of business conduct is posted on the investor relations section of our website at https://ir.flywire.com. Any waiver of the code of business conduct for an executive officer or director may be granted only by our Board of Directors or a committee thereof and must be timely disclosed as required by applicable law. We have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ENVIRONMENTAL, SOCIAL AND GOVERNANCE (ESG)</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December 2022, we released our inaugural ESG report, our first comprehensive summary of how we integrate social good initiatives into our business strategy. The report provides baseline metrics as well as a detailed overview of the core tenets of our ESG program, which are shaped by many defining principles-from social impact and community engagement, to diversity, equity and inclusion (DE&amp;I), and much more. Our ESG report is based on global best practices, and aligns with metrics set forth by the Sustainability Accounting Standards Board standards as well as the Global Reporting Initiative standards.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Our report details our investments across the following ESG disciplines, including:</w:t>
      </w:r>
    </w:p>
    <w:p>
      <w:pPr>
        <w:spacing w:after="0" w:line="181" w:lineRule="exact"/>
        <w:rPr>
          <w:sz w:val="20"/>
          <w:szCs w:val="20"/>
          <w:color w:val="auto"/>
        </w:rPr>
      </w:pPr>
    </w:p>
    <w:p>
      <w:pPr>
        <w:ind w:left="660" w:hanging="330"/>
        <w:spacing w:after="0" w:line="28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Affordability and accessibility: </w:t>
      </w:r>
      <w:r>
        <w:rPr>
          <w:rFonts w:ascii="Arial" w:cs="Arial" w:eastAsia="Arial" w:hAnsi="Arial"/>
          <w:sz w:val="16"/>
          <w:szCs w:val="16"/>
          <w:color w:val="auto"/>
        </w:rPr>
        <w:t>Our payments technology and software enables payers to set up payment plans, helping</w:t>
      </w:r>
      <w:r>
        <w:rPr>
          <w:rFonts w:ascii="Arial" w:cs="Arial" w:eastAsia="Arial" w:hAnsi="Arial"/>
          <w:sz w:val="16"/>
          <w:szCs w:val="16"/>
          <w:b w:val="1"/>
          <w:bCs w:val="1"/>
          <w:color w:val="auto"/>
        </w:rPr>
        <w:t xml:space="preserve"> </w:t>
      </w:r>
      <w:r>
        <w:rPr>
          <w:rFonts w:ascii="Arial" w:cs="Arial" w:eastAsia="Arial" w:hAnsi="Arial"/>
          <w:sz w:val="16"/>
          <w:szCs w:val="16"/>
          <w:color w:val="auto"/>
        </w:rPr>
        <w:t>to make high-value transactions like medical bills and education expenses more accessible and affordable.</w:t>
      </w:r>
    </w:p>
    <w:p>
      <w:pPr>
        <w:spacing w:after="0" w:line="115" w:lineRule="exact"/>
        <w:rPr>
          <w:rFonts w:ascii="Arial" w:cs="Arial" w:eastAsia="Arial" w:hAnsi="Arial"/>
          <w:sz w:val="16"/>
          <w:szCs w:val="16"/>
          <w:color w:val="auto"/>
        </w:rPr>
      </w:pPr>
    </w:p>
    <w:p>
      <w:pPr>
        <w:ind w:left="660" w:hanging="330"/>
        <w:spacing w:after="0" w:line="259"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Diversity, equity and inclusion: </w:t>
      </w:r>
      <w:r>
        <w:rPr>
          <w:rFonts w:ascii="Arial" w:cs="Arial" w:eastAsia="Arial" w:hAnsi="Arial"/>
          <w:sz w:val="16"/>
          <w:szCs w:val="16"/>
          <w:color w:val="auto"/>
        </w:rPr>
        <w:t>Our employees, who we call FlyMates, represent 40 nationalities and spoken</w:t>
      </w:r>
      <w:r>
        <w:rPr>
          <w:rFonts w:ascii="Arial" w:cs="Arial" w:eastAsia="Arial" w:hAnsi="Arial"/>
          <w:sz w:val="16"/>
          <w:szCs w:val="16"/>
          <w:b w:val="1"/>
          <w:bCs w:val="1"/>
          <w:color w:val="auto"/>
        </w:rPr>
        <w:t xml:space="preserve"> </w:t>
      </w:r>
      <w:r>
        <w:rPr>
          <w:rFonts w:ascii="Arial" w:cs="Arial" w:eastAsia="Arial" w:hAnsi="Arial"/>
          <w:sz w:val="16"/>
          <w:szCs w:val="16"/>
          <w:color w:val="auto"/>
        </w:rPr>
        <w:t>languages. Our Employee Resource Groups, including Flywire Pride, FlyBlack, API (Asian and Pacific Islanders)@Flywire, LatinX@Flywire, Women of Flywire and Flywire Globals, are devoted to promoting FlyMate inclusivity and belonging as well as our overall DE&amp;I mission.</w:t>
      </w:r>
    </w:p>
    <w:p>
      <w:pPr>
        <w:spacing w:after="0" w:line="150" w:lineRule="exact"/>
        <w:rPr>
          <w:rFonts w:ascii="Arial" w:cs="Arial" w:eastAsia="Arial" w:hAnsi="Arial"/>
          <w:sz w:val="16"/>
          <w:szCs w:val="16"/>
          <w:color w:val="auto"/>
        </w:rPr>
      </w:pPr>
    </w:p>
    <w:p>
      <w:pPr>
        <w:ind w:left="660" w:right="460" w:hanging="330"/>
        <w:spacing w:after="0" w:line="26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Career development and training: </w:t>
      </w:r>
      <w:r>
        <w:rPr>
          <w:rFonts w:ascii="Arial" w:cs="Arial" w:eastAsia="Arial" w:hAnsi="Arial"/>
          <w:sz w:val="16"/>
          <w:szCs w:val="16"/>
          <w:color w:val="auto"/>
        </w:rPr>
        <w:t>In 2023, FlyMates spent more than 2,900 hours on company-sponsored career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training programs. These initiatives are available to all FlyMates, including part-time and contract employees.</w:t>
      </w:r>
    </w:p>
    <w:p>
      <w:pPr>
        <w:spacing w:after="0" w:line="130" w:lineRule="exact"/>
        <w:rPr>
          <w:rFonts w:ascii="Arial" w:cs="Arial" w:eastAsia="Arial" w:hAnsi="Arial"/>
          <w:sz w:val="16"/>
          <w:szCs w:val="16"/>
          <w:color w:val="auto"/>
        </w:rPr>
      </w:pPr>
    </w:p>
    <w:p>
      <w:pPr>
        <w:ind w:left="660" w:right="80" w:hanging="330"/>
        <w:spacing w:after="0" w:line="26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Social impact and community engagement: </w:t>
      </w:r>
      <w:r>
        <w:rPr>
          <w:rFonts w:ascii="Arial" w:cs="Arial" w:eastAsia="Arial" w:hAnsi="Arial"/>
          <w:sz w:val="16"/>
          <w:szCs w:val="16"/>
          <w:color w:val="auto"/>
        </w:rPr>
        <w:t>A cornerstone of our social impact and community engagement efforts is</w:t>
      </w:r>
      <w:r>
        <w:rPr>
          <w:rFonts w:ascii="Arial" w:cs="Arial" w:eastAsia="Arial" w:hAnsi="Arial"/>
          <w:sz w:val="16"/>
          <w:szCs w:val="16"/>
          <w:b w:val="1"/>
          <w:bCs w:val="1"/>
          <w:color w:val="auto"/>
        </w:rPr>
        <w:t xml:space="preserve"> </w:t>
      </w:r>
      <w:r>
        <w:rPr>
          <w:rFonts w:ascii="Arial" w:cs="Arial" w:eastAsia="Arial" w:hAnsi="Arial"/>
          <w:sz w:val="16"/>
          <w:szCs w:val="16"/>
          <w:color w:val="auto"/>
        </w:rPr>
        <w:t>The Flywire Charitable Foundation, which improves quality, access and affordability for underrepresented individuals and communities.</w:t>
      </w:r>
    </w:p>
    <w:p>
      <w:pPr>
        <w:spacing w:after="0" w:line="130" w:lineRule="exact"/>
        <w:rPr>
          <w:rFonts w:ascii="Arial" w:cs="Arial" w:eastAsia="Arial" w:hAnsi="Arial"/>
          <w:sz w:val="16"/>
          <w:szCs w:val="16"/>
          <w:color w:val="auto"/>
        </w:rPr>
      </w:pPr>
    </w:p>
    <w:p>
      <w:pPr>
        <w:ind w:left="660" w:right="60" w:hanging="330"/>
        <w:spacing w:after="0" w:line="26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Data privacy, security and compliance: </w:t>
      </w:r>
      <w:r>
        <w:rPr>
          <w:rFonts w:ascii="Arial" w:cs="Arial" w:eastAsia="Arial" w:hAnsi="Arial"/>
          <w:sz w:val="16"/>
          <w:szCs w:val="16"/>
          <w:color w:val="auto"/>
        </w:rPr>
        <w:t>Our dedicated compliance and risk management function, overseen by our</w:t>
      </w:r>
      <w:r>
        <w:rPr>
          <w:rFonts w:ascii="Arial" w:cs="Arial" w:eastAsia="Arial" w:hAnsi="Arial"/>
          <w:sz w:val="16"/>
          <w:szCs w:val="16"/>
          <w:b w:val="1"/>
          <w:bCs w:val="1"/>
          <w:color w:val="auto"/>
        </w:rPr>
        <w:t xml:space="preserve"> </w:t>
      </w:r>
      <w:r>
        <w:rPr>
          <w:rFonts w:ascii="Arial" w:cs="Arial" w:eastAsia="Arial" w:hAnsi="Arial"/>
          <w:sz w:val="16"/>
          <w:szCs w:val="16"/>
          <w:color w:val="auto"/>
        </w:rPr>
        <w:t>Chief Compliance Officer and Chief Information Security Officer with Board-level oversight, has been built over more than a decade, providing payers and clients with confidence in our solutions.</w:t>
      </w:r>
    </w:p>
    <w:p>
      <w:pPr>
        <w:spacing w:after="0" w:line="144" w:lineRule="exact"/>
        <w:rPr>
          <w:rFonts w:ascii="Arial" w:cs="Arial" w:eastAsia="Arial" w:hAnsi="Arial"/>
          <w:sz w:val="16"/>
          <w:szCs w:val="16"/>
          <w:color w:val="auto"/>
        </w:rPr>
      </w:pPr>
    </w:p>
    <w:p>
      <w:pPr>
        <w:ind w:left="660" w:right="60" w:hanging="330"/>
        <w:spacing w:after="0" w:line="259"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Governance and ethics: </w:t>
      </w:r>
      <w:r>
        <w:rPr>
          <w:rFonts w:ascii="Arial" w:cs="Arial" w:eastAsia="Arial" w:hAnsi="Arial"/>
          <w:sz w:val="16"/>
          <w:szCs w:val="16"/>
          <w:color w:val="auto"/>
        </w:rPr>
        <w:t>We are committed to ethical and compliant business practices and good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long-term success of Flywire and our stockholders. We have a Code of Conduct that is actively enforced and mandatory training across a spectrum of important topics, ranging from anti-money laundering to sexual harassment to information security best practices.</w:t>
      </w:r>
    </w:p>
    <w:p>
      <w:pPr>
        <w:spacing w:after="0" w:line="137" w:lineRule="exact"/>
        <w:rPr>
          <w:rFonts w:ascii="Arial" w:cs="Arial" w:eastAsia="Arial" w:hAnsi="Arial"/>
          <w:sz w:val="16"/>
          <w:szCs w:val="16"/>
          <w:color w:val="auto"/>
        </w:rPr>
      </w:pPr>
    </w:p>
    <w:p>
      <w:pPr>
        <w:ind w:left="660" w:hanging="330"/>
        <w:spacing w:after="0" w:line="259"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sustainability: </w:t>
      </w:r>
      <w:r>
        <w:rPr>
          <w:rFonts w:ascii="Arial" w:cs="Arial" w:eastAsia="Arial" w:hAnsi="Arial"/>
          <w:sz w:val="16"/>
          <w:szCs w:val="16"/>
          <w:color w:val="auto"/>
        </w:rPr>
        <w:t>We conducted our first greenhouse gas emissions audit of our operations and most</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17 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the past year, we have reinforced our commitment to ESG by:</w:t>
      </w:r>
    </w:p>
    <w:p>
      <w:pPr>
        <w:spacing w:after="0" w:line="181" w:lineRule="exact"/>
        <w:rPr>
          <w:sz w:val="20"/>
          <w:szCs w:val="20"/>
          <w:color w:val="auto"/>
        </w:rPr>
      </w:pPr>
    </w:p>
    <w:p>
      <w:pPr>
        <w:ind w:left="660" w:right="20" w:hanging="330"/>
        <w:spacing w:after="0" w:line="259"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Codifying ESG as a strategic priority and with active management and oversight of ESG priorities. </w:t>
      </w:r>
      <w:r>
        <w:rPr>
          <w:rFonts w:ascii="Arial" w:cs="Arial" w:eastAsia="Arial" w:hAnsi="Arial"/>
          <w:sz w:val="16"/>
          <w:szCs w:val="16"/>
          <w:color w:val="auto"/>
        </w:rPr>
        <w:t>Our Nominating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Corporate Governance Committee of our Board of Directors is responsible for the oversight of our ESG initiatives, supported by Co-Executive sponsors and a cross-functional task force of FlyMates that comprise the ESG disclosure committee.</w:t>
      </w:r>
    </w:p>
    <w:p>
      <w:pPr>
        <w:spacing w:after="0" w:line="137" w:lineRule="exact"/>
        <w:rPr>
          <w:rFonts w:ascii="Arial" w:cs="Arial" w:eastAsia="Arial" w:hAnsi="Arial"/>
          <w:sz w:val="16"/>
          <w:szCs w:val="16"/>
          <w:color w:val="auto"/>
        </w:rPr>
      </w:pPr>
    </w:p>
    <w:p>
      <w:pPr>
        <w:ind w:left="660" w:right="260" w:hanging="330"/>
        <w:spacing w:after="0" w:line="26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Establishing a Center of Expertise for Diversity, Equity &amp; Inclusion (DE&amp;I) </w:t>
      </w:r>
      <w:r>
        <w:rPr>
          <w:rFonts w:ascii="Arial" w:cs="Arial" w:eastAsia="Arial" w:hAnsi="Arial"/>
          <w:sz w:val="16"/>
          <w:szCs w:val="16"/>
          <w:color w:val="auto"/>
        </w:rPr>
        <w:t>to better serve our diverse,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of FlyMates where they live and work, and to deliver inclusive and compelling experiences that engage and care for FlyMates.</w:t>
      </w:r>
    </w:p>
    <w:p>
      <w:pPr>
        <w:spacing w:after="0" w:line="144" w:lineRule="exact"/>
        <w:rPr>
          <w:rFonts w:ascii="Arial" w:cs="Arial" w:eastAsia="Arial" w:hAnsi="Arial"/>
          <w:sz w:val="16"/>
          <w:szCs w:val="16"/>
          <w:color w:val="auto"/>
        </w:rPr>
      </w:pPr>
    </w:p>
    <w:p>
      <w:pPr>
        <w:ind w:left="660" w:right="560" w:hanging="330"/>
        <w:spacing w:after="0" w:line="28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Enhancing our career development and skills training policies </w:t>
      </w:r>
      <w:r>
        <w:rPr>
          <w:rFonts w:ascii="Arial" w:cs="Arial" w:eastAsia="Arial" w:hAnsi="Arial"/>
          <w:sz w:val="16"/>
          <w:szCs w:val="16"/>
          <w:color w:val="auto"/>
        </w:rPr>
        <w:t>by offering new programs focused on enriching</w:t>
      </w:r>
      <w:r>
        <w:rPr>
          <w:rFonts w:ascii="Arial" w:cs="Arial" w:eastAsia="Arial" w:hAnsi="Arial"/>
          <w:sz w:val="16"/>
          <w:szCs w:val="16"/>
          <w:b w:val="1"/>
          <w:bCs w:val="1"/>
          <w:color w:val="auto"/>
        </w:rPr>
        <w:t xml:space="preserve"> </w:t>
      </w:r>
      <w:r>
        <w:rPr>
          <w:rFonts w:ascii="Arial" w:cs="Arial" w:eastAsia="Arial" w:hAnsi="Arial"/>
          <w:sz w:val="16"/>
          <w:szCs w:val="16"/>
          <w:color w:val="auto"/>
        </w:rPr>
        <w:t>FlyMates’ careers and growing them both personally and professionally.</w:t>
      </w:r>
    </w:p>
    <w:p>
      <w:pPr>
        <w:spacing w:after="0" w:line="115" w:lineRule="exact"/>
        <w:rPr>
          <w:rFonts w:ascii="Arial" w:cs="Arial" w:eastAsia="Arial" w:hAnsi="Arial"/>
          <w:sz w:val="16"/>
          <w:szCs w:val="16"/>
          <w:color w:val="auto"/>
        </w:rPr>
      </w:pPr>
    </w:p>
    <w:p>
      <w:pPr>
        <w:ind w:left="660" w:hanging="330"/>
        <w:spacing w:after="0" w:line="29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Maximizing our social impact initiatives both through the fourth annual scholarship program administered by The Flywire Charitable Foundation</w:t>
      </w:r>
      <w:r>
        <w:rPr>
          <w:rFonts w:ascii="Arial" w:cs="Arial" w:eastAsia="Arial" w:hAnsi="Arial"/>
          <w:sz w:val="16"/>
          <w:szCs w:val="16"/>
          <w:color w:val="auto"/>
        </w:rPr>
        <w:t>, and through purposeful philanthropy to non-profit organizations around the world.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BOARD COMPOSITION</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business affairs are managed under the direction of our Board of Directors, which is currently composed of seven members. All of our directors, other than Mr. Massaro, are independent within the meaning of the listing rules of The Nasdaq Stock Market (Nasdaq).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2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 The classification of our Board of Directors may have the effect of delaying or preventing changes in our control or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DIRECTOR INDEPENDENCE</w:t>
      </w:r>
    </w:p>
    <w:p>
      <w:pPr>
        <w:spacing w:after="0" w:line="18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common stock is listed on the Nasdaq Global Select Market.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 and corporate governance committees be independent. The Nasdaq director independence definition includes a series of objective tests, such as that the director is not also one of our employees and has not engaged in various types of business dealings with us. In addition, as further required by Nasdaq rules, our Board of Directors has made a subjective determination as to each non-employee director that no relationships exist which, in the opinion of our Board of Directors, would interfere with the exercise of independent judgment in carrying out the responsibilities of a director. In making these determinations, our directors reviewed and discussed information provided by the directors and us with regard to each director’s business and personal activities as they may relate to us and our management.</w:t>
      </w:r>
    </w:p>
    <w:p>
      <w:pPr>
        <w:spacing w:after="0" w:line="135"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 independent members of our Board of Directors meet in executive session, without Mr. Massaro or other members of management present, during regularly scheduled meetings.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BOARD LEADERSHIP STRUCTURE</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Board of Directors is currently led by its Chair, Phillip Riese. Our Board of Directors recognizes that it is important to determine an optimal board leadership structure to ensure the independent oversight of management as we continue to grow. We separate the roles of Chief Executive Officer and Chair of the Board of Directors in recognition of the differences between the two roles. The Chief Executive Officer is responsible for setting our strategic direction and our day-to-day leadership and performance, while the Chair of the Board of Directors presides over meetings of the full Board of Directors. We believe that this separation of responsibilities provides a balanced approach to managing the Board of Directors and overseeing our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18 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Board of Directors has established an Audit Committee, a People &amp; Compensation Committee and a Nominating and Corporate Governance Committee. The composition of these committees meets the criteria for independence under, and the functioning of these committees comply with the applicable requirements of the Sarbanes-Oxley Act of 2002, the current rules of Nasdaq and SEC rules and regulations. We intend to comply with future requirements as they become applicable to us. Each committee has the composition and responsibilities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2023, our Audit Committee held nine formal meetings and acted by written consent</w:t>
      </w:r>
    </w:p>
    <w:p>
      <w:pPr>
        <w:spacing w:after="0" w:line="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two times. The current members of our Audit Committee are Edwin Santos, Phillip Riese and Alex Finkelstein, each of whom is a non-employee member of the Board of Directors. Mr. Santos serves as the Chair of the Audit Committee.</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Audit Committee’s main function is to oversee our accounting and financial reporting processes, our internal audit function, internal systems of control, independent registered public accounting firm relationships and the audits of our financial statements. The full text of the Audit Committee’s charter is posted on the corporate governance section of our website at https://ir.flywire.com/corporate-governance/governance-overview. Pursuant to the Audit Committee charter, the functions of the Audit Committee include, among other things:</w:t>
      </w:r>
    </w:p>
    <w:p>
      <w:pPr>
        <w:spacing w:after="0" w:line="139" w:lineRule="exact"/>
        <w:rPr>
          <w:sz w:val="20"/>
          <w:szCs w:val="20"/>
          <w:color w:val="auto"/>
        </w:rPr>
      </w:pPr>
    </w:p>
    <w:p>
      <w:pPr>
        <w:ind w:left="660" w:hanging="330"/>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194" w:lineRule="exact"/>
        <w:rPr>
          <w:rFonts w:ascii="Arial" w:cs="Arial" w:eastAsia="Arial" w:hAnsi="Arial"/>
          <w:sz w:val="16"/>
          <w:szCs w:val="16"/>
          <w:color w:val="auto"/>
        </w:rPr>
      </w:pPr>
    </w:p>
    <w:p>
      <w:pPr>
        <w:ind w:left="660" w:right="240" w:hanging="330"/>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15" w:lineRule="exact"/>
        <w:rPr>
          <w:rFonts w:ascii="Arial" w:cs="Arial" w:eastAsia="Arial" w:hAnsi="Arial"/>
          <w:sz w:val="16"/>
          <w:szCs w:val="16"/>
          <w:color w:val="auto"/>
        </w:rPr>
      </w:pPr>
    </w:p>
    <w:p>
      <w:pPr>
        <w:ind w:left="660" w:right="180" w:hanging="330"/>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discussing with management and the registered public accounting firm our annual and quarterly financial statements and related disclosures;</w:t>
      </w:r>
    </w:p>
    <w:p>
      <w:pPr>
        <w:spacing w:after="0" w:line="115" w:lineRule="exact"/>
        <w:rPr>
          <w:rFonts w:ascii="Arial" w:cs="Arial" w:eastAsia="Arial" w:hAnsi="Arial"/>
          <w:sz w:val="16"/>
          <w:szCs w:val="16"/>
          <w:color w:val="auto"/>
        </w:rPr>
      </w:pPr>
    </w:p>
    <w:p>
      <w:pPr>
        <w:ind w:left="660" w:hanging="330"/>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and our disclosure controls and procedures;</w:t>
      </w:r>
    </w:p>
    <w:p>
      <w:pPr>
        <w:spacing w:after="0" w:line="194" w:lineRule="exact"/>
        <w:rPr>
          <w:rFonts w:ascii="Arial" w:cs="Arial" w:eastAsia="Arial" w:hAnsi="Arial"/>
          <w:sz w:val="16"/>
          <w:szCs w:val="16"/>
          <w:color w:val="auto"/>
        </w:rPr>
      </w:pPr>
    </w:p>
    <w:p>
      <w:pPr>
        <w:ind w:left="660" w:right="1060" w:hanging="330"/>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overseeing the internal audit function, including the annual internal audit plan, internal audit charter and the responsibilities, budget and staffing of our internal audit function;</w:t>
      </w:r>
    </w:p>
    <w:p>
      <w:pPr>
        <w:spacing w:after="0" w:line="115" w:lineRule="exact"/>
        <w:rPr>
          <w:rFonts w:ascii="Arial" w:cs="Arial" w:eastAsia="Arial" w:hAnsi="Arial"/>
          <w:sz w:val="16"/>
          <w:szCs w:val="16"/>
          <w:color w:val="auto"/>
        </w:rPr>
      </w:pPr>
    </w:p>
    <w:p>
      <w:pPr>
        <w:ind w:left="660" w:hanging="330"/>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meeting independently with our registered public accounting firm and management;</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approving or ratifying any related person transactions; and</w:t>
      </w:r>
    </w:p>
    <w:p>
      <w:pPr>
        <w:spacing w:after="0" w:line="180" w:lineRule="exact"/>
        <w:rPr>
          <w:rFonts w:ascii="Arial" w:cs="Arial" w:eastAsia="Arial" w:hAnsi="Arial"/>
          <w:sz w:val="16"/>
          <w:szCs w:val="16"/>
          <w:color w:val="auto"/>
        </w:rPr>
      </w:pPr>
    </w:p>
    <w:p>
      <w:pPr>
        <w:ind w:left="660" w:right="740" w:hanging="330"/>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overseeing our risk assessment and risk management policies, including among other matters, compliance and cybersecurity.</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Each of Messrs. Santos, Finkelstein and Riese qualify as an independent director pursuant to Rule 10A-3.</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All members of our Audit Committee meet the requirements for financial literacy under the applicable rules and regulations of the SEC and Nasdaq. Our Board of Directors has determined that Mr. Santos is an “audit committee financial expert” as defined by applicable SEC rules and has the requisite financial sophistication as defined under the applicable Nasdaq rules and regulations. The designation does not impose on Mr. Santos any duties, obligations or liability that are greater than are generally imposed 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Flywire Corporation      19 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PEOPLE &amp; COMPENSATION COMMITTEE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During the year ended December 31, 2023, our People &amp; Compensation Committee had a number of ad hoc discussions with its compensation consultant and management, held five formal meetings and acted by written consent six times. The current members of our People &amp; Compensation Committee are Diane Offereins, Matthew Harris and Gretchen Howard. Ms. Offereins serves as the Chair of our People &amp; Compensation Committee.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People &amp; Compensation Committee’s main function is to review and recommend policies relating to compensation and benefits of our officers, directors and employees. The full text of our People &amp; Compensation Committee’s charter is posted on the corporate governance section of our website at https://ir.flywire.com/corporate-governance/governance-overview. Pursuant to our People &amp; Compensation Committee charter, the functions of this committee include:</w:t>
      </w:r>
    </w:p>
    <w:p>
      <w:pPr>
        <w:spacing w:after="0" w:line="151" w:lineRule="exact"/>
        <w:rPr>
          <w:sz w:val="20"/>
          <w:szCs w:val="20"/>
          <w:color w:val="auto"/>
        </w:rPr>
      </w:pPr>
    </w:p>
    <w:p>
      <w:pPr>
        <w:ind w:left="660" w:right="540" w:hanging="330"/>
        <w:spacing w:after="0" w:line="28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and determining the Chief Executive Officer’s salary and contingent compensation based on his or her performance and other relevant criteria;</w:t>
      </w:r>
    </w:p>
    <w:p>
      <w:pPr>
        <w:spacing w:after="0" w:line="115"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identifying the corporate and individual objectives governing the Chief Executive Officer’s compensation;</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consultation with the Chief Executive Officer, determining the compensation of our other officers;</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making recommendations to our Board of Directors with respect to director compensation;</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and approving the terms of material agreements with our executive officers;</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overseeing our equity incentive plans and employee benefit plans;</w:t>
      </w:r>
    </w:p>
    <w:p>
      <w:pPr>
        <w:spacing w:after="0" w:line="194" w:lineRule="exact"/>
        <w:rPr>
          <w:rFonts w:ascii="Arial" w:cs="Arial" w:eastAsia="Arial" w:hAnsi="Arial"/>
          <w:sz w:val="16"/>
          <w:szCs w:val="16"/>
          <w:color w:val="auto"/>
        </w:rPr>
      </w:pPr>
    </w:p>
    <w:p>
      <w:pPr>
        <w:ind w:left="660" w:right="500" w:hanging="330"/>
        <w:spacing w:after="0" w:line="28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and approving policies and procedures relating to the perquisites and expense accounts of our executive officers;</w:t>
      </w:r>
    </w:p>
    <w:p>
      <w:pPr>
        <w:spacing w:after="0" w:line="115"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administering the Company’s Policy for the Recovery of Erroneously Awarded Compensation;</w:t>
      </w:r>
    </w:p>
    <w:p>
      <w:pPr>
        <w:spacing w:after="0" w:line="180" w:lineRule="exact"/>
        <w:rPr>
          <w:rFonts w:ascii="Arial" w:cs="Arial" w:eastAsia="Arial" w:hAnsi="Arial"/>
          <w:sz w:val="16"/>
          <w:szCs w:val="16"/>
          <w:color w:val="auto"/>
        </w:rPr>
      </w:pPr>
    </w:p>
    <w:p>
      <w:pPr>
        <w:ind w:left="660" w:right="260" w:hanging="330"/>
        <w:spacing w:after="0" w:line="28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overseeing our strategies and policies related to other organization and people matters, including people management practices;</w:t>
      </w:r>
    </w:p>
    <w:p>
      <w:pPr>
        <w:spacing w:after="0" w:line="128"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and as applicable, furnishing the annual People &amp; Compensation Committee report required by SEC rules; and</w:t>
      </w:r>
    </w:p>
    <w:p>
      <w:pPr>
        <w:spacing w:after="0" w:line="180" w:lineRule="exact"/>
        <w:rPr>
          <w:rFonts w:ascii="Arial" w:cs="Arial" w:eastAsia="Arial" w:hAnsi="Arial"/>
          <w:sz w:val="16"/>
          <w:szCs w:val="16"/>
          <w:color w:val="auto"/>
        </w:rPr>
      </w:pPr>
    </w:p>
    <w:p>
      <w:pPr>
        <w:ind w:left="660" w:hanging="330"/>
        <w:spacing w:after="0" w:line="26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conducting a review of executive officer succession planning, as necessary, reporting its findings and recommendations to our Board of Directors, and working with the Board of Directors in evaluating potential successors to executive officer positions.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Our Board of Directors has determined that each of Mr. Harris, Ms. Howard and Ms. Offereins is independent under the applicable rules and regulations of Nasdaq, and is a “non-employee director” as defined in Rule 16b-3 promulgated under the Exchange Act.</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Chief Executive Officer, President and Chief Operating Officer, Chief Financial Officer and Chief People Officer assist our People &amp; Compensation Committee in carrying out its functions, although they do not participate in deliberations or decisions with respect to their own compensation. During the second half of 2022, our People &amp; Compensation Committee engaged ClearBridge Compensation Group (ClearBridge) to replace its prior independent compensation consultant. ClearBridge reports directly to our People &amp; Compensation Committee. ClearBridge does not provide any services to us other than the services ClearBridge provided to our People &amp; Compensation Committee. Our People &amp; Compensation Committee believes that ClearBridge does not have any conflicts of interest in advising our People &amp; Compensation Committee under applicable SEC rules or Nasdaq listing standards.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w:t>
      </w:r>
    </w:p>
    <w:p>
      <w:pPr>
        <w:spacing w:after="0" w:line="18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During the year ended December 31, 2023, our Nominating and Corporate Governance Committee held four formal meetings and acted by written consent two times. The current members of our Nominating and Corporate Governance Committee are Phillip Riese and Edwin Santos. Mr. Riese serves as the Chair of the Nominating and Corporate Governance Committee.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20 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full text of the Nominating and Corporate Governance Committee’s charter is posted on the corporate governance section of our website at https://ir.flywire.com/corporate-governance/governance-overview. Pursuant to the Nominating and Corporate Governance Committee charter, the functions of this committee include, among other things:</w:t>
      </w:r>
    </w:p>
    <w:p>
      <w:pPr>
        <w:spacing w:after="0" w:line="131" w:lineRule="exact"/>
        <w:rPr>
          <w:sz w:val="20"/>
          <w:szCs w:val="20"/>
          <w:color w:val="auto"/>
        </w:rPr>
      </w:pPr>
    </w:p>
    <w:p>
      <w:pPr>
        <w:ind w:left="660" w:right="700" w:hanging="330"/>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our Board of Directors and our stockholders concerning nominees for election to our Board of Directors, to each of its committees and committee chairs;</w:t>
      </w:r>
    </w:p>
    <w:p>
      <w:pPr>
        <w:spacing w:after="0" w:line="115" w:lineRule="exact"/>
        <w:rPr>
          <w:rFonts w:ascii="Arial" w:cs="Arial" w:eastAsia="Arial" w:hAnsi="Arial"/>
          <w:sz w:val="16"/>
          <w:szCs w:val="16"/>
          <w:color w:val="auto"/>
        </w:rPr>
      </w:pPr>
    </w:p>
    <w:p>
      <w:pPr>
        <w:ind w:left="660" w:right="600" w:hanging="330"/>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annually reviewing the performance and effectiveness of our Board of Directors and developing and overseeing a performance evaluation process;</w:t>
      </w:r>
    </w:p>
    <w:p>
      <w:pPr>
        <w:spacing w:after="0" w:line="128" w:lineRule="exact"/>
        <w:rPr>
          <w:rFonts w:ascii="Arial" w:cs="Arial" w:eastAsia="Arial" w:hAnsi="Arial"/>
          <w:sz w:val="16"/>
          <w:szCs w:val="16"/>
          <w:color w:val="auto"/>
        </w:rPr>
      </w:pPr>
    </w:p>
    <w:p>
      <w:pPr>
        <w:ind w:left="660" w:right="360" w:hanging="330"/>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annually evaluating the performance of management, our Board of Directors and each of its committees against their respective duties and responsibilities relating to corporate governance;</w:t>
      </w:r>
    </w:p>
    <w:p>
      <w:pPr>
        <w:spacing w:after="0" w:line="115" w:lineRule="exact"/>
        <w:rPr>
          <w:rFonts w:ascii="Arial" w:cs="Arial" w:eastAsia="Arial" w:hAnsi="Arial"/>
          <w:sz w:val="16"/>
          <w:szCs w:val="16"/>
          <w:color w:val="auto"/>
        </w:rPr>
      </w:pPr>
    </w:p>
    <w:p>
      <w:pPr>
        <w:ind w:left="660" w:right="520" w:hanging="330"/>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periodically review and assess our programs, practices and strategies relating to corporate responsibility, including environmental, social and corporate governance matters;</w:t>
      </w:r>
    </w:p>
    <w:p>
      <w:pPr>
        <w:spacing w:after="0" w:line="115" w:lineRule="exact"/>
        <w:rPr>
          <w:rFonts w:ascii="Arial" w:cs="Arial" w:eastAsia="Arial" w:hAnsi="Arial"/>
          <w:sz w:val="16"/>
          <w:szCs w:val="16"/>
          <w:color w:val="auto"/>
        </w:rPr>
      </w:pPr>
    </w:p>
    <w:p>
      <w:pPr>
        <w:ind w:left="660" w:hanging="330"/>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annually evaluating adequacy of our corporate governance structure, policies, and procedures; and</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generally advising our Board of Directors on corporate governance matters.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Nominating and Corporate Governance Committee believes that candidates for director should have certain minimum qualifications, including being able to read and understand basic financial statements and having a general understanding of our industry and market. Our Nominating and Corporate Governance Committee also considers other factors it deems appropriate, including, but not limited to:</w:t>
      </w:r>
    </w:p>
    <w:p>
      <w:pPr>
        <w:spacing w:after="0" w:line="137" w:lineRule="exact"/>
        <w:rPr>
          <w:sz w:val="20"/>
          <w:szCs w:val="20"/>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candidate’s relevant expertise and experience upon which to offer advice and guidance to management;</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candidate having sufficient time to devote to the affairs of Flywire;</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candidate having a proven track record in his or her field;</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candidate’s ability to exercise sound business judgment;</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candidate’s commitment to vigorously represent the long-term interests of our stockholders;</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or not a conflict of interest exists between the candidate and our business;</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candidate would be considered independent under applicable Nasdaq and SEC standards;</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current composition of our Board of Directors; and</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operating requirements of Flywire.</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conducting this assessment, the Nominating and Corporate Governance Committee considers diversity, gender, age, skills and such other factors as it deems appropriate given the then-current needs of our Board of Directors and Flywire, to maintain a balance of knowledge, experience and capability. While diversity and variety of experiences and viewpoints represented on our Board of Directors should always be considered, the Nominating and Corporate Governance Committee believes that a director nominee should not be chosen nor excluded solely or largely because of race, color, gender, national origin or sexual orientation or identity.</w:t>
      </w:r>
    </w:p>
    <w:p>
      <w:pPr>
        <w:spacing w:after="0" w:line="31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the case of incumbent directors whose terms of office are set to expire, the Nominating and Corporate Governance Committee reviews such directors’ overall service to Flywire during their term, including the number of meetings attended, level of participation, quality of performance, and any other relationships and transactions that might impair such directors’ independence.</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When there is a vacancy on our Board of Directors,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Flywire Corporation      21 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qualifications of possible candidates after considering the function and needs of our Board of Directors. The Nominating and Corporate Governance Committee meets to discuss and consider such candidates’ qualifications and then selects a nominee for recommendation to our Board of Directors by majority vote.</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and evaluate them using the same criteria as candidates identified by our Board of Directors or the Nominating and Corporate Governance Committee for consideration. If one of our stockholders wishes to recommend a director candidate for consideration by the Nominating and Corporate Governance Committee, the stockholder recommendation should be delivered to our Corporate Secretary at our principal executive offices and must include information regarding the candidate and the stockholder making the recommendation as required by our Bylaws.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BOARD DIVERSITY</w:t>
      </w:r>
    </w:p>
    <w:p>
      <w:pPr>
        <w:spacing w:after="0" w:line="18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As stated above, the Nominating and Corporate Governance Committee seeks out candidates with a diversity of experience and perspectives. When considering candidates as potential members of our Board of Directors, our Board of Directors and our Nominating and Corporate Governance Committee evaluate the candidates’ ability to contribute to such diversity. Our Board of Directors assesses its effectiveness in this regard as part of its annual evaluation process. Currently, of our six independent directors, two are women, one is from an underrepresented racial/ethnic group, and three have served for five years or less.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7FC4"/>
        </w:rPr>
        <w:t>Board Diversity Matrix (As of April 22,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500" w:type="dxa"/>
            <w:vAlign w:val="bottom"/>
            <w:tcBorders>
              <w:bottom w:val="single" w:sz="8" w:color="007FC4"/>
            </w:tcBorders>
            <w:shd w:val="clear" w:color="auto" w:fill="007FC4"/>
          </w:tcPr>
          <w:p>
            <w:pPr>
              <w:ind w:left="180"/>
              <w:spacing w:after="0"/>
              <w:rPr>
                <w:sz w:val="20"/>
                <w:szCs w:val="20"/>
                <w:color w:val="auto"/>
              </w:rPr>
            </w:pPr>
            <w:r>
              <w:rPr>
                <w:rFonts w:ascii="Arial" w:cs="Arial" w:eastAsia="Arial" w:hAnsi="Arial"/>
                <w:sz w:val="14"/>
                <w:szCs w:val="14"/>
                <w:b w:val="1"/>
                <w:bCs w:val="1"/>
                <w:color w:val="FFFFFF"/>
              </w:rPr>
              <w:t>TOTAL NUMBER OF DIRECTORS</w:t>
            </w:r>
          </w:p>
        </w:tc>
        <w:tc>
          <w:tcPr>
            <w:tcW w:w="2020" w:type="dxa"/>
            <w:vAlign w:val="bottom"/>
            <w:tcBorders>
              <w:bottom w:val="single" w:sz="8" w:color="007FC4"/>
            </w:tcBorders>
            <w:shd w:val="clear" w:color="auto" w:fill="007FC4"/>
          </w:tcPr>
          <w:p>
            <w:pPr>
              <w:spacing w:after="0"/>
              <w:rPr>
                <w:sz w:val="24"/>
                <w:szCs w:val="24"/>
                <w:color w:val="auto"/>
              </w:rPr>
            </w:pPr>
          </w:p>
        </w:tc>
        <w:tc>
          <w:tcPr>
            <w:tcW w:w="720" w:type="dxa"/>
            <w:vAlign w:val="bottom"/>
            <w:tcBorders>
              <w:bottom w:val="single" w:sz="8" w:color="007FC4"/>
            </w:tcBorders>
            <w:shd w:val="clear" w:color="auto" w:fill="007FC4"/>
          </w:tcPr>
          <w:p>
            <w:pPr>
              <w:spacing w:after="0"/>
              <w:rPr>
                <w:sz w:val="24"/>
                <w:szCs w:val="24"/>
                <w:color w:val="auto"/>
              </w:rPr>
            </w:pPr>
          </w:p>
        </w:tc>
        <w:tc>
          <w:tcPr>
            <w:tcW w:w="960" w:type="dxa"/>
            <w:vAlign w:val="bottom"/>
            <w:tcBorders>
              <w:bottom w:val="single" w:sz="8" w:color="007FC4"/>
            </w:tcBorders>
            <w:shd w:val="clear" w:color="auto" w:fill="007FC4"/>
          </w:tcPr>
          <w:p>
            <w:pPr>
              <w:jc w:val="right"/>
              <w:ind w:right="629"/>
              <w:spacing w:after="0"/>
              <w:rPr>
                <w:sz w:val="20"/>
                <w:szCs w:val="20"/>
                <w:color w:val="auto"/>
              </w:rPr>
            </w:pPr>
            <w:r>
              <w:rPr>
                <w:rFonts w:ascii="Arial" w:cs="Arial" w:eastAsia="Arial" w:hAnsi="Arial"/>
                <w:sz w:val="14"/>
                <w:szCs w:val="14"/>
                <w:b w:val="1"/>
                <w:bCs w:val="1"/>
                <w:color w:val="FFFFFF"/>
              </w:rPr>
              <w:t>7</w:t>
            </w:r>
          </w:p>
        </w:tc>
        <w:tc>
          <w:tcPr>
            <w:tcW w:w="1200" w:type="dxa"/>
            <w:vAlign w:val="bottom"/>
            <w:tcBorders>
              <w:bottom w:val="single" w:sz="8" w:color="007FC4"/>
            </w:tcBorders>
            <w:shd w:val="clear" w:color="auto" w:fill="007FC4"/>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2020" w:type="dxa"/>
            <w:vAlign w:val="bottom"/>
            <w:vMerge w:val="restart"/>
          </w:tcPr>
          <w:p>
            <w:pPr>
              <w:ind w:left="1360"/>
              <w:spacing w:after="0"/>
              <w:rPr>
                <w:sz w:val="20"/>
                <w:szCs w:val="20"/>
                <w:color w:val="auto"/>
              </w:rPr>
            </w:pPr>
            <w:r>
              <w:rPr>
                <w:rFonts w:ascii="Arial" w:cs="Arial" w:eastAsia="Arial" w:hAnsi="Arial"/>
                <w:sz w:val="13"/>
                <w:szCs w:val="13"/>
                <w:b w:val="1"/>
                <w:bCs w:val="1"/>
                <w:color w:val="auto"/>
              </w:rPr>
              <w:t>FEMALE</w:t>
            </w:r>
          </w:p>
        </w:tc>
        <w:tc>
          <w:tcPr>
            <w:tcW w:w="7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MALE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NON-</w:t>
            </w:r>
          </w:p>
        </w:tc>
        <w:tc>
          <w:tcPr>
            <w:tcW w:w="1200" w:type="dxa"/>
            <w:vAlign w:val="bottom"/>
          </w:tcPr>
          <w:p>
            <w:pPr>
              <w:jc w:val="center"/>
              <w:ind w:right="50"/>
              <w:spacing w:after="0"/>
              <w:rPr>
                <w:sz w:val="20"/>
                <w:szCs w:val="20"/>
                <w:color w:val="auto"/>
              </w:rPr>
            </w:pPr>
            <w:r>
              <w:rPr>
                <w:rFonts w:ascii="Arial" w:cs="Arial" w:eastAsia="Arial" w:hAnsi="Arial"/>
                <w:sz w:val="13"/>
                <w:szCs w:val="13"/>
                <w:b w:val="1"/>
                <w:bCs w:val="1"/>
                <w:color w:val="auto"/>
                <w:w w:val="97"/>
              </w:rPr>
              <w:t>DID NOT</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BINARY</w:t>
            </w:r>
          </w:p>
        </w:tc>
        <w:tc>
          <w:tcPr>
            <w:tcW w:w="1200" w:type="dxa"/>
            <w:vAlign w:val="bottom"/>
          </w:tcPr>
          <w:p>
            <w:pPr>
              <w:jc w:val="center"/>
              <w:ind w:right="10"/>
              <w:spacing w:after="0"/>
              <w:rPr>
                <w:sz w:val="20"/>
                <w:szCs w:val="20"/>
                <w:color w:val="auto"/>
              </w:rPr>
            </w:pPr>
            <w:r>
              <w:rPr>
                <w:rFonts w:ascii="Arial" w:cs="Arial" w:eastAsia="Arial" w:hAnsi="Arial"/>
                <w:sz w:val="13"/>
                <w:szCs w:val="13"/>
                <w:b w:val="1"/>
                <w:bCs w:val="1"/>
                <w:color w:val="auto"/>
                <w:w w:val="96"/>
              </w:rPr>
              <w:t>DISCLOSE</w:t>
            </w: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4500" w:type="dxa"/>
            <w:vAlign w:val="bottom"/>
            <w:shd w:val="clear" w:color="auto" w:fill="007FC4"/>
          </w:tcPr>
          <w:p>
            <w:pPr>
              <w:ind w:left="180"/>
              <w:spacing w:after="0"/>
              <w:rPr>
                <w:sz w:val="20"/>
                <w:szCs w:val="20"/>
                <w:color w:val="auto"/>
              </w:rPr>
            </w:pPr>
            <w:r>
              <w:rPr>
                <w:rFonts w:ascii="Arial" w:cs="Arial" w:eastAsia="Arial" w:hAnsi="Arial"/>
                <w:sz w:val="14"/>
                <w:szCs w:val="14"/>
                <w:b w:val="1"/>
                <w:bCs w:val="1"/>
                <w:color w:val="FFFFFF"/>
              </w:rPr>
              <w:t>PART I: GENDER IDENTITY</w:t>
            </w:r>
          </w:p>
        </w:tc>
        <w:tc>
          <w:tcPr>
            <w:tcW w:w="2020" w:type="dxa"/>
            <w:vAlign w:val="bottom"/>
            <w:shd w:val="clear" w:color="auto" w:fill="007FC4"/>
          </w:tcPr>
          <w:p>
            <w:pPr>
              <w:spacing w:after="0"/>
              <w:rPr>
                <w:sz w:val="24"/>
                <w:szCs w:val="24"/>
                <w:color w:val="auto"/>
              </w:rPr>
            </w:pPr>
          </w:p>
        </w:tc>
        <w:tc>
          <w:tcPr>
            <w:tcW w:w="720" w:type="dxa"/>
            <w:vAlign w:val="bottom"/>
            <w:shd w:val="clear" w:color="auto" w:fill="007FC4"/>
          </w:tcPr>
          <w:p>
            <w:pPr>
              <w:spacing w:after="0"/>
              <w:rPr>
                <w:sz w:val="24"/>
                <w:szCs w:val="24"/>
                <w:color w:val="auto"/>
              </w:rPr>
            </w:pPr>
          </w:p>
        </w:tc>
        <w:tc>
          <w:tcPr>
            <w:tcW w:w="960" w:type="dxa"/>
            <w:vAlign w:val="bottom"/>
            <w:shd w:val="clear" w:color="auto" w:fill="007FC4"/>
          </w:tcPr>
          <w:p>
            <w:pPr>
              <w:spacing w:after="0"/>
              <w:rPr>
                <w:sz w:val="24"/>
                <w:szCs w:val="24"/>
                <w:color w:val="auto"/>
              </w:rPr>
            </w:pPr>
          </w:p>
        </w:tc>
        <w:tc>
          <w:tcPr>
            <w:tcW w:w="1200" w:type="dxa"/>
            <w:vAlign w:val="bottom"/>
            <w:shd w:val="clear" w:color="auto" w:fill="007FC4"/>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500" w:type="dxa"/>
            <w:vAlign w:val="bottom"/>
            <w:shd w:val="clear" w:color="auto" w:fill="007FC4"/>
          </w:tcPr>
          <w:p>
            <w:pPr>
              <w:spacing w:after="0"/>
              <w:rPr>
                <w:sz w:val="7"/>
                <w:szCs w:val="7"/>
                <w:color w:val="auto"/>
              </w:rPr>
            </w:pPr>
          </w:p>
        </w:tc>
        <w:tc>
          <w:tcPr>
            <w:tcW w:w="2020" w:type="dxa"/>
            <w:vAlign w:val="bottom"/>
            <w:shd w:val="clear" w:color="auto" w:fill="007FC4"/>
          </w:tcPr>
          <w:p>
            <w:pPr>
              <w:spacing w:after="0"/>
              <w:rPr>
                <w:sz w:val="7"/>
                <w:szCs w:val="7"/>
                <w:color w:val="auto"/>
              </w:rPr>
            </w:pPr>
          </w:p>
        </w:tc>
        <w:tc>
          <w:tcPr>
            <w:tcW w:w="720" w:type="dxa"/>
            <w:vAlign w:val="bottom"/>
            <w:shd w:val="clear" w:color="auto" w:fill="007FC4"/>
          </w:tcPr>
          <w:p>
            <w:pPr>
              <w:spacing w:after="0"/>
              <w:rPr>
                <w:sz w:val="7"/>
                <w:szCs w:val="7"/>
                <w:color w:val="auto"/>
              </w:rPr>
            </w:pPr>
          </w:p>
        </w:tc>
        <w:tc>
          <w:tcPr>
            <w:tcW w:w="960" w:type="dxa"/>
            <w:vAlign w:val="bottom"/>
            <w:shd w:val="clear" w:color="auto" w:fill="007FC4"/>
          </w:tcPr>
          <w:p>
            <w:pPr>
              <w:spacing w:after="0"/>
              <w:rPr>
                <w:sz w:val="7"/>
                <w:szCs w:val="7"/>
                <w:color w:val="auto"/>
              </w:rPr>
            </w:pPr>
          </w:p>
        </w:tc>
        <w:tc>
          <w:tcPr>
            <w:tcW w:w="1200" w:type="dxa"/>
            <w:vAlign w:val="bottom"/>
            <w:shd w:val="clear" w:color="auto" w:fill="007FC4"/>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Directors</w:t>
            </w:r>
          </w:p>
        </w:tc>
        <w:tc>
          <w:tcPr>
            <w:tcW w:w="2020" w:type="dxa"/>
            <w:vAlign w:val="bottom"/>
          </w:tcPr>
          <w:p>
            <w:pPr>
              <w:jc w:val="center"/>
              <w:ind w:left="1149"/>
              <w:spacing w:after="0"/>
              <w:rPr>
                <w:sz w:val="20"/>
                <w:szCs w:val="20"/>
                <w:color w:val="auto"/>
              </w:rPr>
            </w:pPr>
            <w:r>
              <w:rPr>
                <w:rFonts w:ascii="Arial" w:cs="Arial" w:eastAsia="Arial" w:hAnsi="Arial"/>
                <w:sz w:val="14"/>
                <w:szCs w:val="14"/>
                <w:color w:val="auto"/>
              </w:rPr>
              <w:t>2</w:t>
            </w:r>
          </w:p>
        </w:tc>
        <w:tc>
          <w:tcPr>
            <w:tcW w:w="720" w:type="dxa"/>
            <w:vAlign w:val="bottom"/>
          </w:tcPr>
          <w:p>
            <w:pPr>
              <w:jc w:val="center"/>
              <w:spacing w:after="0"/>
              <w:rPr>
                <w:sz w:val="20"/>
                <w:szCs w:val="20"/>
                <w:color w:val="auto"/>
              </w:rPr>
            </w:pPr>
            <w:r>
              <w:rPr>
                <w:rFonts w:ascii="Arial" w:cs="Arial" w:eastAsia="Arial" w:hAnsi="Arial"/>
                <w:sz w:val="14"/>
                <w:szCs w:val="14"/>
                <w:color w:val="auto"/>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3"/>
        </w:trPr>
        <w:tc>
          <w:tcPr>
            <w:tcW w:w="4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007FC4"/>
          </w:tcPr>
          <w:p>
            <w:pPr>
              <w:ind w:left="180"/>
              <w:spacing w:after="0"/>
              <w:rPr>
                <w:sz w:val="20"/>
                <w:szCs w:val="20"/>
                <w:color w:val="auto"/>
              </w:rPr>
            </w:pPr>
            <w:r>
              <w:rPr>
                <w:rFonts w:ascii="Arial" w:cs="Arial" w:eastAsia="Arial" w:hAnsi="Arial"/>
                <w:sz w:val="14"/>
                <w:szCs w:val="14"/>
                <w:b w:val="1"/>
                <w:bCs w:val="1"/>
                <w:color w:val="FFFFFF"/>
              </w:rPr>
              <w:t>PART II: DEMOGRAPHIC BACKGROUND</w:t>
            </w:r>
          </w:p>
        </w:tc>
        <w:tc>
          <w:tcPr>
            <w:tcW w:w="2020" w:type="dxa"/>
            <w:vAlign w:val="bottom"/>
            <w:shd w:val="clear" w:color="auto" w:fill="007FC4"/>
          </w:tcPr>
          <w:p>
            <w:pPr>
              <w:spacing w:after="0"/>
              <w:rPr>
                <w:sz w:val="24"/>
                <w:szCs w:val="24"/>
                <w:color w:val="auto"/>
              </w:rPr>
            </w:pPr>
          </w:p>
        </w:tc>
        <w:tc>
          <w:tcPr>
            <w:tcW w:w="720" w:type="dxa"/>
            <w:vAlign w:val="bottom"/>
            <w:shd w:val="clear" w:color="auto" w:fill="007FC4"/>
          </w:tcPr>
          <w:p>
            <w:pPr>
              <w:spacing w:after="0"/>
              <w:rPr>
                <w:sz w:val="24"/>
                <w:szCs w:val="24"/>
                <w:color w:val="auto"/>
              </w:rPr>
            </w:pPr>
          </w:p>
        </w:tc>
        <w:tc>
          <w:tcPr>
            <w:tcW w:w="960" w:type="dxa"/>
            <w:vAlign w:val="bottom"/>
            <w:shd w:val="clear" w:color="auto" w:fill="007FC4"/>
          </w:tcPr>
          <w:p>
            <w:pPr>
              <w:spacing w:after="0"/>
              <w:rPr>
                <w:sz w:val="24"/>
                <w:szCs w:val="24"/>
                <w:color w:val="auto"/>
              </w:rPr>
            </w:pPr>
          </w:p>
        </w:tc>
        <w:tc>
          <w:tcPr>
            <w:tcW w:w="1200" w:type="dxa"/>
            <w:vAlign w:val="bottom"/>
            <w:shd w:val="clear" w:color="auto" w:fill="007FC4"/>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500" w:type="dxa"/>
            <w:vAlign w:val="bottom"/>
            <w:shd w:val="clear" w:color="auto" w:fill="007FC4"/>
          </w:tcPr>
          <w:p>
            <w:pPr>
              <w:spacing w:after="0"/>
              <w:rPr>
                <w:sz w:val="7"/>
                <w:szCs w:val="7"/>
                <w:color w:val="auto"/>
              </w:rPr>
            </w:pPr>
          </w:p>
        </w:tc>
        <w:tc>
          <w:tcPr>
            <w:tcW w:w="2020" w:type="dxa"/>
            <w:vAlign w:val="bottom"/>
            <w:shd w:val="clear" w:color="auto" w:fill="007FC4"/>
          </w:tcPr>
          <w:p>
            <w:pPr>
              <w:spacing w:after="0"/>
              <w:rPr>
                <w:sz w:val="7"/>
                <w:szCs w:val="7"/>
                <w:color w:val="auto"/>
              </w:rPr>
            </w:pPr>
          </w:p>
        </w:tc>
        <w:tc>
          <w:tcPr>
            <w:tcW w:w="720" w:type="dxa"/>
            <w:vAlign w:val="bottom"/>
            <w:shd w:val="clear" w:color="auto" w:fill="007FC4"/>
          </w:tcPr>
          <w:p>
            <w:pPr>
              <w:spacing w:after="0"/>
              <w:rPr>
                <w:sz w:val="7"/>
                <w:szCs w:val="7"/>
                <w:color w:val="auto"/>
              </w:rPr>
            </w:pPr>
          </w:p>
        </w:tc>
        <w:tc>
          <w:tcPr>
            <w:tcW w:w="960" w:type="dxa"/>
            <w:vAlign w:val="bottom"/>
            <w:shd w:val="clear" w:color="auto" w:fill="007FC4"/>
          </w:tcPr>
          <w:p>
            <w:pPr>
              <w:spacing w:after="0"/>
              <w:rPr>
                <w:sz w:val="7"/>
                <w:szCs w:val="7"/>
                <w:color w:val="auto"/>
              </w:rPr>
            </w:pPr>
          </w:p>
        </w:tc>
        <w:tc>
          <w:tcPr>
            <w:tcW w:w="1200" w:type="dxa"/>
            <w:vAlign w:val="bottom"/>
            <w:shd w:val="clear" w:color="auto" w:fill="007FC4"/>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African American or Black</w:t>
            </w:r>
          </w:p>
        </w:tc>
        <w:tc>
          <w:tcPr>
            <w:tcW w:w="2020" w:type="dxa"/>
            <w:vAlign w:val="bottom"/>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1</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Alaskan Native or Native American</w:t>
            </w:r>
          </w:p>
        </w:tc>
        <w:tc>
          <w:tcPr>
            <w:tcW w:w="2020" w:type="dxa"/>
            <w:vAlign w:val="bottom"/>
            <w:shd w:val="clear" w:color="auto" w:fill="E5EBF7"/>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E5EBF7"/>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shd w:val="clear" w:color="auto" w:fill="E5EBF7"/>
          </w:tcPr>
          <w:p>
            <w:pPr>
              <w:spacing w:after="0"/>
              <w:rPr>
                <w:sz w:val="7"/>
                <w:szCs w:val="7"/>
                <w:color w:val="auto"/>
              </w:rPr>
            </w:pPr>
          </w:p>
        </w:tc>
        <w:tc>
          <w:tcPr>
            <w:tcW w:w="2020" w:type="dxa"/>
            <w:vAlign w:val="bottom"/>
            <w:shd w:val="clear" w:color="auto" w:fill="E5EBF7"/>
          </w:tcPr>
          <w:p>
            <w:pPr>
              <w:spacing w:after="0"/>
              <w:rPr>
                <w:sz w:val="7"/>
                <w:szCs w:val="7"/>
                <w:color w:val="auto"/>
              </w:rPr>
            </w:pPr>
          </w:p>
        </w:tc>
        <w:tc>
          <w:tcPr>
            <w:tcW w:w="720" w:type="dxa"/>
            <w:vAlign w:val="bottom"/>
            <w:shd w:val="clear" w:color="auto" w:fill="E5EBF7"/>
          </w:tcPr>
          <w:p>
            <w:pPr>
              <w:spacing w:after="0"/>
              <w:rPr>
                <w:sz w:val="7"/>
                <w:szCs w:val="7"/>
                <w:color w:val="auto"/>
              </w:rPr>
            </w:pPr>
          </w:p>
        </w:tc>
        <w:tc>
          <w:tcPr>
            <w:tcW w:w="960" w:type="dxa"/>
            <w:vAlign w:val="bottom"/>
            <w:shd w:val="clear" w:color="auto" w:fill="E5EBF7"/>
          </w:tcPr>
          <w:p>
            <w:pPr>
              <w:spacing w:after="0"/>
              <w:rPr>
                <w:sz w:val="7"/>
                <w:szCs w:val="7"/>
                <w:color w:val="auto"/>
              </w:rPr>
            </w:pPr>
          </w:p>
        </w:tc>
        <w:tc>
          <w:tcPr>
            <w:tcW w:w="12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Asian</w:t>
            </w:r>
          </w:p>
        </w:tc>
        <w:tc>
          <w:tcPr>
            <w:tcW w:w="2020" w:type="dxa"/>
            <w:vAlign w:val="bottom"/>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Hispanic or Latino</w:t>
            </w:r>
          </w:p>
        </w:tc>
        <w:tc>
          <w:tcPr>
            <w:tcW w:w="2020" w:type="dxa"/>
            <w:vAlign w:val="bottom"/>
            <w:shd w:val="clear" w:color="auto" w:fill="E5EBF7"/>
          </w:tcPr>
          <w:p>
            <w:pPr>
              <w:jc w:val="center"/>
              <w:ind w:left="1149"/>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E5EBF7"/>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shd w:val="clear" w:color="auto" w:fill="E5EBF7"/>
          </w:tcPr>
          <w:p>
            <w:pPr>
              <w:spacing w:after="0"/>
              <w:rPr>
                <w:sz w:val="7"/>
                <w:szCs w:val="7"/>
                <w:color w:val="auto"/>
              </w:rPr>
            </w:pPr>
          </w:p>
        </w:tc>
        <w:tc>
          <w:tcPr>
            <w:tcW w:w="2020" w:type="dxa"/>
            <w:vAlign w:val="bottom"/>
            <w:shd w:val="clear" w:color="auto" w:fill="E5EBF7"/>
          </w:tcPr>
          <w:p>
            <w:pPr>
              <w:spacing w:after="0"/>
              <w:rPr>
                <w:sz w:val="7"/>
                <w:szCs w:val="7"/>
                <w:color w:val="auto"/>
              </w:rPr>
            </w:pPr>
          </w:p>
        </w:tc>
        <w:tc>
          <w:tcPr>
            <w:tcW w:w="720" w:type="dxa"/>
            <w:vAlign w:val="bottom"/>
            <w:shd w:val="clear" w:color="auto" w:fill="E5EBF7"/>
          </w:tcPr>
          <w:p>
            <w:pPr>
              <w:spacing w:after="0"/>
              <w:rPr>
                <w:sz w:val="7"/>
                <w:szCs w:val="7"/>
                <w:color w:val="auto"/>
              </w:rPr>
            </w:pPr>
          </w:p>
        </w:tc>
        <w:tc>
          <w:tcPr>
            <w:tcW w:w="960" w:type="dxa"/>
            <w:vAlign w:val="bottom"/>
            <w:shd w:val="clear" w:color="auto" w:fill="E5EBF7"/>
          </w:tcPr>
          <w:p>
            <w:pPr>
              <w:spacing w:after="0"/>
              <w:rPr>
                <w:sz w:val="7"/>
                <w:szCs w:val="7"/>
                <w:color w:val="auto"/>
              </w:rPr>
            </w:pPr>
          </w:p>
        </w:tc>
        <w:tc>
          <w:tcPr>
            <w:tcW w:w="12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Native Hawaiian or Pacific Islander</w:t>
            </w:r>
          </w:p>
        </w:tc>
        <w:tc>
          <w:tcPr>
            <w:tcW w:w="2020" w:type="dxa"/>
            <w:vAlign w:val="bottom"/>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White</w:t>
            </w:r>
          </w:p>
        </w:tc>
        <w:tc>
          <w:tcPr>
            <w:tcW w:w="2020" w:type="dxa"/>
            <w:vAlign w:val="bottom"/>
            <w:shd w:val="clear" w:color="auto" w:fill="E5EBF7"/>
          </w:tcPr>
          <w:p>
            <w:pPr>
              <w:jc w:val="center"/>
              <w:ind w:left="1149"/>
              <w:spacing w:after="0"/>
              <w:rPr>
                <w:sz w:val="20"/>
                <w:szCs w:val="20"/>
                <w:color w:val="auto"/>
              </w:rPr>
            </w:pPr>
            <w:r>
              <w:rPr>
                <w:rFonts w:ascii="Arial" w:cs="Arial" w:eastAsia="Arial" w:hAnsi="Arial"/>
                <w:sz w:val="14"/>
                <w:szCs w:val="14"/>
                <w:color w:val="auto"/>
              </w:rPr>
              <w:t>2</w:t>
            </w:r>
          </w:p>
        </w:tc>
        <w:tc>
          <w:tcPr>
            <w:tcW w:w="72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3</w:t>
            </w:r>
          </w:p>
        </w:tc>
        <w:tc>
          <w:tcPr>
            <w:tcW w:w="96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E5EBF7"/>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shd w:val="clear" w:color="auto" w:fill="E5EBF7"/>
          </w:tcPr>
          <w:p>
            <w:pPr>
              <w:spacing w:after="0"/>
              <w:rPr>
                <w:sz w:val="7"/>
                <w:szCs w:val="7"/>
                <w:color w:val="auto"/>
              </w:rPr>
            </w:pPr>
          </w:p>
        </w:tc>
        <w:tc>
          <w:tcPr>
            <w:tcW w:w="2020" w:type="dxa"/>
            <w:vAlign w:val="bottom"/>
            <w:shd w:val="clear" w:color="auto" w:fill="E5EBF7"/>
          </w:tcPr>
          <w:p>
            <w:pPr>
              <w:spacing w:after="0"/>
              <w:rPr>
                <w:sz w:val="7"/>
                <w:szCs w:val="7"/>
                <w:color w:val="auto"/>
              </w:rPr>
            </w:pPr>
          </w:p>
        </w:tc>
        <w:tc>
          <w:tcPr>
            <w:tcW w:w="720" w:type="dxa"/>
            <w:vAlign w:val="bottom"/>
            <w:shd w:val="clear" w:color="auto" w:fill="E5EBF7"/>
          </w:tcPr>
          <w:p>
            <w:pPr>
              <w:spacing w:after="0"/>
              <w:rPr>
                <w:sz w:val="7"/>
                <w:szCs w:val="7"/>
                <w:color w:val="auto"/>
              </w:rPr>
            </w:pPr>
          </w:p>
        </w:tc>
        <w:tc>
          <w:tcPr>
            <w:tcW w:w="960" w:type="dxa"/>
            <w:vAlign w:val="bottom"/>
            <w:shd w:val="clear" w:color="auto" w:fill="E5EBF7"/>
          </w:tcPr>
          <w:p>
            <w:pPr>
              <w:spacing w:after="0"/>
              <w:rPr>
                <w:sz w:val="7"/>
                <w:szCs w:val="7"/>
                <w:color w:val="auto"/>
              </w:rPr>
            </w:pPr>
          </w:p>
        </w:tc>
        <w:tc>
          <w:tcPr>
            <w:tcW w:w="12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Two or More Races or Ethnicities</w:t>
            </w:r>
          </w:p>
        </w:tc>
        <w:tc>
          <w:tcPr>
            <w:tcW w:w="2020" w:type="dxa"/>
            <w:vAlign w:val="bottom"/>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LGBTQ+</w:t>
            </w:r>
          </w:p>
        </w:tc>
        <w:tc>
          <w:tcPr>
            <w:tcW w:w="2020" w:type="dxa"/>
            <w:vAlign w:val="bottom"/>
            <w:shd w:val="clear" w:color="auto" w:fill="E5EBF7"/>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E5EBF7"/>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E5EBF7"/>
          </w:tcPr>
          <w:p>
            <w:pPr>
              <w:jc w:val="center"/>
              <w:ind w:right="3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4500" w:type="dxa"/>
            <w:vAlign w:val="bottom"/>
            <w:shd w:val="clear" w:color="auto" w:fill="E5EBF7"/>
          </w:tcPr>
          <w:p>
            <w:pPr>
              <w:spacing w:after="0"/>
              <w:rPr>
                <w:sz w:val="7"/>
                <w:szCs w:val="7"/>
                <w:color w:val="auto"/>
              </w:rPr>
            </w:pPr>
          </w:p>
        </w:tc>
        <w:tc>
          <w:tcPr>
            <w:tcW w:w="2020" w:type="dxa"/>
            <w:vAlign w:val="bottom"/>
            <w:shd w:val="clear" w:color="auto" w:fill="E5EBF7"/>
          </w:tcPr>
          <w:p>
            <w:pPr>
              <w:spacing w:after="0"/>
              <w:rPr>
                <w:sz w:val="7"/>
                <w:szCs w:val="7"/>
                <w:color w:val="auto"/>
              </w:rPr>
            </w:pPr>
          </w:p>
        </w:tc>
        <w:tc>
          <w:tcPr>
            <w:tcW w:w="720" w:type="dxa"/>
            <w:vAlign w:val="bottom"/>
            <w:shd w:val="clear" w:color="auto" w:fill="E5EBF7"/>
          </w:tcPr>
          <w:p>
            <w:pPr>
              <w:spacing w:after="0"/>
              <w:rPr>
                <w:sz w:val="7"/>
                <w:szCs w:val="7"/>
                <w:color w:val="auto"/>
              </w:rPr>
            </w:pPr>
          </w:p>
        </w:tc>
        <w:tc>
          <w:tcPr>
            <w:tcW w:w="960" w:type="dxa"/>
            <w:vAlign w:val="bottom"/>
            <w:shd w:val="clear" w:color="auto" w:fill="E5EBF7"/>
          </w:tcPr>
          <w:p>
            <w:pPr>
              <w:spacing w:after="0"/>
              <w:rPr>
                <w:sz w:val="7"/>
                <w:szCs w:val="7"/>
                <w:color w:val="auto"/>
              </w:rPr>
            </w:pPr>
          </w:p>
        </w:tc>
        <w:tc>
          <w:tcPr>
            <w:tcW w:w="12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500" w:type="dxa"/>
            <w:vAlign w:val="bottom"/>
          </w:tcPr>
          <w:p>
            <w:pPr>
              <w:ind w:left="180"/>
              <w:spacing w:after="0"/>
              <w:rPr>
                <w:sz w:val="20"/>
                <w:szCs w:val="20"/>
                <w:color w:val="auto"/>
              </w:rPr>
            </w:pPr>
            <w:r>
              <w:rPr>
                <w:rFonts w:ascii="Arial" w:cs="Arial" w:eastAsia="Arial" w:hAnsi="Arial"/>
                <w:sz w:val="14"/>
                <w:szCs w:val="14"/>
                <w:b w:val="1"/>
                <w:bCs w:val="1"/>
                <w:color w:val="007FC4"/>
              </w:rPr>
              <w:t>Did Not Disclose Demographic Background</w:t>
            </w:r>
          </w:p>
        </w:tc>
        <w:tc>
          <w:tcPr>
            <w:tcW w:w="2020" w:type="dxa"/>
            <w:vAlign w:val="bottom"/>
          </w:tcPr>
          <w:p>
            <w:pPr>
              <w:jc w:val="center"/>
              <w:ind w:left="112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center"/>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9"/>
        </w:trPr>
        <w:tc>
          <w:tcPr>
            <w:tcW w:w="4500" w:type="dxa"/>
            <w:vAlign w:val="bottom"/>
            <w:tcBorders>
              <w:bottom w:val="single" w:sz="8" w:color="007FC4"/>
            </w:tcBorders>
          </w:tcPr>
          <w:p>
            <w:pPr>
              <w:spacing w:after="0"/>
              <w:rPr>
                <w:sz w:val="2"/>
                <w:szCs w:val="2"/>
                <w:color w:val="auto"/>
              </w:rPr>
            </w:pPr>
          </w:p>
        </w:tc>
        <w:tc>
          <w:tcPr>
            <w:tcW w:w="2020" w:type="dxa"/>
            <w:vAlign w:val="bottom"/>
            <w:tcBorders>
              <w:bottom w:val="single" w:sz="8" w:color="007FC4"/>
            </w:tcBorders>
          </w:tcPr>
          <w:p>
            <w:pPr>
              <w:spacing w:after="0"/>
              <w:rPr>
                <w:sz w:val="2"/>
                <w:szCs w:val="2"/>
                <w:color w:val="auto"/>
              </w:rPr>
            </w:pPr>
          </w:p>
        </w:tc>
        <w:tc>
          <w:tcPr>
            <w:tcW w:w="720" w:type="dxa"/>
            <w:vAlign w:val="bottom"/>
            <w:tcBorders>
              <w:bottom w:val="single" w:sz="8" w:color="007FC4"/>
            </w:tcBorders>
          </w:tcPr>
          <w:p>
            <w:pPr>
              <w:spacing w:after="0"/>
              <w:rPr>
                <w:sz w:val="2"/>
                <w:szCs w:val="2"/>
                <w:color w:val="auto"/>
              </w:rPr>
            </w:pPr>
          </w:p>
        </w:tc>
        <w:tc>
          <w:tcPr>
            <w:tcW w:w="960" w:type="dxa"/>
            <w:vAlign w:val="bottom"/>
            <w:tcBorders>
              <w:bottom w:val="single" w:sz="8" w:color="007FC4"/>
            </w:tcBorders>
          </w:tcPr>
          <w:p>
            <w:pPr>
              <w:spacing w:after="0"/>
              <w:rPr>
                <w:sz w:val="2"/>
                <w:szCs w:val="2"/>
                <w:color w:val="auto"/>
              </w:rPr>
            </w:pPr>
          </w:p>
        </w:tc>
        <w:tc>
          <w:tcPr>
            <w:tcW w:w="1200" w:type="dxa"/>
            <w:vAlign w:val="bottom"/>
            <w:tcBorders>
              <w:bottom w:val="single" w:sz="8" w:color="007FC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PEOPLE &amp; COMPENSATION COMMITTEE INTERLOCKS AND INSIDER PARTICIPATION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None of the members of our People &amp; Compensation Committee during 2023 is serving or has served as an officer or employee of ours. None of our executive officers currently serves, or in the past year has served, as a member of the Board of Directors or People &amp; Compensation Committee of any entity that has one or more executive officers serving on our Board of Directors or People &amp;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COMPENSATION RISK</w:t>
      </w:r>
    </w:p>
    <w:p>
      <w:pPr>
        <w:spacing w:after="0" w:line="18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Our People &amp; Compensation Committee conducted a risk assessment of its compensation policies and practices, including those related to executive compensation programs for NEOs. The risk assessment included an analysis of our executive compensation programs and broader employee incentive compensation plans. Our People &amp; Compensation Committee also considered how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22 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these programs compare, from a design perspective, to programs maintained by other companies. Based on this assessment, it was determined that our executive compensation programs are balanced and appropriately incent employees, and any risks arising from the compensation policies and practices are not reasonably likely to have a material adverse effect on Flywire.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MEETINGS OF THE BOARD OF DIRECTORS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of Directors held six meetings and acted by written consent three times during our year ended December 31, 2023. No director attended fewer than 75% of the total number of meetings of the Board of Directors and any committees of the Board of Directors of which he or she was a member during our year ended December 31, 2023. Our policy is to invite and encourage each member of our Board of Directors to be present at our annual meetings of stockholders. Four of seven of our then serving members of our Board of Directors attended our 2023 annual meeting of stockholders in their capacity as directors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 OF RISK</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2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Audit Committee reviews information regarding liquidity and operations, and oversees our management of financial risks. Periodically, our Audit Committee reviews our policies with respect to risk assessment, risk management, loss prevention and regulatory compliance. Oversight by our Audit Committee includes direct communication with our external auditors, and discussions with management regarding significant risk exposures and the actions management has taken to limit, monitor or control such exposures. Our People &amp; Compensation Committee is responsible for assessing whether any of our compensation policies or programs has the potential to encourage excessive risk-taking. Our Nominating and Corporate Governance Committee manages risks associated with the independence of the Board of Directors, corporate disclosure practices, potential conflicts of interest and corporate responsibility, including environmental, social and corporate governance matters.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following table sets forth information about the compensation of the non-employee members of our Board of Directors who served as a director during our year ended December 31, 2023. Other than as set forth in the table and described more fully below, during our year ended December 31, 2023, we did not pay any fees to, make any equity awards or non-equity awards to, or pay any other compensation to the non-employee members of our Board of Directors. Mr. Massaro, our Chief Executive Officer, receives no compensation for his service as a director, and is not included in the table below. Mr. Riese currently serves as Chair of our Board of Directors.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3220" w:type="dxa"/>
            <w:vAlign w:val="bottom"/>
            <w:gridSpan w:val="2"/>
          </w:tcPr>
          <w:p>
            <w:pPr>
              <w:jc w:val="right"/>
              <w:ind w:right="268"/>
              <w:spacing w:after="0"/>
              <w:rPr>
                <w:sz w:val="20"/>
                <w:szCs w:val="20"/>
                <w:color w:val="auto"/>
              </w:rPr>
            </w:pPr>
            <w:r>
              <w:rPr>
                <w:rFonts w:ascii="Arial" w:cs="Arial" w:eastAsia="Arial" w:hAnsi="Arial"/>
                <w:sz w:val="13"/>
                <w:szCs w:val="13"/>
                <w:b w:val="1"/>
                <w:bCs w:val="1"/>
                <w:color w:val="auto"/>
              </w:rPr>
              <w:t>FEES EARNED OR</w:t>
            </w:r>
          </w:p>
        </w:tc>
        <w:tc>
          <w:tcPr>
            <w:tcW w:w="204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STOCK AWARDS ($)</w:t>
            </w:r>
            <w:r>
              <w:rPr>
                <w:rFonts w:ascii="Arial" w:cs="Arial" w:eastAsia="Arial" w:hAnsi="Arial"/>
                <w:sz w:val="20"/>
                <w:szCs w:val="20"/>
                <w:b w:val="1"/>
                <w:bCs w:val="1"/>
                <w:color w:val="auto"/>
                <w:vertAlign w:val="superscript"/>
              </w:rPr>
              <w:t>(5)(6)</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3220" w:type="dxa"/>
            <w:vAlign w:val="bottom"/>
            <w:gridSpan w:val="2"/>
          </w:tcPr>
          <w:p>
            <w:pPr>
              <w:jc w:val="right"/>
              <w:ind w:right="268"/>
              <w:spacing w:after="0"/>
              <w:rPr>
                <w:sz w:val="20"/>
                <w:szCs w:val="20"/>
                <w:color w:val="auto"/>
              </w:rPr>
            </w:pPr>
            <w:r>
              <w:rPr>
                <w:rFonts w:ascii="Arial" w:cs="Arial" w:eastAsia="Arial" w:hAnsi="Arial"/>
                <w:sz w:val="13"/>
                <w:szCs w:val="13"/>
                <w:b w:val="1"/>
                <w:bCs w:val="1"/>
                <w:color w:val="auto"/>
              </w:rPr>
              <w:t>PAID IN CASH ($)</w:t>
            </w:r>
          </w:p>
        </w:tc>
        <w:tc>
          <w:tcPr>
            <w:tcW w:w="204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26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Yvonne Hao</w:t>
            </w:r>
            <w:r>
              <w:rPr>
                <w:rFonts w:ascii="Arial" w:cs="Arial" w:eastAsia="Arial" w:hAnsi="Arial"/>
                <w:sz w:val="23"/>
                <w:szCs w:val="23"/>
                <w:b w:val="1"/>
                <w:bCs w:val="1"/>
                <w:color w:val="007FC4"/>
                <w:vertAlign w:val="superscript"/>
              </w:rPr>
              <w:t>(1)</w:t>
            </w:r>
          </w:p>
        </w:tc>
        <w:tc>
          <w:tcPr>
            <w:tcW w:w="2600" w:type="dxa"/>
            <w:vAlign w:val="bottom"/>
            <w:shd w:val="clear" w:color="auto" w:fill="E5EBF7"/>
          </w:tcPr>
          <w:p>
            <w:pPr>
              <w:ind w:left="24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5EBF7"/>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5EBF7"/>
          </w:tcPr>
          <w:p>
            <w:pPr>
              <w:ind w:left="8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BF7"/>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BF7"/>
          </w:tcPr>
          <w:p>
            <w:pPr>
              <w:ind w:lef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BF7"/>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5"/>
        </w:trPr>
        <w:tc>
          <w:tcPr>
            <w:tcW w:w="3260" w:type="dxa"/>
            <w:vAlign w:val="bottom"/>
          </w:tcPr>
          <w:p>
            <w:pPr>
              <w:ind w:left="160"/>
              <w:spacing w:after="0"/>
              <w:rPr>
                <w:sz w:val="20"/>
                <w:szCs w:val="20"/>
                <w:color w:val="auto"/>
              </w:rPr>
            </w:pPr>
            <w:r>
              <w:rPr>
                <w:rFonts w:ascii="Arial" w:cs="Arial" w:eastAsia="Arial" w:hAnsi="Arial"/>
                <w:sz w:val="14"/>
                <w:szCs w:val="14"/>
                <w:b w:val="1"/>
                <w:bCs w:val="1"/>
                <w:color w:val="007FC4"/>
              </w:rPr>
              <w:t>Matthew Harris</w:t>
            </w:r>
          </w:p>
        </w:tc>
        <w:tc>
          <w:tcPr>
            <w:tcW w:w="260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3220" w:type="dxa"/>
            <w:vAlign w:val="bottom"/>
            <w:gridSpan w:val="2"/>
          </w:tcPr>
          <w:p>
            <w:pPr>
              <w:spacing w:after="0"/>
              <w:rPr>
                <w:sz w:val="7"/>
                <w:szCs w:val="7"/>
                <w:color w:val="auto"/>
              </w:rPr>
            </w:pPr>
          </w:p>
        </w:tc>
        <w:tc>
          <w:tcPr>
            <w:tcW w:w="2040" w:type="dxa"/>
            <w:vAlign w:val="bottom"/>
            <w:gridSpan w:val="2"/>
          </w:tcPr>
          <w:p>
            <w:pPr>
              <w:spacing w:after="0"/>
              <w:rPr>
                <w:sz w:val="7"/>
                <w:szCs w:val="7"/>
                <w:color w:val="auto"/>
              </w:rPr>
            </w:pPr>
          </w:p>
        </w:tc>
        <w:tc>
          <w:tcPr>
            <w:tcW w:w="8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26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Gretchen Howard</w:t>
            </w:r>
            <w:r>
              <w:rPr>
                <w:rFonts w:ascii="Arial" w:cs="Arial" w:eastAsia="Arial" w:hAnsi="Arial"/>
                <w:sz w:val="23"/>
                <w:szCs w:val="23"/>
                <w:b w:val="1"/>
                <w:bCs w:val="1"/>
                <w:color w:val="007FC4"/>
                <w:vertAlign w:val="superscript"/>
              </w:rPr>
              <w:t>(2)</w:t>
            </w:r>
          </w:p>
        </w:tc>
        <w:tc>
          <w:tcPr>
            <w:tcW w:w="3220" w:type="dxa"/>
            <w:vAlign w:val="bottom"/>
            <w:gridSpan w:val="2"/>
            <w:shd w:val="clear" w:color="auto" w:fill="E5EBF7"/>
          </w:tcPr>
          <w:p>
            <w:pPr>
              <w:ind w:left="24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11,587</w:t>
            </w:r>
          </w:p>
        </w:tc>
        <w:tc>
          <w:tcPr>
            <w:tcW w:w="2040" w:type="dxa"/>
            <w:vAlign w:val="bottom"/>
            <w:gridSpan w:val="2"/>
            <w:shd w:val="clear" w:color="auto" w:fill="E5EBF7"/>
          </w:tcPr>
          <w:p>
            <w:pPr>
              <w:ind w:left="860"/>
              <w:spacing w:after="0"/>
              <w:rPr>
                <w:sz w:val="20"/>
                <w:szCs w:val="20"/>
                <w:color w:val="auto"/>
              </w:rPr>
            </w:pPr>
            <w:r>
              <w:rPr>
                <w:rFonts w:ascii="Arial" w:cs="Arial" w:eastAsia="Arial" w:hAnsi="Arial"/>
                <w:sz w:val="14"/>
                <w:szCs w:val="14"/>
                <w:color w:val="auto"/>
              </w:rPr>
              <w:t>​349,984</w:t>
            </w:r>
            <w:r>
              <w:rPr>
                <w:rFonts w:ascii="Arial" w:cs="Arial" w:eastAsia="Arial" w:hAnsi="Arial"/>
                <w:sz w:val="23"/>
                <w:szCs w:val="23"/>
                <w:color w:val="auto"/>
                <w:vertAlign w:val="superscript"/>
              </w:rPr>
              <w:t>(7)</w:t>
            </w:r>
          </w:p>
        </w:tc>
        <w:tc>
          <w:tcPr>
            <w:tcW w:w="880" w:type="dxa"/>
            <w:vAlign w:val="bottom"/>
            <w:gridSpan w:val="2"/>
            <w:shd w:val="clear" w:color="auto" w:fill="E5EBF7"/>
          </w:tcPr>
          <w:p>
            <w:pPr>
              <w:ind w:left="280"/>
              <w:spacing w:after="0"/>
              <w:rPr>
                <w:sz w:val="20"/>
                <w:szCs w:val="20"/>
                <w:color w:val="auto"/>
              </w:rPr>
            </w:pPr>
            <w:r>
              <w:rPr>
                <w:rFonts w:ascii="Arial" w:cs="Arial" w:eastAsia="Arial" w:hAnsi="Arial"/>
                <w:sz w:val="14"/>
                <w:szCs w:val="14"/>
                <w:color w:val="auto"/>
              </w:rPr>
              <w:t>361,571​</w:t>
            </w:r>
          </w:p>
        </w:tc>
        <w:tc>
          <w:tcPr>
            <w:tcW w:w="0" w:type="dxa"/>
            <w:vAlign w:val="bottom"/>
          </w:tcPr>
          <w:p>
            <w:pPr>
              <w:spacing w:after="0"/>
              <w:rPr>
                <w:sz w:val="1"/>
                <w:szCs w:val="1"/>
                <w:color w:val="auto"/>
              </w:rPr>
            </w:pPr>
          </w:p>
        </w:tc>
      </w:tr>
      <w:tr>
        <w:trPr>
          <w:trHeight w:val="405"/>
        </w:trPr>
        <w:tc>
          <w:tcPr>
            <w:tcW w:w="3260" w:type="dxa"/>
            <w:vAlign w:val="bottom"/>
          </w:tcPr>
          <w:p>
            <w:pPr>
              <w:ind w:left="160"/>
              <w:spacing w:after="0"/>
              <w:rPr>
                <w:sz w:val="20"/>
                <w:szCs w:val="20"/>
                <w:color w:val="auto"/>
              </w:rPr>
            </w:pPr>
            <w:r>
              <w:rPr>
                <w:rFonts w:ascii="Arial" w:cs="Arial" w:eastAsia="Arial" w:hAnsi="Arial"/>
                <w:sz w:val="14"/>
                <w:szCs w:val="14"/>
                <w:b w:val="1"/>
                <w:bCs w:val="1"/>
                <w:color w:val="007FC4"/>
              </w:rPr>
              <w:t>Alex Finkelstein</w:t>
            </w:r>
          </w:p>
        </w:tc>
        <w:tc>
          <w:tcPr>
            <w:tcW w:w="3220" w:type="dxa"/>
            <w:vAlign w:val="bottom"/>
            <w:gridSpan w:val="2"/>
          </w:tcPr>
          <w:p>
            <w:pPr>
              <w:ind w:left="2440"/>
              <w:spacing w:after="0"/>
              <w:rPr>
                <w:sz w:val="20"/>
                <w:szCs w:val="20"/>
                <w:color w:val="auto"/>
              </w:rPr>
            </w:pPr>
            <w:r>
              <w:rPr>
                <w:rFonts w:ascii="Arial" w:cs="Arial" w:eastAsia="Arial" w:hAnsi="Arial"/>
                <w:sz w:val="14"/>
                <w:szCs w:val="14"/>
                <w:color w:val="auto"/>
              </w:rPr>
              <w:t>25,838</w:t>
            </w:r>
          </w:p>
        </w:tc>
        <w:tc>
          <w:tcPr>
            <w:tcW w:w="2040" w:type="dxa"/>
            <w:vAlign w:val="bottom"/>
            <w:gridSpan w:val="2"/>
          </w:tcPr>
          <w:p>
            <w:pPr>
              <w:ind w:left="920"/>
              <w:spacing w:after="0"/>
              <w:rPr>
                <w:sz w:val="20"/>
                <w:szCs w:val="20"/>
                <w:color w:val="auto"/>
              </w:rPr>
            </w:pPr>
            <w:r>
              <w:rPr>
                <w:rFonts w:ascii="Arial" w:cs="Arial" w:eastAsia="Arial" w:hAnsi="Arial"/>
                <w:sz w:val="14"/>
                <w:szCs w:val="14"/>
                <w:color w:val="auto"/>
              </w:rPr>
              <w:t>174,985</w:t>
            </w:r>
            <w:r>
              <w:rPr>
                <w:rFonts w:ascii="Arial" w:cs="Arial" w:eastAsia="Arial" w:hAnsi="Arial"/>
                <w:sz w:val="23"/>
                <w:szCs w:val="23"/>
                <w:color w:val="auto"/>
                <w:vertAlign w:val="superscript"/>
              </w:rPr>
              <w:t>(8)</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200,823</w:t>
            </w:r>
          </w:p>
        </w:tc>
        <w:tc>
          <w:tcPr>
            <w:tcW w:w="0" w:type="dxa"/>
            <w:vAlign w:val="bottom"/>
          </w:tcPr>
          <w:p>
            <w:pPr>
              <w:spacing w:after="0"/>
              <w:rPr>
                <w:sz w:val="1"/>
                <w:szCs w:val="1"/>
                <w:color w:val="auto"/>
              </w:rPr>
            </w:pPr>
          </w:p>
        </w:tc>
      </w:tr>
      <w:tr>
        <w:trPr>
          <w:trHeight w:val="405"/>
        </w:trPr>
        <w:tc>
          <w:tcPr>
            <w:tcW w:w="326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Jo Natauri</w:t>
            </w:r>
            <w:r>
              <w:rPr>
                <w:rFonts w:ascii="Arial" w:cs="Arial" w:eastAsia="Arial" w:hAnsi="Arial"/>
                <w:sz w:val="23"/>
                <w:szCs w:val="23"/>
                <w:b w:val="1"/>
                <w:bCs w:val="1"/>
                <w:color w:val="007FC4"/>
                <w:vertAlign w:val="superscript"/>
              </w:rPr>
              <w:t>(3)</w:t>
            </w:r>
          </w:p>
        </w:tc>
        <w:tc>
          <w:tcPr>
            <w:tcW w:w="2600" w:type="dxa"/>
            <w:vAlign w:val="bottom"/>
            <w:shd w:val="clear" w:color="auto" w:fill="E5EBF7"/>
          </w:tcPr>
          <w:p>
            <w:pPr>
              <w:ind w:left="24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5EBF7"/>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5EBF7"/>
          </w:tcPr>
          <w:p>
            <w:pPr>
              <w:ind w:left="8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BF7"/>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BF7"/>
          </w:tcPr>
          <w:p>
            <w:pPr>
              <w:ind w:lef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BF7"/>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3260" w:type="dxa"/>
            <w:vAlign w:val="bottom"/>
          </w:tcPr>
          <w:p>
            <w:pPr>
              <w:ind w:left="160"/>
              <w:spacing w:after="0"/>
              <w:rPr>
                <w:sz w:val="20"/>
                <w:szCs w:val="20"/>
                <w:color w:val="auto"/>
              </w:rPr>
            </w:pPr>
            <w:r>
              <w:rPr>
                <w:rFonts w:ascii="Arial" w:cs="Arial" w:eastAsia="Arial" w:hAnsi="Arial"/>
                <w:sz w:val="14"/>
                <w:szCs w:val="14"/>
                <w:b w:val="1"/>
                <w:bCs w:val="1"/>
                <w:color w:val="007FC4"/>
              </w:rPr>
              <w:t xml:space="preserve">Diane Offereins </w:t>
            </w:r>
            <w:r>
              <w:rPr>
                <w:rFonts w:ascii="Arial" w:cs="Arial" w:eastAsia="Arial" w:hAnsi="Arial"/>
                <w:sz w:val="23"/>
                <w:szCs w:val="23"/>
                <w:b w:val="1"/>
                <w:bCs w:val="1"/>
                <w:color w:val="007FC4"/>
                <w:vertAlign w:val="superscript"/>
              </w:rPr>
              <w:t>(4)</w:t>
            </w:r>
          </w:p>
        </w:tc>
        <w:tc>
          <w:tcPr>
            <w:tcW w:w="3220" w:type="dxa"/>
            <w:vAlign w:val="bottom"/>
            <w:gridSpan w:val="2"/>
          </w:tcPr>
          <w:p>
            <w:pPr>
              <w:ind w:left="2440"/>
              <w:spacing w:after="0"/>
              <w:rPr>
                <w:sz w:val="20"/>
                <w:szCs w:val="20"/>
                <w:color w:val="auto"/>
              </w:rPr>
            </w:pPr>
            <w:r>
              <w:rPr>
                <w:rFonts w:ascii="Arial" w:cs="Arial" w:eastAsia="Arial" w:hAnsi="Arial"/>
                <w:sz w:val="14"/>
                <w:szCs w:val="14"/>
                <w:color w:val="auto"/>
              </w:rPr>
              <w:t>41,000</w:t>
            </w:r>
          </w:p>
        </w:tc>
        <w:tc>
          <w:tcPr>
            <w:tcW w:w="2040" w:type="dxa"/>
            <w:vAlign w:val="bottom"/>
            <w:gridSpan w:val="2"/>
          </w:tcPr>
          <w:p>
            <w:pPr>
              <w:ind w:left="920"/>
              <w:spacing w:after="0"/>
              <w:rPr>
                <w:sz w:val="20"/>
                <w:szCs w:val="20"/>
                <w:color w:val="auto"/>
              </w:rPr>
            </w:pPr>
            <w:r>
              <w:rPr>
                <w:rFonts w:ascii="Arial" w:cs="Arial" w:eastAsia="Arial" w:hAnsi="Arial"/>
                <w:sz w:val="14"/>
                <w:szCs w:val="14"/>
                <w:color w:val="auto"/>
              </w:rPr>
              <w:t>524,990</w:t>
            </w:r>
            <w:r>
              <w:rPr>
                <w:rFonts w:ascii="Arial" w:cs="Arial" w:eastAsia="Arial" w:hAnsi="Arial"/>
                <w:sz w:val="23"/>
                <w:szCs w:val="23"/>
                <w:color w:val="auto"/>
                <w:vertAlign w:val="superscript"/>
              </w:rPr>
              <w:t>(9)(10)</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565,990</w:t>
            </w:r>
          </w:p>
        </w:tc>
        <w:tc>
          <w:tcPr>
            <w:tcW w:w="0" w:type="dxa"/>
            <w:vAlign w:val="bottom"/>
          </w:tcPr>
          <w:p>
            <w:pPr>
              <w:spacing w:after="0"/>
              <w:rPr>
                <w:sz w:val="1"/>
                <w:szCs w:val="1"/>
                <w:color w:val="auto"/>
              </w:rPr>
            </w:pPr>
          </w:p>
        </w:tc>
      </w:tr>
      <w:tr>
        <w:trPr>
          <w:trHeight w:val="316"/>
        </w:trPr>
        <w:tc>
          <w:tcPr>
            <w:tcW w:w="326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Phillip Riese</w:t>
            </w:r>
          </w:p>
        </w:tc>
        <w:tc>
          <w:tcPr>
            <w:tcW w:w="3220" w:type="dxa"/>
            <w:vAlign w:val="bottom"/>
            <w:gridSpan w:val="2"/>
            <w:shd w:val="clear" w:color="auto" w:fill="E5EBF7"/>
          </w:tcPr>
          <w:p>
            <w:pPr>
              <w:ind w:left="24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83,000</w:t>
            </w:r>
          </w:p>
        </w:tc>
        <w:tc>
          <w:tcPr>
            <w:tcW w:w="1380" w:type="dxa"/>
            <w:vAlign w:val="bottom"/>
            <w:shd w:val="clear" w:color="auto" w:fill="E5EBF7"/>
          </w:tcPr>
          <w:p>
            <w:pPr>
              <w:ind w:left="860"/>
              <w:spacing w:after="0"/>
              <w:rPr>
                <w:sz w:val="20"/>
                <w:szCs w:val="20"/>
                <w:color w:val="auto"/>
              </w:rPr>
            </w:pPr>
            <w:r>
              <w:rPr>
                <w:rFonts w:ascii="Arial" w:cs="Arial" w:eastAsia="Arial" w:hAnsi="Arial"/>
                <w:sz w:val="14"/>
                <w:szCs w:val="14"/>
                <w:color w:val="auto"/>
                <w:w w:val="98"/>
              </w:rPr>
              <w:t>174,985​</w:t>
            </w:r>
          </w:p>
        </w:tc>
        <w:tc>
          <w:tcPr>
            <w:tcW w:w="660" w:type="dxa"/>
            <w:vAlign w:val="bottom"/>
            <w:shd w:val="clear" w:color="auto" w:fill="E5EBF7"/>
          </w:tcPr>
          <w:p>
            <w:pPr>
              <w:spacing w:after="0"/>
              <w:rPr>
                <w:sz w:val="20"/>
                <w:szCs w:val="20"/>
                <w:color w:val="auto"/>
              </w:rPr>
            </w:pPr>
            <w:r>
              <w:rPr>
                <w:rFonts w:ascii="Arial" w:cs="Arial" w:eastAsia="Arial" w:hAnsi="Arial"/>
                <w:sz w:val="12"/>
                <w:szCs w:val="12"/>
                <w:color w:val="auto"/>
              </w:rPr>
              <w:t>(11)</w:t>
            </w:r>
          </w:p>
        </w:tc>
        <w:tc>
          <w:tcPr>
            <w:tcW w:w="880" w:type="dxa"/>
            <w:vAlign w:val="bottom"/>
            <w:gridSpan w:val="2"/>
            <w:shd w:val="clear" w:color="auto" w:fill="E5EBF7"/>
          </w:tcPr>
          <w:p>
            <w:pPr>
              <w:ind w:left="280"/>
              <w:spacing w:after="0"/>
              <w:rPr>
                <w:sz w:val="20"/>
                <w:szCs w:val="20"/>
                <w:color w:val="auto"/>
              </w:rPr>
            </w:pPr>
            <w:r>
              <w:rPr>
                <w:rFonts w:ascii="Arial" w:cs="Arial" w:eastAsia="Arial" w:hAnsi="Arial"/>
                <w:sz w:val="14"/>
                <w:szCs w:val="14"/>
                <w:color w:val="auto"/>
              </w:rPr>
              <w:t>257,985​</w:t>
            </w:r>
          </w:p>
        </w:tc>
        <w:tc>
          <w:tcPr>
            <w:tcW w:w="0" w:type="dxa"/>
            <w:vAlign w:val="bottom"/>
          </w:tcPr>
          <w:p>
            <w:pPr>
              <w:spacing w:after="0"/>
              <w:rPr>
                <w:sz w:val="1"/>
                <w:szCs w:val="1"/>
                <w:color w:val="auto"/>
              </w:rPr>
            </w:pPr>
          </w:p>
        </w:tc>
      </w:tr>
      <w:tr>
        <w:trPr>
          <w:trHeight w:val="89"/>
        </w:trPr>
        <w:tc>
          <w:tcPr>
            <w:tcW w:w="3260" w:type="dxa"/>
            <w:vAlign w:val="bottom"/>
            <w:shd w:val="clear" w:color="auto" w:fill="E5EBF7"/>
          </w:tcPr>
          <w:p>
            <w:pPr>
              <w:spacing w:after="0"/>
              <w:rPr>
                <w:sz w:val="7"/>
                <w:szCs w:val="7"/>
                <w:color w:val="auto"/>
              </w:rPr>
            </w:pPr>
          </w:p>
        </w:tc>
        <w:tc>
          <w:tcPr>
            <w:tcW w:w="3220" w:type="dxa"/>
            <w:vAlign w:val="bottom"/>
            <w:gridSpan w:val="2"/>
            <w:shd w:val="clear" w:color="auto" w:fill="E5EBF7"/>
          </w:tcPr>
          <w:p>
            <w:pPr>
              <w:spacing w:after="0"/>
              <w:rPr>
                <w:sz w:val="7"/>
                <w:szCs w:val="7"/>
                <w:color w:val="auto"/>
              </w:rPr>
            </w:pPr>
          </w:p>
        </w:tc>
        <w:tc>
          <w:tcPr>
            <w:tcW w:w="2040" w:type="dxa"/>
            <w:vAlign w:val="bottom"/>
            <w:gridSpan w:val="2"/>
            <w:shd w:val="clear" w:color="auto" w:fill="E5EBF7"/>
          </w:tcPr>
          <w:p>
            <w:pPr>
              <w:spacing w:after="0"/>
              <w:rPr>
                <w:sz w:val="7"/>
                <w:szCs w:val="7"/>
                <w:color w:val="auto"/>
              </w:rPr>
            </w:pPr>
          </w:p>
        </w:tc>
        <w:tc>
          <w:tcPr>
            <w:tcW w:w="880" w:type="dxa"/>
            <w:vAlign w:val="bottom"/>
            <w:gridSpan w:val="2"/>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260" w:type="dxa"/>
            <w:vAlign w:val="bottom"/>
            <w:tcBorders>
              <w:bottom w:val="single" w:sz="8" w:color="007FC4"/>
            </w:tcBorders>
          </w:tcPr>
          <w:p>
            <w:pPr>
              <w:ind w:left="160"/>
              <w:spacing w:after="0"/>
              <w:rPr>
                <w:sz w:val="20"/>
                <w:szCs w:val="20"/>
                <w:color w:val="auto"/>
              </w:rPr>
            </w:pPr>
            <w:r>
              <w:rPr>
                <w:rFonts w:ascii="Arial" w:cs="Arial" w:eastAsia="Arial" w:hAnsi="Arial"/>
                <w:sz w:val="14"/>
                <w:szCs w:val="14"/>
                <w:b w:val="1"/>
                <w:bCs w:val="1"/>
                <w:color w:val="007FC4"/>
              </w:rPr>
              <w:t>Edwin Santos</w:t>
            </w:r>
          </w:p>
        </w:tc>
        <w:tc>
          <w:tcPr>
            <w:tcW w:w="3220" w:type="dxa"/>
            <w:vAlign w:val="bottom"/>
            <w:tcBorders>
              <w:bottom w:val="single" w:sz="8" w:color="007FC4"/>
            </w:tcBorders>
            <w:gridSpan w:val="2"/>
          </w:tcPr>
          <w:p>
            <w:pPr>
              <w:ind w:left="2440"/>
              <w:spacing w:after="0"/>
              <w:rPr>
                <w:sz w:val="20"/>
                <w:szCs w:val="20"/>
                <w:color w:val="auto"/>
              </w:rPr>
            </w:pPr>
            <w:r>
              <w:rPr>
                <w:rFonts w:ascii="Arial" w:cs="Arial" w:eastAsia="Arial" w:hAnsi="Arial"/>
                <w:sz w:val="14"/>
                <w:szCs w:val="14"/>
                <w:color w:val="auto"/>
              </w:rPr>
              <w:t>59,000</w:t>
            </w:r>
          </w:p>
        </w:tc>
        <w:tc>
          <w:tcPr>
            <w:tcW w:w="2040" w:type="dxa"/>
            <w:vAlign w:val="bottom"/>
            <w:tcBorders>
              <w:bottom w:val="single" w:sz="8" w:color="007FC4"/>
            </w:tcBorders>
            <w:gridSpan w:val="2"/>
          </w:tcPr>
          <w:p>
            <w:pPr>
              <w:ind w:left="860"/>
              <w:spacing w:after="0"/>
              <w:rPr>
                <w:sz w:val="20"/>
                <w:szCs w:val="20"/>
                <w:color w:val="auto"/>
              </w:rPr>
            </w:pPr>
            <w:r>
              <w:rPr>
                <w:rFonts w:ascii="Arial" w:cs="Arial" w:eastAsia="Arial" w:hAnsi="Arial"/>
                <w:sz w:val="14"/>
                <w:szCs w:val="14"/>
                <w:color w:val="auto"/>
              </w:rPr>
              <w:t>174,985</w:t>
            </w:r>
            <w:r>
              <w:rPr>
                <w:rFonts w:ascii="Arial" w:cs="Arial" w:eastAsia="Arial" w:hAnsi="Arial"/>
                <w:sz w:val="23"/>
                <w:szCs w:val="23"/>
                <w:color w:val="auto"/>
                <w:vertAlign w:val="superscript"/>
              </w:rPr>
              <w:t>(12)</w:t>
            </w:r>
          </w:p>
        </w:tc>
        <w:tc>
          <w:tcPr>
            <w:tcW w:w="880" w:type="dxa"/>
            <w:vAlign w:val="bottom"/>
            <w:tcBorders>
              <w:bottom w:val="single" w:sz="8" w:color="007FC4"/>
            </w:tcBorders>
            <w:gridSpan w:val="2"/>
          </w:tcPr>
          <w:p>
            <w:pPr>
              <w:ind w:left="280"/>
              <w:spacing w:after="0"/>
              <w:rPr>
                <w:sz w:val="20"/>
                <w:szCs w:val="20"/>
                <w:color w:val="auto"/>
              </w:rPr>
            </w:pPr>
            <w:r>
              <w:rPr>
                <w:rFonts w:ascii="Arial" w:cs="Arial" w:eastAsia="Arial" w:hAnsi="Arial"/>
                <w:sz w:val="14"/>
                <w:szCs w:val="14"/>
                <w:color w:val="auto"/>
              </w:rPr>
              <w:t>233,985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4"/>
        <w:spacing w:after="0"/>
        <w:tabs>
          <w:tab w:leader="none" w:pos="360" w:val="left"/>
        </w:tabs>
        <w:numPr>
          <w:ilvl w:val="0"/>
          <w:numId w:val="62"/>
        </w:numPr>
        <w:rPr>
          <w:rFonts w:ascii="Arial" w:cs="Arial" w:eastAsia="Arial" w:hAnsi="Arial"/>
          <w:sz w:val="13"/>
          <w:szCs w:val="13"/>
          <w:color w:val="333333"/>
        </w:rPr>
      </w:pPr>
      <w:r>
        <w:rPr>
          <w:rFonts w:ascii="Arial" w:cs="Arial" w:eastAsia="Arial" w:hAnsi="Arial"/>
          <w:sz w:val="13"/>
          <w:szCs w:val="13"/>
          <w:color w:val="333333"/>
        </w:rPr>
        <w:t>Yvonne Hao resigned as a member of the Board of Directors on January 7, 2023.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23 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54"/>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Gretchen Howard was appointed to the Board of Directors on September 19, 2023.</w:t>
      </w:r>
    </w:p>
    <w:p>
      <w:pPr>
        <w:spacing w:after="0" w:line="93" w:lineRule="exact"/>
        <w:rPr>
          <w:rFonts w:ascii="Arial" w:cs="Arial" w:eastAsia="Arial" w:hAnsi="Arial"/>
          <w:sz w:val="13"/>
          <w:szCs w:val="13"/>
          <w:color w:val="auto"/>
        </w:rPr>
      </w:pPr>
    </w:p>
    <w:p>
      <w:pPr>
        <w:ind w:left="360" w:hanging="354"/>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Jo Natauri resigned as a member of the Board of Directors on January 7, 2023.</w:t>
      </w:r>
    </w:p>
    <w:p>
      <w:pPr>
        <w:spacing w:after="0" w:line="93" w:lineRule="exact"/>
        <w:rPr>
          <w:rFonts w:ascii="Arial" w:cs="Arial" w:eastAsia="Arial" w:hAnsi="Arial"/>
          <w:sz w:val="13"/>
          <w:szCs w:val="13"/>
          <w:color w:val="auto"/>
        </w:rPr>
      </w:pPr>
    </w:p>
    <w:p>
      <w:pPr>
        <w:ind w:left="360" w:hanging="354"/>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Diane Offereins was appointed to the Board of Directors on January 9, 2023.</w:t>
      </w:r>
    </w:p>
    <w:p>
      <w:pPr>
        <w:spacing w:after="0" w:line="93" w:lineRule="exact"/>
        <w:rPr>
          <w:rFonts w:ascii="Arial" w:cs="Arial" w:eastAsia="Arial" w:hAnsi="Arial"/>
          <w:sz w:val="13"/>
          <w:szCs w:val="13"/>
          <w:color w:val="auto"/>
        </w:rPr>
      </w:pPr>
    </w:p>
    <w:p>
      <w:pPr>
        <w:ind w:left="360" w:right="40" w:hanging="354"/>
        <w:spacing w:after="0" w:line="233" w:lineRule="auto"/>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amounts in this column represent the aggregate grant date fair value of stock awards granted to the director during our fiscal year ended December 31, 2023, computed in accordance with FASB ASC Topic 718. See Note 12 to our financial statements included in the 2023 Annual Report for a discussion of our assumptions in determining the ASC 718 values of our option awards.</w:t>
      </w:r>
    </w:p>
    <w:p>
      <w:pPr>
        <w:spacing w:after="0" w:line="77" w:lineRule="exact"/>
        <w:rPr>
          <w:rFonts w:ascii="Arial" w:cs="Arial" w:eastAsia="Arial" w:hAnsi="Arial"/>
          <w:sz w:val="13"/>
          <w:szCs w:val="13"/>
          <w:color w:val="auto"/>
        </w:rPr>
      </w:pPr>
    </w:p>
    <w:p>
      <w:pPr>
        <w:ind w:left="360" w:hanging="354"/>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As of December 31, 2023, our non-employee directors held option and RSU awards to acquire the following number of shares of common stock:</w:t>
      </w: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1940" w:type="dxa"/>
            <w:vAlign w:val="bottom"/>
          </w:tcPr>
          <w:p>
            <w:pPr>
              <w:jc w:val="center"/>
              <w:ind w:left="472"/>
              <w:spacing w:after="0"/>
              <w:rPr>
                <w:sz w:val="20"/>
                <w:szCs w:val="20"/>
                <w:color w:val="auto"/>
              </w:rPr>
            </w:pPr>
            <w:r>
              <w:rPr>
                <w:rFonts w:ascii="Arial" w:cs="Arial" w:eastAsia="Arial" w:hAnsi="Arial"/>
                <w:sz w:val="13"/>
                <w:szCs w:val="13"/>
                <w:b w:val="1"/>
                <w:bCs w:val="1"/>
                <w:color w:val="auto"/>
                <w:w w:val="96"/>
              </w:rPr>
              <w:t>NUMBER OF SHARES</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6420" w:type="dxa"/>
            <w:vAlign w:val="bottom"/>
          </w:tcPr>
          <w:p>
            <w:pPr>
              <w:spacing w:after="0"/>
              <w:rPr>
                <w:sz w:val="11"/>
                <w:szCs w:val="11"/>
                <w:color w:val="auto"/>
              </w:rPr>
            </w:pPr>
          </w:p>
        </w:tc>
        <w:tc>
          <w:tcPr>
            <w:tcW w:w="26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 OUTSTANDING</w:t>
            </w:r>
          </w:p>
        </w:tc>
      </w:tr>
      <w:tr>
        <w:trPr>
          <w:trHeight w:val="172"/>
        </w:trPr>
        <w:tc>
          <w:tcPr>
            <w:tcW w:w="6420" w:type="dxa"/>
            <w:vAlign w:val="bottom"/>
          </w:tcPr>
          <w:p>
            <w:pPr>
              <w:spacing w:after="0"/>
              <w:rPr>
                <w:sz w:val="14"/>
                <w:szCs w:val="14"/>
                <w:color w:val="auto"/>
              </w:rPr>
            </w:pPr>
          </w:p>
        </w:tc>
        <w:tc>
          <w:tcPr>
            <w:tcW w:w="1940" w:type="dxa"/>
            <w:vAlign w:val="bottom"/>
          </w:tcPr>
          <w:p>
            <w:pPr>
              <w:jc w:val="center"/>
              <w:ind w:left="512"/>
              <w:spacing w:after="0"/>
              <w:rPr>
                <w:sz w:val="20"/>
                <w:szCs w:val="20"/>
                <w:color w:val="auto"/>
              </w:rPr>
            </w:pPr>
            <w:r>
              <w:rPr>
                <w:rFonts w:ascii="Arial" w:cs="Arial" w:eastAsia="Arial" w:hAnsi="Arial"/>
                <w:sz w:val="13"/>
                <w:szCs w:val="13"/>
                <w:b w:val="1"/>
                <w:bCs w:val="1"/>
                <w:color w:val="auto"/>
                <w:w w:val="95"/>
              </w:rPr>
              <w:t>AWARDS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89"/>
        </w:trPr>
        <w:tc>
          <w:tcPr>
            <w:tcW w:w="6420" w:type="dxa"/>
            <w:vAlign w:val="bottom"/>
          </w:tcPr>
          <w:p>
            <w:pPr>
              <w:spacing w:after="0"/>
              <w:rPr>
                <w:sz w:val="7"/>
                <w:szCs w:val="7"/>
                <w:color w:val="auto"/>
              </w:rPr>
            </w:pPr>
          </w:p>
        </w:tc>
        <w:tc>
          <w:tcPr>
            <w:tcW w:w="1940" w:type="dxa"/>
            <w:vAlign w:val="bottom"/>
            <w:tcBorders>
              <w:bottom w:val="single" w:sz="8" w:color="007FC4"/>
            </w:tcBorders>
          </w:tcPr>
          <w:p>
            <w:pPr>
              <w:spacing w:after="0"/>
              <w:rPr>
                <w:sz w:val="7"/>
                <w:szCs w:val="7"/>
                <w:color w:val="auto"/>
              </w:rPr>
            </w:pPr>
          </w:p>
        </w:tc>
        <w:tc>
          <w:tcPr>
            <w:tcW w:w="600" w:type="dxa"/>
            <w:vAlign w:val="bottom"/>
            <w:tcBorders>
              <w:bottom w:val="single" w:sz="8" w:color="007FC4"/>
            </w:tcBorders>
          </w:tcPr>
          <w:p>
            <w:pPr>
              <w:spacing w:after="0"/>
              <w:rPr>
                <w:sz w:val="7"/>
                <w:szCs w:val="7"/>
                <w:color w:val="auto"/>
              </w:rPr>
            </w:pPr>
          </w:p>
        </w:tc>
        <w:tc>
          <w:tcPr>
            <w:tcW w:w="60" w:type="dxa"/>
            <w:vAlign w:val="bottom"/>
          </w:tcPr>
          <w:p>
            <w:pPr>
              <w:spacing w:after="0"/>
              <w:rPr>
                <w:sz w:val="7"/>
                <w:szCs w:val="7"/>
                <w:color w:val="auto"/>
              </w:rPr>
            </w:pPr>
          </w:p>
        </w:tc>
      </w:tr>
      <w:tr>
        <w:trPr>
          <w:trHeight w:val="273"/>
        </w:trPr>
        <w:tc>
          <w:tcPr>
            <w:tcW w:w="6420" w:type="dxa"/>
            <w:vAlign w:val="bottom"/>
          </w:tcPr>
          <w:p>
            <w:pPr>
              <w:spacing w:after="0"/>
              <w:rPr>
                <w:sz w:val="23"/>
                <w:szCs w:val="23"/>
                <w:color w:val="auto"/>
              </w:rPr>
            </w:pPr>
          </w:p>
        </w:tc>
        <w:tc>
          <w:tcPr>
            <w:tcW w:w="1940" w:type="dxa"/>
            <w:vAlign w:val="bottom"/>
          </w:tcPr>
          <w:p>
            <w:pPr>
              <w:jc w:val="center"/>
              <w:ind w:right="752"/>
              <w:spacing w:after="0"/>
              <w:rPr>
                <w:sz w:val="20"/>
                <w:szCs w:val="20"/>
                <w:color w:val="auto"/>
              </w:rPr>
            </w:pPr>
            <w:r>
              <w:rPr>
                <w:rFonts w:ascii="Arial" w:cs="Arial" w:eastAsia="Arial" w:hAnsi="Arial"/>
                <w:sz w:val="13"/>
                <w:szCs w:val="13"/>
                <w:b w:val="1"/>
                <w:bCs w:val="1"/>
                <w:color w:val="auto"/>
                <w:w w:val="96"/>
              </w:rPr>
              <w:t>OPTION</w:t>
            </w:r>
          </w:p>
        </w:tc>
        <w:tc>
          <w:tcPr>
            <w:tcW w:w="660" w:type="dxa"/>
            <w:vAlign w:val="bottom"/>
            <w:gridSpan w:val="2"/>
          </w:tcPr>
          <w:p>
            <w:pPr>
              <w:ind w:left="300"/>
              <w:spacing w:after="0"/>
              <w:rPr>
                <w:sz w:val="20"/>
                <w:szCs w:val="20"/>
                <w:color w:val="auto"/>
              </w:rPr>
            </w:pPr>
            <w:r>
              <w:rPr>
                <w:rFonts w:ascii="Arial" w:cs="Arial" w:eastAsia="Arial" w:hAnsi="Arial"/>
                <w:sz w:val="13"/>
                <w:szCs w:val="13"/>
                <w:b w:val="1"/>
                <w:bCs w:val="1"/>
                <w:color w:val="auto"/>
              </w:rPr>
              <w:t>RSU</w:t>
            </w:r>
          </w:p>
        </w:tc>
      </w:tr>
      <w:tr>
        <w:trPr>
          <w:trHeight w:val="172"/>
        </w:trPr>
        <w:tc>
          <w:tcPr>
            <w:tcW w:w="6420" w:type="dxa"/>
            <w:vAlign w:val="bottom"/>
          </w:tcPr>
          <w:p>
            <w:pPr>
              <w:spacing w:after="0"/>
              <w:rPr>
                <w:sz w:val="14"/>
                <w:szCs w:val="14"/>
                <w:color w:val="auto"/>
              </w:rPr>
            </w:pPr>
          </w:p>
        </w:tc>
        <w:tc>
          <w:tcPr>
            <w:tcW w:w="1940" w:type="dxa"/>
            <w:vAlign w:val="bottom"/>
          </w:tcPr>
          <w:p>
            <w:pPr>
              <w:jc w:val="center"/>
              <w:ind w:right="752"/>
              <w:spacing w:after="0"/>
              <w:rPr>
                <w:sz w:val="20"/>
                <w:szCs w:val="20"/>
                <w:color w:val="auto"/>
              </w:rPr>
            </w:pPr>
            <w:r>
              <w:rPr>
                <w:rFonts w:ascii="Arial" w:cs="Arial" w:eastAsia="Arial" w:hAnsi="Arial"/>
                <w:sz w:val="13"/>
                <w:szCs w:val="13"/>
                <w:b w:val="1"/>
                <w:bCs w:val="1"/>
                <w:color w:val="auto"/>
                <w:w w:val="95"/>
              </w:rPr>
              <w:t>AWARDS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9"/>
              </w:rPr>
              <w:t>AWARDS</w:t>
            </w:r>
          </w:p>
        </w:tc>
      </w:tr>
      <w:tr>
        <w:trPr>
          <w:trHeight w:val="48"/>
        </w:trPr>
        <w:tc>
          <w:tcPr>
            <w:tcW w:w="6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8"/>
        </w:trPr>
        <w:tc>
          <w:tcPr>
            <w:tcW w:w="64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Matthew Harris</w:t>
            </w:r>
          </w:p>
        </w:tc>
        <w:tc>
          <w:tcPr>
            <w:tcW w:w="1940" w:type="dxa"/>
            <w:vAlign w:val="bottom"/>
            <w:shd w:val="clear" w:color="auto" w:fill="E5EBF7"/>
          </w:tcPr>
          <w:p>
            <w:pPr>
              <w:jc w:val="right"/>
              <w:ind w:right="1052"/>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5EBF7"/>
          </w:tcPr>
          <w:p>
            <w:pPr>
              <w:jc w:val="right"/>
              <w:ind w:right="80"/>
              <w:spacing w:after="0"/>
              <w:rPr>
                <w:sz w:val="20"/>
                <w:szCs w:val="20"/>
                <w:color w:val="auto"/>
              </w:rPr>
            </w:pPr>
            <w:r>
              <w:rPr>
                <w:rFonts w:ascii="Arial" w:cs="Arial" w:eastAsia="Arial" w:hAnsi="Arial"/>
                <w:sz w:val="14"/>
                <w:szCs w:val="14"/>
                <w:color w:val="auto"/>
              </w:rPr>
              <w:t>—</w:t>
            </w:r>
          </w:p>
        </w:tc>
      </w:tr>
      <w:tr>
        <w:trPr>
          <w:trHeight w:val="83"/>
        </w:trPr>
        <w:tc>
          <w:tcPr>
            <w:tcW w:w="6420" w:type="dxa"/>
            <w:vAlign w:val="bottom"/>
            <w:shd w:val="clear" w:color="auto" w:fill="E5EBF7"/>
          </w:tcPr>
          <w:p>
            <w:pPr>
              <w:spacing w:after="0"/>
              <w:rPr>
                <w:sz w:val="7"/>
                <w:szCs w:val="7"/>
                <w:color w:val="auto"/>
              </w:rPr>
            </w:pPr>
          </w:p>
        </w:tc>
        <w:tc>
          <w:tcPr>
            <w:tcW w:w="1940" w:type="dxa"/>
            <w:vAlign w:val="bottom"/>
            <w:shd w:val="clear" w:color="auto" w:fill="E5EBF7"/>
          </w:tcPr>
          <w:p>
            <w:pPr>
              <w:spacing w:after="0"/>
              <w:rPr>
                <w:sz w:val="7"/>
                <w:szCs w:val="7"/>
                <w:color w:val="auto"/>
              </w:rPr>
            </w:pPr>
          </w:p>
        </w:tc>
        <w:tc>
          <w:tcPr>
            <w:tcW w:w="600" w:type="dxa"/>
            <w:vAlign w:val="bottom"/>
            <w:shd w:val="clear" w:color="auto" w:fill="E5EBF7"/>
          </w:tcPr>
          <w:p>
            <w:pPr>
              <w:spacing w:after="0"/>
              <w:rPr>
                <w:sz w:val="7"/>
                <w:szCs w:val="7"/>
                <w:color w:val="auto"/>
              </w:rPr>
            </w:pPr>
          </w:p>
        </w:tc>
        <w:tc>
          <w:tcPr>
            <w:tcW w:w="60" w:type="dxa"/>
            <w:vAlign w:val="bottom"/>
            <w:shd w:val="clear" w:color="auto" w:fill="E5EBF7"/>
          </w:tcPr>
          <w:p>
            <w:pPr>
              <w:spacing w:after="0"/>
              <w:rPr>
                <w:sz w:val="7"/>
                <w:szCs w:val="7"/>
                <w:color w:val="auto"/>
              </w:rPr>
            </w:pPr>
          </w:p>
        </w:tc>
      </w:tr>
      <w:tr>
        <w:trPr>
          <w:trHeight w:val="405"/>
        </w:trPr>
        <w:tc>
          <w:tcPr>
            <w:tcW w:w="6420" w:type="dxa"/>
            <w:vAlign w:val="bottom"/>
          </w:tcPr>
          <w:p>
            <w:pPr>
              <w:ind w:left="180"/>
              <w:spacing w:after="0"/>
              <w:rPr>
                <w:sz w:val="20"/>
                <w:szCs w:val="20"/>
                <w:color w:val="auto"/>
              </w:rPr>
            </w:pPr>
            <w:r>
              <w:rPr>
                <w:rFonts w:ascii="Arial" w:cs="Arial" w:eastAsia="Arial" w:hAnsi="Arial"/>
                <w:sz w:val="14"/>
                <w:szCs w:val="14"/>
                <w:b w:val="1"/>
                <w:bCs w:val="1"/>
                <w:color w:val="007FC4"/>
              </w:rPr>
              <w:t>Gretchen Howard</w:t>
            </w:r>
            <w:r>
              <w:rPr>
                <w:rFonts w:ascii="Arial" w:cs="Arial" w:eastAsia="Arial" w:hAnsi="Arial"/>
                <w:sz w:val="23"/>
                <w:szCs w:val="23"/>
                <w:b w:val="1"/>
                <w:bCs w:val="1"/>
                <w:color w:val="007FC4"/>
                <w:vertAlign w:val="superscript"/>
              </w:rPr>
              <w:t>(2)</w:t>
            </w:r>
          </w:p>
        </w:tc>
        <w:tc>
          <w:tcPr>
            <w:tcW w:w="1940" w:type="dxa"/>
            <w:vAlign w:val="bottom"/>
          </w:tcPr>
          <w:p>
            <w:pPr>
              <w:jc w:val="right"/>
              <w:ind w:right="1052"/>
              <w:spacing w:after="0"/>
              <w:rPr>
                <w:sz w:val="20"/>
                <w:szCs w:val="20"/>
                <w:color w:val="auto"/>
              </w:rPr>
            </w:pPr>
            <w:r>
              <w:rPr>
                <w:rFonts w:ascii="Arial" w:cs="Arial" w:eastAsia="Arial" w:hAnsi="Arial"/>
                <w:sz w:val="14"/>
                <w:szCs w:val="14"/>
                <w:color w:val="auto"/>
              </w:rPr>
              <w:t>0</w:t>
            </w:r>
          </w:p>
        </w:tc>
        <w:tc>
          <w:tcPr>
            <w:tcW w:w="600" w:type="dxa"/>
            <w:vAlign w:val="bottom"/>
          </w:tcPr>
          <w:p>
            <w:pPr>
              <w:jc w:val="right"/>
              <w:spacing w:after="0"/>
              <w:rPr>
                <w:sz w:val="20"/>
                <w:szCs w:val="20"/>
                <w:color w:val="auto"/>
              </w:rPr>
            </w:pPr>
            <w:r>
              <w:rPr>
                <w:rFonts w:ascii="Arial" w:cs="Arial" w:eastAsia="Arial" w:hAnsi="Arial"/>
                <w:sz w:val="14"/>
                <w:szCs w:val="14"/>
                <w:color w:val="auto"/>
              </w:rPr>
              <w:t>11,415</w:t>
            </w:r>
          </w:p>
        </w:tc>
        <w:tc>
          <w:tcPr>
            <w:tcW w:w="60" w:type="dxa"/>
            <w:vAlign w:val="bottom"/>
          </w:tcPr>
          <w:p>
            <w:pPr>
              <w:spacing w:after="0"/>
              <w:rPr>
                <w:sz w:val="24"/>
                <w:szCs w:val="24"/>
                <w:color w:val="auto"/>
              </w:rPr>
            </w:pPr>
          </w:p>
        </w:tc>
      </w:tr>
      <w:tr>
        <w:trPr>
          <w:trHeight w:val="295"/>
        </w:trPr>
        <w:tc>
          <w:tcPr>
            <w:tcW w:w="64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Alex Finkelstein</w:t>
            </w:r>
          </w:p>
        </w:tc>
        <w:tc>
          <w:tcPr>
            <w:tcW w:w="1940" w:type="dxa"/>
            <w:vAlign w:val="bottom"/>
            <w:shd w:val="clear" w:color="auto" w:fill="E5EBF7"/>
          </w:tcPr>
          <w:p>
            <w:pPr>
              <w:jc w:val="right"/>
              <w:ind w:right="1052"/>
              <w:spacing w:after="0"/>
              <w:rPr>
                <w:sz w:val="20"/>
                <w:szCs w:val="20"/>
                <w:color w:val="auto"/>
              </w:rPr>
            </w:pPr>
            <w:r>
              <w:rPr>
                <w:rFonts w:ascii="Arial" w:cs="Arial" w:eastAsia="Arial" w:hAnsi="Arial"/>
                <w:sz w:val="14"/>
                <w:szCs w:val="14"/>
                <w:color w:val="auto"/>
              </w:rPr>
              <w:t>0</w:t>
            </w:r>
          </w:p>
        </w:tc>
        <w:tc>
          <w:tcPr>
            <w:tcW w:w="600" w:type="dxa"/>
            <w:vAlign w:val="bottom"/>
            <w:shd w:val="clear" w:color="auto" w:fill="E5EBF7"/>
          </w:tcPr>
          <w:p>
            <w:pPr>
              <w:jc w:val="right"/>
              <w:spacing w:after="0"/>
              <w:rPr>
                <w:sz w:val="20"/>
                <w:szCs w:val="20"/>
                <w:color w:val="auto"/>
              </w:rPr>
            </w:pPr>
            <w:r>
              <w:rPr>
                <w:rFonts w:ascii="Arial" w:cs="Arial" w:eastAsia="Arial" w:hAnsi="Arial"/>
                <w:sz w:val="14"/>
                <w:szCs w:val="14"/>
                <w:color w:val="auto"/>
              </w:rPr>
              <w:t>5,587</w:t>
            </w:r>
          </w:p>
        </w:tc>
        <w:tc>
          <w:tcPr>
            <w:tcW w:w="60" w:type="dxa"/>
            <w:vAlign w:val="bottom"/>
            <w:shd w:val="clear" w:color="auto" w:fill="E5EBF7"/>
          </w:tcPr>
          <w:p>
            <w:pPr>
              <w:spacing w:after="0"/>
              <w:rPr>
                <w:sz w:val="24"/>
                <w:szCs w:val="24"/>
                <w:color w:val="auto"/>
              </w:rPr>
            </w:pPr>
          </w:p>
        </w:tc>
      </w:tr>
      <w:tr>
        <w:trPr>
          <w:trHeight w:val="83"/>
        </w:trPr>
        <w:tc>
          <w:tcPr>
            <w:tcW w:w="6420" w:type="dxa"/>
            <w:vAlign w:val="bottom"/>
            <w:shd w:val="clear" w:color="auto" w:fill="E5EBF7"/>
          </w:tcPr>
          <w:p>
            <w:pPr>
              <w:spacing w:after="0"/>
              <w:rPr>
                <w:sz w:val="7"/>
                <w:szCs w:val="7"/>
                <w:color w:val="auto"/>
              </w:rPr>
            </w:pPr>
          </w:p>
        </w:tc>
        <w:tc>
          <w:tcPr>
            <w:tcW w:w="1940" w:type="dxa"/>
            <w:vAlign w:val="bottom"/>
            <w:shd w:val="clear" w:color="auto" w:fill="E5EBF7"/>
          </w:tcPr>
          <w:p>
            <w:pPr>
              <w:spacing w:after="0"/>
              <w:rPr>
                <w:sz w:val="7"/>
                <w:szCs w:val="7"/>
                <w:color w:val="auto"/>
              </w:rPr>
            </w:pPr>
          </w:p>
        </w:tc>
        <w:tc>
          <w:tcPr>
            <w:tcW w:w="600" w:type="dxa"/>
            <w:vAlign w:val="bottom"/>
            <w:shd w:val="clear" w:color="auto" w:fill="E5EBF7"/>
          </w:tcPr>
          <w:p>
            <w:pPr>
              <w:spacing w:after="0"/>
              <w:rPr>
                <w:sz w:val="7"/>
                <w:szCs w:val="7"/>
                <w:color w:val="auto"/>
              </w:rPr>
            </w:pPr>
          </w:p>
        </w:tc>
        <w:tc>
          <w:tcPr>
            <w:tcW w:w="60" w:type="dxa"/>
            <w:vAlign w:val="bottom"/>
            <w:shd w:val="clear" w:color="auto" w:fill="E5EBF7"/>
          </w:tcPr>
          <w:p>
            <w:pPr>
              <w:spacing w:after="0"/>
              <w:rPr>
                <w:sz w:val="7"/>
                <w:szCs w:val="7"/>
                <w:color w:val="auto"/>
              </w:rPr>
            </w:pPr>
          </w:p>
        </w:tc>
      </w:tr>
      <w:tr>
        <w:trPr>
          <w:trHeight w:val="405"/>
        </w:trPr>
        <w:tc>
          <w:tcPr>
            <w:tcW w:w="6420" w:type="dxa"/>
            <w:vAlign w:val="bottom"/>
          </w:tcPr>
          <w:p>
            <w:pPr>
              <w:ind w:left="180"/>
              <w:spacing w:after="0"/>
              <w:rPr>
                <w:sz w:val="20"/>
                <w:szCs w:val="20"/>
                <w:color w:val="auto"/>
              </w:rPr>
            </w:pPr>
            <w:r>
              <w:rPr>
                <w:rFonts w:ascii="Arial" w:cs="Arial" w:eastAsia="Arial" w:hAnsi="Arial"/>
                <w:sz w:val="14"/>
                <w:szCs w:val="14"/>
                <w:b w:val="1"/>
                <w:bCs w:val="1"/>
                <w:color w:val="007FC4"/>
              </w:rPr>
              <w:t>Diane Offereins</w:t>
            </w:r>
            <w:r>
              <w:rPr>
                <w:rFonts w:ascii="Arial" w:cs="Arial" w:eastAsia="Arial" w:hAnsi="Arial"/>
                <w:sz w:val="23"/>
                <w:szCs w:val="23"/>
                <w:b w:val="1"/>
                <w:bCs w:val="1"/>
                <w:color w:val="007FC4"/>
                <w:vertAlign w:val="superscript"/>
              </w:rPr>
              <w:t>(4)</w:t>
            </w:r>
          </w:p>
        </w:tc>
        <w:tc>
          <w:tcPr>
            <w:tcW w:w="1940" w:type="dxa"/>
            <w:vAlign w:val="bottom"/>
          </w:tcPr>
          <w:p>
            <w:pPr>
              <w:jc w:val="right"/>
              <w:ind w:right="1052"/>
              <w:spacing w:after="0"/>
              <w:rPr>
                <w:sz w:val="20"/>
                <w:szCs w:val="20"/>
                <w:color w:val="auto"/>
              </w:rPr>
            </w:pPr>
            <w:r>
              <w:rPr>
                <w:rFonts w:ascii="Arial" w:cs="Arial" w:eastAsia="Arial" w:hAnsi="Arial"/>
                <w:sz w:val="14"/>
                <w:szCs w:val="14"/>
                <w:color w:val="auto"/>
              </w:rPr>
              <w:t>0</w:t>
            </w:r>
          </w:p>
        </w:tc>
        <w:tc>
          <w:tcPr>
            <w:tcW w:w="600" w:type="dxa"/>
            <w:vAlign w:val="bottom"/>
          </w:tcPr>
          <w:p>
            <w:pPr>
              <w:jc w:val="right"/>
              <w:spacing w:after="0"/>
              <w:rPr>
                <w:sz w:val="20"/>
                <w:szCs w:val="20"/>
                <w:color w:val="auto"/>
              </w:rPr>
            </w:pPr>
            <w:r>
              <w:rPr>
                <w:rFonts w:ascii="Arial" w:cs="Arial" w:eastAsia="Arial" w:hAnsi="Arial"/>
                <w:sz w:val="14"/>
                <w:szCs w:val="14"/>
                <w:color w:val="auto"/>
              </w:rPr>
              <w:t>19,763</w:t>
            </w:r>
          </w:p>
        </w:tc>
        <w:tc>
          <w:tcPr>
            <w:tcW w:w="60" w:type="dxa"/>
            <w:vAlign w:val="bottom"/>
          </w:tcPr>
          <w:p>
            <w:pPr>
              <w:spacing w:after="0"/>
              <w:rPr>
                <w:sz w:val="24"/>
                <w:szCs w:val="24"/>
                <w:color w:val="auto"/>
              </w:rPr>
            </w:pPr>
          </w:p>
        </w:tc>
      </w:tr>
      <w:tr>
        <w:trPr>
          <w:trHeight w:val="295"/>
        </w:trPr>
        <w:tc>
          <w:tcPr>
            <w:tcW w:w="64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Phillip Riese</w:t>
            </w:r>
          </w:p>
        </w:tc>
        <w:tc>
          <w:tcPr>
            <w:tcW w:w="1940" w:type="dxa"/>
            <w:vAlign w:val="bottom"/>
            <w:shd w:val="clear" w:color="auto" w:fill="E5EBF7"/>
          </w:tcPr>
          <w:p>
            <w:pPr>
              <w:jc w:val="center"/>
              <w:ind w:right="752"/>
              <w:spacing w:after="0"/>
              <w:rPr>
                <w:sz w:val="20"/>
                <w:szCs w:val="20"/>
                <w:color w:val="auto"/>
              </w:rPr>
            </w:pPr>
            <w:r>
              <w:rPr>
                <w:rFonts w:ascii="Arial" w:cs="Arial" w:eastAsia="Arial" w:hAnsi="Arial"/>
                <w:sz w:val="14"/>
                <w:szCs w:val="14"/>
                <w:color w:val="auto"/>
              </w:rPr>
              <w:t>438,000</w:t>
            </w:r>
          </w:p>
        </w:tc>
        <w:tc>
          <w:tcPr>
            <w:tcW w:w="600" w:type="dxa"/>
            <w:vAlign w:val="bottom"/>
            <w:shd w:val="clear" w:color="auto" w:fill="E5EBF7"/>
          </w:tcPr>
          <w:p>
            <w:pPr>
              <w:jc w:val="right"/>
              <w:spacing w:after="0"/>
              <w:rPr>
                <w:sz w:val="20"/>
                <w:szCs w:val="20"/>
                <w:color w:val="auto"/>
              </w:rPr>
            </w:pPr>
            <w:r>
              <w:rPr>
                <w:rFonts w:ascii="Arial" w:cs="Arial" w:eastAsia="Arial" w:hAnsi="Arial"/>
                <w:sz w:val="14"/>
                <w:szCs w:val="14"/>
                <w:color w:val="auto"/>
              </w:rPr>
              <w:t>5,587</w:t>
            </w:r>
          </w:p>
        </w:tc>
        <w:tc>
          <w:tcPr>
            <w:tcW w:w="60" w:type="dxa"/>
            <w:vAlign w:val="bottom"/>
            <w:shd w:val="clear" w:color="auto" w:fill="E5EBF7"/>
          </w:tcPr>
          <w:p>
            <w:pPr>
              <w:spacing w:after="0"/>
              <w:rPr>
                <w:sz w:val="24"/>
                <w:szCs w:val="24"/>
                <w:color w:val="auto"/>
              </w:rPr>
            </w:pPr>
          </w:p>
        </w:tc>
      </w:tr>
      <w:tr>
        <w:trPr>
          <w:trHeight w:val="83"/>
        </w:trPr>
        <w:tc>
          <w:tcPr>
            <w:tcW w:w="6420" w:type="dxa"/>
            <w:vAlign w:val="bottom"/>
            <w:shd w:val="clear" w:color="auto" w:fill="E5EBF7"/>
          </w:tcPr>
          <w:p>
            <w:pPr>
              <w:spacing w:after="0"/>
              <w:rPr>
                <w:sz w:val="7"/>
                <w:szCs w:val="7"/>
                <w:color w:val="auto"/>
              </w:rPr>
            </w:pPr>
          </w:p>
        </w:tc>
        <w:tc>
          <w:tcPr>
            <w:tcW w:w="1940" w:type="dxa"/>
            <w:vAlign w:val="bottom"/>
            <w:shd w:val="clear" w:color="auto" w:fill="E5EBF7"/>
          </w:tcPr>
          <w:p>
            <w:pPr>
              <w:spacing w:after="0"/>
              <w:rPr>
                <w:sz w:val="7"/>
                <w:szCs w:val="7"/>
                <w:color w:val="auto"/>
              </w:rPr>
            </w:pPr>
          </w:p>
        </w:tc>
        <w:tc>
          <w:tcPr>
            <w:tcW w:w="600" w:type="dxa"/>
            <w:vAlign w:val="bottom"/>
            <w:shd w:val="clear" w:color="auto" w:fill="E5EBF7"/>
          </w:tcPr>
          <w:p>
            <w:pPr>
              <w:spacing w:after="0"/>
              <w:rPr>
                <w:sz w:val="7"/>
                <w:szCs w:val="7"/>
                <w:color w:val="auto"/>
              </w:rPr>
            </w:pPr>
          </w:p>
        </w:tc>
        <w:tc>
          <w:tcPr>
            <w:tcW w:w="60" w:type="dxa"/>
            <w:vAlign w:val="bottom"/>
            <w:shd w:val="clear" w:color="auto" w:fill="E5EBF7"/>
          </w:tcPr>
          <w:p>
            <w:pPr>
              <w:spacing w:after="0"/>
              <w:rPr>
                <w:sz w:val="7"/>
                <w:szCs w:val="7"/>
                <w:color w:val="auto"/>
              </w:rPr>
            </w:pPr>
          </w:p>
        </w:tc>
      </w:tr>
      <w:tr>
        <w:trPr>
          <w:trHeight w:val="295"/>
        </w:trPr>
        <w:tc>
          <w:tcPr>
            <w:tcW w:w="6420" w:type="dxa"/>
            <w:vAlign w:val="bottom"/>
          </w:tcPr>
          <w:p>
            <w:pPr>
              <w:ind w:left="180"/>
              <w:spacing w:after="0"/>
              <w:rPr>
                <w:sz w:val="20"/>
                <w:szCs w:val="20"/>
                <w:color w:val="auto"/>
              </w:rPr>
            </w:pPr>
            <w:r>
              <w:rPr>
                <w:rFonts w:ascii="Arial" w:cs="Arial" w:eastAsia="Arial" w:hAnsi="Arial"/>
                <w:sz w:val="14"/>
                <w:szCs w:val="14"/>
                <w:b w:val="1"/>
                <w:bCs w:val="1"/>
                <w:color w:val="007FC4"/>
              </w:rPr>
              <w:t>Edwin Santos</w:t>
            </w:r>
          </w:p>
        </w:tc>
        <w:tc>
          <w:tcPr>
            <w:tcW w:w="1940" w:type="dxa"/>
            <w:vAlign w:val="bottom"/>
          </w:tcPr>
          <w:p>
            <w:pPr>
              <w:jc w:val="right"/>
              <w:ind w:right="1052"/>
              <w:spacing w:after="0"/>
              <w:rPr>
                <w:sz w:val="20"/>
                <w:szCs w:val="20"/>
                <w:color w:val="auto"/>
              </w:rPr>
            </w:pPr>
            <w:r>
              <w:rPr>
                <w:rFonts w:ascii="Arial" w:cs="Arial" w:eastAsia="Arial" w:hAnsi="Arial"/>
                <w:sz w:val="14"/>
                <w:szCs w:val="14"/>
                <w:color w:val="auto"/>
              </w:rPr>
              <w:t>0</w:t>
            </w:r>
          </w:p>
        </w:tc>
        <w:tc>
          <w:tcPr>
            <w:tcW w:w="600" w:type="dxa"/>
            <w:vAlign w:val="bottom"/>
          </w:tcPr>
          <w:p>
            <w:pPr>
              <w:jc w:val="right"/>
              <w:spacing w:after="0"/>
              <w:rPr>
                <w:sz w:val="20"/>
                <w:szCs w:val="20"/>
                <w:color w:val="auto"/>
              </w:rPr>
            </w:pPr>
            <w:r>
              <w:rPr>
                <w:rFonts w:ascii="Arial" w:cs="Arial" w:eastAsia="Arial" w:hAnsi="Arial"/>
                <w:sz w:val="14"/>
                <w:szCs w:val="14"/>
                <w:color w:val="auto"/>
              </w:rPr>
              <w:t>10,448</w:t>
            </w:r>
          </w:p>
        </w:tc>
        <w:tc>
          <w:tcPr>
            <w:tcW w:w="60" w:type="dxa"/>
            <w:vAlign w:val="bottom"/>
          </w:tcPr>
          <w:p>
            <w:pPr>
              <w:spacing w:after="0"/>
              <w:rPr>
                <w:sz w:val="24"/>
                <w:szCs w:val="24"/>
                <w:color w:val="auto"/>
              </w:rPr>
            </w:pPr>
          </w:p>
        </w:tc>
      </w:tr>
      <w:tr>
        <w:trPr>
          <w:trHeight w:val="29"/>
        </w:trPr>
        <w:tc>
          <w:tcPr>
            <w:tcW w:w="6420" w:type="dxa"/>
            <w:vAlign w:val="bottom"/>
            <w:tcBorders>
              <w:bottom w:val="single" w:sz="8" w:color="007FC4"/>
            </w:tcBorders>
          </w:tcPr>
          <w:p>
            <w:pPr>
              <w:spacing w:after="0"/>
              <w:rPr>
                <w:sz w:val="2"/>
                <w:szCs w:val="2"/>
                <w:color w:val="auto"/>
              </w:rPr>
            </w:pPr>
          </w:p>
        </w:tc>
        <w:tc>
          <w:tcPr>
            <w:tcW w:w="1940" w:type="dxa"/>
            <w:vAlign w:val="bottom"/>
            <w:tcBorders>
              <w:bottom w:val="single" w:sz="8" w:color="007FC4"/>
            </w:tcBorders>
          </w:tcPr>
          <w:p>
            <w:pPr>
              <w:spacing w:after="0"/>
              <w:rPr>
                <w:sz w:val="2"/>
                <w:szCs w:val="2"/>
                <w:color w:val="auto"/>
              </w:rPr>
            </w:pPr>
          </w:p>
        </w:tc>
        <w:tc>
          <w:tcPr>
            <w:tcW w:w="600" w:type="dxa"/>
            <w:vAlign w:val="bottom"/>
            <w:tcBorders>
              <w:bottom w:val="single" w:sz="8" w:color="007FC4"/>
            </w:tcBorders>
          </w:tcPr>
          <w:p>
            <w:pPr>
              <w:spacing w:after="0"/>
              <w:rPr>
                <w:sz w:val="2"/>
                <w:szCs w:val="2"/>
                <w:color w:val="auto"/>
              </w:rPr>
            </w:pPr>
          </w:p>
        </w:tc>
        <w:tc>
          <w:tcPr>
            <w:tcW w:w="60" w:type="dxa"/>
            <w:vAlign w:val="bottom"/>
            <w:tcBorders>
              <w:bottom w:val="single" w:sz="8" w:color="007FC4"/>
            </w:tcBorders>
          </w:tcPr>
          <w:p>
            <w:pPr>
              <w:spacing w:after="0"/>
              <w:rPr>
                <w:sz w:val="2"/>
                <w:szCs w:val="2"/>
                <w:color w:val="auto"/>
              </w:rPr>
            </w:pPr>
          </w:p>
        </w:tc>
      </w:tr>
    </w:tbl>
    <w:p>
      <w:pPr>
        <w:spacing w:after="0" w:line="90" w:lineRule="exact"/>
        <w:rPr>
          <w:sz w:val="20"/>
          <w:szCs w:val="20"/>
          <w:color w:val="auto"/>
        </w:rPr>
      </w:pPr>
    </w:p>
    <w:p>
      <w:pPr>
        <w:ind w:left="360" w:right="32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September 19, 2023, Ms. Howard was granted an initial restricted stock unit award for 11,415 shares of our common stock pursuant to our non-employee director compensation plan.</w:t>
      </w:r>
    </w:p>
    <w:p>
      <w:pPr>
        <w:spacing w:after="0" w:line="75" w:lineRule="exact"/>
        <w:rPr>
          <w:rFonts w:ascii="Arial" w:cs="Arial" w:eastAsia="Arial" w:hAnsi="Arial"/>
          <w:sz w:val="13"/>
          <w:szCs w:val="13"/>
          <w:color w:val="333333"/>
        </w:rPr>
      </w:pPr>
    </w:p>
    <w:p>
      <w:pPr>
        <w:ind w:left="360" w:right="10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June 4, 2023, Mr. Finkelstein was granted an annual restricted stock unit award for 5,587 shares of our common stock pursuant to our non-employee director compensation plan.</w:t>
      </w:r>
    </w:p>
    <w:p>
      <w:pPr>
        <w:spacing w:after="0" w:line="75" w:lineRule="exact"/>
        <w:rPr>
          <w:rFonts w:ascii="Arial" w:cs="Arial" w:eastAsia="Arial" w:hAnsi="Arial"/>
          <w:sz w:val="13"/>
          <w:szCs w:val="13"/>
          <w:color w:val="333333"/>
        </w:rPr>
      </w:pPr>
    </w:p>
    <w:p>
      <w:pPr>
        <w:ind w:left="360" w:right="2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January 9, 2023, Ms. Offereins was granted an initial restricted stock unit award for 14,176 shares of our common stock pursuant to our non-employee director compensation plan.</w:t>
      </w:r>
    </w:p>
    <w:p>
      <w:pPr>
        <w:spacing w:after="0" w:line="75" w:lineRule="exact"/>
        <w:rPr>
          <w:rFonts w:ascii="Arial" w:cs="Arial" w:eastAsia="Arial" w:hAnsi="Arial"/>
          <w:sz w:val="13"/>
          <w:szCs w:val="13"/>
          <w:color w:val="333333"/>
        </w:rPr>
      </w:pPr>
    </w:p>
    <w:p>
      <w:pPr>
        <w:ind w:left="360" w:right="16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June 4, 2023, Ms. Offereins was granted an annual restricted stock unit award for 5,587 shares of our common stock pursuant to our non-employee director compensation plan.</w:t>
      </w:r>
    </w:p>
    <w:p>
      <w:pPr>
        <w:spacing w:after="0" w:line="75" w:lineRule="exact"/>
        <w:rPr>
          <w:rFonts w:ascii="Arial" w:cs="Arial" w:eastAsia="Arial" w:hAnsi="Arial"/>
          <w:sz w:val="13"/>
          <w:szCs w:val="13"/>
          <w:color w:val="333333"/>
        </w:rPr>
      </w:pPr>
    </w:p>
    <w:p>
      <w:pPr>
        <w:ind w:left="360" w:right="38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June 4, 2023, Mr. Riese was granted an annual restricted stock unit award for 5,587 shares of our common stock pursuant to our non-employee director compensation plan.</w:t>
      </w:r>
    </w:p>
    <w:p>
      <w:pPr>
        <w:spacing w:after="0" w:line="75" w:lineRule="exact"/>
        <w:rPr>
          <w:rFonts w:ascii="Arial" w:cs="Arial" w:eastAsia="Arial" w:hAnsi="Arial"/>
          <w:sz w:val="13"/>
          <w:szCs w:val="13"/>
          <w:color w:val="333333"/>
        </w:rPr>
      </w:pPr>
    </w:p>
    <w:p>
      <w:pPr>
        <w:ind w:left="360" w:right="320" w:hanging="354"/>
        <w:spacing w:after="0" w:line="243" w:lineRule="auto"/>
        <w:tabs>
          <w:tab w:leader="none" w:pos="360" w:val="left"/>
        </w:tabs>
        <w:numPr>
          <w:ilvl w:val="0"/>
          <w:numId w:val="64"/>
        </w:numPr>
        <w:rPr>
          <w:rFonts w:ascii="Arial" w:cs="Arial" w:eastAsia="Arial" w:hAnsi="Arial"/>
          <w:sz w:val="13"/>
          <w:szCs w:val="13"/>
          <w:color w:val="333333"/>
        </w:rPr>
      </w:pPr>
      <w:r>
        <w:rPr>
          <w:rFonts w:ascii="Arial" w:cs="Arial" w:eastAsia="Arial" w:hAnsi="Arial"/>
          <w:sz w:val="13"/>
          <w:szCs w:val="13"/>
          <w:color w:val="333333"/>
        </w:rPr>
        <w:t>On June 4, 2023, Mr. Santos was granted an annual restricted stock unit award for 5,587 shares of our common stock pursuant to our non-employee director compensation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24 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 COMPENSATION</w:t>
      </w:r>
    </w:p>
    <w:p>
      <w:pPr>
        <w:spacing w:after="0" w:line="176"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For the year ended December 31, 2023, pursuant to our then current non-employee director compensation plan, each non-employee member of our Board of Directors received the following cash and equity compensation for board services, as applicable: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tcPr>
          <w:p>
            <w:pPr>
              <w:jc w:val="center"/>
              <w:ind w:left="130"/>
              <w:spacing w:after="0"/>
              <w:rPr>
                <w:sz w:val="20"/>
                <w:szCs w:val="20"/>
                <w:color w:val="auto"/>
              </w:rPr>
            </w:pPr>
            <w:r>
              <w:rPr>
                <w:rFonts w:ascii="Arial" w:cs="Arial" w:eastAsia="Arial" w:hAnsi="Arial"/>
                <w:sz w:val="13"/>
                <w:szCs w:val="13"/>
                <w:b w:val="1"/>
                <w:bCs w:val="1"/>
                <w:color w:val="auto"/>
                <w:w w:val="96"/>
              </w:rPr>
              <w:t>ANNUAL CASH</w:t>
            </w:r>
          </w:p>
        </w:tc>
        <w:tc>
          <w:tcPr>
            <w:tcW w:w="2140" w:type="dxa"/>
            <w:vAlign w:val="bottom"/>
          </w:tcPr>
          <w:p>
            <w:pPr>
              <w:jc w:val="center"/>
              <w:ind w:left="95"/>
              <w:spacing w:after="0"/>
              <w:rPr>
                <w:sz w:val="20"/>
                <w:szCs w:val="20"/>
                <w:color w:val="auto"/>
              </w:rPr>
            </w:pPr>
            <w:r>
              <w:rPr>
                <w:rFonts w:ascii="Arial" w:cs="Arial" w:eastAsia="Arial" w:hAnsi="Arial"/>
                <w:sz w:val="13"/>
                <w:szCs w:val="13"/>
                <w:b w:val="1"/>
                <w:bCs w:val="1"/>
                <w:color w:val="auto"/>
                <w:w w:val="96"/>
              </w:rPr>
              <w:t>INITIAL EQUITY</w:t>
            </w:r>
          </w:p>
        </w:tc>
        <w:tc>
          <w:tcPr>
            <w:tcW w:w="2000" w:type="dxa"/>
            <w:vAlign w:val="bottom"/>
          </w:tcPr>
          <w:p>
            <w:pPr>
              <w:jc w:val="center"/>
              <w:ind w:right="15"/>
              <w:spacing w:after="0"/>
              <w:rPr>
                <w:sz w:val="20"/>
                <w:szCs w:val="20"/>
                <w:color w:val="auto"/>
              </w:rPr>
            </w:pPr>
            <w:r>
              <w:rPr>
                <w:rFonts w:ascii="Arial" w:cs="Arial" w:eastAsia="Arial" w:hAnsi="Arial"/>
                <w:sz w:val="13"/>
                <w:szCs w:val="13"/>
                <w:b w:val="1"/>
                <w:bCs w:val="1"/>
                <w:color w:val="auto"/>
                <w:w w:val="97"/>
              </w:rPr>
              <w:t>ANNUAL EQUITY</w:t>
            </w:r>
          </w:p>
        </w:tc>
        <w:tc>
          <w:tcPr>
            <w:tcW w:w="0" w:type="dxa"/>
            <w:vAlign w:val="bottom"/>
          </w:tcPr>
          <w:p>
            <w:pPr>
              <w:spacing w:after="0"/>
              <w:rPr>
                <w:sz w:val="1"/>
                <w:szCs w:val="1"/>
                <w:color w:val="auto"/>
              </w:rPr>
            </w:pPr>
          </w:p>
        </w:tc>
      </w:tr>
      <w:tr>
        <w:trPr>
          <w:trHeight w:val="253"/>
        </w:trPr>
        <w:tc>
          <w:tcPr>
            <w:tcW w:w="23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ROLE</w:t>
            </w:r>
          </w:p>
        </w:tc>
        <w:tc>
          <w:tcPr>
            <w:tcW w:w="1800" w:type="dxa"/>
            <w:vAlign w:val="bottom"/>
          </w:tcPr>
          <w:p>
            <w:pPr>
              <w:jc w:val="center"/>
              <w:ind w:left="170"/>
              <w:spacing w:after="0"/>
              <w:rPr>
                <w:sz w:val="20"/>
                <w:szCs w:val="20"/>
                <w:color w:val="auto"/>
              </w:rPr>
            </w:pPr>
            <w:r>
              <w:rPr>
                <w:rFonts w:ascii="Arial" w:cs="Arial" w:eastAsia="Arial" w:hAnsi="Arial"/>
                <w:sz w:val="13"/>
                <w:szCs w:val="13"/>
                <w:b w:val="1"/>
                <w:bCs w:val="1"/>
                <w:color w:val="auto"/>
                <w:w w:val="91"/>
              </w:rPr>
              <w:t>RETAINER</w:t>
            </w:r>
            <w:r>
              <w:rPr>
                <w:rFonts w:ascii="Arial" w:cs="Arial" w:eastAsia="Arial" w:hAnsi="Arial"/>
                <w:sz w:val="20"/>
                <w:szCs w:val="20"/>
                <w:b w:val="1"/>
                <w:bCs w:val="1"/>
                <w:color w:val="auto"/>
                <w:w w:val="91"/>
                <w:vertAlign w:val="superscript"/>
              </w:rPr>
              <w:t>(1)</w:t>
            </w:r>
          </w:p>
        </w:tc>
        <w:tc>
          <w:tcPr>
            <w:tcW w:w="2140" w:type="dxa"/>
            <w:vAlign w:val="bottom"/>
          </w:tcPr>
          <w:p>
            <w:pPr>
              <w:jc w:val="center"/>
              <w:ind w:left="135"/>
              <w:spacing w:after="0" w:line="253" w:lineRule="exact"/>
              <w:rPr>
                <w:sz w:val="20"/>
                <w:szCs w:val="20"/>
                <w:color w:val="auto"/>
              </w:rPr>
            </w:pPr>
            <w:r>
              <w:rPr>
                <w:rFonts w:ascii="Arial" w:cs="Arial" w:eastAsia="Arial" w:hAnsi="Arial"/>
                <w:sz w:val="25"/>
                <w:szCs w:val="25"/>
                <w:b w:val="1"/>
                <w:bCs w:val="1"/>
                <w:color w:val="auto"/>
                <w:w w:val="83"/>
                <w:vertAlign w:val="subscript"/>
              </w:rPr>
              <w:t>GRANT</w:t>
            </w:r>
            <w:r>
              <w:rPr>
                <w:rFonts w:ascii="Arial" w:cs="Arial" w:eastAsia="Arial" w:hAnsi="Arial"/>
                <w:sz w:val="10"/>
                <w:szCs w:val="10"/>
                <w:b w:val="1"/>
                <w:bCs w:val="1"/>
                <w:color w:val="auto"/>
                <w:w w:val="83"/>
              </w:rPr>
              <w:t>(2)(3)</w:t>
            </w:r>
          </w:p>
        </w:tc>
        <w:tc>
          <w:tcPr>
            <w:tcW w:w="2000" w:type="dxa"/>
            <w:vAlign w:val="bottom"/>
          </w:tcPr>
          <w:p>
            <w:pPr>
              <w:jc w:val="center"/>
              <w:spacing w:after="0" w:line="253" w:lineRule="exact"/>
              <w:rPr>
                <w:sz w:val="20"/>
                <w:szCs w:val="20"/>
                <w:color w:val="auto"/>
              </w:rPr>
            </w:pPr>
            <w:r>
              <w:rPr>
                <w:rFonts w:ascii="Arial" w:cs="Arial" w:eastAsia="Arial" w:hAnsi="Arial"/>
                <w:sz w:val="25"/>
                <w:szCs w:val="25"/>
                <w:b w:val="1"/>
                <w:bCs w:val="1"/>
                <w:color w:val="auto"/>
                <w:w w:val="83"/>
                <w:vertAlign w:val="subscript"/>
              </w:rPr>
              <w:t>GRANT</w:t>
            </w:r>
            <w:r>
              <w:rPr>
                <w:rFonts w:ascii="Arial" w:cs="Arial" w:eastAsia="Arial" w:hAnsi="Arial"/>
                <w:sz w:val="10"/>
                <w:szCs w:val="10"/>
                <w:b w:val="1"/>
                <w:bCs w:val="1"/>
                <w:color w:val="auto"/>
                <w:w w:val="83"/>
              </w:rPr>
              <w:t>(3)(4)</w:t>
            </w:r>
          </w:p>
        </w:tc>
        <w:tc>
          <w:tcPr>
            <w:tcW w:w="0" w:type="dxa"/>
            <w:vAlign w:val="bottom"/>
          </w:tcPr>
          <w:p>
            <w:pPr>
              <w:spacing w:after="0"/>
              <w:rPr>
                <w:sz w:val="1"/>
                <w:szCs w:val="1"/>
                <w:color w:val="auto"/>
              </w:rPr>
            </w:pPr>
          </w:p>
        </w:tc>
      </w:tr>
      <w:tr>
        <w:trPr>
          <w:trHeight w:val="274"/>
        </w:trPr>
        <w:tc>
          <w:tcPr>
            <w:tcW w:w="23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Board of Directors</w:t>
            </w:r>
          </w:p>
        </w:tc>
        <w:tc>
          <w:tcPr>
            <w:tcW w:w="108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Director</w:t>
            </w:r>
          </w:p>
        </w:tc>
        <w:tc>
          <w:tcPr>
            <w:tcW w:w="1800" w:type="dxa"/>
            <w:vAlign w:val="bottom"/>
            <w:shd w:val="clear" w:color="auto" w:fill="E5EBF7"/>
          </w:tcPr>
          <w:p>
            <w:pPr>
              <w:jc w:val="center"/>
              <w:ind w:left="170"/>
              <w:spacing w:after="0"/>
              <w:rPr>
                <w:sz w:val="20"/>
                <w:szCs w:val="20"/>
                <w:color w:val="auto"/>
              </w:rPr>
            </w:pPr>
            <w:r>
              <w:rPr>
                <w:rFonts w:ascii="Arial" w:cs="Arial" w:eastAsia="Arial" w:hAnsi="Arial"/>
                <w:sz w:val="14"/>
                <w:szCs w:val="14"/>
                <w:color w:val="auto"/>
              </w:rPr>
              <w:t>$35,000</w:t>
            </w:r>
          </w:p>
        </w:tc>
        <w:tc>
          <w:tcPr>
            <w:tcW w:w="2140" w:type="dxa"/>
            <w:vAlign w:val="bottom"/>
            <w:shd w:val="clear" w:color="auto" w:fill="E5EBF7"/>
          </w:tcPr>
          <w:p>
            <w:pPr>
              <w:jc w:val="center"/>
              <w:ind w:left="95"/>
              <w:spacing w:after="0"/>
              <w:rPr>
                <w:sz w:val="20"/>
                <w:szCs w:val="20"/>
                <w:color w:val="auto"/>
              </w:rPr>
            </w:pPr>
            <w:r>
              <w:rPr>
                <w:rFonts w:ascii="Arial" w:cs="Arial" w:eastAsia="Arial" w:hAnsi="Arial"/>
                <w:sz w:val="14"/>
                <w:szCs w:val="14"/>
                <w:color w:val="auto"/>
              </w:rPr>
              <w:t>Restricted Stock Unit</w:t>
            </w:r>
          </w:p>
        </w:tc>
        <w:tc>
          <w:tcPr>
            <w:tcW w:w="200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Restricted Stock Unit</w:t>
            </w:r>
          </w:p>
        </w:tc>
        <w:tc>
          <w:tcPr>
            <w:tcW w:w="0" w:type="dxa"/>
            <w:vAlign w:val="bottom"/>
          </w:tcPr>
          <w:p>
            <w:pPr>
              <w:spacing w:after="0"/>
              <w:rPr>
                <w:sz w:val="1"/>
                <w:szCs w:val="1"/>
                <w:color w:val="auto"/>
              </w:rPr>
            </w:pPr>
          </w:p>
        </w:tc>
      </w:tr>
      <w:tr>
        <w:trPr>
          <w:trHeight w:val="190"/>
        </w:trPr>
        <w:tc>
          <w:tcPr>
            <w:tcW w:w="2380" w:type="dxa"/>
            <w:vAlign w:val="bottom"/>
            <w:shd w:val="clear" w:color="auto" w:fill="E5EBF7"/>
          </w:tcPr>
          <w:p>
            <w:pPr>
              <w:spacing w:after="0"/>
              <w:rPr>
                <w:sz w:val="16"/>
                <w:szCs w:val="16"/>
                <w:color w:val="auto"/>
              </w:rPr>
            </w:pPr>
          </w:p>
        </w:tc>
        <w:tc>
          <w:tcPr>
            <w:tcW w:w="1080" w:type="dxa"/>
            <w:vAlign w:val="bottom"/>
            <w:shd w:val="clear" w:color="auto" w:fill="E5EBF7"/>
          </w:tcPr>
          <w:p>
            <w:pPr>
              <w:spacing w:after="0"/>
              <w:rPr>
                <w:sz w:val="16"/>
                <w:szCs w:val="16"/>
                <w:color w:val="auto"/>
              </w:rPr>
            </w:pPr>
          </w:p>
        </w:tc>
        <w:tc>
          <w:tcPr>
            <w:tcW w:w="1800" w:type="dxa"/>
            <w:vAlign w:val="bottom"/>
            <w:shd w:val="clear" w:color="auto" w:fill="E5EBF7"/>
          </w:tcPr>
          <w:p>
            <w:pPr>
              <w:spacing w:after="0"/>
              <w:rPr>
                <w:sz w:val="16"/>
                <w:szCs w:val="16"/>
                <w:color w:val="auto"/>
              </w:rPr>
            </w:pPr>
          </w:p>
        </w:tc>
        <w:tc>
          <w:tcPr>
            <w:tcW w:w="2140" w:type="dxa"/>
            <w:vAlign w:val="bottom"/>
            <w:shd w:val="clear" w:color="auto" w:fill="E5EBF7"/>
          </w:tcPr>
          <w:p>
            <w:pPr>
              <w:jc w:val="center"/>
              <w:ind w:left="135"/>
              <w:spacing w:after="0"/>
              <w:rPr>
                <w:sz w:val="20"/>
                <w:szCs w:val="20"/>
                <w:color w:val="auto"/>
              </w:rPr>
            </w:pPr>
            <w:r>
              <w:rPr>
                <w:rFonts w:ascii="Arial" w:cs="Arial" w:eastAsia="Arial" w:hAnsi="Arial"/>
                <w:sz w:val="14"/>
                <w:szCs w:val="14"/>
                <w:color w:val="auto"/>
              </w:rPr>
              <w:t>Award valued at $350,000</w:t>
            </w:r>
          </w:p>
        </w:tc>
        <w:tc>
          <w:tcPr>
            <w:tcW w:w="200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Award valued at $175,000</w:t>
            </w:r>
          </w:p>
        </w:tc>
        <w:tc>
          <w:tcPr>
            <w:tcW w:w="0" w:type="dxa"/>
            <w:vAlign w:val="bottom"/>
          </w:tcPr>
          <w:p>
            <w:pPr>
              <w:spacing w:after="0"/>
              <w:rPr>
                <w:sz w:val="1"/>
                <w:szCs w:val="1"/>
                <w:color w:val="auto"/>
              </w:rPr>
            </w:pPr>
          </w:p>
        </w:tc>
      </w:tr>
      <w:tr>
        <w:trPr>
          <w:trHeight w:val="378"/>
        </w:trPr>
        <w:tc>
          <w:tcPr>
            <w:tcW w:w="2380" w:type="dxa"/>
            <w:vAlign w:val="bottom"/>
            <w:shd w:val="clear" w:color="auto" w:fill="E5EBF7"/>
          </w:tcPr>
          <w:p>
            <w:pPr>
              <w:spacing w:after="0"/>
              <w:rPr>
                <w:sz w:val="24"/>
                <w:szCs w:val="24"/>
                <w:color w:val="auto"/>
              </w:rPr>
            </w:pPr>
          </w:p>
        </w:tc>
        <w:tc>
          <w:tcPr>
            <w:tcW w:w="108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Chair</w:t>
            </w:r>
          </w:p>
        </w:tc>
        <w:tc>
          <w:tcPr>
            <w:tcW w:w="1800" w:type="dxa"/>
            <w:vAlign w:val="bottom"/>
            <w:shd w:val="clear" w:color="auto" w:fill="E5EBF7"/>
          </w:tcPr>
          <w:p>
            <w:pPr>
              <w:jc w:val="center"/>
              <w:ind w:left="170"/>
              <w:spacing w:after="0"/>
              <w:rPr>
                <w:sz w:val="20"/>
                <w:szCs w:val="20"/>
                <w:color w:val="auto"/>
              </w:rPr>
            </w:pPr>
            <w:r>
              <w:rPr>
                <w:rFonts w:ascii="Arial" w:cs="Arial" w:eastAsia="Arial" w:hAnsi="Arial"/>
                <w:sz w:val="14"/>
                <w:szCs w:val="14"/>
                <w:color w:val="auto"/>
              </w:rPr>
              <w:t>$65,000</w:t>
            </w:r>
          </w:p>
        </w:tc>
        <w:tc>
          <w:tcPr>
            <w:tcW w:w="2140" w:type="dxa"/>
            <w:vAlign w:val="bottom"/>
            <w:shd w:val="clear" w:color="auto" w:fill="E5EBF7"/>
          </w:tcPr>
          <w:p>
            <w:pPr>
              <w:spacing w:after="0"/>
              <w:rPr>
                <w:sz w:val="24"/>
                <w:szCs w:val="24"/>
                <w:color w:val="auto"/>
              </w:rPr>
            </w:pPr>
          </w:p>
        </w:tc>
        <w:tc>
          <w:tcPr>
            <w:tcW w:w="20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380" w:type="dxa"/>
            <w:vAlign w:val="bottom"/>
            <w:shd w:val="clear" w:color="auto" w:fill="E5EBF7"/>
          </w:tcPr>
          <w:p>
            <w:pPr>
              <w:spacing w:after="0"/>
              <w:rPr>
                <w:sz w:val="7"/>
                <w:szCs w:val="7"/>
                <w:color w:val="auto"/>
              </w:rPr>
            </w:pPr>
          </w:p>
        </w:tc>
        <w:tc>
          <w:tcPr>
            <w:tcW w:w="1080" w:type="dxa"/>
            <w:vAlign w:val="bottom"/>
            <w:shd w:val="clear" w:color="auto" w:fill="E5EBF7"/>
          </w:tcPr>
          <w:p>
            <w:pPr>
              <w:spacing w:after="0"/>
              <w:rPr>
                <w:sz w:val="7"/>
                <w:szCs w:val="7"/>
                <w:color w:val="auto"/>
              </w:rPr>
            </w:pPr>
          </w:p>
        </w:tc>
        <w:tc>
          <w:tcPr>
            <w:tcW w:w="1800" w:type="dxa"/>
            <w:vAlign w:val="bottom"/>
            <w:shd w:val="clear" w:color="auto" w:fill="E5EBF7"/>
          </w:tcPr>
          <w:p>
            <w:pPr>
              <w:spacing w:after="0"/>
              <w:rPr>
                <w:sz w:val="7"/>
                <w:szCs w:val="7"/>
                <w:color w:val="auto"/>
              </w:rPr>
            </w:pPr>
          </w:p>
        </w:tc>
        <w:tc>
          <w:tcPr>
            <w:tcW w:w="2140" w:type="dxa"/>
            <w:vAlign w:val="bottom"/>
            <w:shd w:val="clear" w:color="auto" w:fill="E5EBF7"/>
          </w:tcPr>
          <w:p>
            <w:pPr>
              <w:spacing w:after="0"/>
              <w:rPr>
                <w:sz w:val="7"/>
                <w:szCs w:val="7"/>
                <w:color w:val="auto"/>
              </w:rPr>
            </w:pPr>
          </w:p>
        </w:tc>
        <w:tc>
          <w:tcPr>
            <w:tcW w:w="20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380" w:type="dxa"/>
            <w:vAlign w:val="bottom"/>
          </w:tcPr>
          <w:p>
            <w:pPr>
              <w:ind w:left="160"/>
              <w:spacing w:after="0"/>
              <w:rPr>
                <w:sz w:val="20"/>
                <w:szCs w:val="20"/>
                <w:color w:val="auto"/>
              </w:rPr>
            </w:pPr>
            <w:r>
              <w:rPr>
                <w:rFonts w:ascii="Arial" w:cs="Arial" w:eastAsia="Arial" w:hAnsi="Arial"/>
                <w:sz w:val="14"/>
                <w:szCs w:val="14"/>
                <w:b w:val="1"/>
                <w:bCs w:val="1"/>
                <w:color w:val="007FC4"/>
              </w:rPr>
              <w:t>Audit Committee</w:t>
            </w:r>
          </w:p>
        </w:tc>
        <w:tc>
          <w:tcPr>
            <w:tcW w:w="1080" w:type="dxa"/>
            <w:vAlign w:val="bottom"/>
          </w:tcPr>
          <w:p>
            <w:pPr>
              <w:jc w:val="center"/>
              <w:spacing w:after="0"/>
              <w:rPr>
                <w:sz w:val="20"/>
                <w:szCs w:val="20"/>
                <w:color w:val="auto"/>
              </w:rPr>
            </w:pPr>
            <w:r>
              <w:rPr>
                <w:rFonts w:ascii="Arial" w:cs="Arial" w:eastAsia="Arial" w:hAnsi="Arial"/>
                <w:sz w:val="14"/>
                <w:szCs w:val="14"/>
                <w:color w:val="auto"/>
              </w:rPr>
              <w:t>Chair</w:t>
            </w:r>
          </w:p>
        </w:tc>
        <w:tc>
          <w:tcPr>
            <w:tcW w:w="1800" w:type="dxa"/>
            <w:vAlign w:val="bottom"/>
          </w:tcPr>
          <w:p>
            <w:pPr>
              <w:jc w:val="center"/>
              <w:ind w:left="170"/>
              <w:spacing w:after="0"/>
              <w:rPr>
                <w:sz w:val="20"/>
                <w:szCs w:val="20"/>
                <w:color w:val="auto"/>
              </w:rPr>
            </w:pPr>
            <w:r>
              <w:rPr>
                <w:rFonts w:ascii="Arial" w:cs="Arial" w:eastAsia="Arial" w:hAnsi="Arial"/>
                <w:sz w:val="14"/>
                <w:szCs w:val="14"/>
                <w:color w:val="auto"/>
              </w:rPr>
              <w:t>$20,000</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3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Other</w:t>
            </w:r>
          </w:p>
        </w:tc>
        <w:tc>
          <w:tcPr>
            <w:tcW w:w="1800" w:type="dxa"/>
            <w:vAlign w:val="bottom"/>
          </w:tcPr>
          <w:p>
            <w:pPr>
              <w:jc w:val="center"/>
              <w:ind w:left="170"/>
              <w:spacing w:after="0"/>
              <w:rPr>
                <w:sz w:val="20"/>
                <w:szCs w:val="20"/>
                <w:color w:val="auto"/>
              </w:rPr>
            </w:pPr>
            <w:r>
              <w:rPr>
                <w:rFonts w:ascii="Arial" w:cs="Arial" w:eastAsia="Arial" w:hAnsi="Arial"/>
                <w:sz w:val="14"/>
                <w:szCs w:val="14"/>
                <w:color w:val="auto"/>
              </w:rPr>
              <w:t>$10,000</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Member</w:t>
            </w:r>
          </w:p>
        </w:tc>
        <w:tc>
          <w:tcPr>
            <w:tcW w:w="1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3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People &amp; Compensation</w:t>
            </w:r>
          </w:p>
        </w:tc>
        <w:tc>
          <w:tcPr>
            <w:tcW w:w="108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Chair</w:t>
            </w:r>
          </w:p>
        </w:tc>
        <w:tc>
          <w:tcPr>
            <w:tcW w:w="1800" w:type="dxa"/>
            <w:vAlign w:val="bottom"/>
            <w:shd w:val="clear" w:color="auto" w:fill="E5EBF7"/>
          </w:tcPr>
          <w:p>
            <w:pPr>
              <w:jc w:val="center"/>
              <w:ind w:left="170"/>
              <w:spacing w:after="0"/>
              <w:rPr>
                <w:sz w:val="20"/>
                <w:szCs w:val="20"/>
                <w:color w:val="auto"/>
              </w:rPr>
            </w:pPr>
            <w:r>
              <w:rPr>
                <w:rFonts w:ascii="Arial" w:cs="Arial" w:eastAsia="Arial" w:hAnsi="Arial"/>
                <w:sz w:val="14"/>
                <w:szCs w:val="14"/>
                <w:color w:val="auto"/>
              </w:rPr>
              <w:t>$12,000</w:t>
            </w:r>
          </w:p>
        </w:tc>
        <w:tc>
          <w:tcPr>
            <w:tcW w:w="2140" w:type="dxa"/>
            <w:vAlign w:val="bottom"/>
            <w:shd w:val="clear" w:color="auto" w:fill="E5EBF7"/>
          </w:tcPr>
          <w:p>
            <w:pPr>
              <w:spacing w:after="0"/>
              <w:rPr>
                <w:sz w:val="22"/>
                <w:szCs w:val="22"/>
                <w:color w:val="auto"/>
              </w:rPr>
            </w:pPr>
          </w:p>
        </w:tc>
        <w:tc>
          <w:tcPr>
            <w:tcW w:w="2000" w:type="dxa"/>
            <w:vAlign w:val="bottom"/>
            <w:shd w:val="clear" w:color="auto" w:fill="E5EBF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Committee</w:t>
            </w:r>
          </w:p>
        </w:tc>
        <w:tc>
          <w:tcPr>
            <w:tcW w:w="1080" w:type="dxa"/>
            <w:vAlign w:val="bottom"/>
            <w:vMerge w:val="restart"/>
            <w:shd w:val="clear" w:color="auto" w:fill="E5EBF7"/>
          </w:tcPr>
          <w:p>
            <w:pPr>
              <w:jc w:val="center"/>
              <w:spacing w:after="0"/>
              <w:rPr>
                <w:sz w:val="20"/>
                <w:szCs w:val="20"/>
                <w:color w:val="auto"/>
              </w:rPr>
            </w:pPr>
            <w:r>
              <w:rPr>
                <w:rFonts w:ascii="Arial" w:cs="Arial" w:eastAsia="Arial" w:hAnsi="Arial"/>
                <w:sz w:val="14"/>
                <w:szCs w:val="14"/>
                <w:color w:val="auto"/>
              </w:rPr>
              <w:t>Other</w:t>
            </w:r>
          </w:p>
        </w:tc>
        <w:tc>
          <w:tcPr>
            <w:tcW w:w="1800" w:type="dxa"/>
            <w:vAlign w:val="bottom"/>
            <w:vMerge w:val="restart"/>
            <w:shd w:val="clear" w:color="auto" w:fill="E5EBF7"/>
          </w:tcPr>
          <w:p>
            <w:pPr>
              <w:jc w:val="center"/>
              <w:ind w:left="170"/>
              <w:spacing w:after="0"/>
              <w:rPr>
                <w:sz w:val="20"/>
                <w:szCs w:val="20"/>
                <w:color w:val="auto"/>
              </w:rPr>
            </w:pPr>
            <w:r>
              <w:rPr>
                <w:rFonts w:ascii="Arial" w:cs="Arial" w:eastAsia="Arial" w:hAnsi="Arial"/>
                <w:sz w:val="14"/>
                <w:szCs w:val="14"/>
                <w:color w:val="auto"/>
              </w:rPr>
              <w:t>$6,000</w:t>
            </w:r>
          </w:p>
        </w:tc>
        <w:tc>
          <w:tcPr>
            <w:tcW w:w="2140" w:type="dxa"/>
            <w:vAlign w:val="bottom"/>
            <w:shd w:val="clear" w:color="auto" w:fill="E5EBF7"/>
          </w:tcPr>
          <w:p>
            <w:pPr>
              <w:spacing w:after="0"/>
              <w:rPr>
                <w:sz w:val="17"/>
                <w:szCs w:val="17"/>
                <w:color w:val="auto"/>
              </w:rPr>
            </w:pPr>
          </w:p>
        </w:tc>
        <w:tc>
          <w:tcPr>
            <w:tcW w:w="2000" w:type="dxa"/>
            <w:vAlign w:val="bottom"/>
            <w:shd w:val="clear" w:color="auto" w:fill="E5EBF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E5EBF7"/>
          </w:tcPr>
          <w:p>
            <w:pPr>
              <w:spacing w:after="0"/>
              <w:rPr>
                <w:sz w:val="18"/>
                <w:szCs w:val="18"/>
                <w:color w:val="auto"/>
              </w:rPr>
            </w:pPr>
          </w:p>
        </w:tc>
        <w:tc>
          <w:tcPr>
            <w:tcW w:w="1080" w:type="dxa"/>
            <w:vAlign w:val="bottom"/>
            <w:vMerge w:val="continue"/>
            <w:shd w:val="clear" w:color="auto" w:fill="E5EBF7"/>
          </w:tcPr>
          <w:p>
            <w:pPr>
              <w:spacing w:after="0"/>
              <w:rPr>
                <w:sz w:val="18"/>
                <w:szCs w:val="18"/>
                <w:color w:val="auto"/>
              </w:rPr>
            </w:pPr>
          </w:p>
        </w:tc>
        <w:tc>
          <w:tcPr>
            <w:tcW w:w="1800" w:type="dxa"/>
            <w:vAlign w:val="bottom"/>
            <w:vMerge w:val="continue"/>
            <w:shd w:val="clear" w:color="auto" w:fill="E5EBF7"/>
          </w:tcPr>
          <w:p>
            <w:pPr>
              <w:spacing w:after="0"/>
              <w:rPr>
                <w:sz w:val="18"/>
                <w:szCs w:val="18"/>
                <w:color w:val="auto"/>
              </w:rPr>
            </w:pPr>
          </w:p>
        </w:tc>
        <w:tc>
          <w:tcPr>
            <w:tcW w:w="2140" w:type="dxa"/>
            <w:vAlign w:val="bottom"/>
            <w:shd w:val="clear" w:color="auto" w:fill="E5EBF7"/>
          </w:tcPr>
          <w:p>
            <w:pPr>
              <w:spacing w:after="0"/>
              <w:rPr>
                <w:sz w:val="18"/>
                <w:szCs w:val="18"/>
                <w:color w:val="auto"/>
              </w:rPr>
            </w:pPr>
          </w:p>
        </w:tc>
        <w:tc>
          <w:tcPr>
            <w:tcW w:w="2000" w:type="dxa"/>
            <w:vAlign w:val="bottom"/>
            <w:shd w:val="clear" w:color="auto" w:fill="E5EBF7"/>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380" w:type="dxa"/>
            <w:vAlign w:val="bottom"/>
            <w:shd w:val="clear" w:color="auto" w:fill="E5EBF7"/>
          </w:tcPr>
          <w:p>
            <w:pPr>
              <w:spacing w:after="0"/>
              <w:rPr>
                <w:sz w:val="24"/>
                <w:szCs w:val="24"/>
                <w:color w:val="auto"/>
              </w:rPr>
            </w:pPr>
          </w:p>
        </w:tc>
        <w:tc>
          <w:tcPr>
            <w:tcW w:w="1080" w:type="dxa"/>
            <w:vAlign w:val="bottom"/>
            <w:shd w:val="clear" w:color="auto" w:fill="E5EBF7"/>
          </w:tcPr>
          <w:p>
            <w:pPr>
              <w:jc w:val="center"/>
              <w:spacing w:after="0"/>
              <w:rPr>
                <w:sz w:val="20"/>
                <w:szCs w:val="20"/>
                <w:color w:val="auto"/>
              </w:rPr>
            </w:pPr>
            <w:r>
              <w:rPr>
                <w:rFonts w:ascii="Arial" w:cs="Arial" w:eastAsia="Arial" w:hAnsi="Arial"/>
                <w:sz w:val="14"/>
                <w:szCs w:val="14"/>
                <w:color w:val="auto"/>
              </w:rPr>
              <w:t>Member</w:t>
            </w:r>
          </w:p>
        </w:tc>
        <w:tc>
          <w:tcPr>
            <w:tcW w:w="1800" w:type="dxa"/>
            <w:vAlign w:val="bottom"/>
            <w:shd w:val="clear" w:color="auto" w:fill="E5EBF7"/>
          </w:tcPr>
          <w:p>
            <w:pPr>
              <w:spacing w:after="0"/>
              <w:rPr>
                <w:sz w:val="24"/>
                <w:szCs w:val="24"/>
                <w:color w:val="auto"/>
              </w:rPr>
            </w:pPr>
          </w:p>
        </w:tc>
        <w:tc>
          <w:tcPr>
            <w:tcW w:w="2140" w:type="dxa"/>
            <w:vAlign w:val="bottom"/>
            <w:shd w:val="clear" w:color="auto" w:fill="E5EBF7"/>
          </w:tcPr>
          <w:p>
            <w:pPr>
              <w:spacing w:after="0"/>
              <w:rPr>
                <w:sz w:val="24"/>
                <w:szCs w:val="24"/>
                <w:color w:val="auto"/>
              </w:rPr>
            </w:pPr>
          </w:p>
        </w:tc>
        <w:tc>
          <w:tcPr>
            <w:tcW w:w="20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380" w:type="dxa"/>
            <w:vAlign w:val="bottom"/>
            <w:shd w:val="clear" w:color="auto" w:fill="E5EBF7"/>
          </w:tcPr>
          <w:p>
            <w:pPr>
              <w:spacing w:after="0"/>
              <w:rPr>
                <w:sz w:val="7"/>
                <w:szCs w:val="7"/>
                <w:color w:val="auto"/>
              </w:rPr>
            </w:pPr>
          </w:p>
        </w:tc>
        <w:tc>
          <w:tcPr>
            <w:tcW w:w="1080" w:type="dxa"/>
            <w:vAlign w:val="bottom"/>
            <w:shd w:val="clear" w:color="auto" w:fill="E5EBF7"/>
          </w:tcPr>
          <w:p>
            <w:pPr>
              <w:spacing w:after="0"/>
              <w:rPr>
                <w:sz w:val="7"/>
                <w:szCs w:val="7"/>
                <w:color w:val="auto"/>
              </w:rPr>
            </w:pPr>
          </w:p>
        </w:tc>
        <w:tc>
          <w:tcPr>
            <w:tcW w:w="1800" w:type="dxa"/>
            <w:vAlign w:val="bottom"/>
            <w:shd w:val="clear" w:color="auto" w:fill="E5EBF7"/>
          </w:tcPr>
          <w:p>
            <w:pPr>
              <w:spacing w:after="0"/>
              <w:rPr>
                <w:sz w:val="7"/>
                <w:szCs w:val="7"/>
                <w:color w:val="auto"/>
              </w:rPr>
            </w:pPr>
          </w:p>
        </w:tc>
        <w:tc>
          <w:tcPr>
            <w:tcW w:w="2140" w:type="dxa"/>
            <w:vAlign w:val="bottom"/>
            <w:shd w:val="clear" w:color="auto" w:fill="E5EBF7"/>
          </w:tcPr>
          <w:p>
            <w:pPr>
              <w:spacing w:after="0"/>
              <w:rPr>
                <w:sz w:val="7"/>
                <w:szCs w:val="7"/>
                <w:color w:val="auto"/>
              </w:rPr>
            </w:pPr>
          </w:p>
        </w:tc>
        <w:tc>
          <w:tcPr>
            <w:tcW w:w="20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380" w:type="dxa"/>
            <w:vAlign w:val="bottom"/>
          </w:tcPr>
          <w:p>
            <w:pPr>
              <w:ind w:left="160"/>
              <w:spacing w:after="0"/>
              <w:rPr>
                <w:sz w:val="20"/>
                <w:szCs w:val="20"/>
                <w:color w:val="auto"/>
              </w:rPr>
            </w:pPr>
            <w:r>
              <w:rPr>
                <w:rFonts w:ascii="Arial" w:cs="Arial" w:eastAsia="Arial" w:hAnsi="Arial"/>
                <w:sz w:val="14"/>
                <w:szCs w:val="14"/>
                <w:b w:val="1"/>
                <w:bCs w:val="1"/>
                <w:color w:val="007FC4"/>
              </w:rPr>
              <w:t>Nominating and Corporate</w:t>
            </w:r>
          </w:p>
        </w:tc>
        <w:tc>
          <w:tcPr>
            <w:tcW w:w="1080" w:type="dxa"/>
            <w:vAlign w:val="bottom"/>
          </w:tcPr>
          <w:p>
            <w:pPr>
              <w:jc w:val="center"/>
              <w:spacing w:after="0"/>
              <w:rPr>
                <w:sz w:val="20"/>
                <w:szCs w:val="20"/>
                <w:color w:val="auto"/>
              </w:rPr>
            </w:pPr>
            <w:r>
              <w:rPr>
                <w:rFonts w:ascii="Arial" w:cs="Arial" w:eastAsia="Arial" w:hAnsi="Arial"/>
                <w:sz w:val="14"/>
                <w:szCs w:val="14"/>
                <w:color w:val="auto"/>
              </w:rPr>
              <w:t>Chair</w:t>
            </w:r>
          </w:p>
        </w:tc>
        <w:tc>
          <w:tcPr>
            <w:tcW w:w="1800" w:type="dxa"/>
            <w:vAlign w:val="bottom"/>
          </w:tcPr>
          <w:p>
            <w:pPr>
              <w:jc w:val="center"/>
              <w:ind w:left="170"/>
              <w:spacing w:after="0"/>
              <w:rPr>
                <w:sz w:val="20"/>
                <w:szCs w:val="20"/>
                <w:color w:val="auto"/>
              </w:rPr>
            </w:pPr>
            <w:r>
              <w:rPr>
                <w:rFonts w:ascii="Arial" w:cs="Arial" w:eastAsia="Arial" w:hAnsi="Arial"/>
                <w:sz w:val="14"/>
                <w:szCs w:val="14"/>
                <w:color w:val="auto"/>
              </w:rPr>
              <w:t>$8,000</w:t>
            </w:r>
          </w:p>
        </w:tc>
        <w:tc>
          <w:tcPr>
            <w:tcW w:w="2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160"/>
              <w:spacing w:after="0"/>
              <w:rPr>
                <w:sz w:val="20"/>
                <w:szCs w:val="20"/>
                <w:color w:val="auto"/>
              </w:rPr>
            </w:pPr>
            <w:r>
              <w:rPr>
                <w:rFonts w:ascii="Arial" w:cs="Arial" w:eastAsia="Arial" w:hAnsi="Arial"/>
                <w:sz w:val="14"/>
                <w:szCs w:val="14"/>
                <w:b w:val="1"/>
                <w:bCs w:val="1"/>
                <w:color w:val="007FC4"/>
              </w:rPr>
              <w:t>Governance Committee</w:t>
            </w: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Other</w:t>
            </w:r>
          </w:p>
        </w:tc>
        <w:tc>
          <w:tcPr>
            <w:tcW w:w="1800" w:type="dxa"/>
            <w:vAlign w:val="bottom"/>
          </w:tcPr>
          <w:p>
            <w:pPr>
              <w:jc w:val="center"/>
              <w:ind w:left="170"/>
              <w:spacing w:after="0"/>
              <w:rPr>
                <w:sz w:val="20"/>
                <w:szCs w:val="20"/>
                <w:color w:val="auto"/>
              </w:rPr>
            </w:pPr>
            <w:r>
              <w:rPr>
                <w:rFonts w:ascii="Arial" w:cs="Arial" w:eastAsia="Arial" w:hAnsi="Arial"/>
                <w:sz w:val="14"/>
                <w:szCs w:val="14"/>
                <w:color w:val="auto"/>
              </w:rPr>
              <w:t>$4,000</w:t>
            </w:r>
          </w:p>
        </w:tc>
        <w:tc>
          <w:tcPr>
            <w:tcW w:w="2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9664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8" w:lineRule="exact"/>
        <w:rPr>
          <w:sz w:val="20"/>
          <w:szCs w:val="20"/>
          <w:color w:val="auto"/>
        </w:rPr>
      </w:pPr>
    </w:p>
    <w:p>
      <w:pPr>
        <w:ind w:left="360" w:hanging="354"/>
        <w:spacing w:after="0"/>
        <w:tabs>
          <w:tab w:leader="none" w:pos="360" w:val="left"/>
        </w:tabs>
        <w:numPr>
          <w:ilvl w:val="0"/>
          <w:numId w:val="65"/>
        </w:numPr>
        <w:rPr>
          <w:rFonts w:ascii="Arial" w:cs="Arial" w:eastAsia="Arial" w:hAnsi="Arial"/>
          <w:sz w:val="13"/>
          <w:szCs w:val="13"/>
          <w:color w:val="333333"/>
        </w:rPr>
      </w:pPr>
      <w:r>
        <w:rPr>
          <w:rFonts w:ascii="Arial" w:cs="Arial" w:eastAsia="Arial" w:hAnsi="Arial"/>
          <w:sz w:val="13"/>
          <w:szCs w:val="13"/>
          <w:color w:val="333333"/>
        </w:rPr>
        <w:t>Annual cash retainers are payable quarterly.</w:t>
      </w:r>
    </w:p>
    <w:p>
      <w:pPr>
        <w:spacing w:after="0" w:line="93" w:lineRule="exact"/>
        <w:rPr>
          <w:rFonts w:ascii="Arial" w:cs="Arial" w:eastAsia="Arial" w:hAnsi="Arial"/>
          <w:sz w:val="13"/>
          <w:szCs w:val="13"/>
          <w:color w:val="333333"/>
        </w:rPr>
      </w:pPr>
    </w:p>
    <w:p>
      <w:pPr>
        <w:ind w:left="360" w:right="100" w:hanging="354"/>
        <w:spacing w:after="0" w:line="233" w:lineRule="auto"/>
        <w:tabs>
          <w:tab w:leader="none" w:pos="360" w:val="left"/>
        </w:tabs>
        <w:numPr>
          <w:ilvl w:val="0"/>
          <w:numId w:val="65"/>
        </w:numPr>
        <w:rPr>
          <w:rFonts w:ascii="Arial" w:cs="Arial" w:eastAsia="Arial" w:hAnsi="Arial"/>
          <w:sz w:val="13"/>
          <w:szCs w:val="13"/>
          <w:color w:val="333333"/>
        </w:rPr>
      </w:pPr>
      <w:r>
        <w:rPr>
          <w:rFonts w:ascii="Arial" w:cs="Arial" w:eastAsia="Arial" w:hAnsi="Arial"/>
          <w:sz w:val="13"/>
          <w:szCs w:val="13"/>
          <w:color w:val="333333"/>
        </w:rPr>
        <w:t>Initial equity grants are automatically granted on the date the director is elected or appointed as a director and are calculated based on the closing price of our common stock on the date of grant. The initial equity grant upon election or appointment as a director shall vest in 3 equal annual installments following the grant date.</w:t>
      </w:r>
    </w:p>
    <w:p>
      <w:pPr>
        <w:spacing w:after="0" w:line="77" w:lineRule="exact"/>
        <w:rPr>
          <w:rFonts w:ascii="Arial" w:cs="Arial" w:eastAsia="Arial" w:hAnsi="Arial"/>
          <w:sz w:val="13"/>
          <w:szCs w:val="13"/>
          <w:color w:val="333333"/>
        </w:rPr>
      </w:pPr>
    </w:p>
    <w:p>
      <w:pPr>
        <w:ind w:left="360" w:hanging="354"/>
        <w:spacing w:after="0"/>
        <w:tabs>
          <w:tab w:leader="none" w:pos="360" w:val="left"/>
        </w:tabs>
        <w:numPr>
          <w:ilvl w:val="0"/>
          <w:numId w:val="65"/>
        </w:numPr>
        <w:rPr>
          <w:rFonts w:ascii="Arial" w:cs="Arial" w:eastAsia="Arial" w:hAnsi="Arial"/>
          <w:sz w:val="13"/>
          <w:szCs w:val="13"/>
          <w:color w:val="333333"/>
        </w:rPr>
      </w:pPr>
      <w:r>
        <w:rPr>
          <w:rFonts w:ascii="Arial" w:cs="Arial" w:eastAsia="Arial" w:hAnsi="Arial"/>
          <w:sz w:val="13"/>
          <w:szCs w:val="13"/>
          <w:color w:val="333333"/>
        </w:rPr>
        <w:t>Such award will accelerate and fully vest upon a change in control, or such non-employee director’s earlier death or disability.</w:t>
      </w:r>
    </w:p>
    <w:p>
      <w:pPr>
        <w:spacing w:after="0" w:line="93" w:lineRule="exact"/>
        <w:rPr>
          <w:rFonts w:ascii="Arial" w:cs="Arial" w:eastAsia="Arial" w:hAnsi="Arial"/>
          <w:sz w:val="13"/>
          <w:szCs w:val="13"/>
          <w:color w:val="333333"/>
        </w:rPr>
      </w:pPr>
    </w:p>
    <w:p>
      <w:pPr>
        <w:ind w:left="360" w:right="20" w:hanging="354"/>
        <w:spacing w:after="0" w:line="233" w:lineRule="auto"/>
        <w:tabs>
          <w:tab w:leader="none" w:pos="360" w:val="left"/>
        </w:tabs>
        <w:numPr>
          <w:ilvl w:val="0"/>
          <w:numId w:val="65"/>
        </w:numPr>
        <w:rPr>
          <w:rFonts w:ascii="Arial" w:cs="Arial" w:eastAsia="Arial" w:hAnsi="Arial"/>
          <w:sz w:val="13"/>
          <w:szCs w:val="13"/>
          <w:color w:val="333333"/>
        </w:rPr>
      </w:pPr>
      <w:r>
        <w:rPr>
          <w:rFonts w:ascii="Arial" w:cs="Arial" w:eastAsia="Arial" w:hAnsi="Arial"/>
          <w:sz w:val="13"/>
          <w:szCs w:val="13"/>
          <w:color w:val="333333"/>
        </w:rPr>
        <w:t>Annual equity grants are automatically granted two days prior to the date of each annual regular meeting of the Company’s stockholders and are calculated based on the closing price of our common stock on the date of grant. The annual equity grant shall vest on the 1-year anniversary of the grant date provided the director provides continuous service as a director, member of the applicable committee or chair, as applicable, through such date.</w:t>
      </w:r>
    </w:p>
    <w:p>
      <w:pPr>
        <w:spacing w:after="0" w:line="135" w:lineRule="exact"/>
        <w:rPr>
          <w:sz w:val="20"/>
          <w:szCs w:val="20"/>
          <w:color w:val="auto"/>
        </w:rPr>
      </w:pPr>
    </w:p>
    <w:p>
      <w:pPr>
        <w:ind w:right="1020"/>
        <w:spacing w:after="0" w:line="286" w:lineRule="auto"/>
        <w:rPr>
          <w:sz w:val="20"/>
          <w:szCs w:val="20"/>
          <w:color w:val="auto"/>
        </w:rPr>
      </w:pPr>
      <w:r>
        <w:rPr>
          <w:rFonts w:ascii="Arial" w:cs="Arial" w:eastAsia="Arial" w:hAnsi="Arial"/>
          <w:sz w:val="16"/>
          <w:szCs w:val="16"/>
          <w:color w:val="auto"/>
        </w:rPr>
        <w:t>Mr. Harris has waived the non-employee director RSUs and the cash compensation under our non-employee director compensation program.</w:t>
      </w:r>
    </w:p>
    <w:p>
      <w:pPr>
        <w:spacing w:after="0" w:line="102"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We also reimburse our non-employee directors for their reasonable out-of-pocket expenses incurred in attending Board of Directors and committee meetings.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STOCKHOLDER COMMUNICATIONS WITH THE BOARD OF DIRECTORS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Stockholders wishing to communicate with our Board of Directors or with an individual member of our Board of Directors may do so by writing to our Board of Directors or to the particular member of our Board of Directors, care of our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25 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1500"/>
        <w:spacing w:after="0" w:line="292" w:lineRule="auto"/>
        <w:rPr>
          <w:sz w:val="20"/>
          <w:szCs w:val="20"/>
          <w:color w:val="auto"/>
        </w:rPr>
      </w:pPr>
      <w:r>
        <w:rPr>
          <w:rFonts w:ascii="Arial" w:cs="Arial" w:eastAsia="Arial" w:hAnsi="Arial"/>
          <w:sz w:val="50"/>
          <w:szCs w:val="50"/>
          <w:b w:val="1"/>
          <w:bCs w:val="1"/>
          <w:color w:val="007FC4"/>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concerning our executive officers as of April 8,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ind w:left="180"/>
              <w:spacing w:after="0"/>
              <w:rPr>
                <w:sz w:val="20"/>
                <w:szCs w:val="20"/>
                <w:color w:val="auto"/>
              </w:rPr>
            </w:pPr>
            <w:r>
              <w:rPr>
                <w:rFonts w:ascii="Arial" w:cs="Arial" w:eastAsia="Arial" w:hAnsi="Arial"/>
                <w:sz w:val="13"/>
                <w:szCs w:val="13"/>
                <w:b w:val="1"/>
                <w:bCs w:val="1"/>
                <w:color w:val="auto"/>
              </w:rPr>
              <w:t>NAME</w:t>
            </w:r>
          </w:p>
        </w:tc>
        <w:tc>
          <w:tcPr>
            <w:tcW w:w="2360" w:type="dxa"/>
            <w:vAlign w:val="bottom"/>
          </w:tcPr>
          <w:p>
            <w:pPr>
              <w:jc w:val="center"/>
              <w:ind w:left="950"/>
              <w:spacing w:after="0"/>
              <w:rPr>
                <w:sz w:val="20"/>
                <w:szCs w:val="20"/>
                <w:color w:val="auto"/>
              </w:rPr>
            </w:pPr>
            <w:r>
              <w:rPr>
                <w:rFonts w:ascii="Arial" w:cs="Arial" w:eastAsia="Arial" w:hAnsi="Arial"/>
                <w:sz w:val="13"/>
                <w:szCs w:val="13"/>
                <w:b w:val="1"/>
                <w:bCs w:val="1"/>
                <w:color w:val="auto"/>
                <w:w w:val="92"/>
              </w:rPr>
              <w:t>AGE</w:t>
            </w:r>
          </w:p>
        </w:tc>
        <w:tc>
          <w:tcPr>
            <w:tcW w:w="4140" w:type="dxa"/>
            <w:vAlign w:val="bottom"/>
          </w:tcPr>
          <w:p>
            <w:pPr>
              <w:ind w:left="560"/>
              <w:spacing w:after="0"/>
              <w:rPr>
                <w:sz w:val="20"/>
                <w:szCs w:val="20"/>
                <w:color w:val="auto"/>
              </w:rPr>
            </w:pPr>
            <w:r>
              <w:rPr>
                <w:rFonts w:ascii="Arial" w:cs="Arial" w:eastAsia="Arial" w:hAnsi="Arial"/>
                <w:sz w:val="13"/>
                <w:szCs w:val="13"/>
                <w:b w:val="1"/>
                <w:bCs w:val="1"/>
                <w:color w:val="auto"/>
              </w:rPr>
              <w:t>POSITION(S)</w:t>
            </w:r>
          </w:p>
        </w:tc>
      </w:tr>
      <w:tr>
        <w:trPr>
          <w:trHeight w:val="49"/>
        </w:trPr>
        <w:tc>
          <w:tcPr>
            <w:tcW w:w="29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140" w:type="dxa"/>
            <w:vAlign w:val="bottom"/>
          </w:tcPr>
          <w:p>
            <w:pPr>
              <w:spacing w:after="0"/>
              <w:rPr>
                <w:sz w:val="4"/>
                <w:szCs w:val="4"/>
                <w:color w:val="auto"/>
              </w:rPr>
            </w:pPr>
          </w:p>
        </w:tc>
      </w:tr>
      <w:tr>
        <w:trPr>
          <w:trHeight w:val="308"/>
        </w:trPr>
        <w:tc>
          <w:tcPr>
            <w:tcW w:w="29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2360" w:type="dxa"/>
            <w:vAlign w:val="bottom"/>
            <w:shd w:val="clear" w:color="auto" w:fill="E5EBF7"/>
          </w:tcPr>
          <w:p>
            <w:pPr>
              <w:jc w:val="center"/>
              <w:ind w:left="930"/>
              <w:spacing w:after="0"/>
              <w:rPr>
                <w:sz w:val="20"/>
                <w:szCs w:val="20"/>
                <w:color w:val="auto"/>
              </w:rPr>
            </w:pPr>
            <w:r>
              <w:rPr>
                <w:rFonts w:ascii="Arial" w:cs="Arial" w:eastAsia="Arial" w:hAnsi="Arial"/>
                <w:sz w:val="14"/>
                <w:szCs w:val="14"/>
                <w:color w:val="auto"/>
              </w:rPr>
              <w:t>45</w:t>
            </w:r>
          </w:p>
        </w:tc>
        <w:tc>
          <w:tcPr>
            <w:tcW w:w="4140" w:type="dxa"/>
            <w:vAlign w:val="bottom"/>
            <w:shd w:val="clear" w:color="auto" w:fill="E5EBF7"/>
          </w:tcPr>
          <w:p>
            <w:pPr>
              <w:ind w:left="560"/>
              <w:spacing w:after="0"/>
              <w:rPr>
                <w:sz w:val="20"/>
                <w:szCs w:val="20"/>
                <w:color w:val="auto"/>
              </w:rPr>
            </w:pPr>
            <w:r>
              <w:rPr>
                <w:rFonts w:ascii="Arial" w:cs="Arial" w:eastAsia="Arial" w:hAnsi="Arial"/>
                <w:sz w:val="14"/>
                <w:szCs w:val="14"/>
                <w:color w:val="auto"/>
              </w:rPr>
              <w:t>Chief Executive Officer and Director</w:t>
            </w:r>
          </w:p>
        </w:tc>
      </w:tr>
      <w:tr>
        <w:trPr>
          <w:trHeight w:val="83"/>
        </w:trPr>
        <w:tc>
          <w:tcPr>
            <w:tcW w:w="2900" w:type="dxa"/>
            <w:vAlign w:val="bottom"/>
            <w:shd w:val="clear" w:color="auto" w:fill="E5EBF7"/>
          </w:tcPr>
          <w:p>
            <w:pPr>
              <w:spacing w:after="0"/>
              <w:rPr>
                <w:sz w:val="7"/>
                <w:szCs w:val="7"/>
                <w:color w:val="auto"/>
              </w:rPr>
            </w:pPr>
          </w:p>
        </w:tc>
        <w:tc>
          <w:tcPr>
            <w:tcW w:w="2360" w:type="dxa"/>
            <w:vAlign w:val="bottom"/>
            <w:shd w:val="clear" w:color="auto" w:fill="E5EBF7"/>
          </w:tcPr>
          <w:p>
            <w:pPr>
              <w:spacing w:after="0"/>
              <w:rPr>
                <w:sz w:val="7"/>
                <w:szCs w:val="7"/>
                <w:color w:val="auto"/>
              </w:rPr>
            </w:pPr>
          </w:p>
        </w:tc>
        <w:tc>
          <w:tcPr>
            <w:tcW w:w="4140" w:type="dxa"/>
            <w:vAlign w:val="bottom"/>
            <w:shd w:val="clear" w:color="auto" w:fill="E5EBF7"/>
          </w:tcPr>
          <w:p>
            <w:pPr>
              <w:spacing w:after="0"/>
              <w:rPr>
                <w:sz w:val="7"/>
                <w:szCs w:val="7"/>
                <w:color w:val="auto"/>
              </w:rPr>
            </w:pPr>
          </w:p>
        </w:tc>
      </w:tr>
      <w:tr>
        <w:trPr>
          <w:trHeight w:val="295"/>
        </w:trPr>
        <w:tc>
          <w:tcPr>
            <w:tcW w:w="290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2360" w:type="dxa"/>
            <w:vAlign w:val="bottom"/>
          </w:tcPr>
          <w:p>
            <w:pPr>
              <w:jc w:val="center"/>
              <w:ind w:left="930"/>
              <w:spacing w:after="0"/>
              <w:rPr>
                <w:sz w:val="20"/>
                <w:szCs w:val="20"/>
                <w:color w:val="auto"/>
              </w:rPr>
            </w:pPr>
            <w:r>
              <w:rPr>
                <w:rFonts w:ascii="Arial" w:cs="Arial" w:eastAsia="Arial" w:hAnsi="Arial"/>
                <w:sz w:val="14"/>
                <w:szCs w:val="14"/>
                <w:color w:val="auto"/>
              </w:rPr>
              <w:t>55</w:t>
            </w:r>
          </w:p>
        </w:tc>
        <w:tc>
          <w:tcPr>
            <w:tcW w:w="4140" w:type="dxa"/>
            <w:vAlign w:val="bottom"/>
          </w:tcPr>
          <w:p>
            <w:pPr>
              <w:ind w:left="560"/>
              <w:spacing w:after="0"/>
              <w:rPr>
                <w:sz w:val="20"/>
                <w:szCs w:val="20"/>
                <w:color w:val="auto"/>
              </w:rPr>
            </w:pPr>
            <w:r>
              <w:rPr>
                <w:rFonts w:ascii="Arial" w:cs="Arial" w:eastAsia="Arial" w:hAnsi="Arial"/>
                <w:sz w:val="14"/>
                <w:szCs w:val="14"/>
                <w:color w:val="auto"/>
              </w:rPr>
              <w:t>President and Chief Operating Officer</w:t>
            </w:r>
          </w:p>
        </w:tc>
      </w:tr>
      <w:tr>
        <w:trPr>
          <w:trHeight w:val="83"/>
        </w:trPr>
        <w:tc>
          <w:tcPr>
            <w:tcW w:w="29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140" w:type="dxa"/>
            <w:vAlign w:val="bottom"/>
          </w:tcPr>
          <w:p>
            <w:pPr>
              <w:spacing w:after="0"/>
              <w:rPr>
                <w:sz w:val="7"/>
                <w:szCs w:val="7"/>
                <w:color w:val="auto"/>
              </w:rPr>
            </w:pPr>
          </w:p>
        </w:tc>
      </w:tr>
      <w:tr>
        <w:trPr>
          <w:trHeight w:val="295"/>
        </w:trPr>
        <w:tc>
          <w:tcPr>
            <w:tcW w:w="29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Cosmin Pitigoi</w:t>
            </w:r>
          </w:p>
        </w:tc>
        <w:tc>
          <w:tcPr>
            <w:tcW w:w="2360" w:type="dxa"/>
            <w:vAlign w:val="bottom"/>
            <w:shd w:val="clear" w:color="auto" w:fill="E5EBF7"/>
          </w:tcPr>
          <w:p>
            <w:pPr>
              <w:jc w:val="center"/>
              <w:ind w:left="930"/>
              <w:spacing w:after="0"/>
              <w:rPr>
                <w:sz w:val="20"/>
                <w:szCs w:val="20"/>
                <w:color w:val="auto"/>
              </w:rPr>
            </w:pPr>
            <w:r>
              <w:rPr>
                <w:rFonts w:ascii="Arial" w:cs="Arial" w:eastAsia="Arial" w:hAnsi="Arial"/>
                <w:sz w:val="14"/>
                <w:szCs w:val="14"/>
                <w:color w:val="auto"/>
              </w:rPr>
              <w:t>47</w:t>
            </w:r>
          </w:p>
        </w:tc>
        <w:tc>
          <w:tcPr>
            <w:tcW w:w="4140" w:type="dxa"/>
            <w:vAlign w:val="bottom"/>
            <w:shd w:val="clear" w:color="auto" w:fill="E5EBF7"/>
          </w:tcPr>
          <w:p>
            <w:pPr>
              <w:ind w:left="560"/>
              <w:spacing w:after="0"/>
              <w:rPr>
                <w:sz w:val="20"/>
                <w:szCs w:val="20"/>
                <w:color w:val="auto"/>
              </w:rPr>
            </w:pPr>
            <w:r>
              <w:rPr>
                <w:rFonts w:ascii="Arial" w:cs="Arial" w:eastAsia="Arial" w:hAnsi="Arial"/>
                <w:sz w:val="14"/>
                <w:szCs w:val="14"/>
                <w:color w:val="auto"/>
              </w:rPr>
              <w:t>Chief Financial Officer</w:t>
            </w:r>
          </w:p>
        </w:tc>
      </w:tr>
      <w:tr>
        <w:trPr>
          <w:trHeight w:val="83"/>
        </w:trPr>
        <w:tc>
          <w:tcPr>
            <w:tcW w:w="2900" w:type="dxa"/>
            <w:vAlign w:val="bottom"/>
            <w:shd w:val="clear" w:color="auto" w:fill="E5EBF7"/>
          </w:tcPr>
          <w:p>
            <w:pPr>
              <w:spacing w:after="0"/>
              <w:rPr>
                <w:sz w:val="7"/>
                <w:szCs w:val="7"/>
                <w:color w:val="auto"/>
              </w:rPr>
            </w:pPr>
          </w:p>
        </w:tc>
        <w:tc>
          <w:tcPr>
            <w:tcW w:w="2360" w:type="dxa"/>
            <w:vAlign w:val="bottom"/>
            <w:shd w:val="clear" w:color="auto" w:fill="E5EBF7"/>
          </w:tcPr>
          <w:p>
            <w:pPr>
              <w:spacing w:after="0"/>
              <w:rPr>
                <w:sz w:val="7"/>
                <w:szCs w:val="7"/>
                <w:color w:val="auto"/>
              </w:rPr>
            </w:pPr>
          </w:p>
        </w:tc>
        <w:tc>
          <w:tcPr>
            <w:tcW w:w="4140" w:type="dxa"/>
            <w:vAlign w:val="bottom"/>
            <w:shd w:val="clear" w:color="auto" w:fill="E5EBF7"/>
          </w:tcPr>
          <w:p>
            <w:pPr>
              <w:spacing w:after="0"/>
              <w:rPr>
                <w:sz w:val="7"/>
                <w:szCs w:val="7"/>
                <w:color w:val="auto"/>
              </w:rPr>
            </w:pPr>
          </w:p>
        </w:tc>
      </w:tr>
      <w:tr>
        <w:trPr>
          <w:trHeight w:val="295"/>
        </w:trPr>
        <w:tc>
          <w:tcPr>
            <w:tcW w:w="290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2360" w:type="dxa"/>
            <w:vAlign w:val="bottom"/>
          </w:tcPr>
          <w:p>
            <w:pPr>
              <w:jc w:val="center"/>
              <w:ind w:left="930"/>
              <w:spacing w:after="0"/>
              <w:rPr>
                <w:sz w:val="20"/>
                <w:szCs w:val="20"/>
                <w:color w:val="auto"/>
              </w:rPr>
            </w:pPr>
            <w:r>
              <w:rPr>
                <w:rFonts w:ascii="Arial" w:cs="Arial" w:eastAsia="Arial" w:hAnsi="Arial"/>
                <w:sz w:val="14"/>
                <w:szCs w:val="14"/>
                <w:color w:val="auto"/>
              </w:rPr>
              <w:t>59</w:t>
            </w:r>
          </w:p>
        </w:tc>
        <w:tc>
          <w:tcPr>
            <w:tcW w:w="4140" w:type="dxa"/>
            <w:vAlign w:val="bottom"/>
          </w:tcPr>
          <w:p>
            <w:pPr>
              <w:ind w:left="560"/>
              <w:spacing w:after="0"/>
              <w:rPr>
                <w:sz w:val="20"/>
                <w:szCs w:val="20"/>
                <w:color w:val="auto"/>
              </w:rPr>
            </w:pPr>
            <w:r>
              <w:rPr>
                <w:rFonts w:ascii="Arial" w:cs="Arial" w:eastAsia="Arial" w:hAnsi="Arial"/>
                <w:sz w:val="14"/>
                <w:szCs w:val="14"/>
                <w:color w:val="auto"/>
              </w:rPr>
              <w:t>General Counsel and Chief Compliance Officer</w:t>
            </w:r>
          </w:p>
        </w:tc>
      </w:tr>
      <w:tr>
        <w:trPr>
          <w:trHeight w:val="83"/>
        </w:trPr>
        <w:tc>
          <w:tcPr>
            <w:tcW w:w="29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140" w:type="dxa"/>
            <w:vAlign w:val="bottom"/>
          </w:tcPr>
          <w:p>
            <w:pPr>
              <w:spacing w:after="0"/>
              <w:rPr>
                <w:sz w:val="7"/>
                <w:szCs w:val="7"/>
                <w:color w:val="auto"/>
              </w:rPr>
            </w:pPr>
          </w:p>
        </w:tc>
      </w:tr>
      <w:tr>
        <w:trPr>
          <w:trHeight w:val="295"/>
        </w:trPr>
        <w:tc>
          <w:tcPr>
            <w:tcW w:w="29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2360" w:type="dxa"/>
            <w:vAlign w:val="bottom"/>
            <w:shd w:val="clear" w:color="auto" w:fill="E5EBF7"/>
          </w:tcPr>
          <w:p>
            <w:pPr>
              <w:jc w:val="center"/>
              <w:ind w:left="930"/>
              <w:spacing w:after="0"/>
              <w:rPr>
                <w:sz w:val="20"/>
                <w:szCs w:val="20"/>
                <w:color w:val="auto"/>
              </w:rPr>
            </w:pPr>
            <w:r>
              <w:rPr>
                <w:rFonts w:ascii="Arial" w:cs="Arial" w:eastAsia="Arial" w:hAnsi="Arial"/>
                <w:sz w:val="14"/>
                <w:szCs w:val="14"/>
                <w:color w:val="auto"/>
              </w:rPr>
              <w:t>55</w:t>
            </w:r>
          </w:p>
        </w:tc>
        <w:tc>
          <w:tcPr>
            <w:tcW w:w="4140" w:type="dxa"/>
            <w:vAlign w:val="bottom"/>
            <w:shd w:val="clear" w:color="auto" w:fill="E5EBF7"/>
          </w:tcPr>
          <w:p>
            <w:pPr>
              <w:ind w:left="560"/>
              <w:spacing w:after="0"/>
              <w:rPr>
                <w:sz w:val="20"/>
                <w:szCs w:val="20"/>
                <w:color w:val="auto"/>
              </w:rPr>
            </w:pPr>
            <w:r>
              <w:rPr>
                <w:rFonts w:ascii="Arial" w:cs="Arial" w:eastAsia="Arial" w:hAnsi="Arial"/>
                <w:sz w:val="14"/>
                <w:szCs w:val="14"/>
                <w:color w:val="auto"/>
              </w:rPr>
              <w:t>Chief Technology Officer</w:t>
            </w:r>
          </w:p>
        </w:tc>
      </w:tr>
      <w:tr>
        <w:trPr>
          <w:trHeight w:val="29"/>
        </w:trPr>
        <w:tc>
          <w:tcPr>
            <w:tcW w:w="2900" w:type="dxa"/>
            <w:vAlign w:val="bottom"/>
            <w:shd w:val="clear" w:color="auto" w:fill="E5EBF7"/>
          </w:tcPr>
          <w:p>
            <w:pPr>
              <w:spacing w:after="0"/>
              <w:rPr>
                <w:sz w:val="2"/>
                <w:szCs w:val="2"/>
                <w:color w:val="auto"/>
              </w:rPr>
            </w:pPr>
          </w:p>
        </w:tc>
        <w:tc>
          <w:tcPr>
            <w:tcW w:w="2360" w:type="dxa"/>
            <w:vAlign w:val="bottom"/>
            <w:shd w:val="clear" w:color="auto" w:fill="E5EBF7"/>
          </w:tcPr>
          <w:p>
            <w:pPr>
              <w:spacing w:after="0"/>
              <w:rPr>
                <w:sz w:val="2"/>
                <w:szCs w:val="2"/>
                <w:color w:val="auto"/>
              </w:rPr>
            </w:pPr>
          </w:p>
        </w:tc>
        <w:tc>
          <w:tcPr>
            <w:tcW w:w="4140" w:type="dxa"/>
            <w:vAlign w:val="bottom"/>
            <w:shd w:val="clear" w:color="auto" w:fill="E5EBF7"/>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Michael Massaro </w:t>
      </w:r>
      <w:r>
        <w:rPr>
          <w:rFonts w:ascii="Arial" w:cs="Arial" w:eastAsia="Arial" w:hAnsi="Arial"/>
          <w:sz w:val="16"/>
          <w:szCs w:val="16"/>
          <w:color w:val="auto"/>
        </w:rPr>
        <w:t>See biographical information set forth above under “Incumbent Class I Directors Whose Term Expires in 2025.”</w:t>
      </w:r>
    </w:p>
    <w:p>
      <w:pPr>
        <w:sectPr>
          <w:pgSz w:w="11900" w:h="16838" w:orient="portrait"/>
          <w:cols w:equalWidth="0" w:num="1">
            <w:col w:w="9400"/>
          </w:cols>
          <w:pgMar w:left="1240" w:top="114" w:right="125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color w:val="007FC4"/>
        </w:rPr>
        <w:t>Robert</w:t>
      </w:r>
    </w:p>
    <w:p>
      <w:pPr>
        <w:spacing w:after="0" w:line="61"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Orgel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Officer  |  Age: 55</w:t>
      </w:r>
    </w:p>
    <w:p>
      <w:pPr>
        <w:spacing w:after="0" w:line="8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color w:val="007FC4"/>
        </w:rPr>
        <w:t xml:space="preserve">Robert Orgel </w:t>
      </w:r>
      <w:r>
        <w:rPr>
          <w:rFonts w:ascii="Arial" w:cs="Arial" w:eastAsia="Arial" w:hAnsi="Arial"/>
          <w:sz w:val="16"/>
          <w:szCs w:val="16"/>
          <w:color w:val="000000"/>
        </w:rPr>
        <w:t>has served as our President and Chief Operating Officer since November 2019.</w:t>
      </w:r>
      <w:r>
        <w:rPr>
          <w:rFonts w:ascii="Arial" w:cs="Arial" w:eastAsia="Arial" w:hAnsi="Arial"/>
          <w:sz w:val="16"/>
          <w:szCs w:val="16"/>
          <w:b w:val="1"/>
          <w:bCs w:val="1"/>
          <w:color w:val="007FC4"/>
        </w:rPr>
        <w:t xml:space="preserve"> </w:t>
      </w:r>
      <w:r>
        <w:rPr>
          <w:rFonts w:ascii="Arial" w:cs="Arial" w:eastAsia="Arial" w:hAnsi="Arial"/>
          <w:sz w:val="16"/>
          <w:szCs w:val="16"/>
          <w:color w:val="000000"/>
        </w:rPr>
        <w:t>Mr. Orgel leads Flywire’s global payment 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4380230" cy="462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80230" cy="462915"/>
                    </a:xfrm>
                    <a:prstGeom prst="rect">
                      <a:avLst/>
                    </a:prstGeom>
                    <a:noFill/>
                  </pic:spPr>
                </pic:pic>
              </a:graphicData>
            </a:graphic>
          </wp:anchor>
        </w:drawing>
      </w:r>
    </w:p>
    <w:p>
      <w:pPr>
        <w:spacing w:after="0" w:line="333" w:lineRule="exact"/>
        <w:rPr>
          <w:sz w:val="20"/>
          <w:szCs w:val="20"/>
          <w:color w:val="auto"/>
        </w:rPr>
      </w:pPr>
    </w:p>
    <w:p>
      <w:pPr>
        <w:ind w:left="180" w:right="120"/>
        <w:spacing w:after="0" w:line="332" w:lineRule="auto"/>
        <w:rPr>
          <w:sz w:val="20"/>
          <w:szCs w:val="20"/>
          <w:color w:val="auto"/>
        </w:rPr>
      </w:pPr>
      <w:r>
        <w:rPr>
          <w:rFonts w:ascii="Arial" w:cs="Arial" w:eastAsia="Arial" w:hAnsi="Arial"/>
          <w:sz w:val="16"/>
          <w:szCs w:val="16"/>
          <w:b w:val="1"/>
          <w:bCs w:val="1"/>
          <w:color w:val="007FC4"/>
        </w:rPr>
        <w:t>Mr. Orgel holds Bachelor of Arts and Master of Arts degrees in International Relations from Stanford University and a Juris Doctor degree from Harvard Law School.</w:t>
      </w:r>
    </w:p>
    <w:p>
      <w:pPr>
        <w:spacing w:after="0" w:line="200" w:lineRule="exact"/>
        <w:rPr>
          <w:sz w:val="20"/>
          <w:szCs w:val="20"/>
          <w:color w:val="auto"/>
        </w:rPr>
      </w:pPr>
    </w:p>
    <w:p>
      <w:pPr>
        <w:sectPr>
          <w:pgSz w:w="11900" w:h="16838" w:orient="portrait"/>
          <w:cols w:equalWidth="0" w:num="2">
            <w:col w:w="1780" w:space="720"/>
            <w:col w:w="6900"/>
          </w:cols>
          <w:pgMar w:left="1240" w:top="114" w:right="125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Flywire Corporation      26 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color w:val="007FC4"/>
        </w:rPr>
        <w:t>Cosmin</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Pitigoi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  Age: 47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 xml:space="preserve">Cosmin Pitigoi </w:t>
      </w:r>
      <w:r>
        <w:rPr>
          <w:rFonts w:ascii="Arial" w:cs="Arial" w:eastAsia="Arial" w:hAnsi="Arial"/>
          <w:sz w:val="16"/>
          <w:szCs w:val="16"/>
          <w:color w:val="000000"/>
        </w:rPr>
        <w:t>has served as our Chief Financial Officer since March 2024.</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Prior to joining Flywire, Mr. Pitigoi served in a variety of senior level positions with Paypal Holdings, Inc. from November 2012 to February 2024, most recently serving as SVP Finance, Global FP&amp;A, Operational Finance and Pricing since January 2023. Commencing in January 2004, Mr. Pitigoi served in a variety of roles at eBay Inc., concluding as director of Investor Relations from December 2010 to November 2012. He began his career as a financial analyst at Barclays Global Investors and brokerage ops supervisor at E*Trade. Mr. Pitigoi served on the board of directors at Paidy Corporation (a PayPal acquisition) and was previously the Audit Committee Chair of the PayPal Giving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4380230" cy="497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80230" cy="497205"/>
                    </a:xfrm>
                    <a:prstGeom prst="rect">
                      <a:avLst/>
                    </a:prstGeom>
                    <a:noFill/>
                  </pic:spPr>
                </pic:pic>
              </a:graphicData>
            </a:graphic>
          </wp:anchor>
        </w:drawing>
      </w:r>
    </w:p>
    <w:p>
      <w:pPr>
        <w:spacing w:after="0" w:line="340" w:lineRule="exact"/>
        <w:rPr>
          <w:sz w:val="20"/>
          <w:szCs w:val="20"/>
          <w:color w:val="auto"/>
        </w:rPr>
      </w:pPr>
    </w:p>
    <w:p>
      <w:pPr>
        <w:ind w:left="180" w:right="420"/>
        <w:spacing w:after="0" w:line="332" w:lineRule="auto"/>
        <w:rPr>
          <w:sz w:val="20"/>
          <w:szCs w:val="20"/>
          <w:color w:val="auto"/>
        </w:rPr>
      </w:pPr>
      <w:r>
        <w:rPr>
          <w:rFonts w:ascii="Arial" w:cs="Arial" w:eastAsia="Arial" w:hAnsi="Arial"/>
          <w:sz w:val="16"/>
          <w:szCs w:val="16"/>
          <w:color w:val="007FC4"/>
        </w:rPr>
        <w:t>​</w:t>
      </w:r>
      <w:r>
        <w:rPr>
          <w:rFonts w:ascii="Arial" w:cs="Arial" w:eastAsia="Arial" w:hAnsi="Arial"/>
          <w:sz w:val="16"/>
          <w:szCs w:val="16"/>
          <w:b w:val="1"/>
          <w:bCs w:val="1"/>
          <w:color w:val="007FC4"/>
        </w:rPr>
        <w:t>Mr. Pitigoi holds a B.Comm. from Stellenbosch University in South Africa and an</w:t>
      </w:r>
      <w:r>
        <w:rPr>
          <w:rFonts w:ascii="Arial" w:cs="Arial" w:eastAsia="Arial" w:hAnsi="Arial"/>
          <w:sz w:val="16"/>
          <w:szCs w:val="16"/>
          <w:color w:val="007FC4"/>
        </w:rPr>
        <w:t xml:space="preserve"> </w:t>
      </w:r>
      <w:r>
        <w:rPr>
          <w:rFonts w:ascii="Arial" w:cs="Arial" w:eastAsia="Arial" w:hAnsi="Arial"/>
          <w:sz w:val="16"/>
          <w:szCs w:val="16"/>
          <w:b w:val="1"/>
          <w:bCs w:val="1"/>
          <w:color w:val="007FC4"/>
        </w:rPr>
        <w:t>M.B.A. from Santa Clara University.</w:t>
      </w:r>
    </w:p>
    <w:p>
      <w:pPr>
        <w:spacing w:after="0" w:line="200" w:lineRule="exact"/>
        <w:rPr>
          <w:sz w:val="20"/>
          <w:szCs w:val="20"/>
          <w:color w:val="auto"/>
        </w:rPr>
      </w:pPr>
    </w:p>
    <w:p>
      <w:pPr>
        <w:sectPr>
          <w:pgSz w:w="11900" w:h="16838" w:orient="portrait"/>
          <w:cols w:equalWidth="0" w:num="2">
            <w:col w:w="1780" w:space="720"/>
            <w:col w:w="6800"/>
          </w:cols>
          <w:pgMar w:left="124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007FC4"/>
        </w:rPr>
        <w:t>Peter</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Butterfield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color w:val="007FC4"/>
        </w:rPr>
        <w:t>David</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007FC4"/>
        </w:rPr>
        <w:t>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Chief Compliance Officer  |  Age: 59</w:t>
      </w:r>
    </w:p>
    <w:p>
      <w:pPr>
        <w:spacing w:after="0" w:line="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b w:val="1"/>
          <w:bCs w:val="1"/>
          <w:color w:val="007FC4"/>
        </w:rPr>
        <w:t xml:space="preserve">Peter Butterfield </w:t>
      </w:r>
      <w:r>
        <w:rPr>
          <w:rFonts w:ascii="Arial" w:cs="Arial" w:eastAsia="Arial" w:hAnsi="Arial"/>
          <w:sz w:val="16"/>
          <w:szCs w:val="16"/>
          <w:color w:val="000000"/>
        </w:rPr>
        <w:t>has served as our General Counsel and Chief Compliance Officer since</w:t>
      </w:r>
      <w:r>
        <w:rPr>
          <w:rFonts w:ascii="Arial" w:cs="Arial" w:eastAsia="Arial" w:hAnsi="Arial"/>
          <w:sz w:val="16"/>
          <w:szCs w:val="16"/>
          <w:b w:val="1"/>
          <w:bCs w:val="1"/>
          <w:color w:val="007FC4"/>
        </w:rPr>
        <w:t xml:space="preserve"> </w:t>
      </w:r>
      <w:r>
        <w:rPr>
          <w:rFonts w:ascii="Arial" w:cs="Arial" w:eastAsia="Arial" w:hAnsi="Arial"/>
          <w:sz w:val="16"/>
          <w:szCs w:val="16"/>
          <w:color w:val="000000"/>
        </w:rPr>
        <w:t>March 2015. Prior to joining Flywire, Mr. Butterfield held various senior management roles within Devonshire Investors, the private equity arm of Fidelity Investments, and its operating companies from 2001 to 2015. During that time, Mr. Butterfield lived and worked for over a decade in Tokyo and Singapore managing legal, risk, audit and compliance functions, and leading the ex-Japan APAC operations for KVH Co., Ltd. (subsequently acquired by Colt Technology Services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4380230" cy="514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80230" cy="514350"/>
                    </a:xfrm>
                    <a:prstGeom prst="rect">
                      <a:avLst/>
                    </a:prstGeom>
                    <a:noFill/>
                  </pic:spPr>
                </pic:pic>
              </a:graphicData>
            </a:graphic>
          </wp:anchor>
        </w:drawing>
      </w:r>
    </w:p>
    <w:p>
      <w:pPr>
        <w:spacing w:after="0" w:line="337" w:lineRule="exact"/>
        <w:rPr>
          <w:sz w:val="20"/>
          <w:szCs w:val="20"/>
          <w:color w:val="auto"/>
        </w:rPr>
      </w:pPr>
    </w:p>
    <w:p>
      <w:pPr>
        <w:ind w:left="180" w:right="360"/>
        <w:spacing w:after="0" w:line="332" w:lineRule="auto"/>
        <w:rPr>
          <w:sz w:val="20"/>
          <w:szCs w:val="20"/>
          <w:color w:val="auto"/>
        </w:rPr>
      </w:pPr>
      <w:r>
        <w:rPr>
          <w:rFonts w:ascii="Arial" w:cs="Arial" w:eastAsia="Arial" w:hAnsi="Arial"/>
          <w:sz w:val="16"/>
          <w:szCs w:val="16"/>
          <w:b w:val="1"/>
          <w:bCs w:val="1"/>
          <w:color w:val="007FC4"/>
        </w:rPr>
        <w:t>Mr. Butterfield holds a Bachelor of Arts in History and Government from Bowdoin College and a Juris Doctor degree from Columbia University.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Chief Technology Officer  |  Age: 55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 xml:space="preserve">David King </w:t>
      </w:r>
      <w:r>
        <w:rPr>
          <w:rFonts w:ascii="Arial" w:cs="Arial" w:eastAsia="Arial" w:hAnsi="Arial"/>
          <w:sz w:val="16"/>
          <w:szCs w:val="16"/>
          <w:color w:val="000000"/>
        </w:rPr>
        <w:t>has served as our Chief Technology Officer since June 2019</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and is responsible for oversight of our global technology and 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 Mr. King served as president of Nelnet’s higher education division and led various initiatives in Nelnet such as launching an online medical education program. Mr. King is also an owner of AmagiSoft, LLC, which provides gym membership management software to CrossFit gyms. He also led data security at Nelnet.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4380230" cy="4972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80230" cy="497205"/>
                    </a:xfrm>
                    <a:prstGeom prst="rect">
                      <a:avLst/>
                    </a:prstGeom>
                    <a:noFill/>
                  </pic:spPr>
                </pic:pic>
              </a:graphicData>
            </a:graphic>
          </wp:anchor>
        </w:drawing>
      </w:r>
    </w:p>
    <w:p>
      <w:pPr>
        <w:spacing w:after="0" w:line="344" w:lineRule="exact"/>
        <w:rPr>
          <w:sz w:val="20"/>
          <w:szCs w:val="20"/>
          <w:color w:val="auto"/>
        </w:rPr>
      </w:pPr>
    </w:p>
    <w:p>
      <w:pPr>
        <w:ind w:left="180" w:right="140"/>
        <w:spacing w:after="0" w:line="332" w:lineRule="auto"/>
        <w:rPr>
          <w:sz w:val="20"/>
          <w:szCs w:val="20"/>
          <w:color w:val="auto"/>
        </w:rPr>
      </w:pPr>
      <w:r>
        <w:rPr>
          <w:rFonts w:ascii="Arial" w:cs="Arial" w:eastAsia="Arial" w:hAnsi="Arial"/>
          <w:sz w:val="16"/>
          <w:szCs w:val="16"/>
          <w:b w:val="1"/>
          <w:bCs w:val="1"/>
          <w:color w:val="007FC4"/>
        </w:rPr>
        <w:t>Mr. King holds a Bachelor of Science in Mathematics and Physics from Westminster College, and a Master of Science in Physics from Miami University.</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Flywire Corporation      27 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113665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80" w:space="720"/>
            <w:col w:w="6800"/>
          </w:cols>
          <w:pgMar w:left="1240" w:top="114" w:right="1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This section discusses our compensation philosophy, summarizes our compensation programs and reviews compensation decisions for our named executive officers (NEOs) for the year ended December 31, 2023 (Fiscal 2023). The following discussion contains forward-looking statements that are based on our current plans, considerations, expectations, and determinations regarding existing and future compensation programs. The actual amount and form of compensation and the compensation policies and practices that we adopt in the future may differ materially from currently planned programs as summarized in this discussion.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For Fiscal 2023, our NEOs were:</w:t>
      </w:r>
    </w:p>
    <w:p>
      <w:pPr>
        <w:spacing w:after="0" w:line="181" w:lineRule="exact"/>
        <w:rPr>
          <w:sz w:val="20"/>
          <w:szCs w:val="20"/>
          <w:color w:val="auto"/>
        </w:rPr>
      </w:pPr>
    </w:p>
    <w:p>
      <w:pPr>
        <w:ind w:left="660" w:hanging="330"/>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Michael Massaro, our Chief Executive Officer and member of our Board of Directors;</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Robert Orgel, our President and Chief Operating Officer;</w:t>
      </w:r>
    </w:p>
    <w:p>
      <w:pPr>
        <w:spacing w:after="0" w:line="173" w:lineRule="exact"/>
        <w:rPr>
          <w:rFonts w:ascii="Arial" w:cs="Arial" w:eastAsia="Arial" w:hAnsi="Arial"/>
          <w:sz w:val="16"/>
          <w:szCs w:val="16"/>
          <w:color w:val="auto"/>
        </w:rPr>
      </w:pPr>
    </w:p>
    <w:p>
      <w:pPr>
        <w:ind w:left="660" w:hanging="330"/>
        <w:spacing w:after="0"/>
        <w:tabs>
          <w:tab w:leader="none" w:pos="660" w:val="left"/>
        </w:tabs>
        <w:numPr>
          <w:ilvl w:val="1"/>
          <w:numId w:val="66"/>
        </w:numPr>
        <w:rPr>
          <w:rFonts w:ascii="Arial" w:cs="Arial" w:eastAsia="Arial" w:hAnsi="Arial"/>
          <w:sz w:val="32"/>
          <w:szCs w:val="32"/>
          <w:color w:val="auto"/>
          <w:vertAlign w:val="superscript"/>
        </w:rPr>
      </w:pPr>
      <w:r>
        <w:rPr>
          <w:rFonts w:ascii="Arial" w:cs="Arial" w:eastAsia="Arial" w:hAnsi="Arial"/>
          <w:sz w:val="16"/>
          <w:szCs w:val="16"/>
          <w:color w:val="auto"/>
        </w:rPr>
        <w:t>Michael Ellis, our former Chief Financial Officer</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60" w:lineRule="exact"/>
        <w:rPr>
          <w:rFonts w:ascii="Arial" w:cs="Arial" w:eastAsia="Arial" w:hAnsi="Arial"/>
          <w:sz w:val="32"/>
          <w:szCs w:val="32"/>
          <w:color w:val="auto"/>
          <w:vertAlign w:val="superscript"/>
        </w:rPr>
      </w:pPr>
    </w:p>
    <w:p>
      <w:pPr>
        <w:ind w:left="660" w:hanging="330"/>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Peter Butterfield, our General Counsel and Chief Compliance Officer; and</w:t>
      </w:r>
    </w:p>
    <w:p>
      <w:pPr>
        <w:spacing w:after="0" w:line="178" w:lineRule="exact"/>
        <w:rPr>
          <w:rFonts w:ascii="Arial" w:cs="Arial" w:eastAsia="Arial" w:hAnsi="Arial"/>
          <w:sz w:val="16"/>
          <w:szCs w:val="16"/>
          <w:color w:val="auto"/>
        </w:rPr>
      </w:pPr>
    </w:p>
    <w:p>
      <w:pPr>
        <w:ind w:left="660" w:hanging="330"/>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David King, our Chief Technology Officer.</w:t>
      </w:r>
    </w:p>
    <w:p>
      <w:pPr>
        <w:spacing w:after="0" w:line="365" w:lineRule="exact"/>
        <w:rPr>
          <w:rFonts w:ascii="Arial" w:cs="Arial" w:eastAsia="Arial" w:hAnsi="Arial"/>
          <w:sz w:val="16"/>
          <w:szCs w:val="16"/>
          <w:color w:val="auto"/>
        </w:rPr>
      </w:pPr>
    </w:p>
    <w:p>
      <w:pPr>
        <w:ind w:left="360" w:hanging="354"/>
        <w:spacing w:after="0"/>
        <w:tabs>
          <w:tab w:leader="none" w:pos="360" w:val="left"/>
        </w:tabs>
        <w:numPr>
          <w:ilvl w:val="0"/>
          <w:numId w:val="66"/>
        </w:numPr>
        <w:rPr>
          <w:rFonts w:ascii="Arial" w:cs="Arial" w:eastAsia="Arial" w:hAnsi="Arial"/>
          <w:sz w:val="13"/>
          <w:szCs w:val="13"/>
          <w:color w:val="333333"/>
        </w:rPr>
      </w:pPr>
      <w:r>
        <w:rPr>
          <w:rFonts w:ascii="Arial" w:cs="Arial" w:eastAsia="Arial" w:hAnsi="Arial"/>
          <w:sz w:val="13"/>
          <w:szCs w:val="13"/>
          <w:color w:val="333333"/>
        </w:rPr>
        <w:t>Effective March 4, 2024, Mr. Ellis ceased serving as our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FISCAL 2023 BUSINESS HIGHLIGHTS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During Fiscal 2023, we continued to make targeted investments in go-to-market, geographic expansion, payment network growth, strategic partnership integrations and product and payment innovation. We saw the benefits of the execution of these growth strategies with notable success in our key investment areas, as we efficiently won new clients and cross-sold and up-sold existing ones. Despite the uncertain macroeconomic backdrop, the sustainability of our business model, combined with the resilience of the industries we serve, continued to position us well for ongoing success. Our business achievements during Fiscal 2023 include:</w:t>
      </w:r>
    </w:p>
    <w:p>
      <w:pPr>
        <w:spacing w:after="0" w:line="139" w:lineRule="exact"/>
        <w:rPr>
          <w:sz w:val="20"/>
          <w:szCs w:val="20"/>
          <w:color w:val="auto"/>
        </w:rPr>
      </w:pPr>
    </w:p>
    <w:p>
      <w:pPr>
        <w:ind w:left="660" w:right="280" w:hanging="330"/>
        <w:spacing w:after="0" w:line="26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Delivered Strong Financial Results</w:t>
      </w:r>
      <w:r>
        <w:rPr>
          <w:rFonts w:ascii="Arial" w:cs="Arial" w:eastAsia="Arial" w:hAnsi="Arial"/>
          <w:sz w:val="16"/>
          <w:szCs w:val="16"/>
          <w:color w:val="auto"/>
        </w:rPr>
        <w:t>. We delivered strong results across key performance metrics. Our total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volume was over $24.0 billion, an increase of 33% year-over-year. Revenue increased 39% year-over-year to $403.1 million.</w:t>
      </w:r>
    </w:p>
    <w:p>
      <w:pPr>
        <w:spacing w:after="0" w:line="144" w:lineRule="exact"/>
        <w:rPr>
          <w:rFonts w:ascii="Arial" w:cs="Arial" w:eastAsia="Arial" w:hAnsi="Arial"/>
          <w:sz w:val="16"/>
          <w:szCs w:val="16"/>
          <w:color w:val="auto"/>
        </w:rPr>
      </w:pPr>
    </w:p>
    <w:p>
      <w:pPr>
        <w:ind w:left="660" w:hanging="330"/>
        <w:spacing w:after="0" w:line="25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Client Growth</w:t>
      </w:r>
      <w:r>
        <w:rPr>
          <w:rFonts w:ascii="Arial" w:cs="Arial" w:eastAsia="Arial" w:hAnsi="Arial"/>
          <w:sz w:val="16"/>
          <w:szCs w:val="16"/>
          <w:color w:val="auto"/>
        </w:rPr>
        <w:t>. We added over 700 new clients, ending the year with over 3,800 clients in our four primary verticals as we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continued to win new clients and expand our channel partnerships around the world. We continued to help our clients get paid and help their customers pay with ease – no matter where they are in the world. In addition, we continued to focus on solving the major pain points for our clients and continue to invest in accelerating our ability to build, sell and deploy new solutions.</w:t>
      </w:r>
    </w:p>
    <w:p>
      <w:pPr>
        <w:spacing w:after="0" w:line="139" w:lineRule="exact"/>
        <w:rPr>
          <w:rFonts w:ascii="Arial" w:cs="Arial" w:eastAsia="Arial" w:hAnsi="Arial"/>
          <w:sz w:val="16"/>
          <w:szCs w:val="16"/>
          <w:color w:val="auto"/>
        </w:rPr>
      </w:pPr>
    </w:p>
    <w:p>
      <w:pPr>
        <w:ind w:left="660" w:right="40" w:hanging="330"/>
        <w:spacing w:after="0" w:line="254"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Successful Acquisitions</w:t>
      </w:r>
      <w:r>
        <w:rPr>
          <w:rFonts w:ascii="Arial" w:cs="Arial" w:eastAsia="Arial" w:hAnsi="Arial"/>
          <w:sz w:val="16"/>
          <w:szCs w:val="16"/>
          <w:color w:val="auto"/>
        </w:rPr>
        <w:t>. In November 2023, we acquired Learning Information Systems Pty Ltd (StudyLink), an</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Australian-based software as a service education company that provides platforms to education providers to support their student admissions systems and processes, including features such as eligibility assessment, offer generation, recruitment agent and commission management and acceptance processing. This follows our education vertical acquisitions and successful integration of each of the WPM Group Ltd. (WPM) business in the United Kingdom in 2021 and Cohort Solutions Pty Ltd. (CohortGo) in Australia in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28 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60" w:right="420" w:hanging="330"/>
        <w:spacing w:after="0" w:line="259"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Launch of New Geographic Markets and Strengthening of Payment Networks</w:t>
      </w:r>
      <w:r>
        <w:rPr>
          <w:rFonts w:ascii="Arial" w:cs="Arial" w:eastAsia="Arial" w:hAnsi="Arial"/>
          <w:sz w:val="16"/>
          <w:szCs w:val="16"/>
          <w:color w:val="auto"/>
        </w:rPr>
        <w:t>. Since our initial public offering in</w:t>
      </w:r>
      <w:r>
        <w:rPr>
          <w:rFonts w:ascii="Arial" w:cs="Arial" w:eastAsia="Arial" w:hAnsi="Arial"/>
          <w:sz w:val="16"/>
          <w:szCs w:val="16"/>
          <w:b w:val="1"/>
          <w:bCs w:val="1"/>
          <w:color w:val="auto"/>
        </w:rPr>
        <w:t xml:space="preserve"> </w:t>
      </w:r>
      <w:r>
        <w:rPr>
          <w:rFonts w:ascii="Arial" w:cs="Arial" w:eastAsia="Arial" w:hAnsi="Arial"/>
          <w:sz w:val="16"/>
          <w:szCs w:val="16"/>
          <w:color w:val="auto"/>
        </w:rPr>
        <w:t>May 2021, we have added more than 10 new geographic markets for clients across our verticals, and bolstered our payment networks with a focus on supporting our key strategic payer markets like India and China, enhancing our relationships with WeChat Pay as well as three of the largest banks in India.</w:t>
      </w:r>
    </w:p>
    <w:p>
      <w:pPr>
        <w:spacing w:after="0" w:line="137" w:lineRule="exact"/>
        <w:rPr>
          <w:rFonts w:ascii="Arial" w:cs="Arial" w:eastAsia="Arial" w:hAnsi="Arial"/>
          <w:sz w:val="16"/>
          <w:szCs w:val="16"/>
          <w:color w:val="auto"/>
        </w:rPr>
      </w:pPr>
    </w:p>
    <w:p>
      <w:pPr>
        <w:ind w:left="660" w:right="20" w:hanging="330"/>
        <w:spacing w:after="0" w:line="259"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Employee Growth and Culture</w:t>
      </w:r>
      <w:r>
        <w:rPr>
          <w:rFonts w:ascii="Arial" w:cs="Arial" w:eastAsia="Arial" w:hAnsi="Arial"/>
          <w:sz w:val="16"/>
          <w:szCs w:val="16"/>
          <w:color w:val="auto"/>
        </w:rPr>
        <w:t>. We grew from approximately 1,000 to more than 1,200 full-time FlyMates in Fiscal 2023,</w:t>
      </w:r>
      <w:r>
        <w:rPr>
          <w:rFonts w:ascii="Arial" w:cs="Arial" w:eastAsia="Arial" w:hAnsi="Arial"/>
          <w:sz w:val="16"/>
          <w:szCs w:val="16"/>
          <w:b w:val="1"/>
          <w:bCs w:val="1"/>
          <w:color w:val="auto"/>
        </w:rPr>
        <w:t xml:space="preserve"> </w:t>
      </w:r>
      <w:r>
        <w:rPr>
          <w:rFonts w:ascii="Arial" w:cs="Arial" w:eastAsia="Arial" w:hAnsi="Arial"/>
          <w:sz w:val="16"/>
          <w:szCs w:val="16"/>
          <w:color w:val="auto"/>
        </w:rPr>
        <w:t>while being certified as a Most Loved Workplace in America by Newsweek, a Best Company to Work for by U.S. News &amp; World Report and being recognized by Fortune Magazine as one of the Best Workplaces in Financial Services &amp; Insurance™ 2023.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FISCAL 2023 EXECUTIVE COMPENSATION PROGRAM HIGHLIGHTS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Fiscal 2023 compensation program for our NEOs reflects our overarching philosophy of pay for performance. Highlights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2023 executive compensation program include:</w:t>
      </w:r>
    </w:p>
    <w:p>
      <w:pPr>
        <w:spacing w:after="0" w:line="165" w:lineRule="exact"/>
        <w:rPr>
          <w:sz w:val="20"/>
          <w:szCs w:val="20"/>
          <w:color w:val="auto"/>
        </w:rPr>
      </w:pPr>
    </w:p>
    <w:p>
      <w:pPr>
        <w:ind w:left="660" w:right="20" w:hanging="330"/>
        <w:spacing w:after="0" w:line="259"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Reviewed our Peer Group of Publicly-traded Companies. </w:t>
      </w:r>
      <w:r>
        <w:rPr>
          <w:rFonts w:ascii="Arial" w:cs="Arial" w:eastAsia="Arial" w:hAnsi="Arial"/>
          <w:sz w:val="16"/>
          <w:szCs w:val="16"/>
          <w:color w:val="auto"/>
        </w:rPr>
        <w:t>The People &amp; Compensation Committee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(People &amp; Compensation Committee) reviewed and updated our peer group of publicly-traded technology companies to evaluate our compensation practices for purposes such as pay levels and compensation program design for our NEOs.</w:t>
      </w:r>
    </w:p>
    <w:p>
      <w:pPr>
        <w:spacing w:after="0" w:line="150" w:lineRule="exact"/>
        <w:rPr>
          <w:rFonts w:ascii="Arial" w:cs="Arial" w:eastAsia="Arial" w:hAnsi="Arial"/>
          <w:sz w:val="16"/>
          <w:szCs w:val="16"/>
          <w:color w:val="auto"/>
        </w:rPr>
      </w:pPr>
    </w:p>
    <w:p>
      <w:pPr>
        <w:ind w:left="660" w:right="420" w:hanging="330"/>
        <w:spacing w:after="0" w:line="23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Review of Total Compensation Opportunities</w:t>
      </w:r>
      <w:r>
        <w:rPr>
          <w:rFonts w:ascii="Arial" w:cs="Arial" w:eastAsia="Arial" w:hAnsi="Arial"/>
          <w:sz w:val="16"/>
          <w:szCs w:val="16"/>
          <w:color w:val="auto"/>
        </w:rPr>
        <w:t>. The People &amp; Compensation Committee evaluated the competitive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positioning of our NEO’s compensation relative to the market and made adjustments considering both internal and external factors. In terms of market positioning, the People &amp; Compensation Committee reference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of market for target total compensation, with compensation weighted more heavily towards equity.</w:t>
      </w:r>
    </w:p>
    <w:p>
      <w:pPr>
        <w:spacing w:after="0" w:line="152" w:lineRule="exact"/>
        <w:rPr>
          <w:rFonts w:ascii="Arial" w:cs="Arial" w:eastAsia="Arial" w:hAnsi="Arial"/>
          <w:sz w:val="16"/>
          <w:szCs w:val="16"/>
          <w:color w:val="auto"/>
        </w:rPr>
      </w:pPr>
    </w:p>
    <w:p>
      <w:pPr>
        <w:ind w:left="660" w:hanging="330"/>
        <w:spacing w:after="0" w:line="259"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Challenging Annual Incentive Goals</w:t>
      </w:r>
      <w:r>
        <w:rPr>
          <w:rFonts w:ascii="Arial" w:cs="Arial" w:eastAsia="Arial" w:hAnsi="Arial"/>
          <w:sz w:val="16"/>
          <w:szCs w:val="16"/>
          <w:color w:val="auto"/>
        </w:rPr>
        <w:t>. Our NEOs were eligible to earn a cash bonus based on our achievement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corporate goals established by our People &amp; Compensation Committee. Based on our strong Fiscal 2023 performance, including revenue of $403.1 million and adjusted EBITDA of $42 million, our NEOs earned bonuses of 130% of their target bonus for the year.</w:t>
      </w:r>
    </w:p>
    <w:p>
      <w:pPr>
        <w:spacing w:after="0" w:line="137" w:lineRule="exact"/>
        <w:rPr>
          <w:rFonts w:ascii="Arial" w:cs="Arial" w:eastAsia="Arial" w:hAnsi="Arial"/>
          <w:sz w:val="16"/>
          <w:szCs w:val="16"/>
          <w:color w:val="auto"/>
        </w:rPr>
      </w:pPr>
    </w:p>
    <w:p>
      <w:pPr>
        <w:ind w:left="660" w:right="280" w:hanging="330"/>
        <w:spacing w:after="0" w:line="254"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Mix Weighted Towards Equity. </w:t>
      </w:r>
      <w:r>
        <w:rPr>
          <w:rFonts w:ascii="Arial" w:cs="Arial" w:eastAsia="Arial" w:hAnsi="Arial"/>
          <w:sz w:val="16"/>
          <w:szCs w:val="16"/>
          <w:color w:val="auto"/>
        </w:rPr>
        <w:t>Our NEOs total target direct compensation mix was more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towards equity than cash to emphasize alignment with stockholders and long-term performance. In Fiscal 2023, we granted an average of over 80% of our NEOs’ target direct compensation as equity-based compensation in the form of restricted stock units (RSUs). We believe that RSUs, as well as previously issued unvested stock options, support retention and effectively align the interests of our executives with those of our stockholders by directly linking compensation to the value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PHILOSOPHY AND OBJECTIVES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compensation philosophy and guiding principles provide a framework for the development and management of our executive compensation programs and practices.</w:t>
      </w:r>
    </w:p>
    <w:p>
      <w:pPr>
        <w:spacing w:after="0" w:line="115" w:lineRule="exact"/>
        <w:rPr>
          <w:sz w:val="20"/>
          <w:szCs w:val="20"/>
          <w:color w:val="auto"/>
        </w:rPr>
      </w:pPr>
    </w:p>
    <w:p>
      <w:pPr>
        <w:ind w:left="660" w:right="100" w:hanging="330"/>
        <w:spacing w:after="0" w:line="28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Competitive. </w:t>
      </w:r>
      <w:r>
        <w:rPr>
          <w:rFonts w:ascii="Arial" w:cs="Arial" w:eastAsia="Arial" w:hAnsi="Arial"/>
          <w:sz w:val="16"/>
          <w:szCs w:val="16"/>
          <w:color w:val="auto"/>
        </w:rPr>
        <w:t>Our compensation programs should be market-competitive, enabling Flywire to attract and retain top talent</w:t>
      </w:r>
      <w:r>
        <w:rPr>
          <w:rFonts w:ascii="Arial" w:cs="Arial" w:eastAsia="Arial" w:hAnsi="Arial"/>
          <w:sz w:val="16"/>
          <w:szCs w:val="16"/>
          <w:b w:val="1"/>
          <w:bCs w:val="1"/>
          <w:color w:val="auto"/>
        </w:rPr>
        <w:t xml:space="preserve"> </w:t>
      </w:r>
      <w:r>
        <w:rPr>
          <w:rFonts w:ascii="Arial" w:cs="Arial" w:eastAsia="Arial" w:hAnsi="Arial"/>
          <w:sz w:val="16"/>
          <w:szCs w:val="16"/>
          <w:color w:val="auto"/>
        </w:rPr>
        <w:t>in a highly-competitive global, technology market.</w:t>
      </w:r>
    </w:p>
    <w:p>
      <w:pPr>
        <w:spacing w:after="0" w:line="128" w:lineRule="exact"/>
        <w:rPr>
          <w:rFonts w:ascii="Arial" w:cs="Arial" w:eastAsia="Arial" w:hAnsi="Arial"/>
          <w:sz w:val="16"/>
          <w:szCs w:val="16"/>
          <w:color w:val="auto"/>
        </w:rPr>
      </w:pPr>
    </w:p>
    <w:p>
      <w:pPr>
        <w:ind w:left="660" w:right="280" w:hanging="330"/>
        <w:spacing w:after="0" w:line="26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Pay-for-Performance. </w:t>
      </w:r>
      <w:r>
        <w:rPr>
          <w:rFonts w:ascii="Arial" w:cs="Arial" w:eastAsia="Arial" w:hAnsi="Arial"/>
          <w:sz w:val="16"/>
          <w:szCs w:val="16"/>
          <w:color w:val="auto"/>
        </w:rPr>
        <w:t>We strive to provide a strong relationship between pay and performance. Annual performance-based cash bonuses are tied to achievement of annual corporate financial goals. Long-term incentive awards deliver value based on the performance of our common stock.</w:t>
      </w:r>
    </w:p>
    <w:p>
      <w:pPr>
        <w:spacing w:after="0" w:line="130" w:lineRule="exact"/>
        <w:rPr>
          <w:rFonts w:ascii="Arial" w:cs="Arial" w:eastAsia="Arial" w:hAnsi="Arial"/>
          <w:sz w:val="16"/>
          <w:szCs w:val="16"/>
          <w:color w:val="auto"/>
        </w:rPr>
      </w:pPr>
    </w:p>
    <w:p>
      <w:pPr>
        <w:ind w:left="660" w:right="80" w:hanging="330"/>
        <w:spacing w:after="0" w:line="259"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Emphasis on Equity Compensation. </w:t>
      </w:r>
      <w:r>
        <w:rPr>
          <w:rFonts w:ascii="Arial" w:cs="Arial" w:eastAsia="Arial" w:hAnsi="Arial"/>
          <w:sz w:val="16"/>
          <w:szCs w:val="16"/>
          <w:color w:val="auto"/>
        </w:rPr>
        <w:t>Total compensation is heavily weighted toward equity incentive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incentives focus our NEOs on sustainable and long-term stockholder value creation. The value realized by our NEOs depends on the value of our common stock, which we believe aligns our NEOs’ interests with the long-term interests of our stockholders.</w:t>
      </w:r>
    </w:p>
    <w:p>
      <w:pPr>
        <w:spacing w:after="0" w:line="137" w:lineRule="exact"/>
        <w:rPr>
          <w:rFonts w:ascii="Arial" w:cs="Arial" w:eastAsia="Arial" w:hAnsi="Arial"/>
          <w:sz w:val="16"/>
          <w:szCs w:val="16"/>
          <w:color w:val="auto"/>
        </w:rPr>
      </w:pPr>
    </w:p>
    <w:p>
      <w:pPr>
        <w:ind w:left="660" w:right="160" w:hanging="330"/>
        <w:spacing w:after="0" w:line="26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Fair and Fact-Based. </w:t>
      </w:r>
      <w:r>
        <w:rPr>
          <w:rFonts w:ascii="Arial" w:cs="Arial" w:eastAsia="Arial" w:hAnsi="Arial"/>
          <w:sz w:val="16"/>
          <w:szCs w:val="16"/>
          <w:color w:val="auto"/>
        </w:rPr>
        <w:t>We believe compensation decisions should be made based on objective and relevant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support internal pay equity in support of our company core values of execution, ambitious innovation and global collaboration.</w:t>
      </w:r>
    </w:p>
    <w:p>
      <w:pPr>
        <w:spacing w:after="0" w:line="144" w:lineRule="exact"/>
        <w:rPr>
          <w:rFonts w:ascii="Arial" w:cs="Arial" w:eastAsia="Arial" w:hAnsi="Arial"/>
          <w:sz w:val="16"/>
          <w:szCs w:val="16"/>
          <w:color w:val="auto"/>
        </w:rPr>
      </w:pPr>
    </w:p>
    <w:p>
      <w:pPr>
        <w:ind w:left="660" w:hanging="330"/>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Simple and Transparent. </w:t>
      </w:r>
      <w:r>
        <w:rPr>
          <w:rFonts w:ascii="Arial" w:cs="Arial" w:eastAsia="Arial" w:hAnsi="Arial"/>
          <w:sz w:val="16"/>
          <w:szCs w:val="16"/>
          <w:color w:val="auto"/>
        </w:rPr>
        <w:t>Our compensation programs should be easy to understand, communicate and administer.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29 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 addition, our People &amp; Compensation Committee seeks to ensure that we maintain sound governance and compensation policies and practices. Our key compensation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966460" cy="254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254571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p>
      <w:pPr>
        <w:spacing w:after="0" w:line="111"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WHAT WE DO</w:t>
      </w:r>
    </w:p>
    <w:p>
      <w:pPr>
        <w:spacing w:after="0" w:line="183" w:lineRule="exact"/>
        <w:rPr>
          <w:sz w:val="20"/>
          <w:szCs w:val="20"/>
          <w:color w:val="auto"/>
        </w:rPr>
      </w:pPr>
    </w:p>
    <w:p>
      <w:pPr>
        <w:ind w:left="440" w:right="40" w:hanging="170"/>
        <w:spacing w:after="0"/>
        <w:rPr>
          <w:sz w:val="20"/>
          <w:szCs w:val="20"/>
          <w:color w:val="auto"/>
        </w:rPr>
      </w:pPr>
      <w:r>
        <w:rPr>
          <w:sz w:val="1"/>
          <w:szCs w:val="1"/>
          <w:color w:val="auto"/>
        </w:rPr>
        <w:drawing>
          <wp:inline distT="0" distB="0" distL="0" distR="0">
            <wp:extent cx="76835" cy="9398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4"/>
          <w:szCs w:val="14"/>
          <w:color w:val="auto"/>
        </w:rPr>
        <w:t xml:space="preserve"> Employ a pay for performance philosophy reflected in program   design and target pay levels for NEOs</w:t>
      </w:r>
    </w:p>
    <w:p>
      <w:pPr>
        <w:spacing w:after="0" w:line="107" w:lineRule="exact"/>
        <w:rPr>
          <w:sz w:val="20"/>
          <w:szCs w:val="20"/>
          <w:color w:val="auto"/>
        </w:rPr>
      </w:pPr>
    </w:p>
    <w:p>
      <w:pPr>
        <w:ind w:left="560" w:right="460" w:hanging="296"/>
        <w:spacing w:after="0" w:line="285" w:lineRule="auto"/>
        <w:tabs>
          <w:tab w:leader="none" w:pos="540" w:val="left"/>
        </w:tabs>
        <w:rPr>
          <w:sz w:val="20"/>
          <w:szCs w:val="20"/>
          <w:color w:val="auto"/>
        </w:rPr>
      </w:pPr>
      <w:r>
        <w:rPr>
          <w:sz w:val="1"/>
          <w:szCs w:val="1"/>
          <w:color w:val="auto"/>
        </w:rPr>
        <w:drawing>
          <wp:inline distT="0" distB="0" distL="0" distR="0">
            <wp:extent cx="76835" cy="939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4"/>
          <w:szCs w:val="14"/>
          <w:color w:val="auto"/>
        </w:rPr>
        <w:t> </w:t>
        <w:tab/>
        <w:t>Deliver majority of compensation in equity to promote executive retention and reward long-term value creation</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Cap maximum annual cash incentive bonus payouts</w:t>
      </w:r>
    </w:p>
    <w:p>
      <w:pPr>
        <w:spacing w:after="0" w:line="184"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40" w:type="dxa"/>
            <w:vAlign w:val="bottom"/>
          </w:tcPr>
          <w:p>
            <w:pPr>
              <w:spacing w:after="0"/>
              <w:rPr>
                <w:sz w:val="20"/>
                <w:szCs w:val="20"/>
                <w:color w:val="auto"/>
              </w:rPr>
            </w:pPr>
            <w:r>
              <w:rPr>
                <w:rFonts w:ascii="Arial" w:cs="Arial" w:eastAsia="Arial" w:hAnsi="Arial"/>
                <w:sz w:val="13"/>
                <w:szCs w:val="13"/>
                <w:color w:val="auto"/>
                <w:w w:val="75"/>
              </w:rPr>
              <w:t> </w:t>
            </w:r>
          </w:p>
        </w:tc>
        <w:tc>
          <w:tcPr>
            <w:tcW w:w="3900" w:type="dxa"/>
            <w:vAlign w:val="bottom"/>
            <w:vMerge w:val="restart"/>
          </w:tcPr>
          <w:p>
            <w:pPr>
              <w:ind w:left="140"/>
              <w:spacing w:after="0"/>
              <w:rPr>
                <w:sz w:val="20"/>
                <w:szCs w:val="20"/>
                <w:color w:val="auto"/>
              </w:rPr>
            </w:pPr>
            <w:r>
              <w:rPr>
                <w:rFonts w:ascii="Arial" w:cs="Arial" w:eastAsia="Arial" w:hAnsi="Arial"/>
                <w:sz w:val="14"/>
                <w:szCs w:val="14"/>
                <w:color w:val="auto"/>
              </w:rPr>
              <w:t>Maintain and annually review a group of peer companies</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40" w:type="dxa"/>
            <w:vAlign w:val="bottom"/>
          </w:tcPr>
          <w:p>
            <w:pPr>
              <w:spacing w:after="0"/>
              <w:rPr>
                <w:sz w:val="24"/>
                <w:szCs w:val="24"/>
                <w:color w:val="auto"/>
              </w:rPr>
            </w:pPr>
          </w:p>
        </w:tc>
        <w:tc>
          <w:tcPr>
            <w:tcW w:w="3900" w:type="dxa"/>
            <w:vAlign w:val="bottom"/>
          </w:tcPr>
          <w:p>
            <w:pPr>
              <w:ind w:left="140"/>
              <w:spacing w:after="0"/>
              <w:rPr>
                <w:sz w:val="20"/>
                <w:szCs w:val="20"/>
                <w:color w:val="auto"/>
              </w:rPr>
            </w:pPr>
            <w:r>
              <w:rPr>
                <w:rFonts w:ascii="Arial" w:cs="Arial" w:eastAsia="Arial" w:hAnsi="Arial"/>
                <w:sz w:val="14"/>
                <w:szCs w:val="14"/>
                <w:color w:val="auto"/>
              </w:rPr>
              <w:t>Fully independent directors on our People &amp; Compensation</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  Committee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60" w:hanging="296"/>
        <w:spacing w:after="0" w:line="285" w:lineRule="auto"/>
        <w:tabs>
          <w:tab w:leader="none" w:pos="540" w:val="left"/>
        </w:tabs>
        <w:rPr>
          <w:sz w:val="20"/>
          <w:szCs w:val="20"/>
          <w:color w:val="auto"/>
        </w:rPr>
      </w:pPr>
      <w:r>
        <w:rPr>
          <w:sz w:val="1"/>
          <w:szCs w:val="1"/>
          <w:color w:val="auto"/>
        </w:rPr>
        <w:drawing>
          <wp:inline distT="0" distB="0" distL="0" distR="0">
            <wp:extent cx="76835" cy="939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4"/>
          <w:szCs w:val="14"/>
          <w:color w:val="auto"/>
        </w:rPr>
        <w:t> </w:t>
        <w:tab/>
        <w:t>Engage an independent compensation consultant to advise our People &amp; Compensation Committee</w:t>
      </w:r>
    </w:p>
    <w:p>
      <w:pPr>
        <w:spacing w:after="0" w:line="77" w:lineRule="exact"/>
        <w:rPr>
          <w:sz w:val="20"/>
          <w:szCs w:val="20"/>
          <w:color w:val="auto"/>
        </w:rPr>
      </w:pPr>
    </w:p>
    <w:p>
      <w:pPr>
        <w:ind w:left="440" w:right="40" w:hanging="170"/>
        <w:spacing w:after="0"/>
        <w:rPr>
          <w:sz w:val="20"/>
          <w:szCs w:val="20"/>
          <w:color w:val="auto"/>
        </w:rPr>
      </w:pPr>
      <w:r>
        <w:rPr>
          <w:sz w:val="1"/>
          <w:szCs w:val="1"/>
          <w:color w:val="auto"/>
        </w:rPr>
        <w:drawing>
          <wp:inline distT="0" distB="0" distL="0" distR="0">
            <wp:extent cx="76835" cy="939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4"/>
          <w:szCs w:val="14"/>
          <w:color w:val="auto"/>
        </w:rPr>
        <w:t xml:space="preserve"> Utilize stock ownership guidelines to align our NEOs with long-  term stockholder interests</w:t>
      </w:r>
    </w:p>
    <w:p>
      <w:pPr>
        <w:spacing w:after="0" w:line="107" w:lineRule="exact"/>
        <w:rPr>
          <w:sz w:val="20"/>
          <w:szCs w:val="20"/>
          <w:color w:val="auto"/>
        </w:rPr>
      </w:pPr>
    </w:p>
    <w:p>
      <w:pPr>
        <w:ind w:left="560" w:right="540" w:hanging="296"/>
        <w:spacing w:after="0" w:line="285" w:lineRule="auto"/>
        <w:tabs>
          <w:tab w:leader="none" w:pos="540" w:val="left"/>
        </w:tabs>
        <w:rPr>
          <w:sz w:val="20"/>
          <w:szCs w:val="20"/>
          <w:color w:val="auto"/>
        </w:rPr>
      </w:pPr>
      <w:r>
        <w:rPr>
          <w:sz w:val="1"/>
          <w:szCs w:val="1"/>
          <w:color w:val="auto"/>
        </w:rPr>
        <w:drawing>
          <wp:inline distT="0" distB="0" distL="0" distR="0">
            <wp:extent cx="76835" cy="9461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4"/>
          <w:szCs w:val="14"/>
          <w:color w:val="auto"/>
        </w:rPr>
        <w:t> </w:t>
        <w:tab/>
        <w:t>Administer and enforce a policy to recover erroneously awarded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5966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WHAT WE DO NOT DO</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Guarantee bonuses to our executive officers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Provide tax gross-ups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Permit hedging or short sales of our common stock</w:t>
      </w:r>
    </w:p>
    <w:p>
      <w:pPr>
        <w:spacing w:after="0" w:line="217" w:lineRule="exact"/>
        <w:rPr>
          <w:sz w:val="20"/>
          <w:szCs w:val="20"/>
          <w:color w:val="auto"/>
        </w:rPr>
      </w:pPr>
    </w:p>
    <w:p>
      <w:pPr>
        <w:ind w:right="400"/>
        <w:spacing w:after="0" w:line="285" w:lineRule="auto"/>
        <w:rPr>
          <w:sz w:val="20"/>
          <w:szCs w:val="20"/>
          <w:color w:val="auto"/>
        </w:rPr>
      </w:pPr>
      <w:r>
        <w:rPr>
          <w:rFonts w:ascii="Arial" w:cs="Arial" w:eastAsia="Arial" w:hAnsi="Arial"/>
          <w:sz w:val="14"/>
          <w:szCs w:val="14"/>
          <w:color w:val="auto"/>
        </w:rPr>
        <w:t>Provide single trigger equity acceleration upon a change in control</w:t>
      </w:r>
    </w:p>
    <w:p>
      <w:pPr>
        <w:spacing w:after="0" w:line="77"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Maintain compensation plans that encourage excessive risk taking</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Provide significant perquisites or personal benefits</w:t>
      </w:r>
    </w:p>
    <w:p>
      <w:pPr>
        <w:spacing w:after="0" w:line="1258" w:lineRule="exact"/>
        <w:rPr>
          <w:sz w:val="20"/>
          <w:szCs w:val="20"/>
          <w:color w:val="auto"/>
        </w:rPr>
      </w:pPr>
    </w:p>
    <w:p>
      <w:pPr>
        <w:sectPr>
          <w:pgSz w:w="11900" w:h="16838" w:orient="portrait"/>
          <w:cols w:equalWidth="0" w:num="2">
            <w:col w:w="4580" w:space="660"/>
            <w:col w:w="4140"/>
          </w:cols>
          <w:pgMar w:left="1240" w:top="114" w:right="1279" w:bottom="1440" w:gutter="0" w:footer="0" w:header="0"/>
          <w:type w:val="continuous"/>
        </w:sectPr>
      </w:pPr>
    </w:p>
    <w:p>
      <w:pPr>
        <w:spacing w:after="0" w:line="88" w:lineRule="exact"/>
        <w:rPr>
          <w:sz w:val="20"/>
          <w:szCs w:val="20"/>
          <w:color w:val="auto"/>
        </w:rPr>
      </w:pPr>
    </w:p>
    <w:p>
      <w:pPr>
        <w:ind w:right="3180"/>
        <w:spacing w:after="0" w:line="449" w:lineRule="auto"/>
        <w:rPr>
          <w:sz w:val="20"/>
          <w:szCs w:val="20"/>
          <w:color w:val="auto"/>
        </w:rPr>
      </w:pPr>
      <w:r>
        <w:rPr>
          <w:rFonts w:ascii="Arial" w:cs="Arial" w:eastAsia="Arial" w:hAnsi="Arial"/>
          <w:sz w:val="16"/>
          <w:szCs w:val="16"/>
          <w:color w:val="auto"/>
        </w:rPr>
        <w:t>COMPENSATION GOVERNANCE AND THE COMPENSATION-SETTING PROCESS ROLE OF OUR PEOPLE &amp; COMPENSATION COMMITTEE</w:t>
      </w:r>
    </w:p>
    <w:p>
      <w:pPr>
        <w:ind w:right="40"/>
        <w:spacing w:after="0" w:line="250" w:lineRule="auto"/>
        <w:rPr>
          <w:sz w:val="20"/>
          <w:szCs w:val="20"/>
          <w:color w:val="auto"/>
        </w:rPr>
      </w:pPr>
      <w:r>
        <w:rPr>
          <w:rFonts w:ascii="Arial" w:cs="Arial" w:eastAsia="Arial" w:hAnsi="Arial"/>
          <w:sz w:val="16"/>
          <w:szCs w:val="16"/>
          <w:color w:val="auto"/>
        </w:rPr>
        <w:t>Our executive compensation program is designed and administered under the direction and control of our People &amp; Compensation Committee, which is made up solely of independent directors. Our People &amp; Compensation Committee reviews and approves our overall executive compensation program, policies, practices and metrics and sets the compensation of our executive officers, including our NEOs, as well as certain other members of our senior management team. In fulfilling this responsibility, our People &amp; Compensation Committee reviews the performance of each NEO at least once each year. Our CEO, as the manager of the executive team, assesses the executives’ contributions to the corporate goals and makes a recommendation to our People &amp; Compensation Committee with respect to any increase in salary, cash bonus and annual equity awards for each member of the executive team, other than himself. Our People &amp; Compensation Committee meets with our CEO to evaluate, discuss and modify or approve these recommendations. Our People &amp; Compensation Committee also conducts a similar evaluation of our CEO’s contributions when our CEO is not present, and determines any increase in salary, cash bonus and annual equity award for him.</w:t>
      </w:r>
    </w:p>
    <w:p>
      <w:pPr>
        <w:spacing w:after="0" w:line="13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People &amp; Compensation Committee meets regularly throughout the year to review our executive compensation program with the goal of ensuring it is consistent with our short-term and long-term goals given the dynamic nature of our business and the market in which we compete for executive talent.</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People &amp; Compensation Committee received and reviewed compensation summaries for each NEO at the beginning of Fiscal 2023. The information in these summaries was used by our People &amp; Compensation Committee to assist with analyzing existing compensation and any proposed changes in compensation for each NEO. The summaries included information regarding the accumulated value of unvested equity ownership, how much is unvested, and the amount of potential value earnable under various share price scenarios. The summaries help our People &amp; Compensation Committee to track changes in an NEO’s compensation from year to year and to remain aware of the compensation historically paid to each NEO. In addition to the information and analyses supplied to our People &amp; Compensation Committee as described above and in the peer group segment below, members of our senior management team support our People &amp; Compensation Committee in its work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CONSULTANT</w:t>
      </w:r>
    </w:p>
    <w:p>
      <w:pPr>
        <w:spacing w:after="0" w:line="18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Our People &amp; Compensation Committee has the authority under its charter to directly retain, review fees for, and terminate advisors and consultants as it deems necessary to assist in the fulfillment of its responsibilities. For purposes of its Fiscal 2023 executive compensation decisions, our People &amp; Compensation Committee engaged ClearBridge Compensation Group LLC (ClearBridge) as its independent compensation consultant (the compensation consultant). ClearBridge has served as the compensation consultant to our People &amp; Compensation Committee since the second half of 2022. Our People &amp; Compensation Committee’s compensation consultant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30 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provides information and analyses that serve as the basis for setting executive and director compensation levels and advises our People &amp; Compensation Committee on compensation-related decisions. The compensation consultant advises our People &amp; Compensation Committee on the structure of executive and director compensation programs, including the design of incentive plans, the forms and mix of compensation, allocation of equity compensation, regulatory requirements and other topics relevant to executive and director compensation. Our People &amp; Compensation Committee reviews the independence of its compensation consultant annually and found no conflict of interest with ClearBridge during its 2023 independence review.</w:t>
      </w:r>
    </w:p>
    <w:p>
      <w:pPr>
        <w:spacing w:after="0" w:line="1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People &amp; Compensation Committee’s compensation consultant did not provide any additional services beyond the compensation-related items highlighted above during Fiscal 2023. Our People &amp; Compensation Committee has adopted protocols governing if and when its compensation consultant’s advice and recommendations can be shared with management, recognizing that, in advising our People &amp; Compensation Committee, it is necessary for the compensation consultant to interact with management to gather information. Our People &amp; Compensation Committee also determines the appropriate forum for receiving recommendations from its compensation consultant. Where appropriate, our People &amp; Compensation Committee invites management to provide context for the recommendations. In other cases, our People &amp; Compensation Committee receives recommendations from its compensation consultant in executive sessions where management is not present. At such times as it deems necessary, our People &amp; Compensation Committee also engages directly with its compensation consultant between formal meetings of the People &amp; Compensation Committee. This approach further protects our People &amp; Compensation Committee’s ability to receive objective advice from its compensation consultant and establishes a forum for independent decisions about executive pay.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PEER GROUP</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People &amp; Compensation Committee reviews market compensation levels at least annually to determine the placement of our executive compensation relative to the competitive market for executive talent. This assessment includes evaluation of base salary, and short- and long-term incentive opportunities against executive compensation reported by a peer group of companies selected by our People &amp; Compensation Committee as comparable to Flywire in size and related industry, among other criteria. Our People</w:t>
      </w:r>
    </w:p>
    <w:p>
      <w:pPr>
        <w:spacing w:after="0" w:line="2" w:lineRule="exact"/>
        <w:rPr>
          <w:sz w:val="20"/>
          <w:szCs w:val="20"/>
          <w:color w:val="auto"/>
        </w:rPr>
      </w:pPr>
    </w:p>
    <w:p>
      <w:pPr>
        <w:ind w:right="80" w:firstLine="6"/>
        <w:spacing w:after="0" w:line="256" w:lineRule="auto"/>
        <w:tabs>
          <w:tab w:leader="none" w:pos="153"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Compensation Committee also considers market compensation information collected from survey sources. The compensation consultant supports our People &amp; Compensation Committee in the selection of the peer group of companies and also provides our People &amp; Compensation Committee with analyses of each peer company’s executive compensation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July 2022, our People &amp; Compensation Committee reviewed the changes suggested by its compensation consultant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group of peer companies which the committee had used in making prior executive compensation decisions. Criteria considered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determine the recommended changes to the peer company group included industry, company size (i.e., revenue and market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as well as companies with a meaningful portion of business both in the U.S. and abroad, and duration of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 as a public company. Based on such factors, it was recommended that AvidXchange, EngageSmart, EVO Payments,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Expensify, Payoneer Global, Remitly Global and Lightspeed Commerce be added to the compensation peer group and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Anaplan, BigCommerce, Bill.com, C3.ai, Duck Creek Technologies, Everbridge, Jamf Holding, ON24, SailPoint Technologies,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Sprout Social and Upstart Holdings be removed because the company did not meet one or more of the criteria discussed above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was no longer considered to be a meaningful comparison point or the company ceased to be publicly traded. Following this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review, our People &amp; Compensation Committee selected the following companies as our peer group for reference purposes when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making executive compensation decisions for Fiscal 2023: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140" w:type="dxa"/>
            <w:vAlign w:val="bottom"/>
            <w:shd w:val="clear" w:color="auto" w:fill="E5EBF7"/>
          </w:tcPr>
          <w:p>
            <w:pPr>
              <w:ind w:left="180"/>
              <w:spacing w:after="0"/>
              <w:rPr>
                <w:sz w:val="20"/>
                <w:szCs w:val="20"/>
                <w:color w:val="auto"/>
              </w:rPr>
            </w:pPr>
            <w:r>
              <w:rPr>
                <w:rFonts w:ascii="Arial" w:cs="Arial" w:eastAsia="Arial" w:hAnsi="Arial"/>
                <w:sz w:val="14"/>
                <w:szCs w:val="14"/>
                <w:color w:val="auto"/>
              </w:rPr>
              <w:t>Asana</w:t>
            </w:r>
          </w:p>
        </w:tc>
        <w:tc>
          <w:tcPr>
            <w:tcW w:w="2500" w:type="dxa"/>
            <w:vAlign w:val="bottom"/>
            <w:shd w:val="clear" w:color="auto" w:fill="E5EBF7"/>
          </w:tcPr>
          <w:p>
            <w:pPr>
              <w:ind w:left="360"/>
              <w:spacing w:after="0"/>
              <w:rPr>
                <w:sz w:val="20"/>
                <w:szCs w:val="20"/>
                <w:color w:val="auto"/>
              </w:rPr>
            </w:pPr>
            <w:r>
              <w:rPr>
                <w:rFonts w:ascii="Arial" w:cs="Arial" w:eastAsia="Arial" w:hAnsi="Arial"/>
                <w:sz w:val="14"/>
                <w:szCs w:val="14"/>
                <w:color w:val="auto"/>
              </w:rPr>
              <w:t>EngageSmart (acquired and</w:t>
            </w:r>
          </w:p>
        </w:tc>
        <w:tc>
          <w:tcPr>
            <w:tcW w:w="2100" w:type="dxa"/>
            <w:vAlign w:val="bottom"/>
            <w:shd w:val="clear" w:color="auto" w:fill="E5EBF7"/>
          </w:tcPr>
          <w:p>
            <w:pPr>
              <w:ind w:left="200"/>
              <w:spacing w:after="0"/>
              <w:rPr>
                <w:sz w:val="20"/>
                <w:szCs w:val="20"/>
                <w:color w:val="auto"/>
              </w:rPr>
            </w:pPr>
            <w:r>
              <w:rPr>
                <w:rFonts w:ascii="Arial" w:cs="Arial" w:eastAsia="Arial" w:hAnsi="Arial"/>
                <w:sz w:val="14"/>
                <w:szCs w:val="14"/>
                <w:color w:val="auto"/>
              </w:rPr>
              <w:t>Lightspeed Commerce</w:t>
            </w:r>
          </w:p>
        </w:tc>
        <w:tc>
          <w:tcPr>
            <w:tcW w:w="2660" w:type="dxa"/>
            <w:vAlign w:val="bottom"/>
            <w:shd w:val="clear" w:color="auto" w:fill="E5EBF7"/>
          </w:tcPr>
          <w:p>
            <w:pPr>
              <w:ind w:left="440"/>
              <w:spacing w:after="0"/>
              <w:rPr>
                <w:sz w:val="20"/>
                <w:szCs w:val="20"/>
                <w:color w:val="auto"/>
              </w:rPr>
            </w:pPr>
            <w:r>
              <w:rPr>
                <w:rFonts w:ascii="Arial" w:cs="Arial" w:eastAsia="Arial" w:hAnsi="Arial"/>
                <w:sz w:val="14"/>
                <w:szCs w:val="14"/>
                <w:color w:val="auto"/>
              </w:rPr>
              <w:t>Payoneer Global</w:t>
            </w:r>
          </w:p>
        </w:tc>
      </w:tr>
      <w:tr>
        <w:trPr>
          <w:trHeight w:val="190"/>
        </w:trPr>
        <w:tc>
          <w:tcPr>
            <w:tcW w:w="2140" w:type="dxa"/>
            <w:vAlign w:val="bottom"/>
            <w:shd w:val="clear" w:color="auto" w:fill="E5EBF7"/>
          </w:tcPr>
          <w:p>
            <w:pPr>
              <w:spacing w:after="0"/>
              <w:rPr>
                <w:sz w:val="16"/>
                <w:szCs w:val="16"/>
                <w:color w:val="auto"/>
              </w:rPr>
            </w:pPr>
          </w:p>
        </w:tc>
        <w:tc>
          <w:tcPr>
            <w:tcW w:w="2500" w:type="dxa"/>
            <w:vAlign w:val="bottom"/>
            <w:shd w:val="clear" w:color="auto" w:fill="E5EBF7"/>
          </w:tcPr>
          <w:p>
            <w:pPr>
              <w:ind w:left="360"/>
              <w:spacing w:after="0"/>
              <w:rPr>
                <w:sz w:val="20"/>
                <w:szCs w:val="20"/>
                <w:color w:val="auto"/>
              </w:rPr>
            </w:pPr>
            <w:r>
              <w:rPr>
                <w:rFonts w:ascii="Arial" w:cs="Arial" w:eastAsia="Arial" w:hAnsi="Arial"/>
                <w:sz w:val="14"/>
                <w:szCs w:val="14"/>
                <w:color w:val="auto"/>
              </w:rPr>
              <w:t>taken private in January 2024)</w:t>
            </w:r>
          </w:p>
        </w:tc>
        <w:tc>
          <w:tcPr>
            <w:tcW w:w="2100" w:type="dxa"/>
            <w:vAlign w:val="bottom"/>
            <w:shd w:val="clear" w:color="auto" w:fill="E5EBF7"/>
          </w:tcPr>
          <w:p>
            <w:pPr>
              <w:spacing w:after="0"/>
              <w:rPr>
                <w:sz w:val="16"/>
                <w:szCs w:val="16"/>
                <w:color w:val="auto"/>
              </w:rPr>
            </w:pPr>
          </w:p>
        </w:tc>
        <w:tc>
          <w:tcPr>
            <w:tcW w:w="2660" w:type="dxa"/>
            <w:vAlign w:val="bottom"/>
            <w:shd w:val="clear" w:color="auto" w:fill="E5EBF7"/>
          </w:tcPr>
          <w:p>
            <w:pPr>
              <w:spacing w:after="0"/>
              <w:rPr>
                <w:sz w:val="16"/>
                <w:szCs w:val="16"/>
                <w:color w:val="auto"/>
              </w:rPr>
            </w:pPr>
          </w:p>
        </w:tc>
      </w:tr>
      <w:tr>
        <w:trPr>
          <w:trHeight w:val="89"/>
        </w:trPr>
        <w:tc>
          <w:tcPr>
            <w:tcW w:w="2140" w:type="dxa"/>
            <w:vAlign w:val="bottom"/>
            <w:shd w:val="clear" w:color="auto" w:fill="E5EBF7"/>
          </w:tcPr>
          <w:p>
            <w:pPr>
              <w:spacing w:after="0"/>
              <w:rPr>
                <w:sz w:val="7"/>
                <w:szCs w:val="7"/>
                <w:color w:val="auto"/>
              </w:rPr>
            </w:pPr>
          </w:p>
        </w:tc>
        <w:tc>
          <w:tcPr>
            <w:tcW w:w="2500" w:type="dxa"/>
            <w:vAlign w:val="bottom"/>
            <w:shd w:val="clear" w:color="auto" w:fill="E5EBF7"/>
          </w:tcPr>
          <w:p>
            <w:pPr>
              <w:spacing w:after="0"/>
              <w:rPr>
                <w:sz w:val="7"/>
                <w:szCs w:val="7"/>
                <w:color w:val="auto"/>
              </w:rPr>
            </w:pPr>
          </w:p>
        </w:tc>
        <w:tc>
          <w:tcPr>
            <w:tcW w:w="2100" w:type="dxa"/>
            <w:vAlign w:val="bottom"/>
            <w:shd w:val="clear" w:color="auto" w:fill="E5EBF7"/>
          </w:tcPr>
          <w:p>
            <w:pPr>
              <w:spacing w:after="0"/>
              <w:rPr>
                <w:sz w:val="7"/>
                <w:szCs w:val="7"/>
                <w:color w:val="auto"/>
              </w:rPr>
            </w:pPr>
          </w:p>
        </w:tc>
        <w:tc>
          <w:tcPr>
            <w:tcW w:w="2660" w:type="dxa"/>
            <w:vAlign w:val="bottom"/>
            <w:shd w:val="clear" w:color="auto" w:fill="E5EBF7"/>
          </w:tcPr>
          <w:p>
            <w:pPr>
              <w:spacing w:after="0"/>
              <w:rPr>
                <w:sz w:val="7"/>
                <w:szCs w:val="7"/>
                <w:color w:val="auto"/>
              </w:rPr>
            </w:pPr>
          </w:p>
        </w:tc>
      </w:tr>
      <w:tr>
        <w:trPr>
          <w:trHeight w:val="261"/>
        </w:trPr>
        <w:tc>
          <w:tcPr>
            <w:tcW w:w="2140" w:type="dxa"/>
            <w:vAlign w:val="bottom"/>
          </w:tcPr>
          <w:p>
            <w:pPr>
              <w:ind w:left="180"/>
              <w:spacing w:after="0"/>
              <w:rPr>
                <w:sz w:val="20"/>
                <w:szCs w:val="20"/>
                <w:color w:val="auto"/>
              </w:rPr>
            </w:pPr>
            <w:r>
              <w:rPr>
                <w:rFonts w:ascii="Arial" w:cs="Arial" w:eastAsia="Arial" w:hAnsi="Arial"/>
                <w:sz w:val="14"/>
                <w:szCs w:val="14"/>
                <w:color w:val="auto"/>
              </w:rPr>
              <w:t>AvidXchange</w:t>
            </w:r>
          </w:p>
        </w:tc>
        <w:tc>
          <w:tcPr>
            <w:tcW w:w="2500" w:type="dxa"/>
            <w:vAlign w:val="bottom"/>
          </w:tcPr>
          <w:p>
            <w:pPr>
              <w:ind w:left="360"/>
              <w:spacing w:after="0"/>
              <w:rPr>
                <w:sz w:val="20"/>
                <w:szCs w:val="20"/>
                <w:color w:val="auto"/>
              </w:rPr>
            </w:pPr>
            <w:r>
              <w:rPr>
                <w:rFonts w:ascii="Arial" w:cs="Arial" w:eastAsia="Arial" w:hAnsi="Arial"/>
                <w:sz w:val="14"/>
                <w:szCs w:val="14"/>
                <w:color w:val="auto"/>
              </w:rPr>
              <w:t>EVO Payments (acquired in</w:t>
            </w:r>
          </w:p>
        </w:tc>
        <w:tc>
          <w:tcPr>
            <w:tcW w:w="2100" w:type="dxa"/>
            <w:vAlign w:val="bottom"/>
          </w:tcPr>
          <w:p>
            <w:pPr>
              <w:ind w:left="200"/>
              <w:spacing w:after="0"/>
              <w:rPr>
                <w:sz w:val="20"/>
                <w:szCs w:val="20"/>
                <w:color w:val="auto"/>
              </w:rPr>
            </w:pPr>
            <w:r>
              <w:rPr>
                <w:rFonts w:ascii="Arial" w:cs="Arial" w:eastAsia="Arial" w:hAnsi="Arial"/>
                <w:sz w:val="14"/>
                <w:szCs w:val="14"/>
                <w:color w:val="auto"/>
              </w:rPr>
              <w:t>nCino</w:t>
            </w:r>
          </w:p>
        </w:tc>
        <w:tc>
          <w:tcPr>
            <w:tcW w:w="2660" w:type="dxa"/>
            <w:vAlign w:val="bottom"/>
          </w:tcPr>
          <w:p>
            <w:pPr>
              <w:ind w:left="440"/>
              <w:spacing w:after="0"/>
              <w:rPr>
                <w:sz w:val="20"/>
                <w:szCs w:val="20"/>
                <w:color w:val="auto"/>
              </w:rPr>
            </w:pPr>
            <w:r>
              <w:rPr>
                <w:rFonts w:ascii="Arial" w:cs="Arial" w:eastAsia="Arial" w:hAnsi="Arial"/>
                <w:sz w:val="14"/>
                <w:szCs w:val="14"/>
                <w:color w:val="auto"/>
              </w:rPr>
              <w:t>Phreesia</w:t>
            </w:r>
          </w:p>
        </w:tc>
      </w:tr>
      <w:tr>
        <w:trPr>
          <w:trHeight w:val="190"/>
        </w:trPr>
        <w:tc>
          <w:tcPr>
            <w:tcW w:w="2140" w:type="dxa"/>
            <w:vAlign w:val="bottom"/>
          </w:tcPr>
          <w:p>
            <w:pPr>
              <w:spacing w:after="0"/>
              <w:rPr>
                <w:sz w:val="16"/>
                <w:szCs w:val="16"/>
                <w:color w:val="auto"/>
              </w:rPr>
            </w:pPr>
          </w:p>
        </w:tc>
        <w:tc>
          <w:tcPr>
            <w:tcW w:w="2500" w:type="dxa"/>
            <w:vAlign w:val="bottom"/>
          </w:tcPr>
          <w:p>
            <w:pPr>
              <w:ind w:left="360"/>
              <w:spacing w:after="0"/>
              <w:rPr>
                <w:sz w:val="20"/>
                <w:szCs w:val="20"/>
                <w:color w:val="auto"/>
              </w:rPr>
            </w:pPr>
            <w:r>
              <w:rPr>
                <w:rFonts w:ascii="Arial" w:cs="Arial" w:eastAsia="Arial" w:hAnsi="Arial"/>
                <w:sz w:val="14"/>
                <w:szCs w:val="14"/>
                <w:color w:val="auto"/>
              </w:rPr>
              <w:t>March 2023)</w:t>
            </w:r>
          </w:p>
        </w:tc>
        <w:tc>
          <w:tcPr>
            <w:tcW w:w="210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89"/>
        </w:trPr>
        <w:tc>
          <w:tcPr>
            <w:tcW w:w="21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660" w:type="dxa"/>
            <w:vAlign w:val="bottom"/>
          </w:tcPr>
          <w:p>
            <w:pPr>
              <w:spacing w:after="0"/>
              <w:rPr>
                <w:sz w:val="7"/>
                <w:szCs w:val="7"/>
                <w:color w:val="auto"/>
              </w:rPr>
            </w:pPr>
          </w:p>
        </w:tc>
      </w:tr>
      <w:tr>
        <w:trPr>
          <w:trHeight w:val="289"/>
        </w:trPr>
        <w:tc>
          <w:tcPr>
            <w:tcW w:w="2140" w:type="dxa"/>
            <w:vAlign w:val="bottom"/>
            <w:shd w:val="clear" w:color="auto" w:fill="E5EBF7"/>
          </w:tcPr>
          <w:p>
            <w:pPr>
              <w:ind w:left="180"/>
              <w:spacing w:after="0"/>
              <w:rPr>
                <w:sz w:val="20"/>
                <w:szCs w:val="20"/>
                <w:color w:val="auto"/>
              </w:rPr>
            </w:pPr>
            <w:r>
              <w:rPr>
                <w:rFonts w:ascii="Arial" w:cs="Arial" w:eastAsia="Arial" w:hAnsi="Arial"/>
                <w:sz w:val="14"/>
                <w:szCs w:val="14"/>
                <w:color w:val="auto"/>
              </w:rPr>
              <w:t>BTRS Holdings (Billtrust)</w:t>
            </w:r>
          </w:p>
        </w:tc>
        <w:tc>
          <w:tcPr>
            <w:tcW w:w="2500" w:type="dxa"/>
            <w:vAlign w:val="bottom"/>
            <w:shd w:val="clear" w:color="auto" w:fill="E5EBF7"/>
          </w:tcPr>
          <w:p>
            <w:pPr>
              <w:ind w:left="360"/>
              <w:spacing w:after="0"/>
              <w:rPr>
                <w:sz w:val="20"/>
                <w:szCs w:val="20"/>
                <w:color w:val="auto"/>
              </w:rPr>
            </w:pPr>
            <w:r>
              <w:rPr>
                <w:rFonts w:ascii="Arial" w:cs="Arial" w:eastAsia="Arial" w:hAnsi="Arial"/>
                <w:sz w:val="14"/>
                <w:szCs w:val="14"/>
                <w:color w:val="auto"/>
              </w:rPr>
              <w:t>Expensify</w:t>
            </w:r>
          </w:p>
        </w:tc>
        <w:tc>
          <w:tcPr>
            <w:tcW w:w="2100" w:type="dxa"/>
            <w:vAlign w:val="bottom"/>
            <w:shd w:val="clear" w:color="auto" w:fill="E5EBF7"/>
          </w:tcPr>
          <w:p>
            <w:pPr>
              <w:ind w:left="200"/>
              <w:spacing w:after="0"/>
              <w:rPr>
                <w:sz w:val="20"/>
                <w:szCs w:val="20"/>
                <w:color w:val="auto"/>
              </w:rPr>
            </w:pPr>
            <w:r>
              <w:rPr>
                <w:rFonts w:ascii="Arial" w:cs="Arial" w:eastAsia="Arial" w:hAnsi="Arial"/>
                <w:sz w:val="14"/>
                <w:szCs w:val="14"/>
                <w:color w:val="auto"/>
              </w:rPr>
              <w:t>Open Lending</w:t>
            </w:r>
          </w:p>
        </w:tc>
        <w:tc>
          <w:tcPr>
            <w:tcW w:w="2660" w:type="dxa"/>
            <w:vAlign w:val="bottom"/>
            <w:shd w:val="clear" w:color="auto" w:fill="E5EBF7"/>
          </w:tcPr>
          <w:p>
            <w:pPr>
              <w:ind w:left="440"/>
              <w:spacing w:after="0"/>
              <w:rPr>
                <w:sz w:val="20"/>
                <w:szCs w:val="20"/>
                <w:color w:val="auto"/>
              </w:rPr>
            </w:pPr>
            <w:r>
              <w:rPr>
                <w:rFonts w:ascii="Arial" w:cs="Arial" w:eastAsia="Arial" w:hAnsi="Arial"/>
                <w:sz w:val="14"/>
                <w:szCs w:val="14"/>
                <w:color w:val="auto"/>
              </w:rPr>
              <w:t>Remitly Global</w:t>
            </w:r>
          </w:p>
        </w:tc>
      </w:tr>
      <w:tr>
        <w:trPr>
          <w:trHeight w:val="89"/>
        </w:trPr>
        <w:tc>
          <w:tcPr>
            <w:tcW w:w="2140" w:type="dxa"/>
            <w:vAlign w:val="bottom"/>
            <w:shd w:val="clear" w:color="auto" w:fill="E5EBF7"/>
          </w:tcPr>
          <w:p>
            <w:pPr>
              <w:spacing w:after="0"/>
              <w:rPr>
                <w:sz w:val="7"/>
                <w:szCs w:val="7"/>
                <w:color w:val="auto"/>
              </w:rPr>
            </w:pPr>
          </w:p>
        </w:tc>
        <w:tc>
          <w:tcPr>
            <w:tcW w:w="2500" w:type="dxa"/>
            <w:vAlign w:val="bottom"/>
            <w:shd w:val="clear" w:color="auto" w:fill="E5EBF7"/>
          </w:tcPr>
          <w:p>
            <w:pPr>
              <w:spacing w:after="0"/>
              <w:rPr>
                <w:sz w:val="7"/>
                <w:szCs w:val="7"/>
                <w:color w:val="auto"/>
              </w:rPr>
            </w:pPr>
          </w:p>
        </w:tc>
        <w:tc>
          <w:tcPr>
            <w:tcW w:w="2100" w:type="dxa"/>
            <w:vAlign w:val="bottom"/>
            <w:shd w:val="clear" w:color="auto" w:fill="E5EBF7"/>
          </w:tcPr>
          <w:p>
            <w:pPr>
              <w:spacing w:after="0"/>
              <w:rPr>
                <w:sz w:val="7"/>
                <w:szCs w:val="7"/>
                <w:color w:val="auto"/>
              </w:rPr>
            </w:pPr>
          </w:p>
        </w:tc>
        <w:tc>
          <w:tcPr>
            <w:tcW w:w="2660" w:type="dxa"/>
            <w:vAlign w:val="bottom"/>
            <w:shd w:val="clear" w:color="auto" w:fill="E5EBF7"/>
          </w:tcPr>
          <w:p>
            <w:pPr>
              <w:spacing w:after="0"/>
              <w:rPr>
                <w:sz w:val="7"/>
                <w:szCs w:val="7"/>
                <w:color w:val="auto"/>
              </w:rPr>
            </w:pPr>
          </w:p>
        </w:tc>
      </w:tr>
      <w:tr>
        <w:trPr>
          <w:trHeight w:val="289"/>
        </w:trPr>
        <w:tc>
          <w:tcPr>
            <w:tcW w:w="2140" w:type="dxa"/>
            <w:vAlign w:val="bottom"/>
          </w:tcPr>
          <w:p>
            <w:pPr>
              <w:ind w:left="180"/>
              <w:spacing w:after="0"/>
              <w:rPr>
                <w:sz w:val="20"/>
                <w:szCs w:val="20"/>
                <w:color w:val="auto"/>
              </w:rPr>
            </w:pPr>
            <w:r>
              <w:rPr>
                <w:rFonts w:ascii="Arial" w:cs="Arial" w:eastAsia="Arial" w:hAnsi="Arial"/>
                <w:sz w:val="14"/>
                <w:szCs w:val="14"/>
                <w:color w:val="auto"/>
              </w:rPr>
              <w:t>Domo</w:t>
            </w:r>
          </w:p>
        </w:tc>
        <w:tc>
          <w:tcPr>
            <w:tcW w:w="2500" w:type="dxa"/>
            <w:vAlign w:val="bottom"/>
          </w:tcPr>
          <w:p>
            <w:pPr>
              <w:ind w:left="360"/>
              <w:spacing w:after="0"/>
              <w:rPr>
                <w:sz w:val="20"/>
                <w:szCs w:val="20"/>
                <w:color w:val="auto"/>
              </w:rPr>
            </w:pPr>
            <w:r>
              <w:rPr>
                <w:rFonts w:ascii="Arial" w:cs="Arial" w:eastAsia="Arial" w:hAnsi="Arial"/>
                <w:sz w:val="14"/>
                <w:szCs w:val="14"/>
                <w:color w:val="auto"/>
              </w:rPr>
              <w:t>JFrog</w:t>
            </w:r>
          </w:p>
        </w:tc>
        <w:tc>
          <w:tcPr>
            <w:tcW w:w="2100" w:type="dxa"/>
            <w:vAlign w:val="bottom"/>
          </w:tcPr>
          <w:p>
            <w:pPr>
              <w:ind w:left="200"/>
              <w:spacing w:after="0"/>
              <w:rPr>
                <w:sz w:val="20"/>
                <w:szCs w:val="20"/>
                <w:color w:val="auto"/>
              </w:rPr>
            </w:pPr>
            <w:r>
              <w:rPr>
                <w:rFonts w:ascii="Arial" w:cs="Arial" w:eastAsia="Arial" w:hAnsi="Arial"/>
                <w:sz w:val="14"/>
                <w:szCs w:val="14"/>
                <w:color w:val="auto"/>
              </w:rPr>
              <w:t>Pager Duty</w:t>
            </w:r>
          </w:p>
        </w:tc>
        <w:tc>
          <w:tcPr>
            <w:tcW w:w="2660" w:type="dxa"/>
            <w:vAlign w:val="bottom"/>
          </w:tcPr>
          <w:p>
            <w:pPr>
              <w:ind w:left="440"/>
              <w:spacing w:after="0"/>
              <w:rPr>
                <w:sz w:val="20"/>
                <w:szCs w:val="20"/>
                <w:color w:val="auto"/>
              </w:rPr>
            </w:pPr>
            <w:r>
              <w:rPr>
                <w:rFonts w:ascii="Arial" w:cs="Arial" w:eastAsia="Arial" w:hAnsi="Arial"/>
                <w:sz w:val="14"/>
                <w:szCs w:val="14"/>
                <w:color w:val="auto"/>
              </w:rPr>
              <w:t>Repay Holdings</w:t>
            </w:r>
          </w:p>
        </w:tc>
      </w:tr>
      <w:tr>
        <w:trPr>
          <w:trHeight w:val="35"/>
        </w:trPr>
        <w:tc>
          <w:tcPr>
            <w:tcW w:w="2140" w:type="dxa"/>
            <w:vAlign w:val="bottom"/>
            <w:tcBorders>
              <w:bottom w:val="single" w:sz="8" w:color="007FC4"/>
            </w:tcBorders>
          </w:tcPr>
          <w:p>
            <w:pPr>
              <w:spacing w:after="0"/>
              <w:rPr>
                <w:sz w:val="3"/>
                <w:szCs w:val="3"/>
                <w:color w:val="auto"/>
              </w:rPr>
            </w:pPr>
          </w:p>
        </w:tc>
        <w:tc>
          <w:tcPr>
            <w:tcW w:w="2500" w:type="dxa"/>
            <w:vAlign w:val="bottom"/>
            <w:tcBorders>
              <w:bottom w:val="single" w:sz="8" w:color="007FC4"/>
            </w:tcBorders>
          </w:tcPr>
          <w:p>
            <w:pPr>
              <w:spacing w:after="0"/>
              <w:rPr>
                <w:sz w:val="3"/>
                <w:szCs w:val="3"/>
                <w:color w:val="auto"/>
              </w:rPr>
            </w:pPr>
          </w:p>
        </w:tc>
        <w:tc>
          <w:tcPr>
            <w:tcW w:w="2100" w:type="dxa"/>
            <w:vAlign w:val="bottom"/>
            <w:tcBorders>
              <w:bottom w:val="single" w:sz="8" w:color="007FC4"/>
            </w:tcBorders>
          </w:tcPr>
          <w:p>
            <w:pPr>
              <w:spacing w:after="0"/>
              <w:rPr>
                <w:sz w:val="3"/>
                <w:szCs w:val="3"/>
                <w:color w:val="auto"/>
              </w:rPr>
            </w:pPr>
          </w:p>
        </w:tc>
        <w:tc>
          <w:tcPr>
            <w:tcW w:w="2660" w:type="dxa"/>
            <w:vAlign w:val="bottom"/>
            <w:tcBorders>
              <w:bottom w:val="single" w:sz="8" w:color="007FC4"/>
            </w:tcBorders>
          </w:tcPr>
          <w:p>
            <w:pPr>
              <w:spacing w:after="0"/>
              <w:rPr>
                <w:sz w:val="3"/>
                <w:szCs w:val="3"/>
                <w:color w:val="auto"/>
              </w:rPr>
            </w:pPr>
          </w:p>
        </w:tc>
      </w:tr>
    </w:tbl>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When making compensation decisions for our NEOs, our People &amp; Compensation Committee also reviews published survey and peer group compensation data. Competitive market practices are an important factor in our People &amp; Compensation Committee’s decision-making process, although its decisions are not entirely based upon market practices. Rather, our People &amp; Compensation Committee reviews and considers the peer group and other survey data to obtain a general understanding of current competitive compensation practices. Additionally, reviewing the peer group and survey compensation data enables our People &amp; Compensation Committee to accomplish our goal of paying our NEOs what is appropriate and necessary to attract and retain qualified and committed executives while incentivizing achievement of our corporate goals and conserving cash and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PRINCIPAL ELEMENTS OF COMPENSATION</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executive compensation program has the following principal elements: base salary, annual short-term cash incentive bonuses, long-term incentive awards, severance and change in control benefits and other benefits. For base salary, annual cash bonuses and long-term incentive awards for our executive officers, our Company’s compensation philosophy generally is to evaluate individual experience and contribution, as well as corporate performance, and then consider competitive market analysis. The markets we are serving are highly competitive for talent and executive leadership. We generally set target total compensation using</w:t>
      </w:r>
    </w:p>
    <w:p>
      <w:pPr>
        <w:ind w:right="20"/>
        <w:spacing w:after="0" w:line="233" w:lineRule="auto"/>
        <w:rPr>
          <w:sz w:val="20"/>
          <w:szCs w:val="20"/>
          <w:color w:val="auto"/>
        </w:rPr>
      </w:pPr>
      <w:r>
        <w:rPr>
          <w:rFonts w:ascii="Arial" w:cs="Arial" w:eastAsia="Arial" w:hAnsi="Arial"/>
          <w:sz w:val="16"/>
          <w:szCs w:val="16"/>
          <w:color w:val="auto"/>
        </w:rPr>
        <w:t>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as a reference point, with the mix more weighted towards equity than cash to emphasize alignment with stockholders and long-term performance. We believe it is important to drive our Company to over-perform the market in the long term. We also believe that to ensure an appropriate pay for performance alignment it may be appropriate for our People &amp; Compensation Committee to approve compensation levels for individual executives that may be above or below target pay for similar positions based on experience, individual contribution and corporate performance. The following table describes the primary compensation elements used by our Company and main objectives of each element:</w:t>
      </w:r>
    </w:p>
    <w:p>
      <w:pPr>
        <w:sectPr>
          <w:pgSz w:w="11900" w:h="16838" w:orient="portrait"/>
          <w:cols w:equalWidth="0" w:num="1">
            <w:col w:w="9400"/>
          </w:cols>
          <w:pgMar w:left="1240" w:top="114" w:right="1259" w:bottom="1440" w:gutter="0" w:footer="0" w:header="0"/>
        </w:sect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COMPENSATION ELEMENT</w:t>
      </w:r>
    </w:p>
    <w:p>
      <w:pPr>
        <w:spacing w:after="0" w:line="34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7FC4"/>
        </w:rPr>
        <w:t>Base Salary</w:t>
      </w: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7FC4"/>
        </w:rPr>
        <w:t>Annual Cash Incentive Bonus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7FC4"/>
        </w:rPr>
        <w:t>Long-Term Incentive Awards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right="280"/>
        <w:spacing w:after="0" w:line="294" w:lineRule="auto"/>
        <w:rPr>
          <w:sz w:val="20"/>
          <w:szCs w:val="20"/>
          <w:color w:val="auto"/>
        </w:rPr>
      </w:pPr>
      <w:r>
        <w:rPr>
          <w:rFonts w:ascii="Arial" w:cs="Arial" w:eastAsia="Arial" w:hAnsi="Arial"/>
          <w:sz w:val="14"/>
          <w:szCs w:val="14"/>
          <w:b w:val="1"/>
          <w:bCs w:val="1"/>
          <w:color w:val="007FC4"/>
        </w:rPr>
        <w:t>Severance and Change in Control Benefits</w:t>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7FC4"/>
        </w:rPr>
        <w:t>Benefits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45085</wp:posOffset>
            </wp:positionV>
            <wp:extent cx="5966460" cy="454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454660"/>
                    </a:xfrm>
                    <a:prstGeom prst="rect">
                      <a:avLst/>
                    </a:prstGeom>
                    <a:noFill/>
                  </pic:spPr>
                </pic:pic>
              </a:graphicData>
            </a:graphic>
          </wp:anchor>
        </w:drawing>
      </w:r>
    </w:p>
    <w:p>
      <w:pPr>
        <w:spacing w:after="0" w:line="163"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Our People &amp; Compensation Committee sets base salaries with the intent to attract and retain NEOs, reward satisfactory performance and provide a minimum, fixed level of cash compensation to compensate NEOs for their day-to-day responsibilities.</w:t>
      </w:r>
    </w:p>
    <w:p>
      <w:pPr>
        <w:spacing w:after="0" w:line="173"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Annual cash incentive bonuses are awarded under a performance-based compensation program and are designed to align the interests of our NEOs and stockholders by providing compensation based on the achievement of pre-established corporate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46990</wp:posOffset>
            </wp:positionV>
            <wp:extent cx="5966460" cy="548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548640"/>
                    </a:xfrm>
                    <a:prstGeom prst="rect">
                      <a:avLst/>
                    </a:prstGeom>
                    <a:noFill/>
                  </pic:spPr>
                </pic:pic>
              </a:graphicData>
            </a:graphic>
          </wp:anchor>
        </w:drawing>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Our People &amp; Compensation Committee structures long-term incentive awards with the goal of aligning our NEOs’ interests with those of our stockholders, support retention and motivate NEOs to achieve our financial, strategic and operational goals. In Fiscal 2023, long-term incentive awards were in the form of time-based vesting RSUs.</w:t>
      </w:r>
    </w:p>
    <w:p>
      <w:pPr>
        <w:spacing w:after="0" w:line="177"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Severance and change in control benefits are included in each NEO’s employment agreement in order to promote stability and continuity of our senior management team in the event of a potential change in control and/or an involuntary termination. Our People &amp; Compensation Committee believes these provisions help to align each of our NEO’s interests appropriately with those of our stockholders in these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157480</wp:posOffset>
            </wp:positionV>
            <wp:extent cx="596646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pacing w:after="0" w:line="327"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We offer competitive health and welfare benefits, as well as participation in an employee stock purchase plan and other employee benefit plans, to align with competitive norms for comparable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3175</wp:posOffset>
            </wp:positionV>
            <wp:extent cx="5966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280"/>
            <w:col w:w="6900"/>
          </w:cols>
          <w:pgMar w:left="1240" w:top="114" w:right="12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FISCAL 2023 COMPENSATION DECISIONS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determining the criteria for our NEOs’ incentive compensation, our People &amp; Compensation Committee considers a variety of factors, including alignment of our NEOs’ compensation with our stockholders’ returns, and from time to time may adjust these factors or performance metrics based on our Company’s transactions or the occurrence of unknown or unexpected events, such as changes in accounting policies or shifts in regulatory environment, during the applicable measurement period. On the corporate level, our People &amp; Compensation Committee selected certain key financial metrics that are important to the business which include revenue and adjusted EBITDA as metrics that our People &amp; Compensation Committee believes are important for both short-term success as well as for creating long-term sustainable stockholder value. As a result, our NEOs are focused on revenue and adjusted EBITDA, which we believe is aligned with our stockholders’ perspective on our Company’s ability to grow and succeed in the short- and long-term.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BASE SALARY</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Base salaries for our NEOs are initially determined as a result of negotiation between the executive and our management in consultation with, and subject to the approval of, our People &amp; Compensation Committee. Our People &amp; Compensation Committee reviews base salaries annually, typically in the first quarter, and has discretion to provide increases based on our People &amp; Compensation Committee’s understanding of current competitive pay practices, promotions, our CEO’s recommendation (except for his own salary), changes in responsibilities and performance, annual budget for increases, our overall financial and operational results, the general economy, length of tenure, internal pay equity and other factors our People &amp; Compensation Committee deems appropriate. Base salaries may also be adjusted during the year upon promotion or based on internal equity or external market conditions. Our People &amp; Compensation Committee makes these decisions after reviewing the recommendation of our CEO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(except as it concerns his own salary) and consulting with its compensation consultant. Following its review, in February 2023, our People &amp; Compensation Committee determined not to adjust the annual base salaries of the NEOs. The following table shows the annual base salary for each NEO for Fiscal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20" w:type="dxa"/>
            <w:vAlign w:val="bottom"/>
          </w:tcPr>
          <w:p>
            <w:pPr>
              <w:jc w:val="right"/>
              <w:ind w:right="32"/>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386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FISCAL 2023 BASE</w:t>
            </w:r>
          </w:p>
        </w:tc>
        <w:tc>
          <w:tcPr>
            <w:tcW w:w="1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INCREASE FROM</w:t>
            </w:r>
          </w:p>
        </w:tc>
        <w:tc>
          <w:tcPr>
            <w:tcW w:w="0" w:type="dxa"/>
            <w:vAlign w:val="bottom"/>
          </w:tcPr>
          <w:p>
            <w:pPr>
              <w:spacing w:after="0"/>
              <w:rPr>
                <w:sz w:val="1"/>
                <w:szCs w:val="1"/>
                <w:color w:val="auto"/>
              </w:rPr>
            </w:pPr>
          </w:p>
        </w:tc>
      </w:tr>
      <w:tr>
        <w:trPr>
          <w:trHeight w:val="135"/>
        </w:trPr>
        <w:tc>
          <w:tcPr>
            <w:tcW w:w="37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NAME</w:t>
            </w:r>
          </w:p>
        </w:tc>
        <w:tc>
          <w:tcPr>
            <w:tcW w:w="3860" w:type="dxa"/>
            <w:vAlign w:val="bottom"/>
            <w:vMerge w:val="continue"/>
          </w:tcPr>
          <w:p>
            <w:pPr>
              <w:spacing w:after="0"/>
              <w:rPr>
                <w:sz w:val="11"/>
                <w:szCs w:val="11"/>
                <w:color w:val="auto"/>
              </w:rPr>
            </w:pPr>
          </w:p>
        </w:tc>
        <w:tc>
          <w:tcPr>
            <w:tcW w:w="182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FISCAL</w:t>
            </w:r>
          </w:p>
        </w:tc>
        <w:tc>
          <w:tcPr>
            <w:tcW w:w="0" w:type="dxa"/>
            <w:vAlign w:val="bottom"/>
          </w:tcPr>
          <w:p>
            <w:pPr>
              <w:spacing w:after="0"/>
              <w:rPr>
                <w:sz w:val="1"/>
                <w:szCs w:val="1"/>
                <w:color w:val="auto"/>
              </w:rPr>
            </w:pPr>
          </w:p>
        </w:tc>
      </w:tr>
      <w:tr>
        <w:trPr>
          <w:trHeight w:val="172"/>
        </w:trPr>
        <w:tc>
          <w:tcPr>
            <w:tcW w:w="3720" w:type="dxa"/>
            <w:vAlign w:val="bottom"/>
            <w:vMerge w:val="continue"/>
          </w:tcPr>
          <w:p>
            <w:pPr>
              <w:spacing w:after="0"/>
              <w:rPr>
                <w:sz w:val="14"/>
                <w:szCs w:val="14"/>
                <w:color w:val="auto"/>
              </w:rPr>
            </w:pPr>
          </w:p>
        </w:tc>
        <w:tc>
          <w:tcPr>
            <w:tcW w:w="3860" w:type="dxa"/>
            <w:vAlign w:val="bottom"/>
          </w:tcPr>
          <w:p>
            <w:pPr>
              <w:jc w:val="right"/>
              <w:ind w:right="251"/>
              <w:spacing w:after="0"/>
              <w:rPr>
                <w:sz w:val="20"/>
                <w:szCs w:val="20"/>
                <w:color w:val="auto"/>
              </w:rPr>
            </w:pPr>
            <w:r>
              <w:rPr>
                <w:rFonts w:ascii="Arial" w:cs="Arial" w:eastAsia="Arial" w:hAnsi="Arial"/>
                <w:sz w:val="13"/>
                <w:szCs w:val="13"/>
                <w:b w:val="1"/>
                <w:bCs w:val="1"/>
                <w:color w:val="auto"/>
              </w:rPr>
              <w:t>SALARY ($)</w:t>
            </w: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2022 BASE SALARY (%)</w:t>
            </w:r>
          </w:p>
        </w:tc>
        <w:tc>
          <w:tcPr>
            <w:tcW w:w="0" w:type="dxa"/>
            <w:vAlign w:val="bottom"/>
          </w:tcPr>
          <w:p>
            <w:pPr>
              <w:spacing w:after="0"/>
              <w:rPr>
                <w:sz w:val="1"/>
                <w:szCs w:val="1"/>
                <w:color w:val="auto"/>
              </w:rPr>
            </w:pPr>
          </w:p>
        </w:tc>
      </w:tr>
      <w:tr>
        <w:trPr>
          <w:trHeight w:val="49"/>
        </w:trPr>
        <w:tc>
          <w:tcPr>
            <w:tcW w:w="37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37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3860" w:type="dxa"/>
            <w:vAlign w:val="bottom"/>
            <w:shd w:val="clear" w:color="auto" w:fill="E5EBF7"/>
          </w:tcPr>
          <w:p>
            <w:pPr>
              <w:jc w:val="right"/>
              <w:ind w:right="271"/>
              <w:spacing w:after="0"/>
              <w:rPr>
                <w:sz w:val="20"/>
                <w:szCs w:val="20"/>
                <w:color w:val="auto"/>
              </w:rPr>
            </w:pPr>
            <w:r>
              <w:rPr>
                <w:rFonts w:ascii="Arial" w:cs="Arial" w:eastAsia="Arial" w:hAnsi="Arial"/>
                <w:sz w:val="14"/>
                <w:szCs w:val="14"/>
                <w:color w:val="auto"/>
              </w:rPr>
              <w:t>450,000</w:t>
            </w:r>
          </w:p>
        </w:tc>
        <w:tc>
          <w:tcPr>
            <w:tcW w:w="1820" w:type="dxa"/>
            <w:vAlign w:val="bottom"/>
            <w:shd w:val="clear" w:color="auto" w:fill="E5EBF7"/>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3720" w:type="dxa"/>
            <w:vAlign w:val="bottom"/>
            <w:shd w:val="clear" w:color="auto" w:fill="E5EBF7"/>
          </w:tcPr>
          <w:p>
            <w:pPr>
              <w:spacing w:after="0"/>
              <w:rPr>
                <w:sz w:val="7"/>
                <w:szCs w:val="7"/>
                <w:color w:val="auto"/>
              </w:rPr>
            </w:pPr>
          </w:p>
        </w:tc>
        <w:tc>
          <w:tcPr>
            <w:tcW w:w="3860" w:type="dxa"/>
            <w:vAlign w:val="bottom"/>
            <w:shd w:val="clear" w:color="auto" w:fill="E5EBF7"/>
          </w:tcPr>
          <w:p>
            <w:pPr>
              <w:spacing w:after="0"/>
              <w:rPr>
                <w:sz w:val="7"/>
                <w:szCs w:val="7"/>
                <w:color w:val="auto"/>
              </w:rPr>
            </w:pPr>
          </w:p>
        </w:tc>
        <w:tc>
          <w:tcPr>
            <w:tcW w:w="18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72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3860" w:type="dxa"/>
            <w:vAlign w:val="bottom"/>
          </w:tcPr>
          <w:p>
            <w:pPr>
              <w:jc w:val="right"/>
              <w:ind w:right="271"/>
              <w:spacing w:after="0"/>
              <w:rPr>
                <w:sz w:val="20"/>
                <w:szCs w:val="20"/>
                <w:color w:val="auto"/>
              </w:rPr>
            </w:pPr>
            <w:r>
              <w:rPr>
                <w:rFonts w:ascii="Arial" w:cs="Arial" w:eastAsia="Arial" w:hAnsi="Arial"/>
                <w:sz w:val="14"/>
                <w:szCs w:val="14"/>
                <w:color w:val="auto"/>
              </w:rPr>
              <w:t>350,000</w:t>
            </w:r>
          </w:p>
        </w:tc>
        <w:tc>
          <w:tcPr>
            <w:tcW w:w="1820" w:type="dxa"/>
            <w:vAlign w:val="bottom"/>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37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7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Ellis</w:t>
            </w:r>
          </w:p>
        </w:tc>
        <w:tc>
          <w:tcPr>
            <w:tcW w:w="3860" w:type="dxa"/>
            <w:vAlign w:val="bottom"/>
            <w:shd w:val="clear" w:color="auto" w:fill="E5EBF7"/>
          </w:tcPr>
          <w:p>
            <w:pPr>
              <w:jc w:val="right"/>
              <w:ind w:right="271"/>
              <w:spacing w:after="0"/>
              <w:rPr>
                <w:sz w:val="20"/>
                <w:szCs w:val="20"/>
                <w:color w:val="auto"/>
              </w:rPr>
            </w:pPr>
            <w:r>
              <w:rPr>
                <w:rFonts w:ascii="Arial" w:cs="Arial" w:eastAsia="Arial" w:hAnsi="Arial"/>
                <w:sz w:val="14"/>
                <w:szCs w:val="14"/>
                <w:color w:val="auto"/>
              </w:rPr>
              <w:t>325,000</w:t>
            </w:r>
          </w:p>
        </w:tc>
        <w:tc>
          <w:tcPr>
            <w:tcW w:w="1820" w:type="dxa"/>
            <w:vAlign w:val="bottom"/>
            <w:shd w:val="clear" w:color="auto" w:fill="E5EBF7"/>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3720" w:type="dxa"/>
            <w:vAlign w:val="bottom"/>
            <w:shd w:val="clear" w:color="auto" w:fill="E5EBF7"/>
          </w:tcPr>
          <w:p>
            <w:pPr>
              <w:spacing w:after="0"/>
              <w:rPr>
                <w:sz w:val="7"/>
                <w:szCs w:val="7"/>
                <w:color w:val="auto"/>
              </w:rPr>
            </w:pPr>
          </w:p>
        </w:tc>
        <w:tc>
          <w:tcPr>
            <w:tcW w:w="3860" w:type="dxa"/>
            <w:vAlign w:val="bottom"/>
            <w:shd w:val="clear" w:color="auto" w:fill="E5EBF7"/>
          </w:tcPr>
          <w:p>
            <w:pPr>
              <w:spacing w:after="0"/>
              <w:rPr>
                <w:sz w:val="7"/>
                <w:szCs w:val="7"/>
                <w:color w:val="auto"/>
              </w:rPr>
            </w:pPr>
          </w:p>
        </w:tc>
        <w:tc>
          <w:tcPr>
            <w:tcW w:w="18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72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3860" w:type="dxa"/>
            <w:vAlign w:val="bottom"/>
          </w:tcPr>
          <w:p>
            <w:pPr>
              <w:jc w:val="right"/>
              <w:ind w:right="271"/>
              <w:spacing w:after="0"/>
              <w:rPr>
                <w:sz w:val="20"/>
                <w:szCs w:val="20"/>
                <w:color w:val="auto"/>
              </w:rPr>
            </w:pPr>
            <w:r>
              <w:rPr>
                <w:rFonts w:ascii="Arial" w:cs="Arial" w:eastAsia="Arial" w:hAnsi="Arial"/>
                <w:sz w:val="14"/>
                <w:szCs w:val="14"/>
                <w:color w:val="auto"/>
              </w:rPr>
              <w:t>300,000</w:t>
            </w:r>
          </w:p>
        </w:tc>
        <w:tc>
          <w:tcPr>
            <w:tcW w:w="1820" w:type="dxa"/>
            <w:vAlign w:val="bottom"/>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37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720" w:type="dxa"/>
            <w:vAlign w:val="bottom"/>
            <w:tcBorders>
              <w:bottom w:val="single" w:sz="8" w:color="E5EBF7"/>
            </w:tcBorders>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3860" w:type="dxa"/>
            <w:vAlign w:val="bottom"/>
            <w:tcBorders>
              <w:bottom w:val="single" w:sz="8" w:color="E5EBF7"/>
            </w:tcBorders>
            <w:shd w:val="clear" w:color="auto" w:fill="E5EBF7"/>
          </w:tcPr>
          <w:p>
            <w:pPr>
              <w:jc w:val="right"/>
              <w:ind w:right="271"/>
              <w:spacing w:after="0"/>
              <w:rPr>
                <w:sz w:val="20"/>
                <w:szCs w:val="20"/>
                <w:color w:val="auto"/>
              </w:rPr>
            </w:pPr>
            <w:r>
              <w:rPr>
                <w:rFonts w:ascii="Arial" w:cs="Arial" w:eastAsia="Arial" w:hAnsi="Arial"/>
                <w:sz w:val="14"/>
                <w:szCs w:val="14"/>
                <w:color w:val="auto"/>
              </w:rPr>
              <w:t>300,000</w:t>
            </w:r>
          </w:p>
        </w:tc>
        <w:tc>
          <w:tcPr>
            <w:tcW w:w="1820" w:type="dxa"/>
            <w:vAlign w:val="bottom"/>
            <w:tcBorders>
              <w:bottom w:val="single" w:sz="8" w:color="E5EBF7"/>
            </w:tcBorders>
            <w:shd w:val="clear" w:color="auto" w:fill="E5EBF7"/>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shd w:val="clear" w:color="auto" w:fill="007FC4"/>
          </w:tcPr>
          <w:p>
            <w:pPr>
              <w:spacing w:after="0" w:line="20" w:lineRule="exact"/>
              <w:rPr>
                <w:sz w:val="1"/>
                <w:szCs w:val="1"/>
                <w:color w:val="auto"/>
              </w:rPr>
            </w:pPr>
          </w:p>
        </w:tc>
        <w:tc>
          <w:tcPr>
            <w:tcW w:w="3860" w:type="dxa"/>
            <w:vAlign w:val="bottom"/>
            <w:shd w:val="clear" w:color="auto" w:fill="007FC4"/>
          </w:tcPr>
          <w:p>
            <w:pPr>
              <w:spacing w:after="0" w:line="20" w:lineRule="exact"/>
              <w:rPr>
                <w:sz w:val="1"/>
                <w:szCs w:val="1"/>
                <w:color w:val="auto"/>
              </w:rPr>
            </w:pPr>
          </w:p>
        </w:tc>
        <w:tc>
          <w:tcPr>
            <w:tcW w:w="182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ANNUAL CASH INCENTIVE BONUS COMPENSATION</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annual cash incentive bonus compensation program promotes our pay for performance philosophy by providing all executives and other management-level corporate employees with direct financial incentives in the form of annual cash awards for achievement of certain corporate financial goals established and approved by our People &amp; Compensation Committee at the start of the year. If we achieve results that are below threshold levels, these NEOs receive no cash incentive bonus, while results that are above threshold levels result in a cash incentive bonus payout based on a pre-determined scale, subject to a maximum amount of 150% in Fiscal 2023 (up from 125% in Fiscal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Target Bonus Opportunities</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People &amp; Compensation Committee sets each NEO’s individual target cash incentive amount based on each NEO’s employment agreement provisions, our CEO’s recommendation (except for his own target), internal pay equity, our People &amp; Compensation Committee’s general understanding of current competitive pay practices and other factors it deems appropriate. After evaluating the competitive positioning of our NEOs’ total target cash compensation in the context of our overall compensation philosophy, in February 2023, our People &amp; Compensation Committee determined not to adjust the target cash bonus amounts for any of the NEOs, other than Mr. Massaro. The target bonus for Mr. Massaro was increased from $260,000 to $450,000 to position his total target cash compensation more competitively in the market. As a result, the Fiscal 2023 target bonus opportunities for our NEOs were: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4960" w:type="dxa"/>
            <w:vAlign w:val="bottom"/>
          </w:tcPr>
          <w:p>
            <w:pPr>
              <w:jc w:val="right"/>
              <w:spacing w:after="0"/>
              <w:rPr>
                <w:sz w:val="20"/>
                <w:szCs w:val="20"/>
                <w:color w:val="auto"/>
              </w:rPr>
            </w:pPr>
            <w:r>
              <w:rPr>
                <w:rFonts w:ascii="Arial" w:cs="Arial" w:eastAsia="Arial" w:hAnsi="Arial"/>
                <w:sz w:val="13"/>
                <w:szCs w:val="13"/>
                <w:b w:val="1"/>
                <w:bCs w:val="1"/>
                <w:color w:val="auto"/>
              </w:rPr>
              <w:t>FISCAL 2023 TARGET BONUS</w:t>
            </w:r>
          </w:p>
        </w:tc>
        <w:tc>
          <w:tcPr>
            <w:tcW w:w="0" w:type="dxa"/>
            <w:vAlign w:val="bottom"/>
          </w:tcPr>
          <w:p>
            <w:pPr>
              <w:spacing w:after="0"/>
              <w:rPr>
                <w:sz w:val="1"/>
                <w:szCs w:val="1"/>
                <w:color w:val="auto"/>
              </w:rPr>
            </w:pPr>
          </w:p>
        </w:tc>
      </w:tr>
      <w:tr>
        <w:trPr>
          <w:trHeight w:val="135"/>
        </w:trPr>
        <w:tc>
          <w:tcPr>
            <w:tcW w:w="44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NAME</w:t>
            </w:r>
          </w:p>
        </w:tc>
        <w:tc>
          <w:tcPr>
            <w:tcW w:w="496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OPPORTUNITY</w:t>
            </w:r>
          </w:p>
        </w:tc>
        <w:tc>
          <w:tcPr>
            <w:tcW w:w="0" w:type="dxa"/>
            <w:vAlign w:val="bottom"/>
          </w:tcPr>
          <w:p>
            <w:pPr>
              <w:spacing w:after="0"/>
              <w:rPr>
                <w:sz w:val="1"/>
                <w:szCs w:val="1"/>
                <w:color w:val="auto"/>
              </w:rPr>
            </w:pPr>
          </w:p>
        </w:tc>
      </w:tr>
      <w:tr>
        <w:trPr>
          <w:trHeight w:val="172"/>
        </w:trPr>
        <w:tc>
          <w:tcPr>
            <w:tcW w:w="4440" w:type="dxa"/>
            <w:vAlign w:val="bottom"/>
            <w:vMerge w:val="continue"/>
          </w:tcPr>
          <w:p>
            <w:pPr>
              <w:spacing w:after="0"/>
              <w:rPr>
                <w:sz w:val="14"/>
                <w:szCs w:val="14"/>
                <w:color w:val="auto"/>
              </w:rPr>
            </w:pPr>
          </w:p>
        </w:tc>
        <w:tc>
          <w:tcPr>
            <w:tcW w:w="49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9"/>
        </w:trPr>
        <w:tc>
          <w:tcPr>
            <w:tcW w:w="4440" w:type="dxa"/>
            <w:vAlign w:val="bottom"/>
          </w:tcPr>
          <w:p>
            <w:pPr>
              <w:spacing w:after="0"/>
              <w:rPr>
                <w:sz w:val="4"/>
                <w:szCs w:val="4"/>
                <w:color w:val="auto"/>
              </w:rPr>
            </w:pPr>
          </w:p>
        </w:tc>
        <w:tc>
          <w:tcPr>
            <w:tcW w:w="4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444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4960" w:type="dxa"/>
            <w:vAlign w:val="bottom"/>
            <w:shd w:val="clear" w:color="auto" w:fill="E5EBF7"/>
          </w:tcPr>
          <w:p>
            <w:pPr>
              <w:jc w:val="right"/>
              <w:ind w:right="11"/>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83"/>
        </w:trPr>
        <w:tc>
          <w:tcPr>
            <w:tcW w:w="4440" w:type="dxa"/>
            <w:vAlign w:val="bottom"/>
            <w:shd w:val="clear" w:color="auto" w:fill="E5EBF7"/>
          </w:tcPr>
          <w:p>
            <w:pPr>
              <w:spacing w:after="0"/>
              <w:rPr>
                <w:sz w:val="7"/>
                <w:szCs w:val="7"/>
                <w:color w:val="auto"/>
              </w:rPr>
            </w:pPr>
          </w:p>
        </w:tc>
        <w:tc>
          <w:tcPr>
            <w:tcW w:w="496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44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4960" w:type="dxa"/>
            <w:vAlign w:val="bottom"/>
          </w:tcPr>
          <w:p>
            <w:pPr>
              <w:jc w:val="right"/>
              <w:ind w:right="11"/>
              <w:spacing w:after="0"/>
              <w:rPr>
                <w:sz w:val="20"/>
                <w:szCs w:val="20"/>
                <w:color w:val="auto"/>
              </w:rPr>
            </w:pPr>
            <w:r>
              <w:rPr>
                <w:rFonts w:ascii="Arial" w:cs="Arial" w:eastAsia="Arial" w:hAnsi="Arial"/>
                <w:sz w:val="14"/>
                <w:szCs w:val="14"/>
                <w:color w:val="auto"/>
              </w:rPr>
              <w:t>225,000</w:t>
            </w:r>
          </w:p>
        </w:tc>
        <w:tc>
          <w:tcPr>
            <w:tcW w:w="0" w:type="dxa"/>
            <w:vAlign w:val="bottom"/>
          </w:tcPr>
          <w:p>
            <w:pPr>
              <w:spacing w:after="0"/>
              <w:rPr>
                <w:sz w:val="1"/>
                <w:szCs w:val="1"/>
                <w:color w:val="auto"/>
              </w:rPr>
            </w:pPr>
          </w:p>
        </w:tc>
      </w:tr>
      <w:tr>
        <w:trPr>
          <w:trHeight w:val="83"/>
        </w:trPr>
        <w:tc>
          <w:tcPr>
            <w:tcW w:w="4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44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Ellis</w:t>
            </w:r>
          </w:p>
        </w:tc>
        <w:tc>
          <w:tcPr>
            <w:tcW w:w="4960" w:type="dxa"/>
            <w:vAlign w:val="bottom"/>
            <w:shd w:val="clear" w:color="auto" w:fill="E5EBF7"/>
          </w:tcPr>
          <w:p>
            <w:pPr>
              <w:jc w:val="right"/>
              <w:ind w:right="11"/>
              <w:spacing w:after="0"/>
              <w:rPr>
                <w:sz w:val="20"/>
                <w:szCs w:val="20"/>
                <w:color w:val="auto"/>
              </w:rPr>
            </w:pPr>
            <w:r>
              <w:rPr>
                <w:rFonts w:ascii="Arial" w:cs="Arial" w:eastAsia="Arial" w:hAnsi="Arial"/>
                <w:sz w:val="14"/>
                <w:szCs w:val="14"/>
                <w:color w:val="auto"/>
              </w:rPr>
              <w:t>225,000</w:t>
            </w:r>
          </w:p>
        </w:tc>
        <w:tc>
          <w:tcPr>
            <w:tcW w:w="0" w:type="dxa"/>
            <w:vAlign w:val="bottom"/>
          </w:tcPr>
          <w:p>
            <w:pPr>
              <w:spacing w:after="0"/>
              <w:rPr>
                <w:sz w:val="1"/>
                <w:szCs w:val="1"/>
                <w:color w:val="auto"/>
              </w:rPr>
            </w:pPr>
          </w:p>
        </w:tc>
      </w:tr>
      <w:tr>
        <w:trPr>
          <w:trHeight w:val="83"/>
        </w:trPr>
        <w:tc>
          <w:tcPr>
            <w:tcW w:w="4440" w:type="dxa"/>
            <w:vAlign w:val="bottom"/>
            <w:shd w:val="clear" w:color="auto" w:fill="E5EBF7"/>
          </w:tcPr>
          <w:p>
            <w:pPr>
              <w:spacing w:after="0"/>
              <w:rPr>
                <w:sz w:val="7"/>
                <w:szCs w:val="7"/>
                <w:color w:val="auto"/>
              </w:rPr>
            </w:pPr>
          </w:p>
        </w:tc>
        <w:tc>
          <w:tcPr>
            <w:tcW w:w="496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44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4960" w:type="dxa"/>
            <w:vAlign w:val="bottom"/>
          </w:tcPr>
          <w:p>
            <w:pPr>
              <w:jc w:val="right"/>
              <w:ind w:right="11"/>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83"/>
        </w:trPr>
        <w:tc>
          <w:tcPr>
            <w:tcW w:w="4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E5EBF7"/>
            </w:tcBorders>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4960" w:type="dxa"/>
            <w:vAlign w:val="bottom"/>
            <w:tcBorders>
              <w:bottom w:val="single" w:sz="8" w:color="E5EBF7"/>
            </w:tcBorders>
            <w:shd w:val="clear" w:color="auto" w:fill="E5EBF7"/>
          </w:tcPr>
          <w:p>
            <w:pPr>
              <w:jc w:val="right"/>
              <w:ind w:right="11"/>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0"/>
        </w:trPr>
        <w:tc>
          <w:tcPr>
            <w:tcW w:w="4440" w:type="dxa"/>
            <w:vAlign w:val="bottom"/>
            <w:shd w:val="clear" w:color="auto" w:fill="007FC4"/>
          </w:tcPr>
          <w:p>
            <w:pPr>
              <w:spacing w:after="0" w:line="20" w:lineRule="exact"/>
              <w:rPr>
                <w:sz w:val="1"/>
                <w:szCs w:val="1"/>
                <w:color w:val="auto"/>
              </w:rPr>
            </w:pPr>
          </w:p>
        </w:tc>
        <w:tc>
          <w:tcPr>
            <w:tcW w:w="496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800"/>
        <w:spacing w:after="0" w:line="266" w:lineRule="auto"/>
        <w:rPr>
          <w:sz w:val="20"/>
          <w:szCs w:val="20"/>
          <w:color w:val="auto"/>
        </w:rPr>
      </w:pPr>
      <w:r>
        <w:rPr>
          <w:rFonts w:ascii="Arial" w:cs="Arial" w:eastAsia="Arial" w:hAnsi="Arial"/>
          <w:sz w:val="16"/>
          <w:szCs w:val="16"/>
          <w:color w:val="auto"/>
        </w:rPr>
        <w:t>In addition, unlike in prior years where certain of our NEO’s cash incentive bonus was based on corporate and individual performance goals, our People &amp; Compensation Committee determined that for Fiscal 2023 it would be based solely on 2023 corporate objectives for all of our NEOs.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Corporate Objectives</w:t>
      </w:r>
    </w:p>
    <w:p>
      <w:pPr>
        <w:spacing w:after="0" w:line="4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People &amp; Compensation Committee established (i) Revenue Less Ancillary Services and (ii) Adjusted EBITDA as the corporate components of our 2023 cash incentive bonus program, with each of the components weighted as set forth below. We utilize these non-GAAP financial measures internally in analyzing our financial results and evaluating our ongoing operational performance. These metrics were also selected because they are two of the key performance metrics stockholders use in evaluating Flywire. Revenue Less Ancillary Services represents our consolidated revenue in accordance with GAAP, less (x) pass-through cost for printing and mailing services and (y) marketing fees. Adjusted EBITDA represents EBITDA further adjusted by excluding (i) stock-based compensation expense and related payroll taxes, (ii) the impact from the change in fair value measurement for contingent consideration associated with acquisitions, (iii) the impact from the change in fair value measurement of any of our preferred stock warrants, (iv) other income (expense), net, (v) indirect taxes related to intercompany activity, (vi) acquisition related transaction costs, and (vii) employee retention costs, such as incentive compensation, associated with acquisition activities. Our People &amp; Compensation Committee has discretion to modify performance results that reflect significant transactions (such as acquisitions, divestitures, or newly-formed joint ventures) or other unusual items if such events were not anticipated at the time performance targets were initially established.</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Each of the components was assigned a threshold level, which is the minimum achievement level that must be satisfied to receive a portion of the applicable bonus amounts, and a maximum level, which, if achieved or exceeded, would result in our NEOs receiving up to 150% of the target amount attributed to that component. The percentage payout for each of the financial components was determined using linear interpolation between the points shown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corporate components of the 2023 cash incentive bonus program are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CORPORATE COMPONENT</w:t>
            </w:r>
          </w:p>
        </w:tc>
        <w:tc>
          <w:tcPr>
            <w:tcW w:w="1760" w:type="dxa"/>
            <w:vAlign w:val="bottom"/>
            <w:vMerge w:val="restart"/>
          </w:tcPr>
          <w:p>
            <w:pPr>
              <w:jc w:val="center"/>
              <w:ind w:left="151"/>
              <w:spacing w:after="0"/>
              <w:rPr>
                <w:sz w:val="20"/>
                <w:szCs w:val="20"/>
                <w:color w:val="auto"/>
              </w:rPr>
            </w:pPr>
            <w:r>
              <w:rPr>
                <w:rFonts w:ascii="Arial" w:cs="Arial" w:eastAsia="Arial" w:hAnsi="Arial"/>
                <w:sz w:val="13"/>
                <w:szCs w:val="13"/>
                <w:b w:val="1"/>
                <w:bCs w:val="1"/>
                <w:color w:val="auto"/>
                <w:w w:val="98"/>
              </w:rPr>
              <w:t>WEIGHTING</w:t>
            </w:r>
          </w:p>
        </w:tc>
        <w:tc>
          <w:tcPr>
            <w:tcW w:w="1700" w:type="dxa"/>
            <w:vAlign w:val="bottom"/>
          </w:tcPr>
          <w:p>
            <w:pPr>
              <w:ind w:left="480"/>
              <w:spacing w:after="0"/>
              <w:rPr>
                <w:sz w:val="20"/>
                <w:szCs w:val="20"/>
                <w:color w:val="auto"/>
              </w:rPr>
            </w:pPr>
            <w:r>
              <w:rPr>
                <w:rFonts w:ascii="Arial" w:cs="Arial" w:eastAsia="Arial" w:hAnsi="Arial"/>
                <w:sz w:val="13"/>
                <w:szCs w:val="13"/>
                <w:b w:val="1"/>
                <w:bCs w:val="1"/>
                <w:color w:val="auto"/>
              </w:rPr>
              <w:t>THRESHOLD</w:t>
            </w:r>
          </w:p>
        </w:tc>
        <w:tc>
          <w:tcPr>
            <w:tcW w:w="1700" w:type="dxa"/>
            <w:vAlign w:val="bottom"/>
          </w:tcPr>
          <w:p>
            <w:pPr>
              <w:ind w:left="760"/>
              <w:spacing w:after="0"/>
              <w:rPr>
                <w:sz w:val="20"/>
                <w:szCs w:val="20"/>
                <w:color w:val="auto"/>
              </w:rPr>
            </w:pPr>
            <w:r>
              <w:rPr>
                <w:rFonts w:ascii="Arial" w:cs="Arial" w:eastAsia="Arial" w:hAnsi="Arial"/>
                <w:sz w:val="13"/>
                <w:szCs w:val="13"/>
                <w:b w:val="1"/>
                <w:bCs w:val="1"/>
                <w:color w:val="auto"/>
              </w:rPr>
              <w:t>TARGET</w:t>
            </w:r>
          </w:p>
        </w:tc>
        <w:tc>
          <w:tcPr>
            <w:tcW w:w="1360" w:type="dxa"/>
            <w:vAlign w:val="bottom"/>
          </w:tcPr>
          <w:p>
            <w:pPr>
              <w:ind w:left="640"/>
              <w:spacing w:after="0"/>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2"/>
        </w:trPr>
        <w:tc>
          <w:tcPr>
            <w:tcW w:w="2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700" w:type="dxa"/>
            <w:vAlign w:val="bottom"/>
          </w:tcPr>
          <w:p>
            <w:pPr>
              <w:ind w:left="500"/>
              <w:spacing w:after="0"/>
              <w:rPr>
                <w:sz w:val="20"/>
                <w:szCs w:val="20"/>
                <w:color w:val="auto"/>
              </w:rPr>
            </w:pPr>
            <w:r>
              <w:rPr>
                <w:rFonts w:ascii="Arial" w:cs="Arial" w:eastAsia="Arial" w:hAnsi="Arial"/>
                <w:sz w:val="13"/>
                <w:szCs w:val="13"/>
                <w:b w:val="1"/>
                <w:bCs w:val="1"/>
                <w:color w:val="auto"/>
              </w:rPr>
              <w:t>75% PAYOUT</w:t>
            </w:r>
          </w:p>
        </w:tc>
        <w:tc>
          <w:tcPr>
            <w:tcW w:w="1700" w:type="dxa"/>
            <w:vAlign w:val="bottom"/>
          </w:tcPr>
          <w:p>
            <w:pPr>
              <w:ind w:left="440"/>
              <w:spacing w:after="0"/>
              <w:rPr>
                <w:sz w:val="20"/>
                <w:szCs w:val="20"/>
                <w:color w:val="auto"/>
              </w:rPr>
            </w:pPr>
            <w:r>
              <w:rPr>
                <w:rFonts w:ascii="Arial" w:cs="Arial" w:eastAsia="Arial" w:hAnsi="Arial"/>
                <w:sz w:val="13"/>
                <w:szCs w:val="13"/>
                <w:b w:val="1"/>
                <w:bCs w:val="1"/>
                <w:color w:val="auto"/>
              </w:rPr>
              <w:t>100% PAYOUT</w:t>
            </w:r>
          </w:p>
        </w:tc>
        <w:tc>
          <w:tcPr>
            <w:tcW w:w="1360" w:type="dxa"/>
            <w:vAlign w:val="bottom"/>
          </w:tcPr>
          <w:p>
            <w:pPr>
              <w:ind w:left="440"/>
              <w:spacing w:after="0"/>
              <w:rPr>
                <w:sz w:val="20"/>
                <w:szCs w:val="20"/>
                <w:color w:val="auto"/>
              </w:rPr>
            </w:pPr>
            <w:r>
              <w:rPr>
                <w:rFonts w:ascii="Arial" w:cs="Arial" w:eastAsia="Arial" w:hAnsi="Arial"/>
                <w:sz w:val="13"/>
                <w:szCs w:val="13"/>
                <w:b w:val="1"/>
                <w:bCs w:val="1"/>
                <w:color w:val="auto"/>
                <w:w w:val="98"/>
              </w:rPr>
              <w:t>150% PAYOUT</w:t>
            </w:r>
          </w:p>
        </w:tc>
        <w:tc>
          <w:tcPr>
            <w:tcW w:w="0" w:type="dxa"/>
            <w:vAlign w:val="bottom"/>
          </w:tcPr>
          <w:p>
            <w:pPr>
              <w:spacing w:after="0"/>
              <w:rPr>
                <w:sz w:val="1"/>
                <w:szCs w:val="1"/>
                <w:color w:val="auto"/>
              </w:rPr>
            </w:pPr>
          </w:p>
        </w:tc>
      </w:tr>
      <w:tr>
        <w:trPr>
          <w:trHeight w:val="49"/>
        </w:trPr>
        <w:tc>
          <w:tcPr>
            <w:tcW w:w="2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880" w:type="dxa"/>
            <w:vAlign w:val="bottom"/>
            <w:shd w:val="clear" w:color="auto" w:fill="E5EBF7"/>
          </w:tcPr>
          <w:p>
            <w:pPr>
              <w:ind w:left="160"/>
              <w:spacing w:after="0"/>
              <w:rPr>
                <w:sz w:val="20"/>
                <w:szCs w:val="20"/>
                <w:color w:val="auto"/>
              </w:rPr>
            </w:pPr>
            <w:r>
              <w:rPr>
                <w:rFonts w:ascii="Arial" w:cs="Arial" w:eastAsia="Arial" w:hAnsi="Arial"/>
                <w:sz w:val="14"/>
                <w:szCs w:val="14"/>
                <w:color w:val="007FC4"/>
              </w:rPr>
              <w:t>Revenue Less Ancillary Services</w:t>
            </w:r>
          </w:p>
        </w:tc>
        <w:tc>
          <w:tcPr>
            <w:tcW w:w="1760" w:type="dxa"/>
            <w:vAlign w:val="bottom"/>
            <w:shd w:val="clear" w:color="auto" w:fill="E5EBF7"/>
          </w:tcPr>
          <w:p>
            <w:pPr>
              <w:jc w:val="center"/>
              <w:ind w:left="151"/>
              <w:spacing w:after="0"/>
              <w:rPr>
                <w:sz w:val="20"/>
                <w:szCs w:val="20"/>
                <w:color w:val="auto"/>
              </w:rPr>
            </w:pPr>
            <w:r>
              <w:rPr>
                <w:rFonts w:ascii="Arial" w:cs="Arial" w:eastAsia="Arial" w:hAnsi="Arial"/>
                <w:sz w:val="14"/>
                <w:szCs w:val="14"/>
                <w:color w:val="auto"/>
              </w:rPr>
              <w:t>50%</w:t>
            </w:r>
          </w:p>
        </w:tc>
        <w:tc>
          <w:tcPr>
            <w:tcW w:w="1700" w:type="dxa"/>
            <w:vAlign w:val="bottom"/>
            <w:shd w:val="clear" w:color="auto" w:fill="E5EBF7"/>
          </w:tcPr>
          <w:p>
            <w:pPr>
              <w:ind w:left="400"/>
              <w:spacing w:after="0"/>
              <w:rPr>
                <w:sz w:val="20"/>
                <w:szCs w:val="20"/>
                <w:color w:val="auto"/>
              </w:rPr>
            </w:pPr>
            <w:r>
              <w:rPr>
                <w:rFonts w:ascii="Arial" w:cs="Arial" w:eastAsia="Arial" w:hAnsi="Arial"/>
                <w:sz w:val="14"/>
                <w:szCs w:val="14"/>
                <w:color w:val="auto"/>
              </w:rPr>
              <w:t>$358,700,000</w:t>
            </w:r>
          </w:p>
        </w:tc>
        <w:tc>
          <w:tcPr>
            <w:tcW w:w="1700" w:type="dxa"/>
            <w:vAlign w:val="bottom"/>
            <w:shd w:val="clear" w:color="auto" w:fill="E5EBF7"/>
          </w:tcPr>
          <w:p>
            <w:pPr>
              <w:ind w:left="400"/>
              <w:spacing w:after="0"/>
              <w:rPr>
                <w:sz w:val="20"/>
                <w:szCs w:val="20"/>
                <w:color w:val="auto"/>
              </w:rPr>
            </w:pPr>
            <w:r>
              <w:rPr>
                <w:rFonts w:ascii="Arial" w:cs="Arial" w:eastAsia="Arial" w:hAnsi="Arial"/>
                <w:sz w:val="14"/>
                <w:szCs w:val="14"/>
                <w:color w:val="auto"/>
              </w:rPr>
              <w:t>$373,000,000</w:t>
            </w:r>
          </w:p>
        </w:tc>
        <w:tc>
          <w:tcPr>
            <w:tcW w:w="1360" w:type="dxa"/>
            <w:vAlign w:val="bottom"/>
            <w:shd w:val="clear" w:color="auto" w:fill="E5EBF7"/>
          </w:tcPr>
          <w:p>
            <w:pPr>
              <w:ind w:left="400"/>
              <w:spacing w:after="0"/>
              <w:rPr>
                <w:sz w:val="20"/>
                <w:szCs w:val="20"/>
                <w:color w:val="auto"/>
              </w:rPr>
            </w:pPr>
            <w:r>
              <w:rPr>
                <w:rFonts w:ascii="Arial" w:cs="Arial" w:eastAsia="Arial" w:hAnsi="Arial"/>
                <w:sz w:val="14"/>
                <w:szCs w:val="14"/>
                <w:color w:val="auto"/>
              </w:rPr>
              <w:t>$391,700,000</w:t>
            </w:r>
          </w:p>
        </w:tc>
        <w:tc>
          <w:tcPr>
            <w:tcW w:w="0" w:type="dxa"/>
            <w:vAlign w:val="bottom"/>
          </w:tcPr>
          <w:p>
            <w:pPr>
              <w:spacing w:after="0"/>
              <w:rPr>
                <w:sz w:val="1"/>
                <w:szCs w:val="1"/>
                <w:color w:val="auto"/>
              </w:rPr>
            </w:pPr>
          </w:p>
        </w:tc>
      </w:tr>
      <w:tr>
        <w:trPr>
          <w:trHeight w:val="89"/>
        </w:trPr>
        <w:tc>
          <w:tcPr>
            <w:tcW w:w="2880" w:type="dxa"/>
            <w:vAlign w:val="bottom"/>
            <w:shd w:val="clear" w:color="auto" w:fill="E5EBF7"/>
          </w:tcPr>
          <w:p>
            <w:pPr>
              <w:spacing w:after="0"/>
              <w:rPr>
                <w:sz w:val="7"/>
                <w:szCs w:val="7"/>
                <w:color w:val="auto"/>
              </w:rPr>
            </w:pPr>
          </w:p>
        </w:tc>
        <w:tc>
          <w:tcPr>
            <w:tcW w:w="1760" w:type="dxa"/>
            <w:vAlign w:val="bottom"/>
            <w:shd w:val="clear" w:color="auto" w:fill="E5EBF7"/>
          </w:tcPr>
          <w:p>
            <w:pPr>
              <w:spacing w:after="0"/>
              <w:rPr>
                <w:sz w:val="7"/>
                <w:szCs w:val="7"/>
                <w:color w:val="auto"/>
              </w:rPr>
            </w:pPr>
          </w:p>
        </w:tc>
        <w:tc>
          <w:tcPr>
            <w:tcW w:w="1700" w:type="dxa"/>
            <w:vAlign w:val="bottom"/>
            <w:shd w:val="clear" w:color="auto" w:fill="E5EBF7"/>
          </w:tcPr>
          <w:p>
            <w:pPr>
              <w:spacing w:after="0"/>
              <w:rPr>
                <w:sz w:val="7"/>
                <w:szCs w:val="7"/>
                <w:color w:val="auto"/>
              </w:rPr>
            </w:pPr>
          </w:p>
        </w:tc>
        <w:tc>
          <w:tcPr>
            <w:tcW w:w="1700" w:type="dxa"/>
            <w:vAlign w:val="bottom"/>
            <w:shd w:val="clear" w:color="auto" w:fill="E5EBF7"/>
          </w:tcPr>
          <w:p>
            <w:pPr>
              <w:spacing w:after="0"/>
              <w:rPr>
                <w:sz w:val="7"/>
                <w:szCs w:val="7"/>
                <w:color w:val="auto"/>
              </w:rPr>
            </w:pPr>
          </w:p>
        </w:tc>
        <w:tc>
          <w:tcPr>
            <w:tcW w:w="136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880" w:type="dxa"/>
            <w:vAlign w:val="bottom"/>
          </w:tcPr>
          <w:p>
            <w:pPr>
              <w:ind w:left="160"/>
              <w:spacing w:after="0"/>
              <w:rPr>
                <w:sz w:val="20"/>
                <w:szCs w:val="20"/>
                <w:color w:val="auto"/>
              </w:rPr>
            </w:pPr>
            <w:r>
              <w:rPr>
                <w:rFonts w:ascii="Arial" w:cs="Arial" w:eastAsia="Arial" w:hAnsi="Arial"/>
                <w:sz w:val="14"/>
                <w:szCs w:val="14"/>
                <w:color w:val="007FC4"/>
              </w:rPr>
              <w:t>Adjusted EBITDA</w:t>
            </w:r>
          </w:p>
        </w:tc>
        <w:tc>
          <w:tcPr>
            <w:tcW w:w="1760" w:type="dxa"/>
            <w:vAlign w:val="bottom"/>
          </w:tcPr>
          <w:p>
            <w:pPr>
              <w:jc w:val="center"/>
              <w:ind w:left="151"/>
              <w:spacing w:after="0"/>
              <w:rPr>
                <w:sz w:val="20"/>
                <w:szCs w:val="20"/>
                <w:color w:val="auto"/>
              </w:rPr>
            </w:pPr>
            <w:r>
              <w:rPr>
                <w:rFonts w:ascii="Arial" w:cs="Arial" w:eastAsia="Arial" w:hAnsi="Arial"/>
                <w:sz w:val="14"/>
                <w:szCs w:val="14"/>
                <w:color w:val="auto"/>
              </w:rPr>
              <w:t>50%</w:t>
            </w:r>
          </w:p>
        </w:tc>
        <w:tc>
          <w:tcPr>
            <w:tcW w:w="1700" w:type="dxa"/>
            <w:vAlign w:val="bottom"/>
          </w:tcPr>
          <w:p>
            <w:pPr>
              <w:ind w:left="400"/>
              <w:spacing w:after="0"/>
              <w:rPr>
                <w:sz w:val="20"/>
                <w:szCs w:val="20"/>
                <w:color w:val="auto"/>
              </w:rPr>
            </w:pPr>
            <w:r>
              <w:rPr>
                <w:rFonts w:ascii="Arial" w:cs="Arial" w:eastAsia="Arial" w:hAnsi="Arial"/>
                <w:sz w:val="14"/>
                <w:szCs w:val="14"/>
                <w:color w:val="auto"/>
              </w:rPr>
              <w:t>$ 31,100,000</w:t>
            </w:r>
          </w:p>
        </w:tc>
        <w:tc>
          <w:tcPr>
            <w:tcW w:w="1700" w:type="dxa"/>
            <w:vAlign w:val="bottom"/>
          </w:tcPr>
          <w:p>
            <w:pPr>
              <w:ind w:left="400"/>
              <w:spacing w:after="0"/>
              <w:rPr>
                <w:sz w:val="20"/>
                <w:szCs w:val="20"/>
                <w:color w:val="auto"/>
              </w:rPr>
            </w:pPr>
            <w:r>
              <w:rPr>
                <w:rFonts w:ascii="Arial" w:cs="Arial" w:eastAsia="Arial" w:hAnsi="Arial"/>
                <w:sz w:val="14"/>
                <w:szCs w:val="14"/>
                <w:color w:val="auto"/>
              </w:rPr>
              <w:t>$ 33,000,000</w:t>
            </w:r>
          </w:p>
        </w:tc>
        <w:tc>
          <w:tcPr>
            <w:tcW w:w="1360" w:type="dxa"/>
            <w:vAlign w:val="bottom"/>
          </w:tcPr>
          <w:p>
            <w:pPr>
              <w:ind w:left="400"/>
              <w:spacing w:after="0"/>
              <w:rPr>
                <w:sz w:val="20"/>
                <w:szCs w:val="20"/>
                <w:color w:val="auto"/>
              </w:rPr>
            </w:pPr>
            <w:r>
              <w:rPr>
                <w:rFonts w:ascii="Arial" w:cs="Arial" w:eastAsia="Arial" w:hAnsi="Arial"/>
                <w:sz w:val="14"/>
                <w:szCs w:val="14"/>
                <w:color w:val="auto"/>
              </w:rPr>
              <w:t>$ 38,820,000</w:t>
            </w:r>
          </w:p>
        </w:tc>
        <w:tc>
          <w:tcPr>
            <w:tcW w:w="0" w:type="dxa"/>
            <w:vAlign w:val="bottom"/>
          </w:tcPr>
          <w:p>
            <w:pPr>
              <w:spacing w:after="0"/>
              <w:rPr>
                <w:sz w:val="1"/>
                <w:szCs w:val="1"/>
                <w:color w:val="auto"/>
              </w:rPr>
            </w:pPr>
          </w:p>
        </w:tc>
      </w:tr>
      <w:tr>
        <w:trPr>
          <w:trHeight w:val="35"/>
        </w:trPr>
        <w:tc>
          <w:tcPr>
            <w:tcW w:w="2880" w:type="dxa"/>
            <w:vAlign w:val="bottom"/>
            <w:tcBorders>
              <w:bottom w:val="single" w:sz="8" w:color="007FC4"/>
            </w:tcBorders>
          </w:tcPr>
          <w:p>
            <w:pPr>
              <w:spacing w:after="0"/>
              <w:rPr>
                <w:sz w:val="3"/>
                <w:szCs w:val="3"/>
                <w:color w:val="auto"/>
              </w:rPr>
            </w:pPr>
          </w:p>
        </w:tc>
        <w:tc>
          <w:tcPr>
            <w:tcW w:w="1760" w:type="dxa"/>
            <w:vAlign w:val="bottom"/>
            <w:tcBorders>
              <w:bottom w:val="single" w:sz="8" w:color="007FC4"/>
            </w:tcBorders>
          </w:tcPr>
          <w:p>
            <w:pPr>
              <w:spacing w:after="0"/>
              <w:rPr>
                <w:sz w:val="3"/>
                <w:szCs w:val="3"/>
                <w:color w:val="auto"/>
              </w:rPr>
            </w:pPr>
          </w:p>
        </w:tc>
        <w:tc>
          <w:tcPr>
            <w:tcW w:w="1700" w:type="dxa"/>
            <w:vAlign w:val="bottom"/>
            <w:tcBorders>
              <w:bottom w:val="single" w:sz="8" w:color="007FC4"/>
            </w:tcBorders>
          </w:tcPr>
          <w:p>
            <w:pPr>
              <w:spacing w:after="0"/>
              <w:rPr>
                <w:sz w:val="3"/>
                <w:szCs w:val="3"/>
                <w:color w:val="auto"/>
              </w:rPr>
            </w:pPr>
          </w:p>
        </w:tc>
        <w:tc>
          <w:tcPr>
            <w:tcW w:w="1700" w:type="dxa"/>
            <w:vAlign w:val="bottom"/>
            <w:tcBorders>
              <w:bottom w:val="single" w:sz="8" w:color="007FC4"/>
            </w:tcBorders>
          </w:tcPr>
          <w:p>
            <w:pPr>
              <w:spacing w:after="0"/>
              <w:rPr>
                <w:sz w:val="3"/>
                <w:szCs w:val="3"/>
                <w:color w:val="auto"/>
              </w:rPr>
            </w:pPr>
          </w:p>
        </w:tc>
        <w:tc>
          <w:tcPr>
            <w:tcW w:w="1360" w:type="dxa"/>
            <w:vAlign w:val="bottom"/>
            <w:tcBorders>
              <w:bottom w:val="single" w:sz="8" w:color="007FC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For Fiscal 2023, for the Revenue Less Ancillary Services corporate component the revenue portion for the Travel business above an internal target was discounted 50% for purposes of determining the overall achievement against the above payout thresholds.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In Fiscal 2023, our Revenue Less Ancillary Services was $377.1 million, and our Adjusted EBITDA was $42.0 million. These amounts were calculated using the pre-determined adjustment factors adopted in February 2023. Our Revenue Less Ancillary Services for the year ended December 31, 2023 was adjusted to $377.1 million based on pre-determined adjustments related to excluding revenue from the StudyLink acquisition and the revenue portion for the Travel business above an internal target was discounted 50%. Our People &amp; Compensation Committee did not make any discretionary adjustments to the calculation of our 2023 Revenue Less Ancillary Services or Adjusted EBITDA. Our NEOs received 111% payout for the Revenue Less Ancillary Services component and 150% for the Adjusted EBITDA component.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Bonus Awarded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above calculations resulted in the following payout amounts under the 2023 cash incentive bonus program for each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NEOs: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80" w:type="dxa"/>
            <w:vAlign w:val="bottom"/>
          </w:tcPr>
          <w:p>
            <w:pPr>
              <w:jc w:val="right"/>
              <w:ind w:right="531"/>
              <w:spacing w:after="0"/>
              <w:rPr>
                <w:sz w:val="20"/>
                <w:szCs w:val="20"/>
                <w:color w:val="auto"/>
              </w:rPr>
            </w:pPr>
            <w:r>
              <w:rPr>
                <w:rFonts w:ascii="Arial" w:cs="Arial" w:eastAsia="Arial" w:hAnsi="Arial"/>
                <w:sz w:val="13"/>
                <w:szCs w:val="13"/>
                <w:b w:val="1"/>
                <w:bCs w:val="1"/>
                <w:color w:val="auto"/>
              </w:rPr>
              <w:t>PERCENTAGE OF</w:t>
            </w:r>
          </w:p>
        </w:tc>
        <w:tc>
          <w:tcPr>
            <w:tcW w:w="16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ACTUAL BONUS</w:t>
            </w:r>
          </w:p>
        </w:tc>
        <w:tc>
          <w:tcPr>
            <w:tcW w:w="0" w:type="dxa"/>
            <w:vAlign w:val="bottom"/>
          </w:tcPr>
          <w:p>
            <w:pPr>
              <w:spacing w:after="0"/>
              <w:rPr>
                <w:sz w:val="1"/>
                <w:szCs w:val="1"/>
                <w:color w:val="auto"/>
              </w:rPr>
            </w:pPr>
          </w:p>
        </w:tc>
      </w:tr>
      <w:tr>
        <w:trPr>
          <w:trHeight w:val="135"/>
        </w:trPr>
        <w:tc>
          <w:tcPr>
            <w:tcW w:w="26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EXECUTIVE</w:t>
            </w:r>
          </w:p>
        </w:tc>
        <w:tc>
          <w:tcPr>
            <w:tcW w:w="2880" w:type="dxa"/>
            <w:vAlign w:val="bottom"/>
            <w:vMerge w:val="restart"/>
          </w:tcPr>
          <w:p>
            <w:pPr>
              <w:jc w:val="right"/>
              <w:ind w:right="530"/>
              <w:spacing w:after="0"/>
              <w:rPr>
                <w:sz w:val="20"/>
                <w:szCs w:val="20"/>
                <w:color w:val="auto"/>
              </w:rPr>
            </w:pPr>
            <w:r>
              <w:rPr>
                <w:rFonts w:ascii="Arial" w:cs="Arial" w:eastAsia="Arial" w:hAnsi="Arial"/>
                <w:sz w:val="13"/>
                <w:szCs w:val="13"/>
                <w:b w:val="1"/>
                <w:bCs w:val="1"/>
                <w:color w:val="auto"/>
              </w:rPr>
              <w:t>TARGET BONUS</w:t>
            </w:r>
          </w:p>
        </w:tc>
        <w:tc>
          <w:tcPr>
            <w:tcW w:w="2280" w:type="dxa"/>
            <w:vAlign w:val="bottom"/>
          </w:tcPr>
          <w:p>
            <w:pPr>
              <w:jc w:val="right"/>
              <w:ind w:right="511"/>
              <w:spacing w:after="0" w:line="135" w:lineRule="exact"/>
              <w:rPr>
                <w:sz w:val="20"/>
                <w:szCs w:val="20"/>
                <w:color w:val="auto"/>
              </w:rPr>
            </w:pPr>
            <w:r>
              <w:rPr>
                <w:rFonts w:ascii="Arial" w:cs="Arial" w:eastAsia="Arial" w:hAnsi="Arial"/>
                <w:sz w:val="13"/>
                <w:szCs w:val="13"/>
                <w:b w:val="1"/>
                <w:bCs w:val="1"/>
                <w:color w:val="auto"/>
              </w:rPr>
              <w:t>TARGET</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00" w:type="dxa"/>
            <w:vAlign w:val="bottom"/>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280" w:type="dxa"/>
            <w:vAlign w:val="bottom"/>
          </w:tcPr>
          <w:p>
            <w:pPr>
              <w:jc w:val="right"/>
              <w:ind w:right="511"/>
              <w:spacing w:after="0"/>
              <w:rPr>
                <w:sz w:val="20"/>
                <w:szCs w:val="20"/>
                <w:color w:val="auto"/>
              </w:rPr>
            </w:pPr>
            <w:r>
              <w:rPr>
                <w:rFonts w:ascii="Arial" w:cs="Arial" w:eastAsia="Arial" w:hAnsi="Arial"/>
                <w:sz w:val="13"/>
                <w:szCs w:val="13"/>
                <w:b w:val="1"/>
                <w:bCs w:val="1"/>
                <w:color w:val="auto"/>
              </w:rPr>
              <w:t>AWARDED</w:t>
            </w:r>
          </w:p>
        </w:tc>
        <w:tc>
          <w:tcPr>
            <w:tcW w:w="1640" w:type="dxa"/>
            <w:vAlign w:val="bottom"/>
          </w:tcPr>
          <w:p>
            <w:pPr>
              <w:jc w:val="center"/>
              <w:ind w:left="811"/>
              <w:spacing w:after="0"/>
              <w:rPr>
                <w:sz w:val="20"/>
                <w:szCs w:val="20"/>
                <w:color w:val="auto"/>
              </w:rPr>
            </w:pPr>
            <w:r>
              <w:rPr>
                <w:rFonts w:ascii="Arial" w:cs="Arial" w:eastAsia="Arial" w:hAnsi="Arial"/>
                <w:sz w:val="13"/>
                <w:szCs w:val="13"/>
                <w:b w:val="1"/>
                <w:bCs w:val="1"/>
                <w:color w:val="auto"/>
                <w:w w:val="94"/>
              </w:rPr>
              <w:t>AWARDED</w:t>
            </w:r>
          </w:p>
        </w:tc>
        <w:tc>
          <w:tcPr>
            <w:tcW w:w="0" w:type="dxa"/>
            <w:vAlign w:val="bottom"/>
          </w:tcPr>
          <w:p>
            <w:pPr>
              <w:spacing w:after="0"/>
              <w:rPr>
                <w:sz w:val="1"/>
                <w:szCs w:val="1"/>
                <w:color w:val="auto"/>
              </w:rPr>
            </w:pPr>
          </w:p>
        </w:tc>
      </w:tr>
      <w:tr>
        <w:trPr>
          <w:trHeight w:val="49"/>
        </w:trPr>
        <w:tc>
          <w:tcPr>
            <w:tcW w:w="2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6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2880" w:type="dxa"/>
            <w:vAlign w:val="bottom"/>
            <w:shd w:val="clear" w:color="auto" w:fill="E5EBF7"/>
          </w:tcPr>
          <w:p>
            <w:pPr>
              <w:jc w:val="right"/>
              <w:ind w:right="530"/>
              <w:spacing w:after="0"/>
              <w:rPr>
                <w:sz w:val="20"/>
                <w:szCs w:val="20"/>
                <w:color w:val="auto"/>
              </w:rPr>
            </w:pPr>
            <w:r>
              <w:rPr>
                <w:rFonts w:ascii="Arial" w:cs="Arial" w:eastAsia="Arial" w:hAnsi="Arial"/>
                <w:sz w:val="14"/>
                <w:szCs w:val="14"/>
                <w:color w:val="auto"/>
              </w:rPr>
              <w:t>$450,000</w:t>
            </w:r>
          </w:p>
        </w:tc>
        <w:tc>
          <w:tcPr>
            <w:tcW w:w="2280" w:type="dxa"/>
            <w:vAlign w:val="bottom"/>
            <w:shd w:val="clear" w:color="auto" w:fill="E5EBF7"/>
          </w:tcPr>
          <w:p>
            <w:pPr>
              <w:jc w:val="right"/>
              <w:ind w:right="831"/>
              <w:spacing w:after="0"/>
              <w:rPr>
                <w:sz w:val="20"/>
                <w:szCs w:val="20"/>
                <w:color w:val="auto"/>
              </w:rPr>
            </w:pPr>
            <w:r>
              <w:rPr>
                <w:rFonts w:ascii="Arial" w:cs="Arial" w:eastAsia="Arial" w:hAnsi="Arial"/>
                <w:sz w:val="14"/>
                <w:szCs w:val="14"/>
                <w:color w:val="auto"/>
              </w:rPr>
              <w:t>130%</w:t>
            </w:r>
          </w:p>
        </w:tc>
        <w:tc>
          <w:tcPr>
            <w:tcW w:w="1640" w:type="dxa"/>
            <w:vAlign w:val="bottom"/>
            <w:shd w:val="clear" w:color="auto" w:fill="E5EBF7"/>
          </w:tcPr>
          <w:p>
            <w:pPr>
              <w:jc w:val="center"/>
              <w:ind w:left="811"/>
              <w:spacing w:after="0"/>
              <w:rPr>
                <w:sz w:val="20"/>
                <w:szCs w:val="20"/>
                <w:color w:val="auto"/>
              </w:rPr>
            </w:pPr>
            <w:r>
              <w:rPr>
                <w:rFonts w:ascii="Arial" w:cs="Arial" w:eastAsia="Arial" w:hAnsi="Arial"/>
                <w:sz w:val="14"/>
                <w:szCs w:val="14"/>
                <w:color w:val="auto"/>
              </w:rPr>
              <w:t>$585,000</w:t>
            </w:r>
          </w:p>
        </w:tc>
        <w:tc>
          <w:tcPr>
            <w:tcW w:w="0" w:type="dxa"/>
            <w:vAlign w:val="bottom"/>
          </w:tcPr>
          <w:p>
            <w:pPr>
              <w:spacing w:after="0"/>
              <w:rPr>
                <w:sz w:val="1"/>
                <w:szCs w:val="1"/>
                <w:color w:val="auto"/>
              </w:rPr>
            </w:pPr>
          </w:p>
        </w:tc>
      </w:tr>
      <w:tr>
        <w:trPr>
          <w:trHeight w:val="83"/>
        </w:trPr>
        <w:tc>
          <w:tcPr>
            <w:tcW w:w="2600" w:type="dxa"/>
            <w:vAlign w:val="bottom"/>
            <w:shd w:val="clear" w:color="auto" w:fill="E5EBF7"/>
          </w:tcPr>
          <w:p>
            <w:pPr>
              <w:spacing w:after="0"/>
              <w:rPr>
                <w:sz w:val="7"/>
                <w:szCs w:val="7"/>
                <w:color w:val="auto"/>
              </w:rPr>
            </w:pPr>
          </w:p>
        </w:tc>
        <w:tc>
          <w:tcPr>
            <w:tcW w:w="2880" w:type="dxa"/>
            <w:vAlign w:val="bottom"/>
            <w:shd w:val="clear" w:color="auto" w:fill="E5EBF7"/>
          </w:tcPr>
          <w:p>
            <w:pPr>
              <w:spacing w:after="0"/>
              <w:rPr>
                <w:sz w:val="7"/>
                <w:szCs w:val="7"/>
                <w:color w:val="auto"/>
              </w:rPr>
            </w:pPr>
          </w:p>
        </w:tc>
        <w:tc>
          <w:tcPr>
            <w:tcW w:w="2280" w:type="dxa"/>
            <w:vAlign w:val="bottom"/>
            <w:shd w:val="clear" w:color="auto" w:fill="E5EBF7"/>
          </w:tcPr>
          <w:p>
            <w:pPr>
              <w:spacing w:after="0"/>
              <w:rPr>
                <w:sz w:val="7"/>
                <w:szCs w:val="7"/>
                <w:color w:val="auto"/>
              </w:rPr>
            </w:pPr>
          </w:p>
        </w:tc>
        <w:tc>
          <w:tcPr>
            <w:tcW w:w="164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0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2880" w:type="dxa"/>
            <w:vAlign w:val="bottom"/>
          </w:tcPr>
          <w:p>
            <w:pPr>
              <w:jc w:val="right"/>
              <w:ind w:right="530"/>
              <w:spacing w:after="0"/>
              <w:rPr>
                <w:sz w:val="20"/>
                <w:szCs w:val="20"/>
                <w:color w:val="auto"/>
              </w:rPr>
            </w:pPr>
            <w:r>
              <w:rPr>
                <w:rFonts w:ascii="Arial" w:cs="Arial" w:eastAsia="Arial" w:hAnsi="Arial"/>
                <w:sz w:val="14"/>
                <w:szCs w:val="14"/>
                <w:color w:val="auto"/>
              </w:rPr>
              <w:t>$225,000</w:t>
            </w:r>
          </w:p>
        </w:tc>
        <w:tc>
          <w:tcPr>
            <w:tcW w:w="2280" w:type="dxa"/>
            <w:vAlign w:val="bottom"/>
          </w:tcPr>
          <w:p>
            <w:pPr>
              <w:jc w:val="right"/>
              <w:ind w:right="831"/>
              <w:spacing w:after="0"/>
              <w:rPr>
                <w:sz w:val="20"/>
                <w:szCs w:val="20"/>
                <w:color w:val="auto"/>
              </w:rPr>
            </w:pPr>
            <w:r>
              <w:rPr>
                <w:rFonts w:ascii="Arial" w:cs="Arial" w:eastAsia="Arial" w:hAnsi="Arial"/>
                <w:sz w:val="14"/>
                <w:szCs w:val="14"/>
                <w:color w:val="auto"/>
              </w:rPr>
              <w:t>130%</w:t>
            </w:r>
          </w:p>
        </w:tc>
        <w:tc>
          <w:tcPr>
            <w:tcW w:w="1640" w:type="dxa"/>
            <w:vAlign w:val="bottom"/>
          </w:tcPr>
          <w:p>
            <w:pPr>
              <w:jc w:val="center"/>
              <w:ind w:left="811"/>
              <w:spacing w:after="0"/>
              <w:rPr>
                <w:sz w:val="20"/>
                <w:szCs w:val="20"/>
                <w:color w:val="auto"/>
              </w:rPr>
            </w:pPr>
            <w:r>
              <w:rPr>
                <w:rFonts w:ascii="Arial" w:cs="Arial" w:eastAsia="Arial" w:hAnsi="Arial"/>
                <w:sz w:val="14"/>
                <w:szCs w:val="14"/>
                <w:color w:val="auto"/>
              </w:rPr>
              <w:t>$293,000</w:t>
            </w:r>
          </w:p>
        </w:tc>
        <w:tc>
          <w:tcPr>
            <w:tcW w:w="0" w:type="dxa"/>
            <w:vAlign w:val="bottom"/>
          </w:tcPr>
          <w:p>
            <w:pPr>
              <w:spacing w:after="0"/>
              <w:rPr>
                <w:sz w:val="1"/>
                <w:szCs w:val="1"/>
                <w:color w:val="auto"/>
              </w:rPr>
            </w:pPr>
          </w:p>
        </w:tc>
      </w:tr>
      <w:tr>
        <w:trPr>
          <w:trHeight w:val="83"/>
        </w:trPr>
        <w:tc>
          <w:tcPr>
            <w:tcW w:w="26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0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Ellis</w:t>
            </w:r>
          </w:p>
        </w:tc>
        <w:tc>
          <w:tcPr>
            <w:tcW w:w="2880" w:type="dxa"/>
            <w:vAlign w:val="bottom"/>
            <w:shd w:val="clear" w:color="auto" w:fill="E5EBF7"/>
          </w:tcPr>
          <w:p>
            <w:pPr>
              <w:jc w:val="right"/>
              <w:ind w:right="530"/>
              <w:spacing w:after="0"/>
              <w:rPr>
                <w:sz w:val="20"/>
                <w:szCs w:val="20"/>
                <w:color w:val="auto"/>
              </w:rPr>
            </w:pPr>
            <w:r>
              <w:rPr>
                <w:rFonts w:ascii="Arial" w:cs="Arial" w:eastAsia="Arial" w:hAnsi="Arial"/>
                <w:sz w:val="14"/>
                <w:szCs w:val="14"/>
                <w:color w:val="auto"/>
              </w:rPr>
              <w:t>$225,000</w:t>
            </w:r>
          </w:p>
        </w:tc>
        <w:tc>
          <w:tcPr>
            <w:tcW w:w="2280" w:type="dxa"/>
            <w:vAlign w:val="bottom"/>
            <w:shd w:val="clear" w:color="auto" w:fill="E5EBF7"/>
          </w:tcPr>
          <w:p>
            <w:pPr>
              <w:jc w:val="right"/>
              <w:ind w:right="831"/>
              <w:spacing w:after="0"/>
              <w:rPr>
                <w:sz w:val="20"/>
                <w:szCs w:val="20"/>
                <w:color w:val="auto"/>
              </w:rPr>
            </w:pPr>
            <w:r>
              <w:rPr>
                <w:rFonts w:ascii="Arial" w:cs="Arial" w:eastAsia="Arial" w:hAnsi="Arial"/>
                <w:sz w:val="14"/>
                <w:szCs w:val="14"/>
                <w:color w:val="auto"/>
              </w:rPr>
              <w:t>130%</w:t>
            </w:r>
          </w:p>
        </w:tc>
        <w:tc>
          <w:tcPr>
            <w:tcW w:w="1640" w:type="dxa"/>
            <w:vAlign w:val="bottom"/>
            <w:shd w:val="clear" w:color="auto" w:fill="E5EBF7"/>
          </w:tcPr>
          <w:p>
            <w:pPr>
              <w:jc w:val="center"/>
              <w:ind w:left="811"/>
              <w:spacing w:after="0"/>
              <w:rPr>
                <w:sz w:val="20"/>
                <w:szCs w:val="20"/>
                <w:color w:val="auto"/>
              </w:rPr>
            </w:pPr>
            <w:r>
              <w:rPr>
                <w:rFonts w:ascii="Arial" w:cs="Arial" w:eastAsia="Arial" w:hAnsi="Arial"/>
                <w:sz w:val="14"/>
                <w:szCs w:val="14"/>
                <w:color w:val="auto"/>
              </w:rPr>
              <w:t>$293,000</w:t>
            </w:r>
          </w:p>
        </w:tc>
        <w:tc>
          <w:tcPr>
            <w:tcW w:w="0" w:type="dxa"/>
            <w:vAlign w:val="bottom"/>
          </w:tcPr>
          <w:p>
            <w:pPr>
              <w:spacing w:after="0"/>
              <w:rPr>
                <w:sz w:val="1"/>
                <w:szCs w:val="1"/>
                <w:color w:val="auto"/>
              </w:rPr>
            </w:pPr>
          </w:p>
        </w:tc>
      </w:tr>
      <w:tr>
        <w:trPr>
          <w:trHeight w:val="83"/>
        </w:trPr>
        <w:tc>
          <w:tcPr>
            <w:tcW w:w="2600" w:type="dxa"/>
            <w:vAlign w:val="bottom"/>
            <w:shd w:val="clear" w:color="auto" w:fill="E5EBF7"/>
          </w:tcPr>
          <w:p>
            <w:pPr>
              <w:spacing w:after="0"/>
              <w:rPr>
                <w:sz w:val="7"/>
                <w:szCs w:val="7"/>
                <w:color w:val="auto"/>
              </w:rPr>
            </w:pPr>
          </w:p>
        </w:tc>
        <w:tc>
          <w:tcPr>
            <w:tcW w:w="2880" w:type="dxa"/>
            <w:vAlign w:val="bottom"/>
            <w:shd w:val="clear" w:color="auto" w:fill="E5EBF7"/>
          </w:tcPr>
          <w:p>
            <w:pPr>
              <w:spacing w:after="0"/>
              <w:rPr>
                <w:sz w:val="7"/>
                <w:szCs w:val="7"/>
                <w:color w:val="auto"/>
              </w:rPr>
            </w:pPr>
          </w:p>
        </w:tc>
        <w:tc>
          <w:tcPr>
            <w:tcW w:w="2280" w:type="dxa"/>
            <w:vAlign w:val="bottom"/>
            <w:shd w:val="clear" w:color="auto" w:fill="E5EBF7"/>
          </w:tcPr>
          <w:p>
            <w:pPr>
              <w:spacing w:after="0"/>
              <w:rPr>
                <w:sz w:val="7"/>
                <w:szCs w:val="7"/>
                <w:color w:val="auto"/>
              </w:rPr>
            </w:pPr>
          </w:p>
        </w:tc>
        <w:tc>
          <w:tcPr>
            <w:tcW w:w="164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0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2880" w:type="dxa"/>
            <w:vAlign w:val="bottom"/>
          </w:tcPr>
          <w:p>
            <w:pPr>
              <w:jc w:val="right"/>
              <w:ind w:right="530"/>
              <w:spacing w:after="0"/>
              <w:rPr>
                <w:sz w:val="20"/>
                <w:szCs w:val="20"/>
                <w:color w:val="auto"/>
              </w:rPr>
            </w:pPr>
            <w:r>
              <w:rPr>
                <w:rFonts w:ascii="Arial" w:cs="Arial" w:eastAsia="Arial" w:hAnsi="Arial"/>
                <w:sz w:val="14"/>
                <w:szCs w:val="14"/>
                <w:color w:val="auto"/>
              </w:rPr>
              <w:t>$150,000</w:t>
            </w:r>
          </w:p>
        </w:tc>
        <w:tc>
          <w:tcPr>
            <w:tcW w:w="2280" w:type="dxa"/>
            <w:vAlign w:val="bottom"/>
          </w:tcPr>
          <w:p>
            <w:pPr>
              <w:jc w:val="right"/>
              <w:ind w:right="831"/>
              <w:spacing w:after="0"/>
              <w:rPr>
                <w:sz w:val="20"/>
                <w:szCs w:val="20"/>
                <w:color w:val="auto"/>
              </w:rPr>
            </w:pPr>
            <w:r>
              <w:rPr>
                <w:rFonts w:ascii="Arial" w:cs="Arial" w:eastAsia="Arial" w:hAnsi="Arial"/>
                <w:sz w:val="14"/>
                <w:szCs w:val="14"/>
                <w:color w:val="auto"/>
              </w:rPr>
              <w:t>130%</w:t>
            </w:r>
          </w:p>
        </w:tc>
        <w:tc>
          <w:tcPr>
            <w:tcW w:w="1640" w:type="dxa"/>
            <w:vAlign w:val="bottom"/>
          </w:tcPr>
          <w:p>
            <w:pPr>
              <w:jc w:val="center"/>
              <w:ind w:left="811"/>
              <w:spacing w:after="0"/>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83"/>
        </w:trPr>
        <w:tc>
          <w:tcPr>
            <w:tcW w:w="26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600" w:type="dxa"/>
            <w:vAlign w:val="bottom"/>
            <w:tcBorders>
              <w:bottom w:val="single" w:sz="8" w:color="E5EBF7"/>
            </w:tcBorders>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2880" w:type="dxa"/>
            <w:vAlign w:val="bottom"/>
            <w:tcBorders>
              <w:bottom w:val="single" w:sz="8" w:color="E5EBF7"/>
            </w:tcBorders>
            <w:shd w:val="clear" w:color="auto" w:fill="E5EBF7"/>
          </w:tcPr>
          <w:p>
            <w:pPr>
              <w:jc w:val="right"/>
              <w:ind w:right="530"/>
              <w:spacing w:after="0"/>
              <w:rPr>
                <w:sz w:val="20"/>
                <w:szCs w:val="20"/>
                <w:color w:val="auto"/>
              </w:rPr>
            </w:pPr>
            <w:r>
              <w:rPr>
                <w:rFonts w:ascii="Arial" w:cs="Arial" w:eastAsia="Arial" w:hAnsi="Arial"/>
                <w:sz w:val="14"/>
                <w:szCs w:val="14"/>
                <w:color w:val="auto"/>
              </w:rPr>
              <w:t>$150,000</w:t>
            </w:r>
          </w:p>
        </w:tc>
        <w:tc>
          <w:tcPr>
            <w:tcW w:w="2280" w:type="dxa"/>
            <w:vAlign w:val="bottom"/>
            <w:tcBorders>
              <w:bottom w:val="single" w:sz="8" w:color="E5EBF7"/>
            </w:tcBorders>
            <w:shd w:val="clear" w:color="auto" w:fill="E5EBF7"/>
          </w:tcPr>
          <w:p>
            <w:pPr>
              <w:jc w:val="right"/>
              <w:ind w:right="831"/>
              <w:spacing w:after="0"/>
              <w:rPr>
                <w:sz w:val="20"/>
                <w:szCs w:val="20"/>
                <w:color w:val="auto"/>
              </w:rPr>
            </w:pPr>
            <w:r>
              <w:rPr>
                <w:rFonts w:ascii="Arial" w:cs="Arial" w:eastAsia="Arial" w:hAnsi="Arial"/>
                <w:sz w:val="14"/>
                <w:szCs w:val="14"/>
                <w:color w:val="auto"/>
              </w:rPr>
              <w:t>130%</w:t>
            </w:r>
          </w:p>
        </w:tc>
        <w:tc>
          <w:tcPr>
            <w:tcW w:w="1640" w:type="dxa"/>
            <w:vAlign w:val="bottom"/>
            <w:tcBorders>
              <w:bottom w:val="single" w:sz="8" w:color="E5EBF7"/>
            </w:tcBorders>
            <w:shd w:val="clear" w:color="auto" w:fill="E5EBF7"/>
          </w:tcPr>
          <w:p>
            <w:pPr>
              <w:jc w:val="center"/>
              <w:ind w:left="811"/>
              <w:spacing w:after="0"/>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20"/>
        </w:trPr>
        <w:tc>
          <w:tcPr>
            <w:tcW w:w="2600" w:type="dxa"/>
            <w:vAlign w:val="bottom"/>
            <w:shd w:val="clear" w:color="auto" w:fill="007FC4"/>
          </w:tcPr>
          <w:p>
            <w:pPr>
              <w:spacing w:after="0" w:line="20" w:lineRule="exact"/>
              <w:rPr>
                <w:sz w:val="1"/>
                <w:szCs w:val="1"/>
                <w:color w:val="auto"/>
              </w:rPr>
            </w:pPr>
          </w:p>
        </w:tc>
        <w:tc>
          <w:tcPr>
            <w:tcW w:w="2880" w:type="dxa"/>
            <w:vAlign w:val="bottom"/>
            <w:shd w:val="clear" w:color="auto" w:fill="007FC4"/>
          </w:tcPr>
          <w:p>
            <w:pPr>
              <w:spacing w:after="0" w:line="20" w:lineRule="exact"/>
              <w:rPr>
                <w:sz w:val="1"/>
                <w:szCs w:val="1"/>
                <w:color w:val="auto"/>
              </w:rPr>
            </w:pPr>
          </w:p>
        </w:tc>
        <w:tc>
          <w:tcPr>
            <w:tcW w:w="2280" w:type="dxa"/>
            <w:vAlign w:val="bottom"/>
            <w:shd w:val="clear" w:color="auto" w:fill="007FC4"/>
          </w:tcPr>
          <w:p>
            <w:pPr>
              <w:spacing w:after="0" w:line="20" w:lineRule="exact"/>
              <w:rPr>
                <w:sz w:val="1"/>
                <w:szCs w:val="1"/>
                <w:color w:val="auto"/>
              </w:rPr>
            </w:pPr>
          </w:p>
        </w:tc>
        <w:tc>
          <w:tcPr>
            <w:tcW w:w="164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2023 LONG-TERM INCENTIVE COMPENSATION</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People &amp; Compensation Committee is focused on aligning pay with performance in our compensation program, and as such, we continue to evaluate the most effective way to do so. For Fiscal 2023, recognizing the challenges with long-term goal setting given the volatility of the market and with the goal of driving behaviors for long-term success, our People &amp; Compensation Committee determined the most effective way to align executives with stockholders was to award RSUs that are directly aligned with stockholders, with value driven by the share price. The number of shares underlying RSUs granted to our NEOs is based on our People &amp; Compensation Committee’s general understanding of competitive pay practices, our CEO’s recommendation (except with respect to his own awards), consultation with its compensation consultant, and other factors that our People &amp; Compensation Committee deems appropriate. In addition to the annual RSU awards, our People &amp; Compensation Committee may grant additional RSUs for merit, performance, retention or promotional purposes.</w:t>
      </w:r>
    </w:p>
    <w:p>
      <w:pPr>
        <w:spacing w:after="0" w:line="131"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In March 2023, our People &amp; Compensation Committee granted the following time-based RSUs to our NEOs, which vest with respect to 25% of the shares after one year and the remainder vesting in equal quarterly installments over the following three years, subject to the officer’s continued employment.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NUMBER OF SHARES</w:t>
            </w:r>
          </w:p>
        </w:tc>
        <w:tc>
          <w:tcPr>
            <w:tcW w:w="0" w:type="dxa"/>
            <w:vAlign w:val="bottom"/>
          </w:tcPr>
          <w:p>
            <w:pPr>
              <w:spacing w:after="0"/>
              <w:rPr>
                <w:sz w:val="1"/>
                <w:szCs w:val="1"/>
                <w:color w:val="auto"/>
              </w:rPr>
            </w:pPr>
          </w:p>
        </w:tc>
      </w:tr>
      <w:tr>
        <w:trPr>
          <w:trHeight w:val="135"/>
        </w:trPr>
        <w:tc>
          <w:tcPr>
            <w:tcW w:w="46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NAME</w:t>
            </w:r>
          </w:p>
        </w:tc>
        <w:tc>
          <w:tcPr>
            <w:tcW w:w="47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UNDERLYING</w:t>
            </w:r>
          </w:p>
        </w:tc>
        <w:tc>
          <w:tcPr>
            <w:tcW w:w="0" w:type="dxa"/>
            <w:vAlign w:val="bottom"/>
          </w:tcPr>
          <w:p>
            <w:pPr>
              <w:spacing w:after="0"/>
              <w:rPr>
                <w:sz w:val="1"/>
                <w:szCs w:val="1"/>
                <w:color w:val="auto"/>
              </w:rPr>
            </w:pPr>
          </w:p>
        </w:tc>
      </w:tr>
      <w:tr>
        <w:trPr>
          <w:trHeight w:val="172"/>
        </w:trPr>
        <w:tc>
          <w:tcPr>
            <w:tcW w:w="4680" w:type="dxa"/>
            <w:vAlign w:val="bottom"/>
            <w:vMerge w:val="continue"/>
          </w:tcPr>
          <w:p>
            <w:pPr>
              <w:spacing w:after="0"/>
              <w:rPr>
                <w:sz w:val="14"/>
                <w:szCs w:val="14"/>
                <w:color w:val="auto"/>
              </w:rPr>
            </w:pP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RSU GRANT</w:t>
            </w:r>
          </w:p>
        </w:tc>
        <w:tc>
          <w:tcPr>
            <w:tcW w:w="0" w:type="dxa"/>
            <w:vAlign w:val="bottom"/>
          </w:tcPr>
          <w:p>
            <w:pPr>
              <w:spacing w:after="0"/>
              <w:rPr>
                <w:sz w:val="1"/>
                <w:szCs w:val="1"/>
                <w:color w:val="auto"/>
              </w:rPr>
            </w:pPr>
          </w:p>
        </w:tc>
      </w:tr>
      <w:tr>
        <w:trPr>
          <w:trHeight w:val="49"/>
        </w:trPr>
        <w:tc>
          <w:tcPr>
            <w:tcW w:w="468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46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47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284,436</w:t>
            </w:r>
          </w:p>
        </w:tc>
        <w:tc>
          <w:tcPr>
            <w:tcW w:w="0" w:type="dxa"/>
            <w:vAlign w:val="bottom"/>
          </w:tcPr>
          <w:p>
            <w:pPr>
              <w:spacing w:after="0"/>
              <w:rPr>
                <w:sz w:val="1"/>
                <w:szCs w:val="1"/>
                <w:color w:val="auto"/>
              </w:rPr>
            </w:pPr>
          </w:p>
        </w:tc>
      </w:tr>
      <w:tr>
        <w:trPr>
          <w:trHeight w:val="83"/>
        </w:trPr>
        <w:tc>
          <w:tcPr>
            <w:tcW w:w="4680" w:type="dxa"/>
            <w:vAlign w:val="bottom"/>
            <w:shd w:val="clear" w:color="auto" w:fill="E5EBF7"/>
          </w:tcPr>
          <w:p>
            <w:pPr>
              <w:spacing w:after="0"/>
              <w:rPr>
                <w:sz w:val="7"/>
                <w:szCs w:val="7"/>
                <w:color w:val="auto"/>
              </w:rPr>
            </w:pPr>
          </w:p>
        </w:tc>
        <w:tc>
          <w:tcPr>
            <w:tcW w:w="47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68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4720" w:type="dxa"/>
            <w:vAlign w:val="bottom"/>
          </w:tcPr>
          <w:p>
            <w:pPr>
              <w:jc w:val="right"/>
              <w:spacing w:after="0"/>
              <w:rPr>
                <w:sz w:val="20"/>
                <w:szCs w:val="20"/>
                <w:color w:val="auto"/>
              </w:rPr>
            </w:pPr>
            <w:r>
              <w:rPr>
                <w:rFonts w:ascii="Arial" w:cs="Arial" w:eastAsia="Arial" w:hAnsi="Arial"/>
                <w:sz w:val="14"/>
                <w:szCs w:val="14"/>
                <w:color w:val="auto"/>
              </w:rPr>
              <w:t>150,064</w:t>
            </w:r>
          </w:p>
        </w:tc>
        <w:tc>
          <w:tcPr>
            <w:tcW w:w="0" w:type="dxa"/>
            <w:vAlign w:val="bottom"/>
          </w:tcPr>
          <w:p>
            <w:pPr>
              <w:spacing w:after="0"/>
              <w:rPr>
                <w:sz w:val="1"/>
                <w:szCs w:val="1"/>
                <w:color w:val="auto"/>
              </w:rPr>
            </w:pPr>
          </w:p>
        </w:tc>
      </w:tr>
      <w:tr>
        <w:trPr>
          <w:trHeight w:val="83"/>
        </w:trPr>
        <w:tc>
          <w:tcPr>
            <w:tcW w:w="4680" w:type="dxa"/>
            <w:vAlign w:val="bottom"/>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6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Ellis</w:t>
            </w:r>
          </w:p>
        </w:tc>
        <w:tc>
          <w:tcPr>
            <w:tcW w:w="47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101,023</w:t>
            </w:r>
          </w:p>
        </w:tc>
        <w:tc>
          <w:tcPr>
            <w:tcW w:w="0" w:type="dxa"/>
            <w:vAlign w:val="bottom"/>
          </w:tcPr>
          <w:p>
            <w:pPr>
              <w:spacing w:after="0"/>
              <w:rPr>
                <w:sz w:val="1"/>
                <w:szCs w:val="1"/>
                <w:color w:val="auto"/>
              </w:rPr>
            </w:pPr>
          </w:p>
        </w:tc>
      </w:tr>
      <w:tr>
        <w:trPr>
          <w:trHeight w:val="83"/>
        </w:trPr>
        <w:tc>
          <w:tcPr>
            <w:tcW w:w="4680" w:type="dxa"/>
            <w:vAlign w:val="bottom"/>
            <w:shd w:val="clear" w:color="auto" w:fill="E5EBF7"/>
          </w:tcPr>
          <w:p>
            <w:pPr>
              <w:spacing w:after="0"/>
              <w:rPr>
                <w:sz w:val="7"/>
                <w:szCs w:val="7"/>
                <w:color w:val="auto"/>
              </w:rPr>
            </w:pPr>
          </w:p>
        </w:tc>
        <w:tc>
          <w:tcPr>
            <w:tcW w:w="47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68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4720" w:type="dxa"/>
            <w:vAlign w:val="bottom"/>
          </w:tcPr>
          <w:p>
            <w:pPr>
              <w:jc w:val="right"/>
              <w:ind w:right="11"/>
              <w:spacing w:after="0"/>
              <w:rPr>
                <w:sz w:val="20"/>
                <w:szCs w:val="20"/>
                <w:color w:val="auto"/>
              </w:rPr>
            </w:pPr>
            <w:r>
              <w:rPr>
                <w:rFonts w:ascii="Arial" w:cs="Arial" w:eastAsia="Arial" w:hAnsi="Arial"/>
                <w:sz w:val="14"/>
                <w:szCs w:val="14"/>
                <w:color w:val="auto"/>
              </w:rPr>
              <w:t>71,599</w:t>
            </w:r>
          </w:p>
        </w:tc>
        <w:tc>
          <w:tcPr>
            <w:tcW w:w="0" w:type="dxa"/>
            <w:vAlign w:val="bottom"/>
          </w:tcPr>
          <w:p>
            <w:pPr>
              <w:spacing w:after="0"/>
              <w:rPr>
                <w:sz w:val="1"/>
                <w:szCs w:val="1"/>
                <w:color w:val="auto"/>
              </w:rPr>
            </w:pPr>
          </w:p>
        </w:tc>
      </w:tr>
      <w:tr>
        <w:trPr>
          <w:trHeight w:val="83"/>
        </w:trPr>
        <w:tc>
          <w:tcPr>
            <w:tcW w:w="4680" w:type="dxa"/>
            <w:vAlign w:val="bottom"/>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680" w:type="dxa"/>
            <w:vAlign w:val="bottom"/>
            <w:tcBorders>
              <w:bottom w:val="single" w:sz="8" w:color="E5EBF7"/>
            </w:tcBorders>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472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120,640</w:t>
            </w:r>
          </w:p>
        </w:tc>
        <w:tc>
          <w:tcPr>
            <w:tcW w:w="0" w:type="dxa"/>
            <w:vAlign w:val="bottom"/>
          </w:tcPr>
          <w:p>
            <w:pPr>
              <w:spacing w:after="0"/>
              <w:rPr>
                <w:sz w:val="1"/>
                <w:szCs w:val="1"/>
                <w:color w:val="auto"/>
              </w:rPr>
            </w:pPr>
          </w:p>
        </w:tc>
      </w:tr>
      <w:tr>
        <w:trPr>
          <w:trHeight w:val="20"/>
        </w:trPr>
        <w:tc>
          <w:tcPr>
            <w:tcW w:w="4680" w:type="dxa"/>
            <w:vAlign w:val="bottom"/>
            <w:shd w:val="clear" w:color="auto" w:fill="007FC4"/>
          </w:tcPr>
          <w:p>
            <w:pPr>
              <w:spacing w:after="0" w:line="20" w:lineRule="exact"/>
              <w:rPr>
                <w:sz w:val="1"/>
                <w:szCs w:val="1"/>
                <w:color w:val="auto"/>
              </w:rPr>
            </w:pPr>
          </w:p>
        </w:tc>
        <w:tc>
          <w:tcPr>
            <w:tcW w:w="472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SEVERANCE AND CHANGE IN CONTROL BENEFITS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Severance and change in control benefits promote stability and continuity of our senior management team in the event of a potential change in control and/or an involuntary termination. Our People &amp; Compensation Committee believes these provisions help to align our NEO’s interests appropriately with those of our stockholders in these scenarios. We have entered into employment agreements with each of our NEOs, which provide for at-will employment and, other than in the context of a termination without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Cause or a Resignation for Good Reason (as such terms are defined in the employment agreements), may be terminated at any time. See Fiscal 2023 Potential Payments Upon Termination or Change in Control below for a description of the severance benefits and the acceleration benefits, if any, that Messrs. Massaro, Orgel, Ellis, Butterfield and King are entitled to pursuant to their employment agreements and equity award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OTHER BENEFITS AND PERQUISITES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NEOs are eligible to participate in all of our employee benefit plans (including our employee stock purchase plan, administered by our People &amp; Compensation Committee), such as medical, dental, vision, group life and disability insurance and our 401(k) plan, in each case, on the same basis as our other employees. We are responsible for the administrative costs of the 401(k) plan. We match 50% of every dollar contributed up to 6% of salary, subject to certain limitations under the Internal Revenue Code. There were no special benefits or perquisites provided to any NEO in Fiscal 2023.</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RECOUPMENT AND RELATED POLICIES</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a comprehensive Code of Conduct and ensure that our employees comply with this policy. In accordance with this policy, we investigate all reported instances of questionable or unethical behavior, and where improper behavior is found to have occurred, we take appropriate remedial action up to and including termination. If the results of an investigation establish that one of our employees, officers or directors has committed fraud or engaged in some other improper act that has the result of causing our financial statements for any period to be restated or that otherwise adversely affects those financial statements, our Board has discretion to take immediate and appropriate disciplinary action against the individual, including but not limited to termination. In addition, our Board has discretion to pursue whatever legal remedies are available to prosecute the individual to the fullest extent of the law and to claw back or recoup any amounts he or she inappropriately received as a result of the improper action or inaction, including but not limited to any annual or long-term incentives that he or she received but would not have received had such act not be taken. In July 2023, we adopted a Policy for the Recovery of Erroneously Awarded Compensation applicable to our executive officers (as defined for purposes of Section 16 of the Securities Exchange Act of 1934, as amended) covering our annual and long-term incentive award plans and arrangements consistent with the requirements of the Exchange Act Rule 10D-1 after Nasdaq releases final listing standards in accordance with such rule.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RESTRICTIONS ON TRADING</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Insider Trading Policy, as amended and restated in the first quarter of 2023 (ITP), prohibits our employees (including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our equity securities (i) granted to the employee or director as part of the compensation of the employee or director; or (ii) held, directly or indirectly, by the employee or director. In addition, our employees (including officers) and directors may not pledge our equity securities held by them without the prior clearance of one of our compliance officers.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RULE 10B5-1 SALES PLANS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ITP permits our directors, officers and employees to enter into trading plans complying with Rule 10b5-1 under the Exchange Act at a time when such individuals are not in possession of material non-public information. Certain of our executive officers and directors have adopted, and may in the future adopt, Rule 10b5-1 trading plans. Generally, under these trading plans, the individual relinquishes control over the transactions once the trading plan is put into place. Accordingly, sales under these plans may occur at any time during the term of the trading plan, including possibly before, simultaneously with, or immediately after significant events involving our company, and at other times, including during a closed trading window, when a director, officer, or employee may be prohibited from trading otherwise.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GUIDELINES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 better align the interests of our executive officers with those of our stockholders, in July 2023 we adopted a stock ownership policy that requires our executive officers (as defined for purposes of Section 16 of the Securities Exchange Act of 1934, as amended) to hold specified amounts of Flywire stock or other qualifying equity securities. Qualifying equity securities include Flywire common stock, including both vested and unvested restricted stock unit awards that do not have an exercise or purchase price, and shares issuable under equity awards that vest based on the achievement of performance goals after such conditions have been satisfied. Qualifying equity securities include shares held by the executive or any immediate family members living in his or her household.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36 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Under the policy, ownership guidelines are five times (5x) annual base salary for our Chief Executive Officer and two times (2x) base salary for all other executive officers. Compliance with this policy is measured at the end of our fiscal year and is measured based on the closing price of the common stock on the applicable measurement date (or the last prior trading day if the measurement date is not a trading day). Each executive officer has five years from the later of (i) the effective date of the policy (July 2023) or (ii) the first date the individual became subject to the guidelines as an executive officer. If at that point an executive officer does not hold the required amount, then they are required to maintain 50% of any shares acquired through stock option exercises and vesting of restricted stock units until such time as the threshold is met. At the end of 2023, each executive officer had satisfied the stock ownership guidelines.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PEOPLE &amp; COMPENSATION COMMITTEE REPORT*</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People &amp; Compensation Committee has reviewed and discussed the Compensation Discussion and Analysis with management. Based on such review and discussion, our People &amp; Compensation Committee has recommended to our Board of Directors that the Compensation Discussion and Analysis be incorporated by reference into our 2023 Annual Report and included in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People &amp; Compensation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Diane Offereins,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Matthew Harris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Gretchen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4" w:lineRule="exact"/>
        <w:rPr>
          <w:sz w:val="20"/>
          <w:szCs w:val="20"/>
          <w:color w:val="auto"/>
        </w:rPr>
      </w:pPr>
    </w:p>
    <w:p>
      <w:pPr>
        <w:jc w:val="both"/>
        <w:ind w:left="360" w:hanging="354"/>
        <w:spacing w:after="0" w:line="236" w:lineRule="auto"/>
        <w:tabs>
          <w:tab w:leader="none" w:pos="360" w:val="left"/>
        </w:tabs>
        <w:numPr>
          <w:ilvl w:val="0"/>
          <w:numId w:val="72"/>
        </w:numPr>
        <w:rPr>
          <w:rFonts w:ascii="Arial" w:cs="Arial" w:eastAsia="Arial" w:hAnsi="Arial"/>
          <w:sz w:val="13"/>
          <w:szCs w:val="13"/>
          <w:color w:val="333333"/>
        </w:rPr>
      </w:pPr>
      <w:r>
        <w:rPr>
          <w:rFonts w:ascii="Arial" w:cs="Arial" w:eastAsia="Arial" w:hAnsi="Arial"/>
          <w:sz w:val="13"/>
          <w:szCs w:val="13"/>
          <w:b w:val="1"/>
          <w:bCs w:val="1"/>
          <w:color w:val="333333"/>
        </w:rPr>
        <w:t>The material in this report is not soliciting material, is not deemed filed with the SEC and is not to be incorporated by reference in any filing of Flywire Corporation under the Securities Act or the Exchange Act, whether made before or after the date hereof and irrespective of any general incorporation language in any such filing.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Flywire Corporation      37 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FISCAL 2023 SUMMARY COMPENSATION TABLE</w:t>
      </w:r>
    </w:p>
    <w:p>
      <w:pPr>
        <w:spacing w:after="0" w:line="18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table shows information regarding the compensation awarded to, earned by, or paid to our NEOs for the years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STOCK</w:t>
            </w:r>
          </w:p>
        </w:tc>
        <w:tc>
          <w:tcPr>
            <w:tcW w:w="10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OPTION</w:t>
            </w:r>
          </w:p>
        </w:tc>
        <w:tc>
          <w:tcPr>
            <w:tcW w:w="1500" w:type="dxa"/>
            <w:vAlign w:val="bottom"/>
          </w:tcPr>
          <w:p>
            <w:pPr>
              <w:jc w:val="right"/>
              <w:ind w:right="170"/>
              <w:spacing w:after="0"/>
              <w:rPr>
                <w:sz w:val="20"/>
                <w:szCs w:val="20"/>
                <w:color w:val="auto"/>
              </w:rPr>
            </w:pPr>
            <w:r>
              <w:rPr>
                <w:rFonts w:ascii="Arial" w:cs="Arial" w:eastAsia="Arial" w:hAnsi="Arial"/>
                <w:sz w:val="13"/>
                <w:szCs w:val="13"/>
                <w:b w:val="1"/>
                <w:bCs w:val="1"/>
                <w:color w:val="auto"/>
              </w:rPr>
              <w:t>NON-EQUITY</w:t>
            </w:r>
          </w:p>
        </w:tc>
        <w:tc>
          <w:tcPr>
            <w:tcW w:w="14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 AND PRINCIPAL</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SALARY</w:t>
            </w: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500" w:type="dxa"/>
            <w:vAlign w:val="bottom"/>
          </w:tcPr>
          <w:p>
            <w:pPr>
              <w:jc w:val="right"/>
              <w:ind w:right="170"/>
              <w:spacing w:after="0" w:line="126" w:lineRule="exact"/>
              <w:rPr>
                <w:sz w:val="20"/>
                <w:szCs w:val="20"/>
                <w:color w:val="auto"/>
              </w:rPr>
            </w:pPr>
            <w:r>
              <w:rPr>
                <w:rFonts w:ascii="Arial" w:cs="Arial" w:eastAsia="Arial" w:hAnsi="Arial"/>
                <w:sz w:val="13"/>
                <w:szCs w:val="13"/>
                <w:b w:val="1"/>
                <w:bCs w:val="1"/>
                <w:color w:val="auto"/>
              </w:rPr>
              <w:t>INCENTIVE PLAN</w:t>
            </w:r>
          </w:p>
        </w:tc>
        <w:tc>
          <w:tcPr>
            <w:tcW w:w="1420" w:type="dxa"/>
            <w:vAlign w:val="bottom"/>
            <w:vMerge w:val="continue"/>
          </w:tcPr>
          <w:p>
            <w:pPr>
              <w:spacing w:after="0"/>
              <w:rPr>
                <w:sz w:val="10"/>
                <w:szCs w:val="10"/>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4"/>
              </w:rPr>
              <w:t>YEAR</w:t>
            </w:r>
          </w:p>
        </w:tc>
        <w:tc>
          <w:tcPr>
            <w:tcW w:w="800" w:type="dxa"/>
            <w:vAlign w:val="bottom"/>
            <w:vMerge w:val="continue"/>
          </w:tcPr>
          <w:p>
            <w:pPr>
              <w:spacing w:after="0"/>
              <w:rPr>
                <w:sz w:val="11"/>
                <w:szCs w:val="11"/>
                <w:color w:val="auto"/>
              </w:rPr>
            </w:pPr>
          </w:p>
        </w:tc>
        <w:tc>
          <w:tcPr>
            <w:tcW w:w="92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rPr>
              <w:t>AWARDS</w:t>
            </w:r>
          </w:p>
        </w:tc>
        <w:tc>
          <w:tcPr>
            <w:tcW w:w="1000" w:type="dxa"/>
            <w:vAlign w:val="bottom"/>
          </w:tcPr>
          <w:p>
            <w:pPr>
              <w:jc w:val="right"/>
              <w:ind w:right="170"/>
              <w:spacing w:after="0" w:line="135" w:lineRule="exact"/>
              <w:rPr>
                <w:sz w:val="20"/>
                <w:szCs w:val="20"/>
                <w:color w:val="auto"/>
              </w:rPr>
            </w:pPr>
            <w:r>
              <w:rPr>
                <w:rFonts w:ascii="Arial" w:cs="Arial" w:eastAsia="Arial" w:hAnsi="Arial"/>
                <w:sz w:val="13"/>
                <w:szCs w:val="13"/>
                <w:b w:val="1"/>
                <w:bCs w:val="1"/>
                <w:color w:val="auto"/>
              </w:rPr>
              <w:t>AWARDS</w:t>
            </w:r>
          </w:p>
        </w:tc>
        <w:tc>
          <w:tcPr>
            <w:tcW w:w="1500" w:type="dxa"/>
            <w:vAlign w:val="bottom"/>
          </w:tcPr>
          <w:p>
            <w:pPr>
              <w:jc w:val="right"/>
              <w:ind w:right="170"/>
              <w:spacing w:after="0" w:line="135" w:lineRule="exact"/>
              <w:rPr>
                <w:sz w:val="20"/>
                <w:szCs w:val="20"/>
                <w:color w:val="auto"/>
              </w:rPr>
            </w:pPr>
            <w:r>
              <w:rPr>
                <w:rFonts w:ascii="Arial" w:cs="Arial" w:eastAsia="Arial" w:hAnsi="Arial"/>
                <w:sz w:val="13"/>
                <w:szCs w:val="13"/>
                <w:b w:val="1"/>
                <w:bCs w:val="1"/>
                <w:color w:val="auto"/>
              </w:rPr>
              <w:t>COMPENSATION</w:t>
            </w:r>
          </w:p>
        </w:tc>
        <w:tc>
          <w:tcPr>
            <w:tcW w:w="142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rPr>
              <w:t>COMPENSATION</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60"/>
              <w:spacing w:after="0"/>
              <w:rPr>
                <w:sz w:val="20"/>
                <w:szCs w:val="20"/>
                <w:color w:val="auto"/>
              </w:rPr>
            </w:pPr>
            <w:r>
              <w:rPr>
                <w:rFonts w:ascii="Arial" w:cs="Arial" w:eastAsia="Arial" w:hAnsi="Arial"/>
                <w:sz w:val="13"/>
                <w:szCs w:val="13"/>
                <w:b w:val="1"/>
                <w:bCs w:val="1"/>
                <w:color w:val="auto"/>
              </w:rPr>
              <w:t>POSITION</w:t>
            </w:r>
          </w:p>
        </w:tc>
        <w:tc>
          <w:tcPr>
            <w:tcW w:w="1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500" w:type="dxa"/>
            <w:vAlign w:val="bottom"/>
          </w:tcPr>
          <w:p>
            <w:pPr>
              <w:ind w:left="1140"/>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ind w:left="112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23"/>
        </w:trPr>
        <w:tc>
          <w:tcPr>
            <w:tcW w:w="2280" w:type="dxa"/>
            <w:vAlign w:val="bottom"/>
            <w:shd w:val="clear" w:color="auto" w:fill="E5EBF7"/>
          </w:tcPr>
          <w:p>
            <w:pPr>
              <w:spacing w:after="0"/>
              <w:rPr>
                <w:sz w:val="24"/>
                <w:szCs w:val="24"/>
                <w:color w:val="auto"/>
              </w:rPr>
            </w:pPr>
          </w:p>
        </w:tc>
        <w:tc>
          <w:tcPr>
            <w:tcW w:w="120" w:type="dxa"/>
            <w:vAlign w:val="bottom"/>
            <w:shd w:val="clear" w:color="auto" w:fill="E5EBF7"/>
          </w:tcPr>
          <w:p>
            <w:pPr>
              <w:spacing w:after="0"/>
              <w:rPr>
                <w:sz w:val="24"/>
                <w:szCs w:val="24"/>
                <w:color w:val="auto"/>
              </w:rPr>
            </w:pPr>
          </w:p>
        </w:tc>
        <w:tc>
          <w:tcPr>
            <w:tcW w:w="3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E5EBF7"/>
          </w:tcPr>
          <w:p>
            <w:pPr>
              <w:spacing w:after="0"/>
              <w:rPr>
                <w:sz w:val="24"/>
                <w:szCs w:val="24"/>
                <w:color w:val="auto"/>
              </w:rPr>
            </w:pPr>
          </w:p>
        </w:tc>
        <w:tc>
          <w:tcPr>
            <w:tcW w:w="800" w:type="dxa"/>
            <w:vAlign w:val="bottom"/>
            <w:shd w:val="clear" w:color="auto" w:fill="E5EBF7"/>
          </w:tcPr>
          <w:p>
            <w:pPr>
              <w:jc w:val="right"/>
              <w:ind w:right="69"/>
              <w:spacing w:after="0"/>
              <w:rPr>
                <w:sz w:val="20"/>
                <w:szCs w:val="20"/>
                <w:color w:val="auto"/>
              </w:rPr>
            </w:pPr>
            <w:r>
              <w:rPr>
                <w:rFonts w:ascii="Arial" w:cs="Arial" w:eastAsia="Arial" w:hAnsi="Arial"/>
                <w:sz w:val="14"/>
                <w:szCs w:val="14"/>
                <w:color w:val="auto"/>
              </w:rPr>
              <w:t>450,000</w:t>
            </w:r>
          </w:p>
        </w:tc>
        <w:tc>
          <w:tcPr>
            <w:tcW w:w="920" w:type="dxa"/>
            <w:vAlign w:val="bottom"/>
            <w:shd w:val="clear" w:color="auto" w:fill="E5EBF7"/>
          </w:tcPr>
          <w:p>
            <w:pPr>
              <w:jc w:val="right"/>
              <w:ind w:right="90"/>
              <w:spacing w:after="0"/>
              <w:rPr>
                <w:sz w:val="20"/>
                <w:szCs w:val="20"/>
                <w:color w:val="auto"/>
              </w:rPr>
            </w:pPr>
            <w:r>
              <w:rPr>
                <w:rFonts w:ascii="Arial" w:cs="Arial" w:eastAsia="Arial" w:hAnsi="Arial"/>
                <w:sz w:val="14"/>
                <w:szCs w:val="14"/>
                <w:color w:val="auto"/>
              </w:rPr>
              <w:t>7,628,574</w:t>
            </w:r>
          </w:p>
        </w:tc>
        <w:tc>
          <w:tcPr>
            <w:tcW w:w="1000" w:type="dxa"/>
            <w:vAlign w:val="bottom"/>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5EBF7"/>
          </w:tcPr>
          <w:p>
            <w:pPr>
              <w:ind w:left="620"/>
              <w:spacing w:after="0"/>
              <w:rPr>
                <w:sz w:val="20"/>
                <w:szCs w:val="20"/>
                <w:color w:val="auto"/>
              </w:rPr>
            </w:pPr>
            <w:r>
              <w:rPr>
                <w:rFonts w:ascii="Arial" w:cs="Arial" w:eastAsia="Arial" w:hAnsi="Arial"/>
                <w:sz w:val="14"/>
                <w:szCs w:val="14"/>
                <w:color w:val="auto"/>
              </w:rPr>
              <w:t>585,000</w:t>
            </w:r>
            <w:r>
              <w:rPr>
                <w:rFonts w:ascii="Arial" w:cs="Arial" w:eastAsia="Arial" w:hAnsi="Arial"/>
                <w:sz w:val="23"/>
                <w:szCs w:val="23"/>
                <w:color w:val="auto"/>
                <w:vertAlign w:val="superscript"/>
              </w:rPr>
              <w:t>(2)</w:t>
            </w:r>
          </w:p>
        </w:tc>
        <w:tc>
          <w:tcPr>
            <w:tcW w:w="1420" w:type="dxa"/>
            <w:vAlign w:val="bottom"/>
            <w:shd w:val="clear" w:color="auto" w:fill="E5EBF7"/>
          </w:tcPr>
          <w:p>
            <w:pPr>
              <w:ind w:left="760"/>
              <w:spacing w:after="0"/>
              <w:rPr>
                <w:sz w:val="20"/>
                <w:szCs w:val="20"/>
                <w:color w:val="auto"/>
              </w:rPr>
            </w:pPr>
            <w:r>
              <w:rPr>
                <w:rFonts w:ascii="Arial" w:cs="Arial" w:eastAsia="Arial" w:hAnsi="Arial"/>
                <w:sz w:val="14"/>
                <w:szCs w:val="14"/>
                <w:color w:val="auto"/>
              </w:rPr>
              <w:t>9,998</w:t>
            </w:r>
            <w:r>
              <w:rPr>
                <w:rFonts w:ascii="Arial" w:cs="Arial" w:eastAsia="Arial" w:hAnsi="Arial"/>
                <w:sz w:val="23"/>
                <w:szCs w:val="23"/>
                <w:color w:val="auto"/>
                <w:vertAlign w:val="superscript"/>
              </w:rPr>
              <w:t>(3)</w:t>
            </w:r>
          </w:p>
        </w:tc>
        <w:tc>
          <w:tcPr>
            <w:tcW w:w="860" w:type="dxa"/>
            <w:vAlign w:val="bottom"/>
            <w:shd w:val="clear" w:color="auto" w:fill="E5EBF7"/>
          </w:tcPr>
          <w:p>
            <w:pPr>
              <w:jc w:val="right"/>
              <w:ind w:right="9"/>
              <w:spacing w:after="0"/>
              <w:rPr>
                <w:sz w:val="20"/>
                <w:szCs w:val="20"/>
                <w:color w:val="auto"/>
              </w:rPr>
            </w:pPr>
            <w:r>
              <w:rPr>
                <w:rFonts w:ascii="Arial" w:cs="Arial" w:eastAsia="Arial" w:hAnsi="Arial"/>
                <w:sz w:val="14"/>
                <w:szCs w:val="14"/>
                <w:color w:val="auto"/>
              </w:rPr>
              <w:t>8,673,572</w:t>
            </w:r>
          </w:p>
        </w:tc>
        <w:tc>
          <w:tcPr>
            <w:tcW w:w="0" w:type="dxa"/>
            <w:vAlign w:val="bottom"/>
          </w:tcPr>
          <w:p>
            <w:pPr>
              <w:spacing w:after="0"/>
              <w:rPr>
                <w:sz w:val="1"/>
                <w:szCs w:val="1"/>
                <w:color w:val="auto"/>
              </w:rPr>
            </w:pPr>
          </w:p>
        </w:tc>
      </w:tr>
      <w:tr>
        <w:trPr>
          <w:trHeight w:val="196"/>
        </w:trPr>
        <w:tc>
          <w:tcPr>
            <w:tcW w:w="22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Massaro</w:t>
            </w:r>
          </w:p>
        </w:tc>
        <w:tc>
          <w:tcPr>
            <w:tcW w:w="120" w:type="dxa"/>
            <w:vAlign w:val="bottom"/>
            <w:shd w:val="clear" w:color="auto" w:fill="E5EBF7"/>
          </w:tcPr>
          <w:p>
            <w:pPr>
              <w:spacing w:after="0"/>
              <w:rPr>
                <w:sz w:val="17"/>
                <w:szCs w:val="17"/>
                <w:color w:val="auto"/>
              </w:rPr>
            </w:pPr>
          </w:p>
        </w:tc>
        <w:tc>
          <w:tcPr>
            <w:tcW w:w="360" w:type="dxa"/>
            <w:vAlign w:val="bottom"/>
            <w:vMerge w:val="restart"/>
            <w:shd w:val="clear" w:color="auto" w:fill="E5EBF7"/>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E5EBF7"/>
          </w:tcPr>
          <w:p>
            <w:pPr>
              <w:spacing w:after="0"/>
              <w:rPr>
                <w:sz w:val="17"/>
                <w:szCs w:val="17"/>
                <w:color w:val="auto"/>
              </w:rPr>
            </w:pPr>
          </w:p>
        </w:tc>
        <w:tc>
          <w:tcPr>
            <w:tcW w:w="800" w:type="dxa"/>
            <w:vAlign w:val="bottom"/>
            <w:vMerge w:val="restart"/>
            <w:shd w:val="clear" w:color="auto" w:fill="E5EBF7"/>
          </w:tcPr>
          <w:p>
            <w:pPr>
              <w:jc w:val="right"/>
              <w:ind w:right="69"/>
              <w:spacing w:after="0"/>
              <w:rPr>
                <w:sz w:val="20"/>
                <w:szCs w:val="20"/>
                <w:color w:val="auto"/>
              </w:rPr>
            </w:pPr>
            <w:r>
              <w:rPr>
                <w:rFonts w:ascii="Arial" w:cs="Arial" w:eastAsia="Arial" w:hAnsi="Arial"/>
                <w:sz w:val="14"/>
                <w:szCs w:val="14"/>
                <w:color w:val="auto"/>
              </w:rPr>
              <w:t>450,000</w:t>
            </w:r>
          </w:p>
        </w:tc>
        <w:tc>
          <w:tcPr>
            <w:tcW w:w="920" w:type="dxa"/>
            <w:vAlign w:val="bottom"/>
            <w:vMerge w:val="restart"/>
            <w:shd w:val="clear" w:color="auto" w:fill="E5EBF7"/>
          </w:tcPr>
          <w:p>
            <w:pPr>
              <w:jc w:val="right"/>
              <w:ind w:right="90"/>
              <w:spacing w:after="0"/>
              <w:rPr>
                <w:sz w:val="20"/>
                <w:szCs w:val="20"/>
                <w:color w:val="auto"/>
              </w:rPr>
            </w:pPr>
            <w:r>
              <w:rPr>
                <w:rFonts w:ascii="Arial" w:cs="Arial" w:eastAsia="Arial" w:hAnsi="Arial"/>
                <w:sz w:val="14"/>
                <w:szCs w:val="14"/>
                <w:color w:val="auto"/>
              </w:rPr>
              <w:t>6,384,148</w:t>
            </w:r>
          </w:p>
        </w:tc>
        <w:tc>
          <w:tcPr>
            <w:tcW w:w="1000" w:type="dxa"/>
            <w:vAlign w:val="bottom"/>
            <w:vMerge w:val="restart"/>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E5EBF7"/>
          </w:tcPr>
          <w:p>
            <w:pPr>
              <w:ind w:left="620"/>
              <w:spacing w:after="0"/>
              <w:rPr>
                <w:sz w:val="20"/>
                <w:szCs w:val="20"/>
                <w:color w:val="auto"/>
              </w:rPr>
            </w:pPr>
            <w:r>
              <w:rPr>
                <w:rFonts w:ascii="Arial" w:cs="Arial" w:eastAsia="Arial" w:hAnsi="Arial"/>
                <w:sz w:val="14"/>
                <w:szCs w:val="14"/>
                <w:color w:val="auto"/>
              </w:rPr>
              <w:t>226,200</w:t>
            </w:r>
          </w:p>
        </w:tc>
        <w:tc>
          <w:tcPr>
            <w:tcW w:w="1420" w:type="dxa"/>
            <w:vAlign w:val="bottom"/>
            <w:vMerge w:val="restart"/>
            <w:shd w:val="clear" w:color="auto" w:fill="E5EBF7"/>
          </w:tcPr>
          <w:p>
            <w:pPr>
              <w:ind w:left="760"/>
              <w:spacing w:after="0"/>
              <w:rPr>
                <w:sz w:val="20"/>
                <w:szCs w:val="20"/>
                <w:color w:val="auto"/>
              </w:rPr>
            </w:pPr>
            <w:r>
              <w:rPr>
                <w:rFonts w:ascii="Arial" w:cs="Arial" w:eastAsia="Arial" w:hAnsi="Arial"/>
                <w:sz w:val="14"/>
                <w:szCs w:val="14"/>
                <w:color w:val="auto"/>
              </w:rPr>
              <w:t>9,248</w:t>
            </w:r>
          </w:p>
        </w:tc>
        <w:tc>
          <w:tcPr>
            <w:tcW w:w="860" w:type="dxa"/>
            <w:vAlign w:val="bottom"/>
            <w:vMerge w:val="restart"/>
            <w:shd w:val="clear" w:color="auto" w:fill="E5EBF7"/>
          </w:tcPr>
          <w:p>
            <w:pPr>
              <w:jc w:val="right"/>
              <w:ind w:right="9"/>
              <w:spacing w:after="0"/>
              <w:rPr>
                <w:sz w:val="20"/>
                <w:szCs w:val="20"/>
                <w:color w:val="auto"/>
              </w:rPr>
            </w:pPr>
            <w:r>
              <w:rPr>
                <w:rFonts w:ascii="Arial" w:cs="Arial" w:eastAsia="Arial" w:hAnsi="Arial"/>
                <w:sz w:val="14"/>
                <w:szCs w:val="14"/>
                <w:color w:val="auto"/>
              </w:rPr>
              <w:t>7,069,596</w:t>
            </w:r>
          </w:p>
        </w:tc>
        <w:tc>
          <w:tcPr>
            <w:tcW w:w="0" w:type="dxa"/>
            <w:vAlign w:val="bottom"/>
          </w:tcPr>
          <w:p>
            <w:pPr>
              <w:spacing w:after="0"/>
              <w:rPr>
                <w:sz w:val="1"/>
                <w:szCs w:val="1"/>
                <w:color w:val="auto"/>
              </w:rPr>
            </w:pPr>
          </w:p>
        </w:tc>
      </w:tr>
      <w:tr>
        <w:trPr>
          <w:trHeight w:val="143"/>
        </w:trPr>
        <w:tc>
          <w:tcPr>
            <w:tcW w:w="2280" w:type="dxa"/>
            <w:vAlign w:val="bottom"/>
            <w:vMerge w:val="restart"/>
            <w:shd w:val="clear" w:color="auto" w:fill="E5EBF7"/>
          </w:tcPr>
          <w:p>
            <w:pPr>
              <w:ind w:left="160"/>
              <w:spacing w:after="0"/>
              <w:rPr>
                <w:sz w:val="20"/>
                <w:szCs w:val="20"/>
                <w:color w:val="auto"/>
              </w:rPr>
            </w:pPr>
            <w:r>
              <w:rPr>
                <w:rFonts w:ascii="Arial" w:cs="Arial" w:eastAsia="Arial" w:hAnsi="Arial"/>
                <w:sz w:val="14"/>
                <w:szCs w:val="14"/>
                <w:color w:val="auto"/>
              </w:rPr>
              <w:t>Chief Executive Officer</w:t>
            </w:r>
          </w:p>
        </w:tc>
        <w:tc>
          <w:tcPr>
            <w:tcW w:w="120" w:type="dxa"/>
            <w:vAlign w:val="bottom"/>
            <w:shd w:val="clear" w:color="auto" w:fill="E5EBF7"/>
          </w:tcPr>
          <w:p>
            <w:pPr>
              <w:spacing w:after="0"/>
              <w:rPr>
                <w:sz w:val="12"/>
                <w:szCs w:val="12"/>
                <w:color w:val="auto"/>
              </w:rPr>
            </w:pPr>
          </w:p>
        </w:tc>
        <w:tc>
          <w:tcPr>
            <w:tcW w:w="360" w:type="dxa"/>
            <w:vAlign w:val="bottom"/>
            <w:vMerge w:val="continue"/>
            <w:shd w:val="clear" w:color="auto" w:fill="E5EBF7"/>
          </w:tcPr>
          <w:p>
            <w:pPr>
              <w:spacing w:after="0"/>
              <w:rPr>
                <w:sz w:val="12"/>
                <w:szCs w:val="12"/>
                <w:color w:val="auto"/>
              </w:rPr>
            </w:pPr>
          </w:p>
        </w:tc>
        <w:tc>
          <w:tcPr>
            <w:tcW w:w="140" w:type="dxa"/>
            <w:vAlign w:val="bottom"/>
            <w:shd w:val="clear" w:color="auto" w:fill="E5EBF7"/>
          </w:tcPr>
          <w:p>
            <w:pPr>
              <w:spacing w:after="0"/>
              <w:rPr>
                <w:sz w:val="12"/>
                <w:szCs w:val="12"/>
                <w:color w:val="auto"/>
              </w:rPr>
            </w:pPr>
          </w:p>
        </w:tc>
        <w:tc>
          <w:tcPr>
            <w:tcW w:w="800" w:type="dxa"/>
            <w:vAlign w:val="bottom"/>
            <w:vMerge w:val="continue"/>
            <w:shd w:val="clear" w:color="auto" w:fill="E5EBF7"/>
          </w:tcPr>
          <w:p>
            <w:pPr>
              <w:spacing w:after="0"/>
              <w:rPr>
                <w:sz w:val="12"/>
                <w:szCs w:val="12"/>
                <w:color w:val="auto"/>
              </w:rPr>
            </w:pPr>
          </w:p>
        </w:tc>
        <w:tc>
          <w:tcPr>
            <w:tcW w:w="920" w:type="dxa"/>
            <w:vAlign w:val="bottom"/>
            <w:vMerge w:val="continue"/>
            <w:shd w:val="clear" w:color="auto" w:fill="E5EBF7"/>
          </w:tcPr>
          <w:p>
            <w:pPr>
              <w:spacing w:after="0"/>
              <w:rPr>
                <w:sz w:val="12"/>
                <w:szCs w:val="12"/>
                <w:color w:val="auto"/>
              </w:rPr>
            </w:pPr>
          </w:p>
        </w:tc>
        <w:tc>
          <w:tcPr>
            <w:tcW w:w="1000" w:type="dxa"/>
            <w:vAlign w:val="bottom"/>
            <w:vMerge w:val="continue"/>
            <w:shd w:val="clear" w:color="auto" w:fill="E5EBF7"/>
          </w:tcPr>
          <w:p>
            <w:pPr>
              <w:spacing w:after="0"/>
              <w:rPr>
                <w:sz w:val="12"/>
                <w:szCs w:val="12"/>
                <w:color w:val="auto"/>
              </w:rPr>
            </w:pPr>
          </w:p>
        </w:tc>
        <w:tc>
          <w:tcPr>
            <w:tcW w:w="1500" w:type="dxa"/>
            <w:vAlign w:val="bottom"/>
            <w:vMerge w:val="continue"/>
            <w:shd w:val="clear" w:color="auto" w:fill="E5EBF7"/>
          </w:tcPr>
          <w:p>
            <w:pPr>
              <w:spacing w:after="0"/>
              <w:rPr>
                <w:sz w:val="12"/>
                <w:szCs w:val="12"/>
                <w:color w:val="auto"/>
              </w:rPr>
            </w:pPr>
          </w:p>
        </w:tc>
        <w:tc>
          <w:tcPr>
            <w:tcW w:w="1420" w:type="dxa"/>
            <w:vAlign w:val="bottom"/>
            <w:vMerge w:val="continue"/>
            <w:shd w:val="clear" w:color="auto" w:fill="E5EBF7"/>
          </w:tcPr>
          <w:p>
            <w:pPr>
              <w:spacing w:after="0"/>
              <w:rPr>
                <w:sz w:val="12"/>
                <w:szCs w:val="12"/>
                <w:color w:val="auto"/>
              </w:rPr>
            </w:pPr>
          </w:p>
        </w:tc>
        <w:tc>
          <w:tcPr>
            <w:tcW w:w="860" w:type="dxa"/>
            <w:vAlign w:val="bottom"/>
            <w:vMerge w:val="continue"/>
            <w:shd w:val="clear" w:color="auto" w:fill="E5EBF7"/>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vMerge w:val="continue"/>
            <w:shd w:val="clear" w:color="auto" w:fill="E5EBF7"/>
          </w:tcPr>
          <w:p>
            <w:pPr>
              <w:spacing w:after="0"/>
              <w:rPr>
                <w:sz w:val="10"/>
                <w:szCs w:val="10"/>
                <w:color w:val="auto"/>
              </w:rPr>
            </w:pPr>
          </w:p>
        </w:tc>
        <w:tc>
          <w:tcPr>
            <w:tcW w:w="120" w:type="dxa"/>
            <w:vAlign w:val="bottom"/>
            <w:shd w:val="clear" w:color="auto" w:fill="E5EBF7"/>
          </w:tcPr>
          <w:p>
            <w:pPr>
              <w:spacing w:after="0"/>
              <w:rPr>
                <w:sz w:val="10"/>
                <w:szCs w:val="10"/>
                <w:color w:val="auto"/>
              </w:rPr>
            </w:pPr>
          </w:p>
        </w:tc>
        <w:tc>
          <w:tcPr>
            <w:tcW w:w="360" w:type="dxa"/>
            <w:vAlign w:val="bottom"/>
            <w:shd w:val="clear" w:color="auto" w:fill="E5EBF7"/>
          </w:tcPr>
          <w:p>
            <w:pPr>
              <w:spacing w:after="0"/>
              <w:rPr>
                <w:sz w:val="10"/>
                <w:szCs w:val="10"/>
                <w:color w:val="auto"/>
              </w:rPr>
            </w:pPr>
          </w:p>
        </w:tc>
        <w:tc>
          <w:tcPr>
            <w:tcW w:w="140" w:type="dxa"/>
            <w:vAlign w:val="bottom"/>
            <w:shd w:val="clear" w:color="auto" w:fill="E5EBF7"/>
          </w:tcPr>
          <w:p>
            <w:pPr>
              <w:spacing w:after="0"/>
              <w:rPr>
                <w:sz w:val="10"/>
                <w:szCs w:val="10"/>
                <w:color w:val="auto"/>
              </w:rPr>
            </w:pPr>
          </w:p>
        </w:tc>
        <w:tc>
          <w:tcPr>
            <w:tcW w:w="800" w:type="dxa"/>
            <w:vAlign w:val="bottom"/>
            <w:shd w:val="clear" w:color="auto" w:fill="E5EBF7"/>
          </w:tcPr>
          <w:p>
            <w:pPr>
              <w:spacing w:after="0"/>
              <w:rPr>
                <w:sz w:val="10"/>
                <w:szCs w:val="10"/>
                <w:color w:val="auto"/>
              </w:rPr>
            </w:pPr>
          </w:p>
        </w:tc>
        <w:tc>
          <w:tcPr>
            <w:tcW w:w="920" w:type="dxa"/>
            <w:vAlign w:val="bottom"/>
            <w:shd w:val="clear" w:color="auto" w:fill="E5EBF7"/>
          </w:tcPr>
          <w:p>
            <w:pPr>
              <w:spacing w:after="0"/>
              <w:rPr>
                <w:sz w:val="10"/>
                <w:szCs w:val="10"/>
                <w:color w:val="auto"/>
              </w:rPr>
            </w:pPr>
          </w:p>
        </w:tc>
        <w:tc>
          <w:tcPr>
            <w:tcW w:w="1000" w:type="dxa"/>
            <w:vAlign w:val="bottom"/>
            <w:shd w:val="clear" w:color="auto" w:fill="E5EBF7"/>
          </w:tcPr>
          <w:p>
            <w:pPr>
              <w:spacing w:after="0"/>
              <w:rPr>
                <w:sz w:val="10"/>
                <w:szCs w:val="10"/>
                <w:color w:val="auto"/>
              </w:rPr>
            </w:pPr>
          </w:p>
        </w:tc>
        <w:tc>
          <w:tcPr>
            <w:tcW w:w="1500" w:type="dxa"/>
            <w:vAlign w:val="bottom"/>
            <w:shd w:val="clear" w:color="auto" w:fill="E5EBF7"/>
          </w:tcPr>
          <w:p>
            <w:pPr>
              <w:spacing w:after="0"/>
              <w:rPr>
                <w:sz w:val="10"/>
                <w:szCs w:val="10"/>
                <w:color w:val="auto"/>
              </w:rPr>
            </w:pPr>
          </w:p>
        </w:tc>
        <w:tc>
          <w:tcPr>
            <w:tcW w:w="1420" w:type="dxa"/>
            <w:vAlign w:val="bottom"/>
            <w:shd w:val="clear" w:color="auto" w:fill="E5EBF7"/>
          </w:tcPr>
          <w:p>
            <w:pPr>
              <w:spacing w:after="0"/>
              <w:rPr>
                <w:sz w:val="10"/>
                <w:szCs w:val="10"/>
                <w:color w:val="auto"/>
              </w:rPr>
            </w:pPr>
          </w:p>
        </w:tc>
        <w:tc>
          <w:tcPr>
            <w:tcW w:w="860" w:type="dxa"/>
            <w:vAlign w:val="bottom"/>
            <w:shd w:val="clear" w:color="auto" w:fill="E5EBF7"/>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280" w:type="dxa"/>
            <w:vAlign w:val="bottom"/>
            <w:shd w:val="clear" w:color="auto" w:fill="E5EBF7"/>
          </w:tcPr>
          <w:p>
            <w:pPr>
              <w:spacing w:after="0"/>
              <w:rPr>
                <w:sz w:val="24"/>
                <w:szCs w:val="24"/>
                <w:color w:val="auto"/>
              </w:rPr>
            </w:pPr>
          </w:p>
        </w:tc>
        <w:tc>
          <w:tcPr>
            <w:tcW w:w="120" w:type="dxa"/>
            <w:vAlign w:val="bottom"/>
            <w:shd w:val="clear" w:color="auto" w:fill="E5EBF7"/>
          </w:tcPr>
          <w:p>
            <w:pPr>
              <w:spacing w:after="0"/>
              <w:rPr>
                <w:sz w:val="24"/>
                <w:szCs w:val="24"/>
                <w:color w:val="auto"/>
              </w:rPr>
            </w:pPr>
          </w:p>
        </w:tc>
        <w:tc>
          <w:tcPr>
            <w:tcW w:w="3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E5EBF7"/>
          </w:tcPr>
          <w:p>
            <w:pPr>
              <w:spacing w:after="0"/>
              <w:rPr>
                <w:sz w:val="24"/>
                <w:szCs w:val="24"/>
                <w:color w:val="auto"/>
              </w:rPr>
            </w:pPr>
          </w:p>
        </w:tc>
        <w:tc>
          <w:tcPr>
            <w:tcW w:w="800" w:type="dxa"/>
            <w:vAlign w:val="bottom"/>
            <w:shd w:val="clear" w:color="auto" w:fill="E5EBF7"/>
          </w:tcPr>
          <w:p>
            <w:pPr>
              <w:jc w:val="right"/>
              <w:ind w:right="69"/>
              <w:spacing w:after="0"/>
              <w:rPr>
                <w:sz w:val="20"/>
                <w:szCs w:val="20"/>
                <w:color w:val="auto"/>
              </w:rPr>
            </w:pPr>
            <w:r>
              <w:rPr>
                <w:rFonts w:ascii="Arial" w:cs="Arial" w:eastAsia="Arial" w:hAnsi="Arial"/>
                <w:sz w:val="14"/>
                <w:szCs w:val="14"/>
                <w:color w:val="auto"/>
              </w:rPr>
              <w:t>450,000</w:t>
            </w:r>
          </w:p>
        </w:tc>
        <w:tc>
          <w:tcPr>
            <w:tcW w:w="920" w:type="dxa"/>
            <w:vAlign w:val="bottom"/>
            <w:shd w:val="clear" w:color="auto" w:fill="E5EBF7"/>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BF7"/>
          </w:tcPr>
          <w:p>
            <w:pPr>
              <w:jc w:val="right"/>
              <w:ind w:right="130"/>
              <w:spacing w:after="0"/>
              <w:rPr>
                <w:sz w:val="20"/>
                <w:szCs w:val="20"/>
                <w:color w:val="auto"/>
              </w:rPr>
            </w:pPr>
            <w:r>
              <w:rPr>
                <w:rFonts w:ascii="Arial" w:cs="Arial" w:eastAsia="Arial" w:hAnsi="Arial"/>
                <w:sz w:val="14"/>
                <w:szCs w:val="14"/>
                <w:color w:val="auto"/>
              </w:rPr>
              <w:t>4,052,400</w:t>
            </w:r>
          </w:p>
        </w:tc>
        <w:tc>
          <w:tcPr>
            <w:tcW w:w="1500" w:type="dxa"/>
            <w:vAlign w:val="bottom"/>
            <w:shd w:val="clear" w:color="auto" w:fill="E5EBF7"/>
          </w:tcPr>
          <w:p>
            <w:pPr>
              <w:ind w:left="620"/>
              <w:spacing w:after="0"/>
              <w:rPr>
                <w:sz w:val="20"/>
                <w:szCs w:val="20"/>
                <w:color w:val="auto"/>
              </w:rPr>
            </w:pPr>
            <w:r>
              <w:rPr>
                <w:rFonts w:ascii="Arial" w:cs="Arial" w:eastAsia="Arial" w:hAnsi="Arial"/>
                <w:sz w:val="14"/>
                <w:szCs w:val="14"/>
                <w:color w:val="auto"/>
              </w:rPr>
              <w:t>257,600</w:t>
            </w:r>
          </w:p>
        </w:tc>
        <w:tc>
          <w:tcPr>
            <w:tcW w:w="1420" w:type="dxa"/>
            <w:vAlign w:val="bottom"/>
            <w:shd w:val="clear" w:color="auto" w:fill="E5EBF7"/>
          </w:tcPr>
          <w:p>
            <w:pPr>
              <w:ind w:left="760"/>
              <w:spacing w:after="0"/>
              <w:rPr>
                <w:sz w:val="20"/>
                <w:szCs w:val="20"/>
                <w:color w:val="auto"/>
              </w:rPr>
            </w:pPr>
            <w:r>
              <w:rPr>
                <w:rFonts w:ascii="Arial" w:cs="Arial" w:eastAsia="Arial" w:hAnsi="Arial"/>
                <w:sz w:val="14"/>
                <w:szCs w:val="14"/>
                <w:color w:val="auto"/>
              </w:rPr>
              <w:t>8,798</w:t>
            </w:r>
          </w:p>
        </w:tc>
        <w:tc>
          <w:tcPr>
            <w:tcW w:w="860" w:type="dxa"/>
            <w:vAlign w:val="bottom"/>
            <w:shd w:val="clear" w:color="auto" w:fill="E5EBF7"/>
          </w:tcPr>
          <w:p>
            <w:pPr>
              <w:jc w:val="right"/>
              <w:ind w:right="9"/>
              <w:spacing w:after="0"/>
              <w:rPr>
                <w:sz w:val="20"/>
                <w:szCs w:val="20"/>
                <w:color w:val="auto"/>
              </w:rPr>
            </w:pPr>
            <w:r>
              <w:rPr>
                <w:rFonts w:ascii="Arial" w:cs="Arial" w:eastAsia="Arial" w:hAnsi="Arial"/>
                <w:sz w:val="14"/>
                <w:szCs w:val="14"/>
                <w:color w:val="auto"/>
              </w:rPr>
              <w:t>4,768,798</w:t>
            </w:r>
          </w:p>
        </w:tc>
        <w:tc>
          <w:tcPr>
            <w:tcW w:w="0" w:type="dxa"/>
            <w:vAlign w:val="bottom"/>
          </w:tcPr>
          <w:p>
            <w:pPr>
              <w:spacing w:after="0"/>
              <w:rPr>
                <w:sz w:val="1"/>
                <w:szCs w:val="1"/>
                <w:color w:val="auto"/>
              </w:rPr>
            </w:pPr>
          </w:p>
        </w:tc>
      </w:tr>
      <w:tr>
        <w:trPr>
          <w:trHeight w:val="116"/>
        </w:trPr>
        <w:tc>
          <w:tcPr>
            <w:tcW w:w="2280" w:type="dxa"/>
            <w:vAlign w:val="bottom"/>
            <w:shd w:val="clear" w:color="auto" w:fill="E5EBF7"/>
          </w:tcPr>
          <w:p>
            <w:pPr>
              <w:spacing w:after="0"/>
              <w:rPr>
                <w:sz w:val="10"/>
                <w:szCs w:val="10"/>
                <w:color w:val="auto"/>
              </w:rPr>
            </w:pPr>
          </w:p>
        </w:tc>
        <w:tc>
          <w:tcPr>
            <w:tcW w:w="120" w:type="dxa"/>
            <w:vAlign w:val="bottom"/>
            <w:shd w:val="clear" w:color="auto" w:fill="E5EBF7"/>
          </w:tcPr>
          <w:p>
            <w:pPr>
              <w:spacing w:after="0"/>
              <w:rPr>
                <w:sz w:val="10"/>
                <w:szCs w:val="10"/>
                <w:color w:val="auto"/>
              </w:rPr>
            </w:pPr>
          </w:p>
        </w:tc>
        <w:tc>
          <w:tcPr>
            <w:tcW w:w="360" w:type="dxa"/>
            <w:vAlign w:val="bottom"/>
            <w:shd w:val="clear" w:color="auto" w:fill="E5EBF7"/>
          </w:tcPr>
          <w:p>
            <w:pPr>
              <w:spacing w:after="0"/>
              <w:rPr>
                <w:sz w:val="10"/>
                <w:szCs w:val="10"/>
                <w:color w:val="auto"/>
              </w:rPr>
            </w:pPr>
          </w:p>
        </w:tc>
        <w:tc>
          <w:tcPr>
            <w:tcW w:w="140" w:type="dxa"/>
            <w:vAlign w:val="bottom"/>
            <w:shd w:val="clear" w:color="auto" w:fill="E5EBF7"/>
          </w:tcPr>
          <w:p>
            <w:pPr>
              <w:spacing w:after="0"/>
              <w:rPr>
                <w:sz w:val="10"/>
                <w:szCs w:val="10"/>
                <w:color w:val="auto"/>
              </w:rPr>
            </w:pPr>
          </w:p>
        </w:tc>
        <w:tc>
          <w:tcPr>
            <w:tcW w:w="800" w:type="dxa"/>
            <w:vAlign w:val="bottom"/>
            <w:shd w:val="clear" w:color="auto" w:fill="E5EBF7"/>
          </w:tcPr>
          <w:p>
            <w:pPr>
              <w:spacing w:after="0"/>
              <w:rPr>
                <w:sz w:val="10"/>
                <w:szCs w:val="10"/>
                <w:color w:val="auto"/>
              </w:rPr>
            </w:pPr>
          </w:p>
        </w:tc>
        <w:tc>
          <w:tcPr>
            <w:tcW w:w="920" w:type="dxa"/>
            <w:vAlign w:val="bottom"/>
            <w:shd w:val="clear" w:color="auto" w:fill="E5EBF7"/>
          </w:tcPr>
          <w:p>
            <w:pPr>
              <w:spacing w:after="0"/>
              <w:rPr>
                <w:sz w:val="10"/>
                <w:szCs w:val="10"/>
                <w:color w:val="auto"/>
              </w:rPr>
            </w:pPr>
          </w:p>
        </w:tc>
        <w:tc>
          <w:tcPr>
            <w:tcW w:w="1000" w:type="dxa"/>
            <w:vAlign w:val="bottom"/>
            <w:shd w:val="clear" w:color="auto" w:fill="E5EBF7"/>
          </w:tcPr>
          <w:p>
            <w:pPr>
              <w:spacing w:after="0"/>
              <w:rPr>
                <w:sz w:val="10"/>
                <w:szCs w:val="10"/>
                <w:color w:val="auto"/>
              </w:rPr>
            </w:pPr>
          </w:p>
        </w:tc>
        <w:tc>
          <w:tcPr>
            <w:tcW w:w="1500" w:type="dxa"/>
            <w:vAlign w:val="bottom"/>
            <w:shd w:val="clear" w:color="auto" w:fill="E5EBF7"/>
          </w:tcPr>
          <w:p>
            <w:pPr>
              <w:spacing w:after="0"/>
              <w:rPr>
                <w:sz w:val="10"/>
                <w:szCs w:val="10"/>
                <w:color w:val="auto"/>
              </w:rPr>
            </w:pPr>
          </w:p>
        </w:tc>
        <w:tc>
          <w:tcPr>
            <w:tcW w:w="1420" w:type="dxa"/>
            <w:vAlign w:val="bottom"/>
            <w:shd w:val="clear" w:color="auto" w:fill="E5EBF7"/>
          </w:tcPr>
          <w:p>
            <w:pPr>
              <w:spacing w:after="0"/>
              <w:rPr>
                <w:sz w:val="10"/>
                <w:szCs w:val="10"/>
                <w:color w:val="auto"/>
              </w:rPr>
            </w:pPr>
          </w:p>
        </w:tc>
        <w:tc>
          <w:tcPr>
            <w:tcW w:w="860" w:type="dxa"/>
            <w:vAlign w:val="bottom"/>
            <w:shd w:val="clear" w:color="auto" w:fill="E5EBF7"/>
          </w:tcPr>
          <w:p>
            <w:pPr>
              <w:spacing w:after="0"/>
              <w:rPr>
                <w:sz w:val="10"/>
                <w:szCs w:val="10"/>
                <w:color w:val="auto"/>
              </w:rPr>
            </w:pPr>
          </w:p>
        </w:tc>
        <w:tc>
          <w:tcPr>
            <w:tcW w:w="0" w:type="dxa"/>
            <w:vAlign w:val="bottom"/>
          </w:tcPr>
          <w:p>
            <w:pPr>
              <w:spacing w:after="0"/>
              <w:rPr>
                <w:sz w:val="1"/>
                <w:szCs w:val="1"/>
                <w:color w:val="auto"/>
              </w:rPr>
            </w:pPr>
          </w:p>
        </w:tc>
      </w:tr>
      <w:tr>
        <w:trPr>
          <w:trHeight w:val="355"/>
        </w:trPr>
        <w:tc>
          <w:tcPr>
            <w:tcW w:w="22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350,000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4,024,716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tcPr>
          <w:p>
            <w:pPr>
              <w:ind w:left="620"/>
              <w:spacing w:after="0"/>
              <w:rPr>
                <w:sz w:val="20"/>
                <w:szCs w:val="20"/>
                <w:color w:val="auto"/>
              </w:rPr>
            </w:pPr>
            <w:r>
              <w:rPr>
                <w:rFonts w:ascii="Arial" w:cs="Arial" w:eastAsia="Arial" w:hAnsi="Arial"/>
                <w:sz w:val="14"/>
                <w:szCs w:val="14"/>
                <w:color w:val="auto"/>
              </w:rPr>
              <w:t>293,000</w:t>
            </w:r>
            <w:r>
              <w:rPr>
                <w:rFonts w:ascii="Arial" w:cs="Arial" w:eastAsia="Arial" w:hAnsi="Arial"/>
                <w:sz w:val="23"/>
                <w:szCs w:val="23"/>
                <w:color w:val="auto"/>
                <w:vertAlign w:val="superscript"/>
              </w:rPr>
              <w:t>(2)</w:t>
            </w:r>
          </w:p>
        </w:tc>
        <w:tc>
          <w:tcPr>
            <w:tcW w:w="1420" w:type="dxa"/>
            <w:vAlign w:val="bottom"/>
          </w:tcPr>
          <w:p>
            <w:pPr>
              <w:ind w:left="760"/>
              <w:spacing w:after="0"/>
              <w:rPr>
                <w:sz w:val="20"/>
                <w:szCs w:val="20"/>
                <w:color w:val="auto"/>
              </w:rPr>
            </w:pPr>
            <w:r>
              <w:rPr>
                <w:rFonts w:ascii="Arial" w:cs="Arial" w:eastAsia="Arial" w:hAnsi="Arial"/>
                <w:sz w:val="14"/>
                <w:szCs w:val="14"/>
                <w:color w:val="auto"/>
              </w:rPr>
              <w:t>7,721</w:t>
            </w:r>
            <w:r>
              <w:rPr>
                <w:rFonts w:ascii="Arial" w:cs="Arial" w:eastAsia="Arial" w:hAnsi="Arial"/>
                <w:sz w:val="23"/>
                <w:szCs w:val="23"/>
                <w:color w:val="auto"/>
                <w:vertAlign w:val="superscript"/>
              </w:rPr>
              <w:t>(4)</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4,675,437</w:t>
            </w:r>
          </w:p>
        </w:tc>
        <w:tc>
          <w:tcPr>
            <w:tcW w:w="0" w:type="dxa"/>
            <w:vAlign w:val="bottom"/>
          </w:tcPr>
          <w:p>
            <w:pPr>
              <w:spacing w:after="0"/>
              <w:rPr>
                <w:sz w:val="1"/>
                <w:szCs w:val="1"/>
                <w:color w:val="auto"/>
              </w:rPr>
            </w:pPr>
          </w:p>
        </w:tc>
      </w:tr>
      <w:tr>
        <w:trPr>
          <w:trHeight w:val="196"/>
        </w:trPr>
        <w:tc>
          <w:tcPr>
            <w:tcW w:w="2280" w:type="dxa"/>
            <w:vAlign w:val="bottom"/>
          </w:tcPr>
          <w:p>
            <w:pPr>
              <w:ind w:left="160"/>
              <w:spacing w:after="0"/>
              <w:rPr>
                <w:sz w:val="20"/>
                <w:szCs w:val="20"/>
                <w:color w:val="auto"/>
              </w:rPr>
            </w:pPr>
            <w:r>
              <w:rPr>
                <w:rFonts w:ascii="Arial" w:cs="Arial" w:eastAsia="Arial" w:hAnsi="Arial"/>
                <w:sz w:val="14"/>
                <w:szCs w:val="14"/>
                <w:b w:val="1"/>
                <w:bCs w:val="1"/>
                <w:color w:val="007FC4"/>
              </w:rPr>
              <w:t>Robert Orgel</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160"/>
              <w:spacing w:after="0"/>
              <w:rPr>
                <w:sz w:val="20"/>
                <w:szCs w:val="20"/>
                <w:color w:val="auto"/>
              </w:rPr>
            </w:pPr>
            <w:r>
              <w:rPr>
                <w:rFonts w:ascii="Arial" w:cs="Arial" w:eastAsia="Arial" w:hAnsi="Arial"/>
                <w:sz w:val="14"/>
                <w:szCs w:val="14"/>
                <w:color w:val="auto"/>
              </w:rPr>
              <w:t>President and Chief</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20"/>
                <w:szCs w:val="20"/>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350,000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3,192,061</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tcPr>
          <w:p>
            <w:pPr>
              <w:ind w:left="620"/>
              <w:spacing w:after="0"/>
              <w:rPr>
                <w:sz w:val="20"/>
                <w:szCs w:val="20"/>
                <w:color w:val="auto"/>
              </w:rPr>
            </w:pPr>
            <w:r>
              <w:rPr>
                <w:rFonts w:ascii="Arial" w:cs="Arial" w:eastAsia="Arial" w:hAnsi="Arial"/>
                <w:sz w:val="14"/>
                <w:szCs w:val="14"/>
                <w:color w:val="auto"/>
              </w:rPr>
              <w:t>195,750</w:t>
            </w:r>
          </w:p>
        </w:tc>
        <w:tc>
          <w:tcPr>
            <w:tcW w:w="1420" w:type="dxa"/>
            <w:vAlign w:val="bottom"/>
          </w:tcPr>
          <w:p>
            <w:pPr>
              <w:ind w:left="760"/>
              <w:spacing w:after="0"/>
              <w:rPr>
                <w:sz w:val="20"/>
                <w:szCs w:val="20"/>
                <w:color w:val="auto"/>
              </w:rPr>
            </w:pPr>
            <w:r>
              <w:rPr>
                <w:rFonts w:ascii="Arial" w:cs="Arial" w:eastAsia="Arial" w:hAnsi="Arial"/>
                <w:sz w:val="14"/>
                <w:szCs w:val="14"/>
                <w:color w:val="auto"/>
              </w:rPr>
              <w:t>9,248</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3,747,059</w:t>
            </w:r>
          </w:p>
        </w:tc>
        <w:tc>
          <w:tcPr>
            <w:tcW w:w="0" w:type="dxa"/>
            <w:vAlign w:val="bottom"/>
          </w:tcPr>
          <w:p>
            <w:pPr>
              <w:spacing w:after="0"/>
              <w:rPr>
                <w:sz w:val="1"/>
                <w:szCs w:val="1"/>
                <w:color w:val="auto"/>
              </w:rPr>
            </w:pPr>
          </w:p>
        </w:tc>
      </w:tr>
      <w:tr>
        <w:trPr>
          <w:trHeight w:val="190"/>
        </w:trPr>
        <w:tc>
          <w:tcPr>
            <w:tcW w:w="2280" w:type="dxa"/>
            <w:vAlign w:val="bottom"/>
          </w:tcPr>
          <w:p>
            <w:pPr>
              <w:ind w:left="160"/>
              <w:spacing w:after="0"/>
              <w:rPr>
                <w:sz w:val="20"/>
                <w:szCs w:val="20"/>
                <w:color w:val="auto"/>
              </w:rPr>
            </w:pPr>
            <w:r>
              <w:rPr>
                <w:rFonts w:ascii="Arial" w:cs="Arial" w:eastAsia="Arial" w:hAnsi="Arial"/>
                <w:sz w:val="14"/>
                <w:szCs w:val="14"/>
                <w:color w:val="auto"/>
              </w:rPr>
              <w:t>Operating Officer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347,917</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0"/>
              <w:spacing w:after="0"/>
              <w:rPr>
                <w:sz w:val="20"/>
                <w:szCs w:val="20"/>
                <w:color w:val="auto"/>
              </w:rPr>
            </w:pPr>
            <w:r>
              <w:rPr>
                <w:rFonts w:ascii="Arial" w:cs="Arial" w:eastAsia="Arial" w:hAnsi="Arial"/>
                <w:sz w:val="14"/>
                <w:szCs w:val="14"/>
                <w:color w:val="auto"/>
              </w:rPr>
              <w:t>3,039,300</w:t>
            </w:r>
          </w:p>
        </w:tc>
        <w:tc>
          <w:tcPr>
            <w:tcW w:w="1500" w:type="dxa"/>
            <w:vAlign w:val="bottom"/>
          </w:tcPr>
          <w:p>
            <w:pPr>
              <w:ind w:left="620"/>
              <w:spacing w:after="0"/>
              <w:rPr>
                <w:sz w:val="20"/>
                <w:szCs w:val="20"/>
                <w:color w:val="auto"/>
              </w:rPr>
            </w:pPr>
            <w:r>
              <w:rPr>
                <w:rFonts w:ascii="Arial" w:cs="Arial" w:eastAsia="Arial" w:hAnsi="Arial"/>
                <w:sz w:val="14"/>
                <w:szCs w:val="14"/>
                <w:color w:val="auto"/>
              </w:rPr>
              <w:t>189,700</w:t>
            </w:r>
          </w:p>
        </w:tc>
        <w:tc>
          <w:tcPr>
            <w:tcW w:w="1420" w:type="dxa"/>
            <w:vAlign w:val="bottom"/>
          </w:tcPr>
          <w:p>
            <w:pPr>
              <w:ind w:left="760"/>
              <w:spacing w:after="0"/>
              <w:rPr>
                <w:sz w:val="20"/>
                <w:szCs w:val="20"/>
                <w:color w:val="auto"/>
              </w:rPr>
            </w:pPr>
            <w:r>
              <w:rPr>
                <w:rFonts w:ascii="Arial" w:cs="Arial" w:eastAsia="Arial" w:hAnsi="Arial"/>
                <w:sz w:val="14"/>
                <w:szCs w:val="14"/>
                <w:color w:val="auto"/>
              </w:rPr>
              <w:t>8,798</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3,585,715</w:t>
            </w:r>
          </w:p>
        </w:tc>
        <w:tc>
          <w:tcPr>
            <w:tcW w:w="0" w:type="dxa"/>
            <w:vAlign w:val="bottom"/>
          </w:tcPr>
          <w:p>
            <w:pPr>
              <w:spacing w:after="0"/>
              <w:rPr>
                <w:sz w:val="1"/>
                <w:szCs w:val="1"/>
                <w:color w:val="auto"/>
              </w:rPr>
            </w:pPr>
          </w:p>
        </w:tc>
      </w:tr>
      <w:tr>
        <w:trPr>
          <w:trHeight w:val="116"/>
        </w:trPr>
        <w:tc>
          <w:tcPr>
            <w:tcW w:w="228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0"/>
        </w:trPr>
        <w:tc>
          <w:tcPr>
            <w:tcW w:w="2280" w:type="dxa"/>
            <w:vAlign w:val="bottom"/>
            <w:shd w:val="clear" w:color="auto" w:fill="E5EBF7"/>
          </w:tcPr>
          <w:p>
            <w:pPr>
              <w:spacing w:after="0"/>
              <w:rPr>
                <w:sz w:val="24"/>
                <w:szCs w:val="24"/>
                <w:color w:val="auto"/>
              </w:rPr>
            </w:pPr>
          </w:p>
        </w:tc>
        <w:tc>
          <w:tcPr>
            <w:tcW w:w="120" w:type="dxa"/>
            <w:vAlign w:val="bottom"/>
            <w:shd w:val="clear" w:color="auto" w:fill="E5EBF7"/>
          </w:tcPr>
          <w:p>
            <w:pPr>
              <w:spacing w:after="0"/>
              <w:rPr>
                <w:sz w:val="24"/>
                <w:szCs w:val="24"/>
                <w:color w:val="auto"/>
              </w:rPr>
            </w:pPr>
          </w:p>
        </w:tc>
        <w:tc>
          <w:tcPr>
            <w:tcW w:w="3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E5EBF7"/>
          </w:tcPr>
          <w:p>
            <w:pPr>
              <w:spacing w:after="0"/>
              <w:rPr>
                <w:sz w:val="24"/>
                <w:szCs w:val="24"/>
                <w:color w:val="auto"/>
              </w:rPr>
            </w:pPr>
          </w:p>
        </w:tc>
        <w:tc>
          <w:tcPr>
            <w:tcW w:w="800" w:type="dxa"/>
            <w:vAlign w:val="bottom"/>
            <w:shd w:val="clear" w:color="auto" w:fill="E5EBF7"/>
          </w:tcPr>
          <w:p>
            <w:pPr>
              <w:jc w:val="right"/>
              <w:ind w:right="69"/>
              <w:spacing w:after="0"/>
              <w:rPr>
                <w:sz w:val="20"/>
                <w:szCs w:val="20"/>
                <w:color w:val="auto"/>
              </w:rPr>
            </w:pPr>
            <w:r>
              <w:rPr>
                <w:rFonts w:ascii="Arial" w:cs="Arial" w:eastAsia="Arial" w:hAnsi="Arial"/>
                <w:sz w:val="14"/>
                <w:szCs w:val="14"/>
                <w:color w:val="auto"/>
              </w:rPr>
              <w:t>325,000</w:t>
            </w:r>
          </w:p>
        </w:tc>
        <w:tc>
          <w:tcPr>
            <w:tcW w:w="920" w:type="dxa"/>
            <w:vAlign w:val="bottom"/>
            <w:shd w:val="clear" w:color="auto" w:fill="E5EBF7"/>
          </w:tcPr>
          <w:p>
            <w:pPr>
              <w:jc w:val="right"/>
              <w:ind w:right="90"/>
              <w:spacing w:after="0"/>
              <w:rPr>
                <w:sz w:val="20"/>
                <w:szCs w:val="20"/>
                <w:color w:val="auto"/>
              </w:rPr>
            </w:pPr>
            <w:r>
              <w:rPr>
                <w:rFonts w:ascii="Arial" w:cs="Arial" w:eastAsia="Arial" w:hAnsi="Arial"/>
                <w:sz w:val="14"/>
                <w:szCs w:val="14"/>
                <w:color w:val="auto"/>
              </w:rPr>
              <w:t>2,709,437</w:t>
            </w:r>
          </w:p>
        </w:tc>
        <w:tc>
          <w:tcPr>
            <w:tcW w:w="1000" w:type="dxa"/>
            <w:vAlign w:val="bottom"/>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5EBF7"/>
          </w:tcPr>
          <w:p>
            <w:pPr>
              <w:ind w:left="620"/>
              <w:spacing w:after="0"/>
              <w:rPr>
                <w:sz w:val="20"/>
                <w:szCs w:val="20"/>
                <w:color w:val="auto"/>
              </w:rPr>
            </w:pPr>
            <w:r>
              <w:rPr>
                <w:rFonts w:ascii="Arial" w:cs="Arial" w:eastAsia="Arial" w:hAnsi="Arial"/>
                <w:sz w:val="14"/>
                <w:szCs w:val="14"/>
                <w:color w:val="auto"/>
              </w:rPr>
              <w:t>293,000</w:t>
            </w:r>
            <w:r>
              <w:rPr>
                <w:rFonts w:ascii="Arial" w:cs="Arial" w:eastAsia="Arial" w:hAnsi="Arial"/>
                <w:sz w:val="23"/>
                <w:szCs w:val="23"/>
                <w:color w:val="auto"/>
                <w:vertAlign w:val="superscript"/>
              </w:rPr>
              <w:t>(2)</w:t>
            </w:r>
          </w:p>
        </w:tc>
        <w:tc>
          <w:tcPr>
            <w:tcW w:w="1420" w:type="dxa"/>
            <w:vAlign w:val="bottom"/>
            <w:shd w:val="clear" w:color="auto" w:fill="E5EBF7"/>
          </w:tcPr>
          <w:p>
            <w:pPr>
              <w:ind w:left="760"/>
              <w:spacing w:after="0"/>
              <w:rPr>
                <w:sz w:val="20"/>
                <w:szCs w:val="20"/>
                <w:color w:val="auto"/>
              </w:rPr>
            </w:pPr>
            <w:r>
              <w:rPr>
                <w:rFonts w:ascii="Arial" w:cs="Arial" w:eastAsia="Arial" w:hAnsi="Arial"/>
                <w:sz w:val="14"/>
                <w:szCs w:val="14"/>
                <w:color w:val="auto"/>
              </w:rPr>
              <w:t>9,135</w:t>
            </w:r>
            <w:r>
              <w:rPr>
                <w:rFonts w:ascii="Arial" w:cs="Arial" w:eastAsia="Arial" w:hAnsi="Arial"/>
                <w:sz w:val="23"/>
                <w:szCs w:val="23"/>
                <w:color w:val="auto"/>
                <w:vertAlign w:val="superscript"/>
              </w:rPr>
              <w:t>(6)</w:t>
            </w:r>
          </w:p>
        </w:tc>
        <w:tc>
          <w:tcPr>
            <w:tcW w:w="860" w:type="dxa"/>
            <w:vAlign w:val="bottom"/>
            <w:shd w:val="clear" w:color="auto" w:fill="E5EBF7"/>
          </w:tcPr>
          <w:p>
            <w:pPr>
              <w:jc w:val="right"/>
              <w:ind w:right="9"/>
              <w:spacing w:after="0"/>
              <w:rPr>
                <w:sz w:val="20"/>
                <w:szCs w:val="20"/>
                <w:color w:val="auto"/>
              </w:rPr>
            </w:pPr>
            <w:r>
              <w:rPr>
                <w:rFonts w:ascii="Arial" w:cs="Arial" w:eastAsia="Arial" w:hAnsi="Arial"/>
                <w:sz w:val="14"/>
                <w:szCs w:val="14"/>
                <w:color w:val="auto"/>
              </w:rPr>
              <w:t>3,336,572</w:t>
            </w:r>
          </w:p>
        </w:tc>
        <w:tc>
          <w:tcPr>
            <w:tcW w:w="0" w:type="dxa"/>
            <w:vAlign w:val="bottom"/>
          </w:tcPr>
          <w:p>
            <w:pPr>
              <w:spacing w:after="0"/>
              <w:rPr>
                <w:sz w:val="1"/>
                <w:szCs w:val="1"/>
                <w:color w:val="auto"/>
              </w:rPr>
            </w:pPr>
          </w:p>
        </w:tc>
      </w:tr>
      <w:tr>
        <w:trPr>
          <w:trHeight w:val="309"/>
        </w:trPr>
        <w:tc>
          <w:tcPr>
            <w:tcW w:w="22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Ellis</w:t>
            </w:r>
            <w:r>
              <w:rPr>
                <w:rFonts w:ascii="Arial" w:cs="Arial" w:eastAsia="Arial" w:hAnsi="Arial"/>
                <w:sz w:val="23"/>
                <w:szCs w:val="23"/>
                <w:b w:val="1"/>
                <w:bCs w:val="1"/>
                <w:color w:val="007FC4"/>
                <w:vertAlign w:val="superscript"/>
              </w:rPr>
              <w:t>(5)</w:t>
            </w:r>
          </w:p>
        </w:tc>
        <w:tc>
          <w:tcPr>
            <w:tcW w:w="120" w:type="dxa"/>
            <w:vAlign w:val="bottom"/>
            <w:shd w:val="clear" w:color="auto" w:fill="E5EBF7"/>
          </w:tcPr>
          <w:p>
            <w:pPr>
              <w:spacing w:after="0"/>
              <w:rPr>
                <w:sz w:val="24"/>
                <w:szCs w:val="24"/>
                <w:color w:val="auto"/>
              </w:rPr>
            </w:pPr>
          </w:p>
        </w:tc>
        <w:tc>
          <w:tcPr>
            <w:tcW w:w="360" w:type="dxa"/>
            <w:vAlign w:val="bottom"/>
            <w:vMerge w:val="restart"/>
            <w:shd w:val="clear" w:color="auto" w:fill="E5EBF7"/>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E5EBF7"/>
          </w:tcPr>
          <w:p>
            <w:pPr>
              <w:spacing w:after="0"/>
              <w:rPr>
                <w:sz w:val="24"/>
                <w:szCs w:val="24"/>
                <w:color w:val="auto"/>
              </w:rPr>
            </w:pPr>
          </w:p>
        </w:tc>
        <w:tc>
          <w:tcPr>
            <w:tcW w:w="800" w:type="dxa"/>
            <w:vAlign w:val="bottom"/>
            <w:vMerge w:val="restart"/>
            <w:shd w:val="clear" w:color="auto" w:fill="E5EBF7"/>
          </w:tcPr>
          <w:p>
            <w:pPr>
              <w:jc w:val="right"/>
              <w:ind w:right="69"/>
              <w:spacing w:after="0"/>
              <w:rPr>
                <w:sz w:val="20"/>
                <w:szCs w:val="20"/>
                <w:color w:val="auto"/>
              </w:rPr>
            </w:pPr>
            <w:r>
              <w:rPr>
                <w:rFonts w:ascii="Arial" w:cs="Arial" w:eastAsia="Arial" w:hAnsi="Arial"/>
                <w:sz w:val="14"/>
                <w:szCs w:val="14"/>
                <w:color w:val="auto"/>
              </w:rPr>
              <w:t>319,792</w:t>
            </w:r>
          </w:p>
        </w:tc>
        <w:tc>
          <w:tcPr>
            <w:tcW w:w="920" w:type="dxa"/>
            <w:vAlign w:val="bottom"/>
            <w:vMerge w:val="restart"/>
            <w:shd w:val="clear" w:color="auto" w:fill="E5EBF7"/>
          </w:tcPr>
          <w:p>
            <w:pPr>
              <w:jc w:val="right"/>
              <w:ind w:right="90"/>
              <w:spacing w:after="0"/>
              <w:rPr>
                <w:sz w:val="20"/>
                <w:szCs w:val="20"/>
                <w:color w:val="auto"/>
              </w:rPr>
            </w:pPr>
            <w:r>
              <w:rPr>
                <w:rFonts w:ascii="Arial" w:cs="Arial" w:eastAsia="Arial" w:hAnsi="Arial"/>
                <w:sz w:val="14"/>
                <w:szCs w:val="14"/>
                <w:color w:val="auto"/>
              </w:rPr>
              <w:t>2,280,055</w:t>
            </w:r>
          </w:p>
        </w:tc>
        <w:tc>
          <w:tcPr>
            <w:tcW w:w="1000" w:type="dxa"/>
            <w:vAlign w:val="bottom"/>
            <w:vMerge w:val="restart"/>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E5EBF7"/>
          </w:tcPr>
          <w:p>
            <w:pPr>
              <w:ind w:left="620"/>
              <w:spacing w:after="0"/>
              <w:rPr>
                <w:sz w:val="20"/>
                <w:szCs w:val="20"/>
                <w:color w:val="auto"/>
              </w:rPr>
            </w:pPr>
            <w:r>
              <w:rPr>
                <w:rFonts w:ascii="Arial" w:cs="Arial" w:eastAsia="Arial" w:hAnsi="Arial"/>
                <w:sz w:val="14"/>
                <w:szCs w:val="14"/>
                <w:color w:val="auto"/>
              </w:rPr>
              <w:t>203,175</w:t>
            </w:r>
          </w:p>
        </w:tc>
        <w:tc>
          <w:tcPr>
            <w:tcW w:w="1420" w:type="dxa"/>
            <w:vAlign w:val="bottom"/>
            <w:vMerge w:val="restart"/>
            <w:shd w:val="clear" w:color="auto" w:fill="E5EBF7"/>
          </w:tcPr>
          <w:p>
            <w:pPr>
              <w:ind w:left="760"/>
              <w:spacing w:after="0"/>
              <w:rPr>
                <w:sz w:val="20"/>
                <w:szCs w:val="20"/>
                <w:color w:val="auto"/>
              </w:rPr>
            </w:pPr>
            <w:r>
              <w:rPr>
                <w:rFonts w:ascii="Arial" w:cs="Arial" w:eastAsia="Arial" w:hAnsi="Arial"/>
                <w:sz w:val="14"/>
                <w:szCs w:val="14"/>
                <w:color w:val="auto"/>
              </w:rPr>
              <w:t>9,243</w:t>
            </w:r>
          </w:p>
        </w:tc>
        <w:tc>
          <w:tcPr>
            <w:tcW w:w="860" w:type="dxa"/>
            <w:vAlign w:val="bottom"/>
            <w:vMerge w:val="restart"/>
            <w:shd w:val="clear" w:color="auto" w:fill="E5EBF7"/>
          </w:tcPr>
          <w:p>
            <w:pPr>
              <w:jc w:val="right"/>
              <w:ind w:right="9"/>
              <w:spacing w:after="0"/>
              <w:rPr>
                <w:sz w:val="20"/>
                <w:szCs w:val="20"/>
                <w:color w:val="auto"/>
              </w:rPr>
            </w:pPr>
            <w:r>
              <w:rPr>
                <w:rFonts w:ascii="Arial" w:cs="Arial" w:eastAsia="Arial" w:hAnsi="Arial"/>
                <w:sz w:val="14"/>
                <w:szCs w:val="14"/>
                <w:color w:val="auto"/>
              </w:rPr>
              <w:t>2,812,265</w:t>
            </w:r>
          </w:p>
        </w:tc>
        <w:tc>
          <w:tcPr>
            <w:tcW w:w="0" w:type="dxa"/>
            <w:vAlign w:val="bottom"/>
          </w:tcPr>
          <w:p>
            <w:pPr>
              <w:spacing w:after="0"/>
              <w:rPr>
                <w:sz w:val="1"/>
                <w:szCs w:val="1"/>
                <w:color w:val="auto"/>
              </w:rPr>
            </w:pPr>
          </w:p>
        </w:tc>
      </w:tr>
      <w:tr>
        <w:trPr>
          <w:trHeight w:val="46"/>
        </w:trPr>
        <w:tc>
          <w:tcPr>
            <w:tcW w:w="2280" w:type="dxa"/>
            <w:vAlign w:val="bottom"/>
            <w:vMerge w:val="restart"/>
            <w:shd w:val="clear" w:color="auto" w:fill="E5EBF7"/>
          </w:tcPr>
          <w:p>
            <w:pPr>
              <w:ind w:left="160"/>
              <w:spacing w:after="0"/>
              <w:rPr>
                <w:sz w:val="20"/>
                <w:szCs w:val="20"/>
                <w:color w:val="auto"/>
              </w:rPr>
            </w:pPr>
            <w:r>
              <w:rPr>
                <w:rFonts w:ascii="Arial" w:cs="Arial" w:eastAsia="Arial" w:hAnsi="Arial"/>
                <w:sz w:val="14"/>
                <w:szCs w:val="14"/>
                <w:color w:val="auto"/>
              </w:rPr>
              <w:t>Former Chief Financial Officer</w:t>
            </w:r>
          </w:p>
        </w:tc>
        <w:tc>
          <w:tcPr>
            <w:tcW w:w="120" w:type="dxa"/>
            <w:vAlign w:val="bottom"/>
            <w:shd w:val="clear" w:color="auto" w:fill="E5EBF7"/>
          </w:tcPr>
          <w:p>
            <w:pPr>
              <w:spacing w:after="0"/>
              <w:rPr>
                <w:sz w:val="4"/>
                <w:szCs w:val="4"/>
                <w:color w:val="auto"/>
              </w:rPr>
            </w:pPr>
          </w:p>
        </w:tc>
        <w:tc>
          <w:tcPr>
            <w:tcW w:w="360" w:type="dxa"/>
            <w:vAlign w:val="bottom"/>
            <w:vMerge w:val="continue"/>
            <w:shd w:val="clear" w:color="auto" w:fill="E5EBF7"/>
          </w:tcPr>
          <w:p>
            <w:pPr>
              <w:spacing w:after="0"/>
              <w:rPr>
                <w:sz w:val="4"/>
                <w:szCs w:val="4"/>
                <w:color w:val="auto"/>
              </w:rPr>
            </w:pPr>
          </w:p>
        </w:tc>
        <w:tc>
          <w:tcPr>
            <w:tcW w:w="140" w:type="dxa"/>
            <w:vAlign w:val="bottom"/>
            <w:shd w:val="clear" w:color="auto" w:fill="E5EBF7"/>
          </w:tcPr>
          <w:p>
            <w:pPr>
              <w:spacing w:after="0"/>
              <w:rPr>
                <w:sz w:val="4"/>
                <w:szCs w:val="4"/>
                <w:color w:val="auto"/>
              </w:rPr>
            </w:pPr>
          </w:p>
        </w:tc>
        <w:tc>
          <w:tcPr>
            <w:tcW w:w="800" w:type="dxa"/>
            <w:vAlign w:val="bottom"/>
            <w:vMerge w:val="continue"/>
            <w:shd w:val="clear" w:color="auto" w:fill="E5EBF7"/>
          </w:tcPr>
          <w:p>
            <w:pPr>
              <w:spacing w:after="0"/>
              <w:rPr>
                <w:sz w:val="4"/>
                <w:szCs w:val="4"/>
                <w:color w:val="auto"/>
              </w:rPr>
            </w:pPr>
          </w:p>
        </w:tc>
        <w:tc>
          <w:tcPr>
            <w:tcW w:w="920" w:type="dxa"/>
            <w:vAlign w:val="bottom"/>
            <w:vMerge w:val="continue"/>
            <w:shd w:val="clear" w:color="auto" w:fill="E5EBF7"/>
          </w:tcPr>
          <w:p>
            <w:pPr>
              <w:spacing w:after="0"/>
              <w:rPr>
                <w:sz w:val="4"/>
                <w:szCs w:val="4"/>
                <w:color w:val="auto"/>
              </w:rPr>
            </w:pPr>
          </w:p>
        </w:tc>
        <w:tc>
          <w:tcPr>
            <w:tcW w:w="1000" w:type="dxa"/>
            <w:vAlign w:val="bottom"/>
            <w:vMerge w:val="continue"/>
            <w:shd w:val="clear" w:color="auto" w:fill="E5EBF7"/>
          </w:tcPr>
          <w:p>
            <w:pPr>
              <w:spacing w:after="0"/>
              <w:rPr>
                <w:sz w:val="4"/>
                <w:szCs w:val="4"/>
                <w:color w:val="auto"/>
              </w:rPr>
            </w:pPr>
          </w:p>
        </w:tc>
        <w:tc>
          <w:tcPr>
            <w:tcW w:w="1500" w:type="dxa"/>
            <w:vAlign w:val="bottom"/>
            <w:vMerge w:val="continue"/>
            <w:shd w:val="clear" w:color="auto" w:fill="E5EBF7"/>
          </w:tcPr>
          <w:p>
            <w:pPr>
              <w:spacing w:after="0"/>
              <w:rPr>
                <w:sz w:val="4"/>
                <w:szCs w:val="4"/>
                <w:color w:val="auto"/>
              </w:rPr>
            </w:pPr>
          </w:p>
        </w:tc>
        <w:tc>
          <w:tcPr>
            <w:tcW w:w="1420" w:type="dxa"/>
            <w:vAlign w:val="bottom"/>
            <w:vMerge w:val="continue"/>
            <w:shd w:val="clear" w:color="auto" w:fill="E5EBF7"/>
          </w:tcPr>
          <w:p>
            <w:pPr>
              <w:spacing w:after="0"/>
              <w:rPr>
                <w:sz w:val="4"/>
                <w:szCs w:val="4"/>
                <w:color w:val="auto"/>
              </w:rPr>
            </w:pPr>
          </w:p>
        </w:tc>
        <w:tc>
          <w:tcPr>
            <w:tcW w:w="860" w:type="dxa"/>
            <w:vAlign w:val="bottom"/>
            <w:vMerge w:val="continue"/>
            <w:shd w:val="clear" w:color="auto" w:fill="E5EBF7"/>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80" w:type="dxa"/>
            <w:vAlign w:val="bottom"/>
            <w:vMerge w:val="continue"/>
            <w:shd w:val="clear" w:color="auto" w:fill="E5EBF7"/>
          </w:tcPr>
          <w:p>
            <w:pPr>
              <w:spacing w:after="0"/>
              <w:rPr>
                <w:sz w:val="10"/>
                <w:szCs w:val="10"/>
                <w:color w:val="auto"/>
              </w:rPr>
            </w:pPr>
          </w:p>
        </w:tc>
        <w:tc>
          <w:tcPr>
            <w:tcW w:w="120" w:type="dxa"/>
            <w:vAlign w:val="bottom"/>
            <w:shd w:val="clear" w:color="auto" w:fill="E5EBF7"/>
          </w:tcPr>
          <w:p>
            <w:pPr>
              <w:spacing w:after="0"/>
              <w:rPr>
                <w:sz w:val="10"/>
                <w:szCs w:val="10"/>
                <w:color w:val="auto"/>
              </w:rPr>
            </w:pPr>
          </w:p>
        </w:tc>
        <w:tc>
          <w:tcPr>
            <w:tcW w:w="360" w:type="dxa"/>
            <w:vAlign w:val="bottom"/>
            <w:shd w:val="clear" w:color="auto" w:fill="E5EBF7"/>
          </w:tcPr>
          <w:p>
            <w:pPr>
              <w:spacing w:after="0"/>
              <w:rPr>
                <w:sz w:val="10"/>
                <w:szCs w:val="10"/>
                <w:color w:val="auto"/>
              </w:rPr>
            </w:pPr>
          </w:p>
        </w:tc>
        <w:tc>
          <w:tcPr>
            <w:tcW w:w="140" w:type="dxa"/>
            <w:vAlign w:val="bottom"/>
            <w:shd w:val="clear" w:color="auto" w:fill="E5EBF7"/>
          </w:tcPr>
          <w:p>
            <w:pPr>
              <w:spacing w:after="0"/>
              <w:rPr>
                <w:sz w:val="10"/>
                <w:szCs w:val="10"/>
                <w:color w:val="auto"/>
              </w:rPr>
            </w:pPr>
          </w:p>
        </w:tc>
        <w:tc>
          <w:tcPr>
            <w:tcW w:w="800" w:type="dxa"/>
            <w:vAlign w:val="bottom"/>
            <w:shd w:val="clear" w:color="auto" w:fill="E5EBF7"/>
          </w:tcPr>
          <w:p>
            <w:pPr>
              <w:spacing w:after="0"/>
              <w:rPr>
                <w:sz w:val="10"/>
                <w:szCs w:val="10"/>
                <w:color w:val="auto"/>
              </w:rPr>
            </w:pPr>
          </w:p>
        </w:tc>
        <w:tc>
          <w:tcPr>
            <w:tcW w:w="920" w:type="dxa"/>
            <w:vAlign w:val="bottom"/>
            <w:shd w:val="clear" w:color="auto" w:fill="E5EBF7"/>
          </w:tcPr>
          <w:p>
            <w:pPr>
              <w:spacing w:after="0"/>
              <w:rPr>
                <w:sz w:val="10"/>
                <w:szCs w:val="10"/>
                <w:color w:val="auto"/>
              </w:rPr>
            </w:pPr>
          </w:p>
        </w:tc>
        <w:tc>
          <w:tcPr>
            <w:tcW w:w="1000" w:type="dxa"/>
            <w:vAlign w:val="bottom"/>
            <w:shd w:val="clear" w:color="auto" w:fill="E5EBF7"/>
          </w:tcPr>
          <w:p>
            <w:pPr>
              <w:spacing w:after="0"/>
              <w:rPr>
                <w:sz w:val="10"/>
                <w:szCs w:val="10"/>
                <w:color w:val="auto"/>
              </w:rPr>
            </w:pPr>
          </w:p>
        </w:tc>
        <w:tc>
          <w:tcPr>
            <w:tcW w:w="1500" w:type="dxa"/>
            <w:vAlign w:val="bottom"/>
            <w:shd w:val="clear" w:color="auto" w:fill="E5EBF7"/>
          </w:tcPr>
          <w:p>
            <w:pPr>
              <w:spacing w:after="0"/>
              <w:rPr>
                <w:sz w:val="10"/>
                <w:szCs w:val="10"/>
                <w:color w:val="auto"/>
              </w:rPr>
            </w:pPr>
          </w:p>
        </w:tc>
        <w:tc>
          <w:tcPr>
            <w:tcW w:w="1420" w:type="dxa"/>
            <w:vAlign w:val="bottom"/>
            <w:shd w:val="clear" w:color="auto" w:fill="E5EBF7"/>
          </w:tcPr>
          <w:p>
            <w:pPr>
              <w:spacing w:after="0"/>
              <w:rPr>
                <w:sz w:val="10"/>
                <w:szCs w:val="10"/>
                <w:color w:val="auto"/>
              </w:rPr>
            </w:pPr>
          </w:p>
        </w:tc>
        <w:tc>
          <w:tcPr>
            <w:tcW w:w="860" w:type="dxa"/>
            <w:vAlign w:val="bottom"/>
            <w:shd w:val="clear" w:color="auto" w:fill="E5EBF7"/>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280" w:type="dxa"/>
            <w:vAlign w:val="bottom"/>
            <w:shd w:val="clear" w:color="auto" w:fill="E5EBF7"/>
          </w:tcPr>
          <w:p>
            <w:pPr>
              <w:spacing w:after="0"/>
              <w:rPr>
                <w:sz w:val="24"/>
                <w:szCs w:val="24"/>
                <w:color w:val="auto"/>
              </w:rPr>
            </w:pPr>
          </w:p>
        </w:tc>
        <w:tc>
          <w:tcPr>
            <w:tcW w:w="120" w:type="dxa"/>
            <w:vAlign w:val="bottom"/>
            <w:shd w:val="clear" w:color="auto" w:fill="E5EBF7"/>
          </w:tcPr>
          <w:p>
            <w:pPr>
              <w:spacing w:after="0"/>
              <w:rPr>
                <w:sz w:val="24"/>
                <w:szCs w:val="24"/>
                <w:color w:val="auto"/>
              </w:rPr>
            </w:pPr>
          </w:p>
        </w:tc>
        <w:tc>
          <w:tcPr>
            <w:tcW w:w="3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E5EBF7"/>
          </w:tcPr>
          <w:p>
            <w:pPr>
              <w:spacing w:after="0"/>
              <w:rPr>
                <w:sz w:val="24"/>
                <w:szCs w:val="24"/>
                <w:color w:val="auto"/>
              </w:rPr>
            </w:pPr>
          </w:p>
        </w:tc>
        <w:tc>
          <w:tcPr>
            <w:tcW w:w="800" w:type="dxa"/>
            <w:vAlign w:val="bottom"/>
            <w:shd w:val="clear" w:color="auto" w:fill="E5EBF7"/>
          </w:tcPr>
          <w:p>
            <w:pPr>
              <w:jc w:val="right"/>
              <w:ind w:right="69"/>
              <w:spacing w:after="0"/>
              <w:rPr>
                <w:sz w:val="20"/>
                <w:szCs w:val="20"/>
                <w:color w:val="auto"/>
              </w:rPr>
            </w:pPr>
            <w:r>
              <w:rPr>
                <w:rFonts w:ascii="Arial" w:cs="Arial" w:eastAsia="Arial" w:hAnsi="Arial"/>
                <w:sz w:val="14"/>
                <w:szCs w:val="14"/>
                <w:color w:val="auto"/>
              </w:rPr>
              <w:t>297,500</w:t>
            </w:r>
          </w:p>
        </w:tc>
        <w:tc>
          <w:tcPr>
            <w:tcW w:w="920" w:type="dxa"/>
            <w:vAlign w:val="bottom"/>
            <w:shd w:val="clear" w:color="auto" w:fill="E5EBF7"/>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BF7"/>
          </w:tcPr>
          <w:p>
            <w:pPr>
              <w:jc w:val="right"/>
              <w:ind w:right="130"/>
              <w:spacing w:after="0"/>
              <w:rPr>
                <w:sz w:val="20"/>
                <w:szCs w:val="20"/>
                <w:color w:val="auto"/>
              </w:rPr>
            </w:pPr>
            <w:r>
              <w:rPr>
                <w:rFonts w:ascii="Arial" w:cs="Arial" w:eastAsia="Arial" w:hAnsi="Arial"/>
                <w:sz w:val="14"/>
                <w:szCs w:val="14"/>
                <w:color w:val="auto"/>
              </w:rPr>
              <w:t>1,317,030</w:t>
            </w:r>
          </w:p>
        </w:tc>
        <w:tc>
          <w:tcPr>
            <w:tcW w:w="1500" w:type="dxa"/>
            <w:vAlign w:val="bottom"/>
            <w:shd w:val="clear" w:color="auto" w:fill="E5EBF7"/>
          </w:tcPr>
          <w:p>
            <w:pPr>
              <w:ind w:left="620"/>
              <w:spacing w:after="0"/>
              <w:rPr>
                <w:sz w:val="20"/>
                <w:szCs w:val="20"/>
                <w:color w:val="auto"/>
              </w:rPr>
            </w:pPr>
            <w:r>
              <w:rPr>
                <w:rFonts w:ascii="Arial" w:cs="Arial" w:eastAsia="Arial" w:hAnsi="Arial"/>
                <w:sz w:val="14"/>
                <w:szCs w:val="14"/>
                <w:color w:val="auto"/>
              </w:rPr>
              <w:t>162,600</w:t>
            </w:r>
          </w:p>
        </w:tc>
        <w:tc>
          <w:tcPr>
            <w:tcW w:w="1420" w:type="dxa"/>
            <w:vAlign w:val="bottom"/>
            <w:shd w:val="clear" w:color="auto" w:fill="E5EBF7"/>
          </w:tcPr>
          <w:p>
            <w:pPr>
              <w:ind w:left="760"/>
              <w:spacing w:after="0"/>
              <w:rPr>
                <w:sz w:val="20"/>
                <w:szCs w:val="20"/>
                <w:color w:val="auto"/>
              </w:rPr>
            </w:pPr>
            <w:r>
              <w:rPr>
                <w:rFonts w:ascii="Arial" w:cs="Arial" w:eastAsia="Arial" w:hAnsi="Arial"/>
                <w:sz w:val="14"/>
                <w:szCs w:val="14"/>
                <w:color w:val="auto"/>
              </w:rPr>
              <w:t>8,793</w:t>
            </w:r>
          </w:p>
        </w:tc>
        <w:tc>
          <w:tcPr>
            <w:tcW w:w="860" w:type="dxa"/>
            <w:vAlign w:val="bottom"/>
            <w:shd w:val="clear" w:color="auto" w:fill="E5EBF7"/>
          </w:tcPr>
          <w:p>
            <w:pPr>
              <w:jc w:val="right"/>
              <w:ind w:right="9"/>
              <w:spacing w:after="0"/>
              <w:rPr>
                <w:sz w:val="20"/>
                <w:szCs w:val="20"/>
                <w:color w:val="auto"/>
              </w:rPr>
            </w:pPr>
            <w:r>
              <w:rPr>
                <w:rFonts w:ascii="Arial" w:cs="Arial" w:eastAsia="Arial" w:hAnsi="Arial"/>
                <w:sz w:val="14"/>
                <w:szCs w:val="14"/>
                <w:color w:val="auto"/>
              </w:rPr>
              <w:t>1,785,923</w:t>
            </w:r>
          </w:p>
        </w:tc>
        <w:tc>
          <w:tcPr>
            <w:tcW w:w="0" w:type="dxa"/>
            <w:vAlign w:val="bottom"/>
          </w:tcPr>
          <w:p>
            <w:pPr>
              <w:spacing w:after="0"/>
              <w:rPr>
                <w:sz w:val="1"/>
                <w:szCs w:val="1"/>
                <w:color w:val="auto"/>
              </w:rPr>
            </w:pPr>
          </w:p>
        </w:tc>
      </w:tr>
      <w:tr>
        <w:trPr>
          <w:trHeight w:val="116"/>
        </w:trPr>
        <w:tc>
          <w:tcPr>
            <w:tcW w:w="2280" w:type="dxa"/>
            <w:vAlign w:val="bottom"/>
            <w:shd w:val="clear" w:color="auto" w:fill="E5EBF7"/>
          </w:tcPr>
          <w:p>
            <w:pPr>
              <w:spacing w:after="0"/>
              <w:rPr>
                <w:sz w:val="10"/>
                <w:szCs w:val="10"/>
                <w:color w:val="auto"/>
              </w:rPr>
            </w:pPr>
          </w:p>
        </w:tc>
        <w:tc>
          <w:tcPr>
            <w:tcW w:w="120" w:type="dxa"/>
            <w:vAlign w:val="bottom"/>
            <w:shd w:val="clear" w:color="auto" w:fill="E5EBF7"/>
          </w:tcPr>
          <w:p>
            <w:pPr>
              <w:spacing w:after="0"/>
              <w:rPr>
                <w:sz w:val="10"/>
                <w:szCs w:val="10"/>
                <w:color w:val="auto"/>
              </w:rPr>
            </w:pPr>
          </w:p>
        </w:tc>
        <w:tc>
          <w:tcPr>
            <w:tcW w:w="360" w:type="dxa"/>
            <w:vAlign w:val="bottom"/>
            <w:shd w:val="clear" w:color="auto" w:fill="E5EBF7"/>
          </w:tcPr>
          <w:p>
            <w:pPr>
              <w:spacing w:after="0"/>
              <w:rPr>
                <w:sz w:val="10"/>
                <w:szCs w:val="10"/>
                <w:color w:val="auto"/>
              </w:rPr>
            </w:pPr>
          </w:p>
        </w:tc>
        <w:tc>
          <w:tcPr>
            <w:tcW w:w="140" w:type="dxa"/>
            <w:vAlign w:val="bottom"/>
            <w:shd w:val="clear" w:color="auto" w:fill="E5EBF7"/>
          </w:tcPr>
          <w:p>
            <w:pPr>
              <w:spacing w:after="0"/>
              <w:rPr>
                <w:sz w:val="10"/>
                <w:szCs w:val="10"/>
                <w:color w:val="auto"/>
              </w:rPr>
            </w:pPr>
          </w:p>
        </w:tc>
        <w:tc>
          <w:tcPr>
            <w:tcW w:w="800" w:type="dxa"/>
            <w:vAlign w:val="bottom"/>
            <w:shd w:val="clear" w:color="auto" w:fill="E5EBF7"/>
          </w:tcPr>
          <w:p>
            <w:pPr>
              <w:spacing w:after="0"/>
              <w:rPr>
                <w:sz w:val="10"/>
                <w:szCs w:val="10"/>
                <w:color w:val="auto"/>
              </w:rPr>
            </w:pPr>
          </w:p>
        </w:tc>
        <w:tc>
          <w:tcPr>
            <w:tcW w:w="920" w:type="dxa"/>
            <w:vAlign w:val="bottom"/>
            <w:shd w:val="clear" w:color="auto" w:fill="E5EBF7"/>
          </w:tcPr>
          <w:p>
            <w:pPr>
              <w:spacing w:after="0"/>
              <w:rPr>
                <w:sz w:val="10"/>
                <w:szCs w:val="10"/>
                <w:color w:val="auto"/>
              </w:rPr>
            </w:pPr>
          </w:p>
        </w:tc>
        <w:tc>
          <w:tcPr>
            <w:tcW w:w="1000" w:type="dxa"/>
            <w:vAlign w:val="bottom"/>
            <w:shd w:val="clear" w:color="auto" w:fill="E5EBF7"/>
          </w:tcPr>
          <w:p>
            <w:pPr>
              <w:spacing w:after="0"/>
              <w:rPr>
                <w:sz w:val="10"/>
                <w:szCs w:val="10"/>
                <w:color w:val="auto"/>
              </w:rPr>
            </w:pPr>
          </w:p>
        </w:tc>
        <w:tc>
          <w:tcPr>
            <w:tcW w:w="1500" w:type="dxa"/>
            <w:vAlign w:val="bottom"/>
            <w:shd w:val="clear" w:color="auto" w:fill="E5EBF7"/>
          </w:tcPr>
          <w:p>
            <w:pPr>
              <w:spacing w:after="0"/>
              <w:rPr>
                <w:sz w:val="10"/>
                <w:szCs w:val="10"/>
                <w:color w:val="auto"/>
              </w:rPr>
            </w:pPr>
          </w:p>
        </w:tc>
        <w:tc>
          <w:tcPr>
            <w:tcW w:w="1420" w:type="dxa"/>
            <w:vAlign w:val="bottom"/>
            <w:shd w:val="clear" w:color="auto" w:fill="E5EBF7"/>
          </w:tcPr>
          <w:p>
            <w:pPr>
              <w:spacing w:after="0"/>
              <w:rPr>
                <w:sz w:val="10"/>
                <w:szCs w:val="10"/>
                <w:color w:val="auto"/>
              </w:rPr>
            </w:pPr>
          </w:p>
        </w:tc>
        <w:tc>
          <w:tcPr>
            <w:tcW w:w="860" w:type="dxa"/>
            <w:vAlign w:val="bottom"/>
            <w:shd w:val="clear" w:color="auto" w:fill="E5EBF7"/>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280" w:type="dxa"/>
            <w:vAlign w:val="bottom"/>
          </w:tcPr>
          <w:p>
            <w:pPr>
              <w:ind w:left="160"/>
              <w:spacing w:after="0"/>
              <w:rPr>
                <w:sz w:val="20"/>
                <w:szCs w:val="20"/>
                <w:color w:val="auto"/>
              </w:rPr>
            </w:pPr>
            <w:r>
              <w:rPr>
                <w:rFonts w:ascii="Arial" w:cs="Arial" w:eastAsia="Arial" w:hAnsi="Arial"/>
                <w:sz w:val="14"/>
                <w:szCs w:val="14"/>
                <w:b w:val="1"/>
                <w:bCs w:val="1"/>
                <w:color w:val="007FC4"/>
              </w:rPr>
              <w:t>Peter Butterfield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160"/>
              <w:spacing w:after="0"/>
              <w:rPr>
                <w:sz w:val="20"/>
                <w:szCs w:val="20"/>
                <w:color w:val="auto"/>
              </w:rPr>
            </w:pPr>
            <w:r>
              <w:rPr>
                <w:rFonts w:ascii="Arial" w:cs="Arial" w:eastAsia="Arial" w:hAnsi="Arial"/>
                <w:sz w:val="14"/>
                <w:szCs w:val="14"/>
                <w:color w:val="auto"/>
              </w:rPr>
              <w:t>General Counsel and Chief</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20"/>
                <w:szCs w:val="20"/>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300,000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1,920,285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tcPr>
          <w:p>
            <w:pPr>
              <w:ind w:left="620"/>
              <w:spacing w:after="0" w:line="235" w:lineRule="exact"/>
              <w:rPr>
                <w:sz w:val="20"/>
                <w:szCs w:val="20"/>
                <w:color w:val="auto"/>
              </w:rPr>
            </w:pPr>
            <w:r>
              <w:rPr>
                <w:rFonts w:ascii="Arial" w:cs="Arial" w:eastAsia="Arial" w:hAnsi="Arial"/>
                <w:sz w:val="14"/>
                <w:szCs w:val="14"/>
                <w:color w:val="auto"/>
              </w:rPr>
              <w:t>195,000</w:t>
            </w:r>
            <w:r>
              <w:rPr>
                <w:rFonts w:ascii="Arial" w:cs="Arial" w:eastAsia="Arial" w:hAnsi="Arial"/>
                <w:sz w:val="23"/>
                <w:szCs w:val="23"/>
                <w:color w:val="auto"/>
                <w:vertAlign w:val="superscript"/>
              </w:rPr>
              <w:t>(2)</w:t>
            </w:r>
          </w:p>
        </w:tc>
        <w:tc>
          <w:tcPr>
            <w:tcW w:w="1420" w:type="dxa"/>
            <w:vAlign w:val="bottom"/>
          </w:tcPr>
          <w:p>
            <w:pPr>
              <w:ind w:left="760"/>
              <w:spacing w:after="0" w:line="235" w:lineRule="exact"/>
              <w:rPr>
                <w:sz w:val="20"/>
                <w:szCs w:val="20"/>
                <w:color w:val="auto"/>
              </w:rPr>
            </w:pPr>
            <w:r>
              <w:rPr>
                <w:rFonts w:ascii="Arial" w:cs="Arial" w:eastAsia="Arial" w:hAnsi="Arial"/>
                <w:sz w:val="14"/>
                <w:szCs w:val="14"/>
                <w:color w:val="auto"/>
              </w:rPr>
              <w:t>9,580</w:t>
            </w:r>
            <w:r>
              <w:rPr>
                <w:rFonts w:ascii="Arial" w:cs="Arial" w:eastAsia="Arial" w:hAnsi="Arial"/>
                <w:sz w:val="23"/>
                <w:szCs w:val="23"/>
                <w:color w:val="auto"/>
                <w:vertAlign w:val="superscript"/>
              </w:rPr>
              <w:t>(7)</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2,424,865</w:t>
            </w:r>
          </w:p>
        </w:tc>
        <w:tc>
          <w:tcPr>
            <w:tcW w:w="0" w:type="dxa"/>
            <w:vAlign w:val="bottom"/>
          </w:tcPr>
          <w:p>
            <w:pPr>
              <w:spacing w:after="0"/>
              <w:rPr>
                <w:sz w:val="1"/>
                <w:szCs w:val="1"/>
                <w:color w:val="auto"/>
              </w:rPr>
            </w:pPr>
          </w:p>
        </w:tc>
      </w:tr>
      <w:tr>
        <w:trPr>
          <w:trHeight w:val="190"/>
        </w:trPr>
        <w:tc>
          <w:tcPr>
            <w:tcW w:w="2280" w:type="dxa"/>
            <w:vAlign w:val="bottom"/>
          </w:tcPr>
          <w:p>
            <w:pPr>
              <w:ind w:left="160"/>
              <w:spacing w:after="0"/>
              <w:rPr>
                <w:sz w:val="20"/>
                <w:szCs w:val="20"/>
                <w:color w:val="auto"/>
              </w:rPr>
            </w:pPr>
            <w:r>
              <w:rPr>
                <w:rFonts w:ascii="Arial" w:cs="Arial" w:eastAsia="Arial" w:hAnsi="Arial"/>
                <w:sz w:val="14"/>
                <w:szCs w:val="14"/>
                <w:color w:val="auto"/>
              </w:rPr>
              <w:t>Compliance Officer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8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228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David King</w:t>
            </w:r>
          </w:p>
        </w:tc>
        <w:tc>
          <w:tcPr>
            <w:tcW w:w="120" w:type="dxa"/>
            <w:vAlign w:val="bottom"/>
            <w:shd w:val="clear" w:color="auto" w:fill="E5EBF7"/>
          </w:tcPr>
          <w:p>
            <w:pPr>
              <w:spacing w:after="0"/>
              <w:rPr>
                <w:sz w:val="24"/>
                <w:szCs w:val="24"/>
                <w:color w:val="auto"/>
              </w:rPr>
            </w:pPr>
          </w:p>
        </w:tc>
        <w:tc>
          <w:tcPr>
            <w:tcW w:w="3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E5EBF7"/>
          </w:tcPr>
          <w:p>
            <w:pPr>
              <w:spacing w:after="0"/>
              <w:rPr>
                <w:sz w:val="24"/>
                <w:szCs w:val="24"/>
                <w:color w:val="auto"/>
              </w:rPr>
            </w:pPr>
          </w:p>
        </w:tc>
        <w:tc>
          <w:tcPr>
            <w:tcW w:w="800" w:type="dxa"/>
            <w:vAlign w:val="bottom"/>
            <w:shd w:val="clear" w:color="auto" w:fill="E5EBF7"/>
          </w:tcPr>
          <w:p>
            <w:pPr>
              <w:jc w:val="right"/>
              <w:ind w:right="69"/>
              <w:spacing w:after="0"/>
              <w:rPr>
                <w:sz w:val="20"/>
                <w:szCs w:val="20"/>
                <w:color w:val="auto"/>
              </w:rPr>
            </w:pPr>
            <w:r>
              <w:rPr>
                <w:rFonts w:ascii="Arial" w:cs="Arial" w:eastAsia="Arial" w:hAnsi="Arial"/>
                <w:sz w:val="14"/>
                <w:szCs w:val="14"/>
                <w:color w:val="auto"/>
              </w:rPr>
              <w:t>300,000</w:t>
            </w:r>
          </w:p>
        </w:tc>
        <w:tc>
          <w:tcPr>
            <w:tcW w:w="920" w:type="dxa"/>
            <w:vAlign w:val="bottom"/>
            <w:shd w:val="clear" w:color="auto" w:fill="E5EBF7"/>
          </w:tcPr>
          <w:p>
            <w:pPr>
              <w:jc w:val="right"/>
              <w:ind w:right="90"/>
              <w:spacing w:after="0"/>
              <w:rPr>
                <w:sz w:val="20"/>
                <w:szCs w:val="20"/>
                <w:color w:val="auto"/>
              </w:rPr>
            </w:pPr>
            <w:r>
              <w:rPr>
                <w:rFonts w:ascii="Arial" w:cs="Arial" w:eastAsia="Arial" w:hAnsi="Arial"/>
                <w:sz w:val="14"/>
                <w:szCs w:val="14"/>
                <w:color w:val="auto"/>
              </w:rPr>
              <w:t>3,235,565</w:t>
            </w:r>
          </w:p>
        </w:tc>
        <w:tc>
          <w:tcPr>
            <w:tcW w:w="1000" w:type="dxa"/>
            <w:vAlign w:val="bottom"/>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5EBF7"/>
          </w:tcPr>
          <w:p>
            <w:pPr>
              <w:ind w:left="620"/>
              <w:spacing w:after="0"/>
              <w:rPr>
                <w:sz w:val="20"/>
                <w:szCs w:val="20"/>
                <w:color w:val="auto"/>
              </w:rPr>
            </w:pPr>
            <w:r>
              <w:rPr>
                <w:rFonts w:ascii="Arial" w:cs="Arial" w:eastAsia="Arial" w:hAnsi="Arial"/>
                <w:sz w:val="14"/>
                <w:szCs w:val="14"/>
                <w:color w:val="auto"/>
              </w:rPr>
              <w:t>195,000</w:t>
            </w:r>
            <w:r>
              <w:rPr>
                <w:rFonts w:ascii="Arial" w:cs="Arial" w:eastAsia="Arial" w:hAnsi="Arial"/>
                <w:sz w:val="23"/>
                <w:szCs w:val="23"/>
                <w:color w:val="auto"/>
                <w:vertAlign w:val="superscript"/>
              </w:rPr>
              <w:t>(2)</w:t>
            </w:r>
          </w:p>
        </w:tc>
        <w:tc>
          <w:tcPr>
            <w:tcW w:w="1420" w:type="dxa"/>
            <w:vAlign w:val="bottom"/>
            <w:shd w:val="clear" w:color="auto" w:fill="E5EBF7"/>
          </w:tcPr>
          <w:p>
            <w:pPr>
              <w:ind w:left="760"/>
              <w:spacing w:after="0"/>
              <w:rPr>
                <w:sz w:val="20"/>
                <w:szCs w:val="20"/>
                <w:color w:val="auto"/>
              </w:rPr>
            </w:pPr>
            <w:r>
              <w:rPr>
                <w:rFonts w:ascii="Arial" w:cs="Arial" w:eastAsia="Arial" w:hAnsi="Arial"/>
                <w:sz w:val="14"/>
                <w:szCs w:val="14"/>
                <w:color w:val="auto"/>
              </w:rPr>
              <w:t>9,187</w:t>
            </w:r>
            <w:r>
              <w:rPr>
                <w:rFonts w:ascii="Arial" w:cs="Arial" w:eastAsia="Arial" w:hAnsi="Arial"/>
                <w:sz w:val="23"/>
                <w:szCs w:val="23"/>
                <w:color w:val="auto"/>
                <w:vertAlign w:val="superscript"/>
              </w:rPr>
              <w:t>(8)</w:t>
            </w:r>
          </w:p>
        </w:tc>
        <w:tc>
          <w:tcPr>
            <w:tcW w:w="860" w:type="dxa"/>
            <w:vAlign w:val="bottom"/>
            <w:shd w:val="clear" w:color="auto" w:fill="E5EBF7"/>
          </w:tcPr>
          <w:p>
            <w:pPr>
              <w:jc w:val="right"/>
              <w:ind w:right="9"/>
              <w:spacing w:after="0"/>
              <w:rPr>
                <w:sz w:val="20"/>
                <w:szCs w:val="20"/>
                <w:color w:val="auto"/>
              </w:rPr>
            </w:pPr>
            <w:r>
              <w:rPr>
                <w:rFonts w:ascii="Arial" w:cs="Arial" w:eastAsia="Arial" w:hAnsi="Arial"/>
                <w:sz w:val="14"/>
                <w:szCs w:val="14"/>
                <w:color w:val="auto"/>
              </w:rPr>
              <w:t>3,739,752</w:t>
            </w:r>
          </w:p>
        </w:tc>
        <w:tc>
          <w:tcPr>
            <w:tcW w:w="0" w:type="dxa"/>
            <w:vAlign w:val="bottom"/>
          </w:tcPr>
          <w:p>
            <w:pPr>
              <w:spacing w:after="0"/>
              <w:rPr>
                <w:sz w:val="1"/>
                <w:szCs w:val="1"/>
                <w:color w:val="auto"/>
              </w:rPr>
            </w:pPr>
          </w:p>
        </w:tc>
      </w:tr>
      <w:tr>
        <w:trPr>
          <w:trHeight w:val="196"/>
        </w:trPr>
        <w:tc>
          <w:tcPr>
            <w:tcW w:w="2280" w:type="dxa"/>
            <w:vAlign w:val="bottom"/>
            <w:shd w:val="clear" w:color="auto" w:fill="E5EBF7"/>
          </w:tcPr>
          <w:p>
            <w:pPr>
              <w:ind w:left="160"/>
              <w:spacing w:after="0"/>
              <w:rPr>
                <w:sz w:val="20"/>
                <w:szCs w:val="20"/>
                <w:color w:val="auto"/>
              </w:rPr>
            </w:pPr>
            <w:r>
              <w:rPr>
                <w:rFonts w:ascii="Arial" w:cs="Arial" w:eastAsia="Arial" w:hAnsi="Arial"/>
                <w:sz w:val="14"/>
                <w:szCs w:val="14"/>
                <w:color w:val="auto"/>
              </w:rPr>
              <w:t>Chief Technology Officer</w:t>
            </w:r>
          </w:p>
        </w:tc>
        <w:tc>
          <w:tcPr>
            <w:tcW w:w="120" w:type="dxa"/>
            <w:vAlign w:val="bottom"/>
            <w:shd w:val="clear" w:color="auto" w:fill="E5EBF7"/>
          </w:tcPr>
          <w:p>
            <w:pPr>
              <w:spacing w:after="0"/>
              <w:rPr>
                <w:sz w:val="17"/>
                <w:szCs w:val="17"/>
                <w:color w:val="auto"/>
              </w:rPr>
            </w:pPr>
          </w:p>
        </w:tc>
        <w:tc>
          <w:tcPr>
            <w:tcW w:w="360" w:type="dxa"/>
            <w:vAlign w:val="bottom"/>
            <w:vMerge w:val="restart"/>
            <w:shd w:val="clear" w:color="auto" w:fill="E5EBF7"/>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E5EBF7"/>
          </w:tcPr>
          <w:p>
            <w:pPr>
              <w:spacing w:after="0"/>
              <w:rPr>
                <w:sz w:val="17"/>
                <w:szCs w:val="17"/>
                <w:color w:val="auto"/>
              </w:rPr>
            </w:pPr>
          </w:p>
        </w:tc>
        <w:tc>
          <w:tcPr>
            <w:tcW w:w="800" w:type="dxa"/>
            <w:vAlign w:val="bottom"/>
            <w:vMerge w:val="restart"/>
            <w:shd w:val="clear" w:color="auto" w:fill="E5EBF7"/>
          </w:tcPr>
          <w:p>
            <w:pPr>
              <w:jc w:val="right"/>
              <w:ind w:right="69"/>
              <w:spacing w:after="0"/>
              <w:rPr>
                <w:sz w:val="20"/>
                <w:szCs w:val="20"/>
                <w:color w:val="auto"/>
              </w:rPr>
            </w:pPr>
            <w:r>
              <w:rPr>
                <w:rFonts w:ascii="Arial" w:cs="Arial" w:eastAsia="Arial" w:hAnsi="Arial"/>
                <w:sz w:val="14"/>
                <w:szCs w:val="14"/>
                <w:color w:val="auto"/>
              </w:rPr>
              <w:t>294,792</w:t>
            </w:r>
          </w:p>
        </w:tc>
        <w:tc>
          <w:tcPr>
            <w:tcW w:w="920" w:type="dxa"/>
            <w:vAlign w:val="bottom"/>
            <w:vMerge w:val="restart"/>
            <w:shd w:val="clear" w:color="auto" w:fill="E5EBF7"/>
          </w:tcPr>
          <w:p>
            <w:pPr>
              <w:jc w:val="right"/>
              <w:ind w:right="90"/>
              <w:spacing w:after="0"/>
              <w:rPr>
                <w:sz w:val="20"/>
                <w:szCs w:val="20"/>
                <w:color w:val="auto"/>
              </w:rPr>
            </w:pPr>
            <w:r>
              <w:rPr>
                <w:rFonts w:ascii="Arial" w:cs="Arial" w:eastAsia="Arial" w:hAnsi="Arial"/>
                <w:sz w:val="14"/>
                <w:szCs w:val="14"/>
                <w:color w:val="auto"/>
              </w:rPr>
              <w:t>3,192,061</w:t>
            </w:r>
          </w:p>
        </w:tc>
        <w:tc>
          <w:tcPr>
            <w:tcW w:w="1000" w:type="dxa"/>
            <w:vAlign w:val="bottom"/>
            <w:vMerge w:val="restart"/>
            <w:shd w:val="clear" w:color="auto" w:fill="E5EBF7"/>
          </w:tcPr>
          <w:p>
            <w:pPr>
              <w:jc w:val="right"/>
              <w:ind w:right="15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E5EBF7"/>
          </w:tcPr>
          <w:p>
            <w:pPr>
              <w:ind w:left="620"/>
              <w:spacing w:after="0"/>
              <w:rPr>
                <w:sz w:val="20"/>
                <w:szCs w:val="20"/>
                <w:color w:val="auto"/>
              </w:rPr>
            </w:pPr>
            <w:r>
              <w:rPr>
                <w:rFonts w:ascii="Arial" w:cs="Arial" w:eastAsia="Arial" w:hAnsi="Arial"/>
                <w:sz w:val="14"/>
                <w:szCs w:val="14"/>
                <w:color w:val="auto"/>
              </w:rPr>
              <w:t>132,525</w:t>
            </w:r>
          </w:p>
        </w:tc>
        <w:tc>
          <w:tcPr>
            <w:tcW w:w="1420" w:type="dxa"/>
            <w:vAlign w:val="bottom"/>
            <w:vMerge w:val="restart"/>
            <w:shd w:val="clear" w:color="auto" w:fill="E5EBF7"/>
          </w:tcPr>
          <w:p>
            <w:pPr>
              <w:ind w:left="760"/>
              <w:spacing w:after="0"/>
              <w:rPr>
                <w:sz w:val="20"/>
                <w:szCs w:val="20"/>
                <w:color w:val="auto"/>
              </w:rPr>
            </w:pPr>
            <w:r>
              <w:rPr>
                <w:rFonts w:ascii="Arial" w:cs="Arial" w:eastAsia="Arial" w:hAnsi="Arial"/>
                <w:sz w:val="14"/>
                <w:szCs w:val="14"/>
                <w:color w:val="auto"/>
              </w:rPr>
              <w:t>6,878</w:t>
            </w:r>
          </w:p>
        </w:tc>
        <w:tc>
          <w:tcPr>
            <w:tcW w:w="860" w:type="dxa"/>
            <w:vAlign w:val="bottom"/>
            <w:vMerge w:val="restart"/>
            <w:shd w:val="clear" w:color="auto" w:fill="E5EBF7"/>
          </w:tcPr>
          <w:p>
            <w:pPr>
              <w:jc w:val="right"/>
              <w:ind w:right="9"/>
              <w:spacing w:after="0"/>
              <w:rPr>
                <w:sz w:val="20"/>
                <w:szCs w:val="20"/>
                <w:color w:val="auto"/>
              </w:rPr>
            </w:pPr>
            <w:r>
              <w:rPr>
                <w:rFonts w:ascii="Arial" w:cs="Arial" w:eastAsia="Arial" w:hAnsi="Arial"/>
                <w:sz w:val="14"/>
                <w:szCs w:val="14"/>
                <w:color w:val="auto"/>
              </w:rPr>
              <w:t>3,626,256</w:t>
            </w:r>
          </w:p>
        </w:tc>
        <w:tc>
          <w:tcPr>
            <w:tcW w:w="0" w:type="dxa"/>
            <w:vAlign w:val="bottom"/>
          </w:tcPr>
          <w:p>
            <w:pPr>
              <w:spacing w:after="0"/>
              <w:rPr>
                <w:sz w:val="1"/>
                <w:szCs w:val="1"/>
                <w:color w:val="auto"/>
              </w:rPr>
            </w:pPr>
          </w:p>
        </w:tc>
      </w:tr>
      <w:tr>
        <w:trPr>
          <w:trHeight w:val="150"/>
        </w:trPr>
        <w:tc>
          <w:tcPr>
            <w:tcW w:w="2280" w:type="dxa"/>
            <w:vAlign w:val="bottom"/>
            <w:tcBorders>
              <w:bottom w:val="single" w:sz="8" w:color="E5EBF7"/>
            </w:tcBorders>
            <w:shd w:val="clear" w:color="auto" w:fill="E5EBF7"/>
          </w:tcPr>
          <w:p>
            <w:pPr>
              <w:spacing w:after="0"/>
              <w:rPr>
                <w:sz w:val="13"/>
                <w:szCs w:val="13"/>
                <w:color w:val="auto"/>
              </w:rPr>
            </w:pPr>
          </w:p>
        </w:tc>
        <w:tc>
          <w:tcPr>
            <w:tcW w:w="120" w:type="dxa"/>
            <w:vAlign w:val="bottom"/>
            <w:tcBorders>
              <w:bottom w:val="single" w:sz="8" w:color="E5EBF7"/>
            </w:tcBorders>
            <w:shd w:val="clear" w:color="auto" w:fill="E5EBF7"/>
          </w:tcPr>
          <w:p>
            <w:pPr>
              <w:spacing w:after="0"/>
              <w:rPr>
                <w:sz w:val="13"/>
                <w:szCs w:val="13"/>
                <w:color w:val="auto"/>
              </w:rPr>
            </w:pPr>
          </w:p>
        </w:tc>
        <w:tc>
          <w:tcPr>
            <w:tcW w:w="360" w:type="dxa"/>
            <w:vAlign w:val="bottom"/>
            <w:tcBorders>
              <w:bottom w:val="single" w:sz="8" w:color="E5EBF7"/>
            </w:tcBorders>
            <w:vMerge w:val="continue"/>
            <w:shd w:val="clear" w:color="auto" w:fill="E5EBF7"/>
          </w:tcPr>
          <w:p>
            <w:pPr>
              <w:spacing w:after="0"/>
              <w:rPr>
                <w:sz w:val="13"/>
                <w:szCs w:val="13"/>
                <w:color w:val="auto"/>
              </w:rPr>
            </w:pPr>
          </w:p>
        </w:tc>
        <w:tc>
          <w:tcPr>
            <w:tcW w:w="140" w:type="dxa"/>
            <w:vAlign w:val="bottom"/>
            <w:tcBorders>
              <w:bottom w:val="single" w:sz="8" w:color="E5EBF7"/>
            </w:tcBorders>
            <w:shd w:val="clear" w:color="auto" w:fill="E5EBF7"/>
          </w:tcPr>
          <w:p>
            <w:pPr>
              <w:spacing w:after="0"/>
              <w:rPr>
                <w:sz w:val="13"/>
                <w:szCs w:val="13"/>
                <w:color w:val="auto"/>
              </w:rPr>
            </w:pPr>
          </w:p>
        </w:tc>
        <w:tc>
          <w:tcPr>
            <w:tcW w:w="800" w:type="dxa"/>
            <w:vAlign w:val="bottom"/>
            <w:tcBorders>
              <w:bottom w:val="single" w:sz="8" w:color="E5EBF7"/>
            </w:tcBorders>
            <w:vMerge w:val="continue"/>
            <w:shd w:val="clear" w:color="auto" w:fill="E5EBF7"/>
          </w:tcPr>
          <w:p>
            <w:pPr>
              <w:spacing w:after="0"/>
              <w:rPr>
                <w:sz w:val="13"/>
                <w:szCs w:val="13"/>
                <w:color w:val="auto"/>
              </w:rPr>
            </w:pPr>
          </w:p>
        </w:tc>
        <w:tc>
          <w:tcPr>
            <w:tcW w:w="920" w:type="dxa"/>
            <w:vAlign w:val="bottom"/>
            <w:tcBorders>
              <w:bottom w:val="single" w:sz="8" w:color="E5EBF7"/>
            </w:tcBorders>
            <w:vMerge w:val="continue"/>
            <w:shd w:val="clear" w:color="auto" w:fill="E5EBF7"/>
          </w:tcPr>
          <w:p>
            <w:pPr>
              <w:spacing w:after="0"/>
              <w:rPr>
                <w:sz w:val="13"/>
                <w:szCs w:val="13"/>
                <w:color w:val="auto"/>
              </w:rPr>
            </w:pPr>
          </w:p>
        </w:tc>
        <w:tc>
          <w:tcPr>
            <w:tcW w:w="1000" w:type="dxa"/>
            <w:vAlign w:val="bottom"/>
            <w:tcBorders>
              <w:bottom w:val="single" w:sz="8" w:color="E5EBF7"/>
            </w:tcBorders>
            <w:vMerge w:val="continue"/>
            <w:shd w:val="clear" w:color="auto" w:fill="E5EBF7"/>
          </w:tcPr>
          <w:p>
            <w:pPr>
              <w:spacing w:after="0"/>
              <w:rPr>
                <w:sz w:val="13"/>
                <w:szCs w:val="13"/>
                <w:color w:val="auto"/>
              </w:rPr>
            </w:pPr>
          </w:p>
        </w:tc>
        <w:tc>
          <w:tcPr>
            <w:tcW w:w="1500" w:type="dxa"/>
            <w:vAlign w:val="bottom"/>
            <w:tcBorders>
              <w:bottom w:val="single" w:sz="8" w:color="E5EBF7"/>
            </w:tcBorders>
            <w:vMerge w:val="continue"/>
            <w:shd w:val="clear" w:color="auto" w:fill="E5EBF7"/>
          </w:tcPr>
          <w:p>
            <w:pPr>
              <w:spacing w:after="0"/>
              <w:rPr>
                <w:sz w:val="13"/>
                <w:szCs w:val="13"/>
                <w:color w:val="auto"/>
              </w:rPr>
            </w:pPr>
          </w:p>
        </w:tc>
        <w:tc>
          <w:tcPr>
            <w:tcW w:w="1420" w:type="dxa"/>
            <w:vAlign w:val="bottom"/>
            <w:tcBorders>
              <w:bottom w:val="single" w:sz="8" w:color="E5EBF7"/>
            </w:tcBorders>
            <w:vMerge w:val="continue"/>
            <w:shd w:val="clear" w:color="auto" w:fill="E5EBF7"/>
          </w:tcPr>
          <w:p>
            <w:pPr>
              <w:spacing w:after="0"/>
              <w:rPr>
                <w:sz w:val="13"/>
                <w:szCs w:val="13"/>
                <w:color w:val="auto"/>
              </w:rPr>
            </w:pPr>
          </w:p>
        </w:tc>
        <w:tc>
          <w:tcPr>
            <w:tcW w:w="860" w:type="dxa"/>
            <w:vAlign w:val="bottom"/>
            <w:tcBorders>
              <w:bottom w:val="single" w:sz="8" w:color="E5EBF7"/>
            </w:tcBorders>
            <w:vMerge w:val="continue"/>
            <w:shd w:val="clear" w:color="auto" w:fill="E5EBF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007FC4"/>
          </w:tcPr>
          <w:p>
            <w:pPr>
              <w:spacing w:after="0" w:line="20" w:lineRule="exact"/>
              <w:rPr>
                <w:sz w:val="1"/>
                <w:szCs w:val="1"/>
                <w:color w:val="auto"/>
              </w:rPr>
            </w:pPr>
          </w:p>
        </w:tc>
        <w:tc>
          <w:tcPr>
            <w:tcW w:w="120" w:type="dxa"/>
            <w:vAlign w:val="bottom"/>
            <w:shd w:val="clear" w:color="auto" w:fill="007FC4"/>
          </w:tcPr>
          <w:p>
            <w:pPr>
              <w:spacing w:after="0" w:line="20" w:lineRule="exact"/>
              <w:rPr>
                <w:sz w:val="1"/>
                <w:szCs w:val="1"/>
                <w:color w:val="auto"/>
              </w:rPr>
            </w:pPr>
          </w:p>
        </w:tc>
        <w:tc>
          <w:tcPr>
            <w:tcW w:w="360" w:type="dxa"/>
            <w:vAlign w:val="bottom"/>
            <w:shd w:val="clear" w:color="auto" w:fill="007FC4"/>
          </w:tcPr>
          <w:p>
            <w:pPr>
              <w:spacing w:after="0" w:line="20" w:lineRule="exact"/>
              <w:rPr>
                <w:sz w:val="1"/>
                <w:szCs w:val="1"/>
                <w:color w:val="auto"/>
              </w:rPr>
            </w:pPr>
          </w:p>
        </w:tc>
        <w:tc>
          <w:tcPr>
            <w:tcW w:w="140" w:type="dxa"/>
            <w:vAlign w:val="bottom"/>
            <w:shd w:val="clear" w:color="auto" w:fill="007FC4"/>
          </w:tcPr>
          <w:p>
            <w:pPr>
              <w:spacing w:after="0" w:line="20" w:lineRule="exact"/>
              <w:rPr>
                <w:sz w:val="1"/>
                <w:szCs w:val="1"/>
                <w:color w:val="auto"/>
              </w:rPr>
            </w:pPr>
          </w:p>
        </w:tc>
        <w:tc>
          <w:tcPr>
            <w:tcW w:w="800" w:type="dxa"/>
            <w:vAlign w:val="bottom"/>
            <w:shd w:val="clear" w:color="auto" w:fill="007FC4"/>
          </w:tcPr>
          <w:p>
            <w:pPr>
              <w:spacing w:after="0" w:line="20" w:lineRule="exact"/>
              <w:rPr>
                <w:sz w:val="1"/>
                <w:szCs w:val="1"/>
                <w:color w:val="auto"/>
              </w:rPr>
            </w:pPr>
          </w:p>
        </w:tc>
        <w:tc>
          <w:tcPr>
            <w:tcW w:w="920" w:type="dxa"/>
            <w:vAlign w:val="bottom"/>
            <w:shd w:val="clear" w:color="auto" w:fill="007FC4"/>
          </w:tcPr>
          <w:p>
            <w:pPr>
              <w:spacing w:after="0" w:line="20" w:lineRule="exact"/>
              <w:rPr>
                <w:sz w:val="1"/>
                <w:szCs w:val="1"/>
                <w:color w:val="auto"/>
              </w:rPr>
            </w:pPr>
          </w:p>
        </w:tc>
        <w:tc>
          <w:tcPr>
            <w:tcW w:w="1000" w:type="dxa"/>
            <w:vAlign w:val="bottom"/>
            <w:shd w:val="clear" w:color="auto" w:fill="007FC4"/>
          </w:tcPr>
          <w:p>
            <w:pPr>
              <w:spacing w:after="0" w:line="20" w:lineRule="exact"/>
              <w:rPr>
                <w:sz w:val="1"/>
                <w:szCs w:val="1"/>
                <w:color w:val="auto"/>
              </w:rPr>
            </w:pPr>
          </w:p>
        </w:tc>
        <w:tc>
          <w:tcPr>
            <w:tcW w:w="1500" w:type="dxa"/>
            <w:vAlign w:val="bottom"/>
            <w:shd w:val="clear" w:color="auto" w:fill="007FC4"/>
          </w:tcPr>
          <w:p>
            <w:pPr>
              <w:spacing w:after="0" w:line="20" w:lineRule="exact"/>
              <w:rPr>
                <w:sz w:val="1"/>
                <w:szCs w:val="1"/>
                <w:color w:val="auto"/>
              </w:rPr>
            </w:pPr>
          </w:p>
        </w:tc>
        <w:tc>
          <w:tcPr>
            <w:tcW w:w="1420" w:type="dxa"/>
            <w:vAlign w:val="bottom"/>
            <w:shd w:val="clear" w:color="auto" w:fill="007FC4"/>
          </w:tcPr>
          <w:p>
            <w:pPr>
              <w:spacing w:after="0" w:line="20" w:lineRule="exact"/>
              <w:rPr>
                <w:sz w:val="1"/>
                <w:szCs w:val="1"/>
                <w:color w:val="auto"/>
              </w:rPr>
            </w:pPr>
          </w:p>
        </w:tc>
        <w:tc>
          <w:tcPr>
            <w:tcW w:w="86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22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Reflects the aggregate grant date fair value of option and stock awards granted during the applicable year calculated in accordance with FASB ASC Topic 718. For a discussion of valuation assumptions, see Note 12 to our audited financial statements included in the 2023 Annual Report.</w:t>
      </w:r>
    </w:p>
    <w:p>
      <w:pPr>
        <w:spacing w:after="0" w:line="75" w:lineRule="exact"/>
        <w:rPr>
          <w:rFonts w:ascii="Arial" w:cs="Arial" w:eastAsia="Arial" w:hAnsi="Arial"/>
          <w:sz w:val="13"/>
          <w:szCs w:val="13"/>
          <w:color w:val="333333"/>
        </w:rPr>
      </w:pPr>
    </w:p>
    <w:p>
      <w:pPr>
        <w:ind w:left="360" w:right="32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Represents amounts paid under our 2023 cash incentive bonus program paid in March 2024. See “Compensation Discussion and Analysis” above for further details regarding this program.</w:t>
      </w:r>
    </w:p>
    <w:p>
      <w:pPr>
        <w:spacing w:after="0" w:line="75" w:lineRule="exact"/>
        <w:rPr>
          <w:rFonts w:ascii="Arial" w:cs="Arial" w:eastAsia="Arial" w:hAnsi="Arial"/>
          <w:sz w:val="13"/>
          <w:szCs w:val="13"/>
          <w:color w:val="333333"/>
        </w:rPr>
      </w:pPr>
    </w:p>
    <w:p>
      <w:pPr>
        <w:ind w:left="360" w:right="26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This amount represents $98 in life and other supplemental insurance premiums paid on Mr. Massaro’s behalf and a $9,900 matching contribution to his 401(k) account.</w:t>
      </w:r>
    </w:p>
    <w:p>
      <w:pPr>
        <w:spacing w:after="0" w:line="75" w:lineRule="exact"/>
        <w:rPr>
          <w:rFonts w:ascii="Arial" w:cs="Arial" w:eastAsia="Arial" w:hAnsi="Arial"/>
          <w:sz w:val="13"/>
          <w:szCs w:val="13"/>
          <w:color w:val="333333"/>
        </w:rPr>
      </w:pPr>
    </w:p>
    <w:p>
      <w:pPr>
        <w:ind w:left="360" w:right="42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This amount represents $98 in life and other supplemental insurance premiums paid on Mr. Orgel’s behalf and a $7,623 matching contribution to his 401(k) account.</w:t>
      </w:r>
    </w:p>
    <w:p>
      <w:pPr>
        <w:spacing w:after="0" w:line="75" w:lineRule="exact"/>
        <w:rPr>
          <w:rFonts w:ascii="Arial" w:cs="Arial" w:eastAsia="Arial" w:hAnsi="Arial"/>
          <w:sz w:val="13"/>
          <w:szCs w:val="13"/>
          <w:color w:val="333333"/>
        </w:rPr>
      </w:pPr>
    </w:p>
    <w:p>
      <w:pPr>
        <w:ind w:left="360" w:hanging="354"/>
        <w:spacing w:after="0"/>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Effective March 4, 2024, Mr. Ellis ceased serving as our Chief Financial Officer and principal financial officer.</w:t>
      </w:r>
    </w:p>
    <w:p>
      <w:pPr>
        <w:spacing w:after="0" w:line="93" w:lineRule="exact"/>
        <w:rPr>
          <w:rFonts w:ascii="Arial" w:cs="Arial" w:eastAsia="Arial" w:hAnsi="Arial"/>
          <w:sz w:val="13"/>
          <w:szCs w:val="13"/>
          <w:color w:val="333333"/>
        </w:rPr>
      </w:pPr>
    </w:p>
    <w:p>
      <w:pPr>
        <w:ind w:left="360" w:hanging="354"/>
        <w:spacing w:after="0"/>
        <w:tabs>
          <w:tab w:leader="none" w:pos="360" w:val="left"/>
        </w:tabs>
        <w:numPr>
          <w:ilvl w:val="0"/>
          <w:numId w:val="73"/>
        </w:numPr>
        <w:rPr>
          <w:rFonts w:ascii="Arial" w:cs="Arial" w:eastAsia="Arial" w:hAnsi="Arial"/>
          <w:sz w:val="12"/>
          <w:szCs w:val="12"/>
          <w:color w:val="333333"/>
        </w:rPr>
      </w:pPr>
      <w:r>
        <w:rPr>
          <w:rFonts w:ascii="Arial" w:cs="Arial" w:eastAsia="Arial" w:hAnsi="Arial"/>
          <w:sz w:val="12"/>
          <w:szCs w:val="12"/>
          <w:color w:val="333333"/>
        </w:rPr>
        <w:t>This amount represents $93 in life and other supplemental insurance premiums paid on Mr. Ellis’ behalf and a $9,042 matching contribution to his 401(k) account.</w:t>
      </w:r>
    </w:p>
    <w:p>
      <w:pPr>
        <w:spacing w:after="0" w:line="105" w:lineRule="exact"/>
        <w:rPr>
          <w:rFonts w:ascii="Arial" w:cs="Arial" w:eastAsia="Arial" w:hAnsi="Arial"/>
          <w:sz w:val="12"/>
          <w:szCs w:val="12"/>
          <w:color w:val="333333"/>
        </w:rPr>
      </w:pPr>
    </w:p>
    <w:p>
      <w:pPr>
        <w:ind w:left="360" w:right="16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This amount represents $93 in life and other supplemental insurance premiums paid on Mr. Butterfield’s behalf and a $9,487 matching contribution to his 401(k) account.</w:t>
      </w:r>
    </w:p>
    <w:p>
      <w:pPr>
        <w:spacing w:after="0" w:line="75" w:lineRule="exact"/>
        <w:rPr>
          <w:rFonts w:ascii="Arial" w:cs="Arial" w:eastAsia="Arial" w:hAnsi="Arial"/>
          <w:sz w:val="13"/>
          <w:szCs w:val="13"/>
          <w:color w:val="333333"/>
        </w:rPr>
      </w:pPr>
    </w:p>
    <w:p>
      <w:pPr>
        <w:ind w:left="360" w:right="480" w:hanging="354"/>
        <w:spacing w:after="0" w:line="243" w:lineRule="auto"/>
        <w:tabs>
          <w:tab w:leader="none" w:pos="360" w:val="left"/>
        </w:tabs>
        <w:numPr>
          <w:ilvl w:val="0"/>
          <w:numId w:val="73"/>
        </w:numPr>
        <w:rPr>
          <w:rFonts w:ascii="Arial" w:cs="Arial" w:eastAsia="Arial" w:hAnsi="Arial"/>
          <w:sz w:val="13"/>
          <w:szCs w:val="13"/>
          <w:color w:val="333333"/>
        </w:rPr>
      </w:pPr>
      <w:r>
        <w:rPr>
          <w:rFonts w:ascii="Arial" w:cs="Arial" w:eastAsia="Arial" w:hAnsi="Arial"/>
          <w:sz w:val="13"/>
          <w:szCs w:val="13"/>
          <w:color w:val="333333"/>
        </w:rPr>
        <w:t>This amount represents $87 in life and other supplemental insurance premiums paid on Mr. King’s behalf and a $9,100 matching contribution to his 401(k) account.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38 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EMPLOYMENT ARRANGEMENTS WITH OUR NAMED EXECUTIVE OFFICERS AND OUR CHIEF FINANCIAL OFFICER</w:t>
      </w:r>
    </w:p>
    <w:p>
      <w:pPr>
        <w:spacing w:after="0" w:line="181"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We have entered into employment agreements with our NEOs. Each of these agreements provide for at-will employment and includes the NEO’s base salary at the time of entering into such agreement. In addition, each of our NEOs has executed our standard confidential information and invention assignment agreement.</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March 4, 2024, we hired Cosmin Pitigoi as our Chief Financial Officer. Pursuant to his Employment Agreement (the Pitigoi Employment Agreement), Mr. Pitigoi will be paid an annual base salary of $410,000, subject to adjustment pursuant to our employee compensation policies in effect from time to time. Additionally, Mr. Pitigoi will be eligible for an annual target bonus equal to $300,000. In addition, in consideration for Mr. Pitigoi having relocated to Boston, we will reimburse him up to $35,000 for certain expenses incurred in connection with his relocation. Mr. Pitigoi is also eligible to participate in our executive benefit plans.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Pitigoi was granted a restricted stock unit award covering 394,128 shares of common stock (the Pitigoi RSUs) under Flywire’s 2021 Equity Incentive Plan. The Pitigoi RSUs vest with respect to 35% of the shares underlying the Pitigoi RSU after 12 months of continuous service, with the balance vesting in quarterly installments over the next 12 quarters of continuous service such that 28% of the shares underlying the Pitigoi RSUs shall vest in the second year, 22% of the shares underlying the Pitigoi RSUs shall vest in the third year and the remaining 15% of the shares underlying the Pitigoi RSUs shall vest in the fourth year.</w:t>
      </w:r>
    </w:p>
    <w:p>
      <w:pPr>
        <w:spacing w:after="0" w:line="1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Pursuant to the terms of the Pitigoi Employment Agreement, if we terminate Mr. Pitigoi’s employment without cause or if he resigns for good reason within the three months prior to a change in control, upon a change in control, or within 12 months following a change in control (such period being a Change in Control Window), then, subject to him executing and not revoking a release of claims against us, Mr. Pitigoi will be eligible to receive: (a) a lump sum cash payment equal to the sum of (1) his then current base salary and (2) his annual target bonus; (b) the payment of COBRA continuation premiums for up to 12 months; (c) an additional 12 months of vesting with respect to his restricted stock units; (d) if such termination occurs on or after the first anniversary of March 4, 2024, any unvested shares underlying his restricted stock units and other equity awards that are subject to time-based vesting shall be vested in full and non-forfeitable; provided, that, in the event that, prior to such termination, any unvested shares underlying RSUs held by Mr. Pitigoi were cancelled without payment upon the closing of the change in control, then, in lieu of the acceleration of such vesting, Mr. Pitigoi shall receive a cash payment equal in value to the amount payable per share in the change in control times the number of RSUs that would have been accelerated pursuant to the preceding sentence.</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Further, pursuant to the Pitigoi Employment Agreement, if we terminate Mr. Pitigoi’s employment without cause or if he resigns for good reason outside of a Change in Control Window, then, subject to Mr. Pitigoi executing and not revoking a release of claims against us, Mr. Pitigoi will be eligible to receive: (a) salary continuation at his then current base salary for 9 months following such termination; (b) a lump sum payment equal to his accrued and unpaid annual bonus if he is terminated after the end of a fiscal year, but prior to payment of such bonus; (c) an additional six months of vesting with respect to any unvested restricted stock units (any “cliff” to be disregarded, if applicable); and (d) the payment of COBRA continuation premiums for 9 months following such termination.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39 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FISCAL 2023 GRANTS OF PLAN-BASED AWARDS TABLE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each plan-based award granted to our NEOs during our Fiscal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types of awards indicated below, please see our Compensation Discussion and Analysis section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ALL 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20" w:type="dxa"/>
            <w:vAlign w:val="bottom"/>
            <w:gridSpan w:val="4"/>
          </w:tcPr>
          <w:p>
            <w:pPr>
              <w:ind w:left="420"/>
              <w:spacing w:after="0"/>
              <w:rPr>
                <w:sz w:val="20"/>
                <w:szCs w:val="20"/>
                <w:color w:val="auto"/>
              </w:rPr>
            </w:pPr>
            <w:r>
              <w:rPr>
                <w:rFonts w:ascii="Arial" w:cs="Arial" w:eastAsia="Arial" w:hAnsi="Arial"/>
                <w:sz w:val="13"/>
                <w:szCs w:val="13"/>
                <w:b w:val="1"/>
                <w:bCs w:val="1"/>
                <w:color w:val="auto"/>
              </w:rPr>
              <w:t>ESTIMATED FUTURE PAYOUTS UNDER NON-</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STOCK</w:t>
            </w:r>
          </w:p>
        </w:tc>
        <w:tc>
          <w:tcPr>
            <w:tcW w:w="1060" w:type="dxa"/>
            <w:vAlign w:val="bottom"/>
          </w:tcPr>
          <w:p>
            <w:pPr>
              <w:jc w:val="right"/>
              <w:ind w:right="54"/>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EQUITY INCENTIVE PLAN AWARDS</w:t>
            </w:r>
          </w:p>
        </w:tc>
        <w:tc>
          <w:tcPr>
            <w:tcW w:w="760" w:type="dxa"/>
            <w:vAlign w:val="bottom"/>
          </w:tcPr>
          <w:p>
            <w:pPr>
              <w:jc w:val="right"/>
              <w:ind w:right="573"/>
              <w:spacing w:after="0" w:line="104" w:lineRule="exact"/>
              <w:rPr>
                <w:sz w:val="20"/>
                <w:szCs w:val="20"/>
                <w:color w:val="auto"/>
              </w:rPr>
            </w:pPr>
            <w:r>
              <w:rPr>
                <w:rFonts w:ascii="Arial" w:cs="Arial" w:eastAsia="Arial" w:hAnsi="Arial"/>
                <w:sz w:val="10"/>
                <w:szCs w:val="10"/>
                <w:b w:val="1"/>
                <w:bCs w:val="1"/>
                <w:color w:val="auto"/>
                <w:w w:val="81"/>
              </w:rPr>
              <w:t>(1)</w:t>
            </w:r>
          </w:p>
        </w:tc>
        <w:tc>
          <w:tcPr>
            <w:tcW w:w="260" w:type="dxa"/>
            <w:vAlign w:val="bottom"/>
          </w:tcPr>
          <w:p>
            <w:pPr>
              <w:spacing w:after="0"/>
              <w:rPr>
                <w:sz w:val="9"/>
                <w:szCs w:val="9"/>
                <w:color w:val="auto"/>
              </w:rPr>
            </w:pPr>
          </w:p>
        </w:tc>
        <w:tc>
          <w:tcPr>
            <w:tcW w:w="128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AWARDS:</w:t>
            </w:r>
          </w:p>
        </w:tc>
        <w:tc>
          <w:tcPr>
            <w:tcW w:w="1060" w:type="dxa"/>
            <w:vAlign w:val="bottom"/>
          </w:tcPr>
          <w:p>
            <w:pPr>
              <w:jc w:val="right"/>
              <w:ind w:right="54"/>
              <w:spacing w:after="0" w:line="104"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w:t>
            </w:r>
          </w:p>
        </w:tc>
        <w:tc>
          <w:tcPr>
            <w:tcW w:w="106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31"/>
        </w:trPr>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Borders>
              <w:bottom w:val="single" w:sz="8" w:color="007FC4"/>
            </w:tcBorders>
          </w:tcPr>
          <w:p>
            <w:pPr>
              <w:spacing w:after="0"/>
              <w:rPr>
                <w:sz w:val="2"/>
                <w:szCs w:val="2"/>
                <w:color w:val="auto"/>
              </w:rPr>
            </w:pPr>
          </w:p>
        </w:tc>
        <w:tc>
          <w:tcPr>
            <w:tcW w:w="1460" w:type="dxa"/>
            <w:vAlign w:val="bottom"/>
            <w:tcBorders>
              <w:bottom w:val="single" w:sz="8" w:color="007FC4"/>
            </w:tcBorders>
          </w:tcPr>
          <w:p>
            <w:pPr>
              <w:spacing w:after="0"/>
              <w:rPr>
                <w:sz w:val="2"/>
                <w:szCs w:val="2"/>
                <w:color w:val="auto"/>
              </w:rPr>
            </w:pPr>
          </w:p>
        </w:tc>
        <w:tc>
          <w:tcPr>
            <w:tcW w:w="760" w:type="dxa"/>
            <w:vAlign w:val="bottom"/>
            <w:tcBorders>
              <w:bottom w:val="single" w:sz="8" w:color="007FC4"/>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060" w:type="dxa"/>
            <w:vAlign w:val="bottom"/>
            <w:vMerge w:val="restart"/>
          </w:tcPr>
          <w:p>
            <w:pPr>
              <w:jc w:val="right"/>
              <w:ind w:right="14"/>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84"/>
        </w:trPr>
        <w:tc>
          <w:tcPr>
            <w:tcW w:w="16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STOCK</w:t>
            </w:r>
          </w:p>
        </w:tc>
        <w:tc>
          <w:tcPr>
            <w:tcW w:w="106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66"/>
        </w:trPr>
        <w:tc>
          <w:tcPr>
            <w:tcW w:w="16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1620" w:type="dxa"/>
            <w:vAlign w:val="bottom"/>
            <w:vMerge w:val="restart"/>
          </w:tcPr>
          <w:p>
            <w:pPr>
              <w:jc w:val="right"/>
              <w:ind w:right="430"/>
              <w:spacing w:after="0"/>
              <w:rPr>
                <w:sz w:val="20"/>
                <w:szCs w:val="20"/>
                <w:color w:val="auto"/>
              </w:rPr>
            </w:pPr>
            <w:r>
              <w:rPr>
                <w:rFonts w:ascii="Arial" w:cs="Arial" w:eastAsia="Arial" w:hAnsi="Arial"/>
                <w:sz w:val="13"/>
                <w:szCs w:val="13"/>
                <w:b w:val="1"/>
                <w:bCs w:val="1"/>
                <w:color w:val="auto"/>
              </w:rPr>
              <w:t>GRANT DATE</w:t>
            </w:r>
          </w:p>
        </w:tc>
        <w:tc>
          <w:tcPr>
            <w:tcW w:w="1340" w:type="dxa"/>
            <w:vAlign w:val="bottom"/>
          </w:tcPr>
          <w:p>
            <w:pPr>
              <w:ind w:left="180"/>
              <w:spacing w:after="0"/>
              <w:rPr>
                <w:sz w:val="20"/>
                <w:szCs w:val="20"/>
                <w:color w:val="auto"/>
              </w:rPr>
            </w:pPr>
            <w:r>
              <w:rPr>
                <w:rFonts w:ascii="Arial" w:cs="Arial" w:eastAsia="Arial" w:hAnsi="Arial"/>
                <w:sz w:val="13"/>
                <w:szCs w:val="13"/>
                <w:b w:val="1"/>
                <w:bCs w:val="1"/>
                <w:color w:val="auto"/>
              </w:rPr>
              <w:t>THRESHOLD</w:t>
            </w:r>
          </w:p>
        </w:tc>
        <w:tc>
          <w:tcPr>
            <w:tcW w:w="1460" w:type="dxa"/>
            <w:vAlign w:val="bottom"/>
          </w:tcPr>
          <w:p>
            <w:pPr>
              <w:jc w:val="right"/>
              <w:ind w:right="531"/>
              <w:spacing w:after="0"/>
              <w:rPr>
                <w:sz w:val="20"/>
                <w:szCs w:val="20"/>
                <w:color w:val="auto"/>
              </w:rPr>
            </w:pPr>
            <w:r>
              <w:rPr>
                <w:rFonts w:ascii="Arial" w:cs="Arial" w:eastAsia="Arial" w:hAnsi="Arial"/>
                <w:sz w:val="13"/>
                <w:szCs w:val="13"/>
                <w:b w:val="1"/>
                <w:bCs w:val="1"/>
                <w:color w:val="auto"/>
              </w:rPr>
              <w:t>TARGET</w:t>
            </w: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MAXIMUM</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OR UNITS</w:t>
            </w:r>
          </w:p>
        </w:tc>
        <w:tc>
          <w:tcPr>
            <w:tcW w:w="1060" w:type="dxa"/>
            <w:vAlign w:val="bottom"/>
          </w:tcPr>
          <w:p>
            <w:pPr>
              <w:jc w:val="right"/>
              <w:ind w:right="54"/>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229"/>
        </w:trPr>
        <w:tc>
          <w:tcPr>
            <w:tcW w:w="16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491"/>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1060" w:type="dxa"/>
            <w:vAlign w:val="bottom"/>
          </w:tcPr>
          <w:p>
            <w:pPr>
              <w:jc w:val="right"/>
              <w:ind w:right="14"/>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308"/>
        </w:trPr>
        <w:tc>
          <w:tcPr>
            <w:tcW w:w="162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Massaro</w:t>
            </w:r>
          </w:p>
        </w:tc>
        <w:tc>
          <w:tcPr>
            <w:tcW w:w="1620" w:type="dxa"/>
            <w:vAlign w:val="bottom"/>
            <w:shd w:val="clear" w:color="auto" w:fill="E5EBF7"/>
          </w:tcPr>
          <w:p>
            <w:pPr>
              <w:jc w:val="right"/>
              <w:ind w:right="450"/>
              <w:spacing w:after="0"/>
              <w:rPr>
                <w:sz w:val="20"/>
                <w:szCs w:val="20"/>
                <w:color w:val="auto"/>
              </w:rPr>
            </w:pPr>
            <w:r>
              <w:rPr>
                <w:rFonts w:ascii="Arial" w:cs="Arial" w:eastAsia="Arial" w:hAnsi="Arial"/>
                <w:sz w:val="14"/>
                <w:szCs w:val="14"/>
                <w:color w:val="auto"/>
              </w:rPr>
              <w:t>3/14/2023</w:t>
            </w:r>
          </w:p>
        </w:tc>
        <w:tc>
          <w:tcPr>
            <w:tcW w:w="1340" w:type="dxa"/>
            <w:vAlign w:val="bottom"/>
            <w:shd w:val="clear" w:color="auto" w:fill="E5EBF7"/>
          </w:tcPr>
          <w:p>
            <w:pPr>
              <w:ind w:left="460"/>
              <w:spacing w:after="0"/>
              <w:rPr>
                <w:sz w:val="20"/>
                <w:szCs w:val="20"/>
                <w:color w:val="auto"/>
              </w:rPr>
            </w:pPr>
            <w:r>
              <w:rPr>
                <w:rFonts w:ascii="Arial" w:cs="Arial" w:eastAsia="Arial" w:hAnsi="Arial"/>
                <w:sz w:val="14"/>
                <w:szCs w:val="14"/>
                <w:color w:val="auto"/>
              </w:rPr>
              <w:t>337,500​</w:t>
            </w:r>
          </w:p>
        </w:tc>
        <w:tc>
          <w:tcPr>
            <w:tcW w:w="1460" w:type="dxa"/>
            <w:vAlign w:val="bottom"/>
            <w:shd w:val="clear" w:color="auto" w:fill="E5EBF7"/>
          </w:tcPr>
          <w:p>
            <w:pPr>
              <w:jc w:val="right"/>
              <w:ind w:right="511"/>
              <w:spacing w:after="0"/>
              <w:rPr>
                <w:sz w:val="20"/>
                <w:szCs w:val="20"/>
                <w:color w:val="auto"/>
              </w:rPr>
            </w:pPr>
            <w:r>
              <w:rPr>
                <w:rFonts w:ascii="Arial" w:cs="Arial" w:eastAsia="Arial" w:hAnsi="Arial"/>
                <w:sz w:val="14"/>
                <w:szCs w:val="14"/>
                <w:color w:val="auto"/>
              </w:rPr>
              <w:t>​450,000</w:t>
            </w:r>
          </w:p>
        </w:tc>
        <w:tc>
          <w:tcPr>
            <w:tcW w:w="1020" w:type="dxa"/>
            <w:vAlign w:val="bottom"/>
            <w:gridSpan w:val="2"/>
            <w:shd w:val="clear" w:color="auto" w:fill="E5EBF7"/>
          </w:tcPr>
          <w:p>
            <w:pPr>
              <w:jc w:val="right"/>
              <w:ind w:right="260"/>
              <w:spacing w:after="0"/>
              <w:rPr>
                <w:sz w:val="20"/>
                <w:szCs w:val="20"/>
                <w:color w:val="auto"/>
              </w:rPr>
            </w:pPr>
            <w:r>
              <w:rPr>
                <w:rFonts w:ascii="Arial" w:cs="Arial" w:eastAsia="Arial" w:hAnsi="Arial"/>
                <w:sz w:val="14"/>
                <w:szCs w:val="14"/>
                <w:color w:val="auto"/>
              </w:rPr>
              <w:t>675,000​</w:t>
            </w:r>
          </w:p>
        </w:tc>
        <w:tc>
          <w:tcPr>
            <w:tcW w:w="1280" w:type="dxa"/>
            <w:vAlign w:val="bottom"/>
            <w:shd w:val="clear" w:color="auto" w:fill="E5EBF7"/>
          </w:tcPr>
          <w:p>
            <w:pPr>
              <w:jc w:val="right"/>
              <w:ind w:right="214"/>
              <w:spacing w:after="0"/>
              <w:rPr>
                <w:sz w:val="20"/>
                <w:szCs w:val="20"/>
                <w:color w:val="auto"/>
              </w:rPr>
            </w:pPr>
            <w:r>
              <w:rPr>
                <w:rFonts w:ascii="Arial" w:cs="Arial" w:eastAsia="Arial" w:hAnsi="Arial"/>
                <w:sz w:val="14"/>
                <w:szCs w:val="14"/>
                <w:color w:val="auto"/>
              </w:rPr>
              <w:t>284,436</w:t>
            </w:r>
          </w:p>
        </w:tc>
        <w:tc>
          <w:tcPr>
            <w:tcW w:w="1060" w:type="dxa"/>
            <w:vAlign w:val="bottom"/>
            <w:shd w:val="clear" w:color="auto" w:fill="E5EBF7"/>
          </w:tcPr>
          <w:p>
            <w:pPr>
              <w:jc w:val="right"/>
              <w:ind w:right="14"/>
              <w:spacing w:after="0"/>
              <w:rPr>
                <w:sz w:val="20"/>
                <w:szCs w:val="20"/>
                <w:color w:val="auto"/>
              </w:rPr>
            </w:pPr>
            <w:r>
              <w:rPr>
                <w:rFonts w:ascii="Arial" w:cs="Arial" w:eastAsia="Arial" w:hAnsi="Arial"/>
                <w:sz w:val="14"/>
                <w:szCs w:val="14"/>
                <w:color w:val="auto"/>
              </w:rPr>
              <w:t>$7,628,574</w:t>
            </w:r>
          </w:p>
        </w:tc>
        <w:tc>
          <w:tcPr>
            <w:tcW w:w="0" w:type="dxa"/>
            <w:vAlign w:val="bottom"/>
          </w:tcPr>
          <w:p>
            <w:pPr>
              <w:spacing w:after="0"/>
              <w:rPr>
                <w:sz w:val="1"/>
                <w:szCs w:val="1"/>
                <w:color w:val="auto"/>
              </w:rPr>
            </w:pPr>
          </w:p>
        </w:tc>
      </w:tr>
      <w:tr>
        <w:trPr>
          <w:trHeight w:val="137"/>
        </w:trPr>
        <w:tc>
          <w:tcPr>
            <w:tcW w:w="1620" w:type="dxa"/>
            <w:vAlign w:val="bottom"/>
            <w:shd w:val="clear" w:color="auto" w:fill="E5EBF7"/>
          </w:tcPr>
          <w:p>
            <w:pPr>
              <w:spacing w:after="0"/>
              <w:rPr>
                <w:sz w:val="11"/>
                <w:szCs w:val="11"/>
                <w:color w:val="auto"/>
              </w:rPr>
            </w:pPr>
          </w:p>
        </w:tc>
        <w:tc>
          <w:tcPr>
            <w:tcW w:w="1620" w:type="dxa"/>
            <w:vAlign w:val="bottom"/>
            <w:shd w:val="clear" w:color="auto" w:fill="E5EBF7"/>
          </w:tcPr>
          <w:p>
            <w:pPr>
              <w:spacing w:after="0"/>
              <w:rPr>
                <w:sz w:val="11"/>
                <w:szCs w:val="11"/>
                <w:color w:val="auto"/>
              </w:rPr>
            </w:pPr>
          </w:p>
        </w:tc>
        <w:tc>
          <w:tcPr>
            <w:tcW w:w="1340" w:type="dxa"/>
            <w:vAlign w:val="bottom"/>
            <w:shd w:val="clear" w:color="auto" w:fill="E5EBF7"/>
          </w:tcPr>
          <w:p>
            <w:pPr>
              <w:spacing w:after="0"/>
              <w:rPr>
                <w:sz w:val="11"/>
                <w:szCs w:val="11"/>
                <w:color w:val="auto"/>
              </w:rPr>
            </w:pPr>
          </w:p>
        </w:tc>
        <w:tc>
          <w:tcPr>
            <w:tcW w:w="1460" w:type="dxa"/>
            <w:vAlign w:val="bottom"/>
            <w:shd w:val="clear" w:color="auto" w:fill="E5EBF7"/>
          </w:tcPr>
          <w:p>
            <w:pPr>
              <w:spacing w:after="0"/>
              <w:rPr>
                <w:sz w:val="11"/>
                <w:szCs w:val="11"/>
                <w:color w:val="auto"/>
              </w:rPr>
            </w:pPr>
          </w:p>
        </w:tc>
        <w:tc>
          <w:tcPr>
            <w:tcW w:w="760" w:type="dxa"/>
            <w:vAlign w:val="bottom"/>
            <w:shd w:val="clear" w:color="auto" w:fill="E5EBF7"/>
          </w:tcPr>
          <w:p>
            <w:pPr>
              <w:spacing w:after="0"/>
              <w:rPr>
                <w:sz w:val="11"/>
                <w:szCs w:val="11"/>
                <w:color w:val="auto"/>
              </w:rPr>
            </w:pPr>
          </w:p>
        </w:tc>
        <w:tc>
          <w:tcPr>
            <w:tcW w:w="260" w:type="dxa"/>
            <w:vAlign w:val="bottom"/>
            <w:shd w:val="clear" w:color="auto" w:fill="E5EBF7"/>
          </w:tcPr>
          <w:p>
            <w:pPr>
              <w:spacing w:after="0"/>
              <w:rPr>
                <w:sz w:val="11"/>
                <w:szCs w:val="11"/>
                <w:color w:val="auto"/>
              </w:rPr>
            </w:pPr>
          </w:p>
        </w:tc>
        <w:tc>
          <w:tcPr>
            <w:tcW w:w="1280" w:type="dxa"/>
            <w:vAlign w:val="bottom"/>
            <w:shd w:val="clear" w:color="auto" w:fill="E5EBF7"/>
          </w:tcPr>
          <w:p>
            <w:pPr>
              <w:spacing w:after="0"/>
              <w:rPr>
                <w:sz w:val="11"/>
                <w:szCs w:val="11"/>
                <w:color w:val="auto"/>
              </w:rPr>
            </w:pPr>
          </w:p>
        </w:tc>
        <w:tc>
          <w:tcPr>
            <w:tcW w:w="1060" w:type="dxa"/>
            <w:vAlign w:val="bottom"/>
            <w:shd w:val="clear" w:color="auto" w:fill="E5EBF7"/>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1620" w:type="dxa"/>
            <w:vAlign w:val="bottom"/>
          </w:tcPr>
          <w:p>
            <w:pPr>
              <w:ind w:left="160"/>
              <w:spacing w:after="0"/>
              <w:rPr>
                <w:sz w:val="20"/>
                <w:szCs w:val="20"/>
                <w:color w:val="auto"/>
              </w:rPr>
            </w:pPr>
            <w:r>
              <w:rPr>
                <w:rFonts w:ascii="Arial" w:cs="Arial" w:eastAsia="Arial" w:hAnsi="Arial"/>
                <w:sz w:val="14"/>
                <w:szCs w:val="14"/>
                <w:b w:val="1"/>
                <w:bCs w:val="1"/>
                <w:color w:val="007FC4"/>
              </w:rPr>
              <w:t>Robert Orgel</w:t>
            </w:r>
          </w:p>
        </w:tc>
        <w:tc>
          <w:tcPr>
            <w:tcW w:w="1620" w:type="dxa"/>
            <w:vAlign w:val="bottom"/>
          </w:tcPr>
          <w:p>
            <w:pPr>
              <w:jc w:val="right"/>
              <w:ind w:right="450"/>
              <w:spacing w:after="0"/>
              <w:rPr>
                <w:sz w:val="20"/>
                <w:szCs w:val="20"/>
                <w:color w:val="auto"/>
              </w:rPr>
            </w:pPr>
            <w:r>
              <w:rPr>
                <w:rFonts w:ascii="Arial" w:cs="Arial" w:eastAsia="Arial" w:hAnsi="Arial"/>
                <w:sz w:val="14"/>
                <w:szCs w:val="14"/>
                <w:color w:val="auto"/>
              </w:rPr>
              <w:t>3/14/2023</w:t>
            </w:r>
          </w:p>
        </w:tc>
        <w:tc>
          <w:tcPr>
            <w:tcW w:w="1340" w:type="dxa"/>
            <w:vAlign w:val="bottom"/>
          </w:tcPr>
          <w:p>
            <w:pPr>
              <w:ind w:left="460"/>
              <w:spacing w:after="0"/>
              <w:rPr>
                <w:sz w:val="20"/>
                <w:szCs w:val="20"/>
                <w:color w:val="auto"/>
              </w:rPr>
            </w:pPr>
            <w:r>
              <w:rPr>
                <w:rFonts w:ascii="Arial" w:cs="Arial" w:eastAsia="Arial" w:hAnsi="Arial"/>
                <w:sz w:val="14"/>
                <w:szCs w:val="14"/>
                <w:color w:val="auto"/>
              </w:rPr>
              <w:t>168,750</w:t>
            </w:r>
          </w:p>
        </w:tc>
        <w:tc>
          <w:tcPr>
            <w:tcW w:w="1460" w:type="dxa"/>
            <w:vAlign w:val="bottom"/>
          </w:tcPr>
          <w:p>
            <w:pPr>
              <w:jc w:val="right"/>
              <w:ind w:right="511"/>
              <w:spacing w:after="0"/>
              <w:rPr>
                <w:sz w:val="20"/>
                <w:szCs w:val="20"/>
                <w:color w:val="auto"/>
              </w:rPr>
            </w:pPr>
            <w:r>
              <w:rPr>
                <w:rFonts w:ascii="Arial" w:cs="Arial" w:eastAsia="Arial" w:hAnsi="Arial"/>
                <w:sz w:val="14"/>
                <w:szCs w:val="14"/>
                <w:color w:val="auto"/>
              </w:rPr>
              <w:t>225,000</w:t>
            </w:r>
          </w:p>
        </w:tc>
        <w:tc>
          <w:tcPr>
            <w:tcW w:w="760" w:type="dxa"/>
            <w:vAlign w:val="bottom"/>
          </w:tcPr>
          <w:p>
            <w:pPr>
              <w:jc w:val="right"/>
              <w:spacing w:after="0"/>
              <w:rPr>
                <w:sz w:val="20"/>
                <w:szCs w:val="20"/>
                <w:color w:val="auto"/>
              </w:rPr>
            </w:pPr>
            <w:r>
              <w:rPr>
                <w:rFonts w:ascii="Arial" w:cs="Arial" w:eastAsia="Arial" w:hAnsi="Arial"/>
                <w:sz w:val="14"/>
                <w:szCs w:val="14"/>
                <w:color w:val="auto"/>
              </w:rPr>
              <w:t>337,500</w:t>
            </w:r>
          </w:p>
        </w:tc>
        <w:tc>
          <w:tcPr>
            <w:tcW w:w="260" w:type="dxa"/>
            <w:vAlign w:val="bottom"/>
          </w:tcPr>
          <w:p>
            <w:pPr>
              <w:spacing w:after="0"/>
              <w:rPr>
                <w:sz w:val="24"/>
                <w:szCs w:val="2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color w:val="auto"/>
              </w:rPr>
              <w:t>150,064</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$4,024,716</w:t>
            </w: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162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Ellis</w:t>
            </w:r>
          </w:p>
        </w:tc>
        <w:tc>
          <w:tcPr>
            <w:tcW w:w="1620" w:type="dxa"/>
            <w:vAlign w:val="bottom"/>
            <w:shd w:val="clear" w:color="auto" w:fill="E5EBF7"/>
          </w:tcPr>
          <w:p>
            <w:pPr>
              <w:jc w:val="right"/>
              <w:ind w:right="450"/>
              <w:spacing w:after="0"/>
              <w:rPr>
                <w:sz w:val="20"/>
                <w:szCs w:val="20"/>
                <w:color w:val="auto"/>
              </w:rPr>
            </w:pPr>
            <w:r>
              <w:rPr>
                <w:rFonts w:ascii="Arial" w:cs="Arial" w:eastAsia="Arial" w:hAnsi="Arial"/>
                <w:sz w:val="14"/>
                <w:szCs w:val="14"/>
                <w:color w:val="auto"/>
              </w:rPr>
              <w:t>3/14/2023</w:t>
            </w:r>
          </w:p>
        </w:tc>
        <w:tc>
          <w:tcPr>
            <w:tcW w:w="1340" w:type="dxa"/>
            <w:vAlign w:val="bottom"/>
            <w:shd w:val="clear" w:color="auto" w:fill="E5EBF7"/>
          </w:tcPr>
          <w:p>
            <w:pPr>
              <w:ind w:left="460"/>
              <w:spacing w:after="0"/>
              <w:rPr>
                <w:sz w:val="20"/>
                <w:szCs w:val="20"/>
                <w:color w:val="auto"/>
              </w:rPr>
            </w:pPr>
            <w:r>
              <w:rPr>
                <w:rFonts w:ascii="Arial" w:cs="Arial" w:eastAsia="Arial" w:hAnsi="Arial"/>
                <w:sz w:val="14"/>
                <w:szCs w:val="14"/>
                <w:color w:val="auto"/>
              </w:rPr>
              <w:t>168,750​</w:t>
            </w:r>
          </w:p>
        </w:tc>
        <w:tc>
          <w:tcPr>
            <w:tcW w:w="1460" w:type="dxa"/>
            <w:vAlign w:val="bottom"/>
            <w:shd w:val="clear" w:color="auto" w:fill="E5EBF7"/>
          </w:tcPr>
          <w:p>
            <w:pPr>
              <w:jc w:val="right"/>
              <w:ind w:right="511"/>
              <w:spacing w:after="0"/>
              <w:rPr>
                <w:sz w:val="20"/>
                <w:szCs w:val="20"/>
                <w:color w:val="auto"/>
              </w:rPr>
            </w:pPr>
            <w:r>
              <w:rPr>
                <w:rFonts w:ascii="Arial" w:cs="Arial" w:eastAsia="Arial" w:hAnsi="Arial"/>
                <w:sz w:val="14"/>
                <w:szCs w:val="14"/>
                <w:color w:val="auto"/>
              </w:rPr>
              <w:t>​225,000</w:t>
            </w:r>
          </w:p>
        </w:tc>
        <w:tc>
          <w:tcPr>
            <w:tcW w:w="1020" w:type="dxa"/>
            <w:vAlign w:val="bottom"/>
            <w:gridSpan w:val="2"/>
            <w:shd w:val="clear" w:color="auto" w:fill="E5EBF7"/>
          </w:tcPr>
          <w:p>
            <w:pPr>
              <w:jc w:val="right"/>
              <w:ind w:right="260"/>
              <w:spacing w:after="0"/>
              <w:rPr>
                <w:sz w:val="20"/>
                <w:szCs w:val="20"/>
                <w:color w:val="auto"/>
              </w:rPr>
            </w:pPr>
            <w:r>
              <w:rPr>
                <w:rFonts w:ascii="Arial" w:cs="Arial" w:eastAsia="Arial" w:hAnsi="Arial"/>
                <w:sz w:val="14"/>
                <w:szCs w:val="14"/>
                <w:color w:val="auto"/>
              </w:rPr>
              <w:t>337,500​</w:t>
            </w:r>
          </w:p>
        </w:tc>
        <w:tc>
          <w:tcPr>
            <w:tcW w:w="1280" w:type="dxa"/>
            <w:vAlign w:val="bottom"/>
            <w:shd w:val="clear" w:color="auto" w:fill="E5EBF7"/>
          </w:tcPr>
          <w:p>
            <w:pPr>
              <w:jc w:val="right"/>
              <w:ind w:right="214"/>
              <w:spacing w:after="0"/>
              <w:rPr>
                <w:sz w:val="20"/>
                <w:szCs w:val="20"/>
                <w:color w:val="auto"/>
              </w:rPr>
            </w:pPr>
            <w:r>
              <w:rPr>
                <w:rFonts w:ascii="Arial" w:cs="Arial" w:eastAsia="Arial" w:hAnsi="Arial"/>
                <w:sz w:val="14"/>
                <w:szCs w:val="14"/>
                <w:color w:val="auto"/>
              </w:rPr>
              <w:t>101,023</w:t>
            </w:r>
          </w:p>
        </w:tc>
        <w:tc>
          <w:tcPr>
            <w:tcW w:w="1060" w:type="dxa"/>
            <w:vAlign w:val="bottom"/>
            <w:shd w:val="clear" w:color="auto" w:fill="E5EBF7"/>
          </w:tcPr>
          <w:p>
            <w:pPr>
              <w:jc w:val="right"/>
              <w:ind w:right="14"/>
              <w:spacing w:after="0"/>
              <w:rPr>
                <w:sz w:val="20"/>
                <w:szCs w:val="20"/>
                <w:color w:val="auto"/>
              </w:rPr>
            </w:pPr>
            <w:r>
              <w:rPr>
                <w:rFonts w:ascii="Arial" w:cs="Arial" w:eastAsia="Arial" w:hAnsi="Arial"/>
                <w:sz w:val="14"/>
                <w:szCs w:val="14"/>
                <w:color w:val="auto"/>
              </w:rPr>
              <w:t>$2,709,437</w:t>
            </w:r>
          </w:p>
        </w:tc>
        <w:tc>
          <w:tcPr>
            <w:tcW w:w="0" w:type="dxa"/>
            <w:vAlign w:val="bottom"/>
          </w:tcPr>
          <w:p>
            <w:pPr>
              <w:spacing w:after="0"/>
              <w:rPr>
                <w:sz w:val="1"/>
                <w:szCs w:val="1"/>
                <w:color w:val="auto"/>
              </w:rPr>
            </w:pPr>
          </w:p>
        </w:tc>
      </w:tr>
      <w:tr>
        <w:trPr>
          <w:trHeight w:val="137"/>
        </w:trPr>
        <w:tc>
          <w:tcPr>
            <w:tcW w:w="1620" w:type="dxa"/>
            <w:vAlign w:val="bottom"/>
            <w:shd w:val="clear" w:color="auto" w:fill="E5EBF7"/>
          </w:tcPr>
          <w:p>
            <w:pPr>
              <w:spacing w:after="0"/>
              <w:rPr>
                <w:sz w:val="11"/>
                <w:szCs w:val="11"/>
                <w:color w:val="auto"/>
              </w:rPr>
            </w:pPr>
          </w:p>
        </w:tc>
        <w:tc>
          <w:tcPr>
            <w:tcW w:w="1620" w:type="dxa"/>
            <w:vAlign w:val="bottom"/>
            <w:shd w:val="clear" w:color="auto" w:fill="E5EBF7"/>
          </w:tcPr>
          <w:p>
            <w:pPr>
              <w:spacing w:after="0"/>
              <w:rPr>
                <w:sz w:val="11"/>
                <w:szCs w:val="11"/>
                <w:color w:val="auto"/>
              </w:rPr>
            </w:pPr>
          </w:p>
        </w:tc>
        <w:tc>
          <w:tcPr>
            <w:tcW w:w="1340" w:type="dxa"/>
            <w:vAlign w:val="bottom"/>
            <w:shd w:val="clear" w:color="auto" w:fill="E5EBF7"/>
          </w:tcPr>
          <w:p>
            <w:pPr>
              <w:spacing w:after="0"/>
              <w:rPr>
                <w:sz w:val="11"/>
                <w:szCs w:val="11"/>
                <w:color w:val="auto"/>
              </w:rPr>
            </w:pPr>
          </w:p>
        </w:tc>
        <w:tc>
          <w:tcPr>
            <w:tcW w:w="1460" w:type="dxa"/>
            <w:vAlign w:val="bottom"/>
            <w:shd w:val="clear" w:color="auto" w:fill="E5EBF7"/>
          </w:tcPr>
          <w:p>
            <w:pPr>
              <w:spacing w:after="0"/>
              <w:rPr>
                <w:sz w:val="11"/>
                <w:szCs w:val="11"/>
                <w:color w:val="auto"/>
              </w:rPr>
            </w:pPr>
          </w:p>
        </w:tc>
        <w:tc>
          <w:tcPr>
            <w:tcW w:w="760" w:type="dxa"/>
            <w:vAlign w:val="bottom"/>
            <w:shd w:val="clear" w:color="auto" w:fill="E5EBF7"/>
          </w:tcPr>
          <w:p>
            <w:pPr>
              <w:spacing w:after="0"/>
              <w:rPr>
                <w:sz w:val="11"/>
                <w:szCs w:val="11"/>
                <w:color w:val="auto"/>
              </w:rPr>
            </w:pPr>
          </w:p>
        </w:tc>
        <w:tc>
          <w:tcPr>
            <w:tcW w:w="260" w:type="dxa"/>
            <w:vAlign w:val="bottom"/>
            <w:shd w:val="clear" w:color="auto" w:fill="E5EBF7"/>
          </w:tcPr>
          <w:p>
            <w:pPr>
              <w:spacing w:after="0"/>
              <w:rPr>
                <w:sz w:val="11"/>
                <w:szCs w:val="11"/>
                <w:color w:val="auto"/>
              </w:rPr>
            </w:pPr>
          </w:p>
        </w:tc>
        <w:tc>
          <w:tcPr>
            <w:tcW w:w="1280" w:type="dxa"/>
            <w:vAlign w:val="bottom"/>
            <w:shd w:val="clear" w:color="auto" w:fill="E5EBF7"/>
          </w:tcPr>
          <w:p>
            <w:pPr>
              <w:spacing w:after="0"/>
              <w:rPr>
                <w:sz w:val="11"/>
                <w:szCs w:val="11"/>
                <w:color w:val="auto"/>
              </w:rPr>
            </w:pPr>
          </w:p>
        </w:tc>
        <w:tc>
          <w:tcPr>
            <w:tcW w:w="1060" w:type="dxa"/>
            <w:vAlign w:val="bottom"/>
            <w:shd w:val="clear" w:color="auto" w:fill="E5EBF7"/>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1620" w:type="dxa"/>
            <w:vAlign w:val="bottom"/>
          </w:tcPr>
          <w:p>
            <w:pPr>
              <w:ind w:left="160"/>
              <w:spacing w:after="0"/>
              <w:rPr>
                <w:sz w:val="20"/>
                <w:szCs w:val="20"/>
                <w:color w:val="auto"/>
              </w:rPr>
            </w:pPr>
            <w:r>
              <w:rPr>
                <w:rFonts w:ascii="Arial" w:cs="Arial" w:eastAsia="Arial" w:hAnsi="Arial"/>
                <w:sz w:val="14"/>
                <w:szCs w:val="14"/>
                <w:b w:val="1"/>
                <w:bCs w:val="1"/>
                <w:color w:val="007FC4"/>
              </w:rPr>
              <w:t>Peter Butterfield</w:t>
            </w:r>
          </w:p>
        </w:tc>
        <w:tc>
          <w:tcPr>
            <w:tcW w:w="1620" w:type="dxa"/>
            <w:vAlign w:val="bottom"/>
          </w:tcPr>
          <w:p>
            <w:pPr>
              <w:jc w:val="right"/>
              <w:ind w:right="450"/>
              <w:spacing w:after="0"/>
              <w:rPr>
                <w:sz w:val="20"/>
                <w:szCs w:val="20"/>
                <w:color w:val="auto"/>
              </w:rPr>
            </w:pPr>
            <w:r>
              <w:rPr>
                <w:rFonts w:ascii="Arial" w:cs="Arial" w:eastAsia="Arial" w:hAnsi="Arial"/>
                <w:sz w:val="14"/>
                <w:szCs w:val="14"/>
                <w:color w:val="auto"/>
              </w:rPr>
              <w:t>3/14/2023</w:t>
            </w:r>
          </w:p>
        </w:tc>
        <w:tc>
          <w:tcPr>
            <w:tcW w:w="1340" w:type="dxa"/>
            <w:vAlign w:val="bottom"/>
          </w:tcPr>
          <w:p>
            <w:pPr>
              <w:ind w:left="460"/>
              <w:spacing w:after="0"/>
              <w:rPr>
                <w:sz w:val="20"/>
                <w:szCs w:val="20"/>
                <w:color w:val="auto"/>
              </w:rPr>
            </w:pPr>
            <w:r>
              <w:rPr>
                <w:rFonts w:ascii="Arial" w:cs="Arial" w:eastAsia="Arial" w:hAnsi="Arial"/>
                <w:sz w:val="14"/>
                <w:szCs w:val="14"/>
                <w:color w:val="auto"/>
              </w:rPr>
              <w:t>112,500</w:t>
            </w:r>
          </w:p>
        </w:tc>
        <w:tc>
          <w:tcPr>
            <w:tcW w:w="1460" w:type="dxa"/>
            <w:vAlign w:val="bottom"/>
          </w:tcPr>
          <w:p>
            <w:pPr>
              <w:jc w:val="right"/>
              <w:ind w:right="511"/>
              <w:spacing w:after="0"/>
              <w:rPr>
                <w:sz w:val="20"/>
                <w:szCs w:val="20"/>
                <w:color w:val="auto"/>
              </w:rPr>
            </w:pPr>
            <w:r>
              <w:rPr>
                <w:rFonts w:ascii="Arial" w:cs="Arial" w:eastAsia="Arial" w:hAnsi="Arial"/>
                <w:sz w:val="14"/>
                <w:szCs w:val="14"/>
                <w:color w:val="auto"/>
              </w:rPr>
              <w:t>150,000</w:t>
            </w:r>
          </w:p>
        </w:tc>
        <w:tc>
          <w:tcPr>
            <w:tcW w:w="760" w:type="dxa"/>
            <w:vAlign w:val="bottom"/>
          </w:tcPr>
          <w:p>
            <w:pPr>
              <w:jc w:val="right"/>
              <w:spacing w:after="0"/>
              <w:rPr>
                <w:sz w:val="20"/>
                <w:szCs w:val="20"/>
                <w:color w:val="auto"/>
              </w:rPr>
            </w:pPr>
            <w:r>
              <w:rPr>
                <w:rFonts w:ascii="Arial" w:cs="Arial" w:eastAsia="Arial" w:hAnsi="Arial"/>
                <w:sz w:val="14"/>
                <w:szCs w:val="14"/>
                <w:color w:val="auto"/>
              </w:rPr>
              <w:t>225,000</w:t>
            </w:r>
          </w:p>
        </w:tc>
        <w:tc>
          <w:tcPr>
            <w:tcW w:w="260" w:type="dxa"/>
            <w:vAlign w:val="bottom"/>
          </w:tcPr>
          <w:p>
            <w:pPr>
              <w:spacing w:after="0"/>
              <w:rPr>
                <w:sz w:val="24"/>
                <w:szCs w:val="2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color w:val="auto"/>
              </w:rPr>
              <w:t>71,599</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$1,920,285</w:t>
            </w: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1620" w:type="dxa"/>
            <w:vAlign w:val="bottom"/>
            <w:tcBorders>
              <w:bottom w:val="single" w:sz="8" w:color="E5EBF7"/>
            </w:tcBorders>
            <w:shd w:val="clear" w:color="auto" w:fill="E5EBF7"/>
          </w:tcPr>
          <w:p>
            <w:pPr>
              <w:ind w:left="160"/>
              <w:spacing w:after="0"/>
              <w:rPr>
                <w:sz w:val="20"/>
                <w:szCs w:val="20"/>
                <w:color w:val="auto"/>
              </w:rPr>
            </w:pPr>
            <w:r>
              <w:rPr>
                <w:rFonts w:ascii="Arial" w:cs="Arial" w:eastAsia="Arial" w:hAnsi="Arial"/>
                <w:sz w:val="14"/>
                <w:szCs w:val="14"/>
                <w:b w:val="1"/>
                <w:bCs w:val="1"/>
                <w:color w:val="007FC4"/>
              </w:rPr>
              <w:t>David King</w:t>
            </w:r>
          </w:p>
        </w:tc>
        <w:tc>
          <w:tcPr>
            <w:tcW w:w="1620" w:type="dxa"/>
            <w:vAlign w:val="bottom"/>
            <w:tcBorders>
              <w:bottom w:val="single" w:sz="8" w:color="E5EBF7"/>
            </w:tcBorders>
            <w:shd w:val="clear" w:color="auto" w:fill="E5EBF7"/>
          </w:tcPr>
          <w:p>
            <w:pPr>
              <w:jc w:val="right"/>
              <w:ind w:right="450"/>
              <w:spacing w:after="0"/>
              <w:rPr>
                <w:sz w:val="20"/>
                <w:szCs w:val="20"/>
                <w:color w:val="auto"/>
              </w:rPr>
            </w:pPr>
            <w:r>
              <w:rPr>
                <w:rFonts w:ascii="Arial" w:cs="Arial" w:eastAsia="Arial" w:hAnsi="Arial"/>
                <w:sz w:val="14"/>
                <w:szCs w:val="14"/>
                <w:color w:val="auto"/>
              </w:rPr>
              <w:t>3/14/2023</w:t>
            </w:r>
          </w:p>
        </w:tc>
        <w:tc>
          <w:tcPr>
            <w:tcW w:w="1340" w:type="dxa"/>
            <w:vAlign w:val="bottom"/>
            <w:tcBorders>
              <w:bottom w:val="single" w:sz="8" w:color="E5EBF7"/>
            </w:tcBorders>
            <w:shd w:val="clear" w:color="auto" w:fill="E5EBF7"/>
          </w:tcPr>
          <w:p>
            <w:pPr>
              <w:ind w:left="460"/>
              <w:spacing w:after="0"/>
              <w:rPr>
                <w:sz w:val="20"/>
                <w:szCs w:val="20"/>
                <w:color w:val="auto"/>
              </w:rPr>
            </w:pPr>
            <w:r>
              <w:rPr>
                <w:rFonts w:ascii="Arial" w:cs="Arial" w:eastAsia="Arial" w:hAnsi="Arial"/>
                <w:sz w:val="14"/>
                <w:szCs w:val="14"/>
                <w:color w:val="auto"/>
              </w:rPr>
              <w:t>​112,500</w:t>
            </w:r>
          </w:p>
        </w:tc>
        <w:tc>
          <w:tcPr>
            <w:tcW w:w="1460" w:type="dxa"/>
            <w:vAlign w:val="bottom"/>
            <w:tcBorders>
              <w:bottom w:val="single" w:sz="8" w:color="E5EBF7"/>
            </w:tcBorders>
            <w:shd w:val="clear" w:color="auto" w:fill="E5EBF7"/>
          </w:tcPr>
          <w:p>
            <w:pPr>
              <w:jc w:val="right"/>
              <w:ind w:right="511"/>
              <w:spacing w:after="0"/>
              <w:rPr>
                <w:sz w:val="20"/>
                <w:szCs w:val="20"/>
                <w:color w:val="auto"/>
              </w:rPr>
            </w:pPr>
            <w:r>
              <w:rPr>
                <w:rFonts w:ascii="Arial" w:cs="Arial" w:eastAsia="Arial" w:hAnsi="Arial"/>
                <w:sz w:val="14"/>
                <w:szCs w:val="14"/>
                <w:color w:val="auto"/>
              </w:rPr>
              <w:t>150,000​</w:t>
            </w:r>
          </w:p>
        </w:tc>
        <w:tc>
          <w:tcPr>
            <w:tcW w:w="1020" w:type="dxa"/>
            <w:vAlign w:val="bottom"/>
            <w:tcBorders>
              <w:bottom w:val="single" w:sz="8" w:color="E5EBF7"/>
            </w:tcBorders>
            <w:gridSpan w:val="2"/>
            <w:shd w:val="clear" w:color="auto" w:fill="E5EBF7"/>
          </w:tcPr>
          <w:p>
            <w:pPr>
              <w:jc w:val="right"/>
              <w:ind w:right="260"/>
              <w:spacing w:after="0"/>
              <w:rPr>
                <w:sz w:val="20"/>
                <w:szCs w:val="20"/>
                <w:color w:val="auto"/>
              </w:rPr>
            </w:pPr>
            <w:r>
              <w:rPr>
                <w:rFonts w:ascii="Arial" w:cs="Arial" w:eastAsia="Arial" w:hAnsi="Arial"/>
                <w:sz w:val="14"/>
                <w:szCs w:val="14"/>
                <w:color w:val="auto"/>
              </w:rPr>
              <w:t>225,000​</w:t>
            </w:r>
          </w:p>
        </w:tc>
        <w:tc>
          <w:tcPr>
            <w:tcW w:w="1280" w:type="dxa"/>
            <w:vAlign w:val="bottom"/>
            <w:tcBorders>
              <w:bottom w:val="single" w:sz="8" w:color="E5EBF7"/>
            </w:tcBorders>
            <w:shd w:val="clear" w:color="auto" w:fill="E5EBF7"/>
          </w:tcPr>
          <w:p>
            <w:pPr>
              <w:jc w:val="right"/>
              <w:ind w:right="214"/>
              <w:spacing w:after="0"/>
              <w:rPr>
                <w:sz w:val="20"/>
                <w:szCs w:val="20"/>
                <w:color w:val="auto"/>
              </w:rPr>
            </w:pPr>
            <w:r>
              <w:rPr>
                <w:rFonts w:ascii="Arial" w:cs="Arial" w:eastAsia="Arial" w:hAnsi="Arial"/>
                <w:sz w:val="14"/>
                <w:szCs w:val="14"/>
                <w:color w:val="auto"/>
              </w:rPr>
              <w:t>120,640</w:t>
            </w:r>
          </w:p>
        </w:tc>
        <w:tc>
          <w:tcPr>
            <w:tcW w:w="1060" w:type="dxa"/>
            <w:vAlign w:val="bottom"/>
            <w:tcBorders>
              <w:bottom w:val="single" w:sz="8" w:color="E5EBF7"/>
            </w:tcBorders>
            <w:shd w:val="clear" w:color="auto" w:fill="E5EBF7"/>
          </w:tcPr>
          <w:p>
            <w:pPr>
              <w:jc w:val="right"/>
              <w:ind w:right="14"/>
              <w:spacing w:after="0"/>
              <w:rPr>
                <w:sz w:val="20"/>
                <w:szCs w:val="20"/>
                <w:color w:val="auto"/>
              </w:rPr>
            </w:pPr>
            <w:r>
              <w:rPr>
                <w:rFonts w:ascii="Arial" w:cs="Arial" w:eastAsia="Arial" w:hAnsi="Arial"/>
                <w:sz w:val="14"/>
                <w:szCs w:val="14"/>
                <w:color w:val="auto"/>
              </w:rPr>
              <w:t>$3,235,565</w:t>
            </w:r>
          </w:p>
        </w:tc>
        <w:tc>
          <w:tcPr>
            <w:tcW w:w="0" w:type="dxa"/>
            <w:vAlign w:val="bottom"/>
          </w:tcPr>
          <w:p>
            <w:pPr>
              <w:spacing w:after="0"/>
              <w:rPr>
                <w:sz w:val="1"/>
                <w:szCs w:val="1"/>
                <w:color w:val="auto"/>
              </w:rPr>
            </w:pPr>
          </w:p>
        </w:tc>
      </w:tr>
      <w:tr>
        <w:trPr>
          <w:trHeight w:val="20"/>
        </w:trPr>
        <w:tc>
          <w:tcPr>
            <w:tcW w:w="1620" w:type="dxa"/>
            <w:vAlign w:val="bottom"/>
            <w:shd w:val="clear" w:color="auto" w:fill="007FC4"/>
          </w:tcPr>
          <w:p>
            <w:pPr>
              <w:spacing w:after="0" w:line="20" w:lineRule="exact"/>
              <w:rPr>
                <w:sz w:val="1"/>
                <w:szCs w:val="1"/>
                <w:color w:val="auto"/>
              </w:rPr>
            </w:pPr>
          </w:p>
        </w:tc>
        <w:tc>
          <w:tcPr>
            <w:tcW w:w="1620" w:type="dxa"/>
            <w:vAlign w:val="bottom"/>
            <w:shd w:val="clear" w:color="auto" w:fill="007FC4"/>
          </w:tcPr>
          <w:p>
            <w:pPr>
              <w:spacing w:after="0" w:line="20" w:lineRule="exact"/>
              <w:rPr>
                <w:sz w:val="1"/>
                <w:szCs w:val="1"/>
                <w:color w:val="auto"/>
              </w:rPr>
            </w:pPr>
          </w:p>
        </w:tc>
        <w:tc>
          <w:tcPr>
            <w:tcW w:w="1340" w:type="dxa"/>
            <w:vAlign w:val="bottom"/>
            <w:shd w:val="clear" w:color="auto" w:fill="007FC4"/>
          </w:tcPr>
          <w:p>
            <w:pPr>
              <w:spacing w:after="0" w:line="20" w:lineRule="exact"/>
              <w:rPr>
                <w:sz w:val="1"/>
                <w:szCs w:val="1"/>
                <w:color w:val="auto"/>
              </w:rPr>
            </w:pPr>
          </w:p>
        </w:tc>
        <w:tc>
          <w:tcPr>
            <w:tcW w:w="1460" w:type="dxa"/>
            <w:vAlign w:val="bottom"/>
            <w:shd w:val="clear" w:color="auto" w:fill="007FC4"/>
          </w:tcPr>
          <w:p>
            <w:pPr>
              <w:spacing w:after="0" w:line="20" w:lineRule="exact"/>
              <w:rPr>
                <w:sz w:val="1"/>
                <w:szCs w:val="1"/>
                <w:color w:val="auto"/>
              </w:rPr>
            </w:pPr>
          </w:p>
        </w:tc>
        <w:tc>
          <w:tcPr>
            <w:tcW w:w="760" w:type="dxa"/>
            <w:vAlign w:val="bottom"/>
            <w:shd w:val="clear" w:color="auto" w:fill="007FC4"/>
          </w:tcPr>
          <w:p>
            <w:pPr>
              <w:spacing w:after="0" w:line="20" w:lineRule="exact"/>
              <w:rPr>
                <w:sz w:val="1"/>
                <w:szCs w:val="1"/>
                <w:color w:val="auto"/>
              </w:rPr>
            </w:pPr>
          </w:p>
        </w:tc>
        <w:tc>
          <w:tcPr>
            <w:tcW w:w="260" w:type="dxa"/>
            <w:vAlign w:val="bottom"/>
            <w:shd w:val="clear" w:color="auto" w:fill="007FC4"/>
          </w:tcPr>
          <w:p>
            <w:pPr>
              <w:spacing w:after="0" w:line="20" w:lineRule="exact"/>
              <w:rPr>
                <w:sz w:val="1"/>
                <w:szCs w:val="1"/>
                <w:color w:val="auto"/>
              </w:rPr>
            </w:pPr>
          </w:p>
        </w:tc>
        <w:tc>
          <w:tcPr>
            <w:tcW w:w="1280" w:type="dxa"/>
            <w:vAlign w:val="bottom"/>
            <w:shd w:val="clear" w:color="auto" w:fill="007FC4"/>
          </w:tcPr>
          <w:p>
            <w:pPr>
              <w:spacing w:after="0" w:line="20" w:lineRule="exact"/>
              <w:rPr>
                <w:sz w:val="1"/>
                <w:szCs w:val="1"/>
                <w:color w:val="auto"/>
              </w:rPr>
            </w:pPr>
          </w:p>
        </w:tc>
        <w:tc>
          <w:tcPr>
            <w:tcW w:w="106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320" w:hanging="354"/>
        <w:spacing w:after="0" w:line="243" w:lineRule="auto"/>
        <w:tabs>
          <w:tab w:leader="none" w:pos="360" w:val="left"/>
        </w:tabs>
        <w:numPr>
          <w:ilvl w:val="0"/>
          <w:numId w:val="74"/>
        </w:numPr>
        <w:rPr>
          <w:rFonts w:ascii="Arial" w:cs="Arial" w:eastAsia="Arial" w:hAnsi="Arial"/>
          <w:sz w:val="13"/>
          <w:szCs w:val="13"/>
          <w:color w:val="333333"/>
        </w:rPr>
      </w:pPr>
      <w:r>
        <w:rPr>
          <w:rFonts w:ascii="Arial" w:cs="Arial" w:eastAsia="Arial" w:hAnsi="Arial"/>
          <w:sz w:val="13"/>
          <w:szCs w:val="13"/>
          <w:color w:val="333333"/>
        </w:rPr>
        <w:t>Amounts shown in these columns represent the range of possible cash payouts for each NEO under the 2023 cash incentive bonus program. Please see the discussion of the 2023 cash incentive bonus program in the Compensation Discussion and Analysis above.</w:t>
      </w:r>
    </w:p>
    <w:p>
      <w:pPr>
        <w:spacing w:after="0" w:line="75" w:lineRule="exact"/>
        <w:rPr>
          <w:rFonts w:ascii="Arial" w:cs="Arial" w:eastAsia="Arial" w:hAnsi="Arial"/>
          <w:sz w:val="13"/>
          <w:szCs w:val="13"/>
          <w:color w:val="333333"/>
        </w:rPr>
      </w:pPr>
    </w:p>
    <w:p>
      <w:pPr>
        <w:jc w:val="both"/>
        <w:ind w:left="360" w:right="120" w:hanging="354"/>
        <w:spacing w:after="0" w:line="233" w:lineRule="auto"/>
        <w:tabs>
          <w:tab w:leader="none" w:pos="360" w:val="left"/>
        </w:tabs>
        <w:numPr>
          <w:ilvl w:val="0"/>
          <w:numId w:val="74"/>
        </w:numPr>
        <w:rPr>
          <w:rFonts w:ascii="Arial" w:cs="Arial" w:eastAsia="Arial" w:hAnsi="Arial"/>
          <w:sz w:val="13"/>
          <w:szCs w:val="13"/>
          <w:color w:val="333333"/>
        </w:rPr>
      </w:pPr>
      <w:r>
        <w:rPr>
          <w:rFonts w:ascii="Arial" w:cs="Arial" w:eastAsia="Arial" w:hAnsi="Arial"/>
          <w:sz w:val="13"/>
          <w:szCs w:val="13"/>
          <w:color w:val="333333"/>
        </w:rPr>
        <w:t>This amount reflects the number of shares of common stock underlying time-vesting RSUs granted, which vested with respect to 25% of the shares on March 1, 2024, with the remainder of the shares vesting in equal quarterly installments over the following three years, provided the NEO provides continuous service to us through such vesting dates.</w:t>
      </w:r>
    </w:p>
    <w:p>
      <w:pPr>
        <w:spacing w:after="0" w:line="77"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74"/>
        </w:numPr>
        <w:rPr>
          <w:rFonts w:ascii="Arial" w:cs="Arial" w:eastAsia="Arial" w:hAnsi="Arial"/>
          <w:sz w:val="13"/>
          <w:szCs w:val="13"/>
          <w:color w:val="333333"/>
        </w:rPr>
      </w:pPr>
      <w:r>
        <w:rPr>
          <w:rFonts w:ascii="Arial" w:cs="Arial" w:eastAsia="Arial" w:hAnsi="Arial"/>
          <w:sz w:val="13"/>
          <w:szCs w:val="13"/>
          <w:color w:val="333333"/>
        </w:rPr>
        <w:t>Reflects the grant date fair value of the stock award calculated in accordance with FASB ASC Topic 718. For a discussion of valuation assumptions, see Note 12 to our audited financial statements included in our 2023 Annual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40 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2023 YEAR-END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NEOs as of December 31,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b w:val="1"/>
                <w:bCs w:val="1"/>
                <w:color w:val="auto"/>
              </w:rPr>
              <w:t>OPTION AWARDS</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3"/>
          </w:tcPr>
          <w:p>
            <w:pPr>
              <w:ind w:left="80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Borders>
              <w:bottom w:val="single" w:sz="8" w:color="007FC4"/>
            </w:tcBorders>
          </w:tcPr>
          <w:p>
            <w:pPr>
              <w:spacing w:after="0"/>
              <w:rPr>
                <w:sz w:val="4"/>
                <w:szCs w:val="4"/>
                <w:color w:val="auto"/>
              </w:rPr>
            </w:pPr>
          </w:p>
        </w:tc>
        <w:tc>
          <w:tcPr>
            <w:tcW w:w="1780" w:type="dxa"/>
            <w:vAlign w:val="bottom"/>
            <w:tcBorders>
              <w:bottom w:val="single" w:sz="8" w:color="007FC4"/>
            </w:tcBorders>
          </w:tcPr>
          <w:p>
            <w:pPr>
              <w:spacing w:after="0"/>
              <w:rPr>
                <w:sz w:val="4"/>
                <w:szCs w:val="4"/>
                <w:color w:val="auto"/>
              </w:rPr>
            </w:pPr>
          </w:p>
        </w:tc>
        <w:tc>
          <w:tcPr>
            <w:tcW w:w="820" w:type="dxa"/>
            <w:vAlign w:val="bottom"/>
            <w:tcBorders>
              <w:bottom w:val="single" w:sz="8" w:color="007FC4"/>
            </w:tcBorders>
          </w:tcPr>
          <w:p>
            <w:pPr>
              <w:spacing w:after="0"/>
              <w:rPr>
                <w:sz w:val="4"/>
                <w:szCs w:val="4"/>
                <w:color w:val="auto"/>
              </w:rPr>
            </w:pPr>
          </w:p>
        </w:tc>
        <w:tc>
          <w:tcPr>
            <w:tcW w:w="960" w:type="dxa"/>
            <w:vAlign w:val="bottom"/>
            <w:tcBorders>
              <w:bottom w:val="single" w:sz="8" w:color="007FC4"/>
            </w:tcBorders>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tcBorders>
              <w:bottom w:val="single" w:sz="8" w:color="007FC4"/>
            </w:tcBorders>
          </w:tcPr>
          <w:p>
            <w:pPr>
              <w:spacing w:after="0"/>
              <w:rPr>
                <w:sz w:val="4"/>
                <w:szCs w:val="4"/>
                <w:color w:val="auto"/>
              </w:rPr>
            </w:pPr>
          </w:p>
        </w:tc>
        <w:tc>
          <w:tcPr>
            <w:tcW w:w="1240" w:type="dxa"/>
            <w:vAlign w:val="bottom"/>
            <w:tcBorders>
              <w:bottom w:val="single" w:sz="8" w:color="007FC4"/>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NUMBER OF</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6"/>
              </w:rPr>
              <w:t>NUMBER OF</w:t>
            </w: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NUMBER OF</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SECURITIES</w:t>
            </w:r>
          </w:p>
        </w:tc>
        <w:tc>
          <w:tcPr>
            <w:tcW w:w="1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SECURITIES</w:t>
            </w: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82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OPTION</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5"/>
              </w:rPr>
              <w:t>SHARES OR</w:t>
            </w:r>
          </w:p>
        </w:tc>
        <w:tc>
          <w:tcPr>
            <w:tcW w:w="13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OF SHARES OR</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20" w:type="dxa"/>
            <w:vAlign w:val="bottom"/>
            <w:vMerge w:val="continue"/>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OPTION</w:t>
            </w:r>
          </w:p>
        </w:tc>
        <w:tc>
          <w:tcPr>
            <w:tcW w:w="14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13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UNITS OF STOCK</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OPTIONS</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OPTIONS</w:t>
            </w:r>
          </w:p>
        </w:tc>
        <w:tc>
          <w:tcPr>
            <w:tcW w:w="82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w w:val="97"/>
              </w:rPr>
              <w:t>EXERCISE</w:t>
            </w:r>
          </w:p>
        </w:tc>
        <w:tc>
          <w:tcPr>
            <w:tcW w:w="1300" w:type="dxa"/>
            <w:vAlign w:val="bottom"/>
            <w:gridSpan w:val="2"/>
            <w:vMerge w:val="continue"/>
          </w:tcPr>
          <w:p>
            <w:pPr>
              <w:spacing w:after="0"/>
              <w:rPr>
                <w:sz w:val="11"/>
                <w:szCs w:val="11"/>
                <w:color w:val="auto"/>
              </w:rPr>
            </w:pPr>
          </w:p>
        </w:tc>
        <w:tc>
          <w:tcPr>
            <w:tcW w:w="140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4"/>
              </w:rPr>
              <w:t>THAT HAVE NOT</w:t>
            </w:r>
          </w:p>
        </w:tc>
        <w:tc>
          <w:tcPr>
            <w:tcW w:w="13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135"/>
        </w:trPr>
        <w:tc>
          <w:tcPr>
            <w:tcW w:w="15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1240" w:type="dxa"/>
            <w:vAlign w:val="bottom"/>
            <w:gridSpan w:val="2"/>
          </w:tcPr>
          <w:p>
            <w:pPr>
              <w:jc w:val="center"/>
              <w:ind w:left="69"/>
              <w:spacing w:after="0" w:line="135" w:lineRule="exact"/>
              <w:rPr>
                <w:sz w:val="20"/>
                <w:szCs w:val="20"/>
                <w:color w:val="auto"/>
              </w:rPr>
            </w:pPr>
            <w:r>
              <w:rPr>
                <w:rFonts w:ascii="Arial" w:cs="Arial" w:eastAsia="Arial" w:hAnsi="Arial"/>
                <w:sz w:val="13"/>
                <w:szCs w:val="13"/>
                <w:b w:val="1"/>
                <w:bCs w:val="1"/>
                <w:color w:val="auto"/>
                <w:w w:val="87"/>
              </w:rPr>
              <w:t>(#)</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PRICE</w:t>
            </w:r>
          </w:p>
        </w:tc>
        <w:tc>
          <w:tcPr>
            <w:tcW w:w="13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EXPIRATION</w:t>
            </w:r>
          </w:p>
        </w:tc>
        <w:tc>
          <w:tcPr>
            <w:tcW w:w="14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6"/>
              </w:rPr>
              <w:t>VESTED</w:t>
            </w:r>
          </w:p>
        </w:tc>
        <w:tc>
          <w:tcPr>
            <w:tcW w:w="13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229"/>
        </w:trPr>
        <w:tc>
          <w:tcPr>
            <w:tcW w:w="1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EXERCISABLE</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UNEXERCISABLE</w:t>
            </w:r>
          </w:p>
        </w:tc>
        <w:tc>
          <w:tcPr>
            <w:tcW w:w="82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DATE</w:t>
            </w:r>
          </w:p>
        </w:tc>
        <w:tc>
          <w:tcPr>
            <w:tcW w:w="1400" w:type="dxa"/>
            <w:vAlign w:val="bottom"/>
          </w:tcPr>
          <w:p>
            <w:pPr>
              <w:jc w:val="center"/>
              <w:ind w:right="112"/>
              <w:spacing w:after="0"/>
              <w:rPr>
                <w:sz w:val="20"/>
                <w:szCs w:val="20"/>
                <w:color w:val="auto"/>
              </w:rPr>
            </w:pPr>
            <w:r>
              <w:rPr>
                <w:rFonts w:ascii="Arial" w:cs="Arial" w:eastAsia="Arial" w:hAnsi="Arial"/>
                <w:sz w:val="13"/>
                <w:szCs w:val="13"/>
                <w:b w:val="1"/>
                <w:bCs w:val="1"/>
                <w:color w:val="auto"/>
                <w:w w:val="87"/>
              </w:rPr>
              <w:t>(#)</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308"/>
        </w:trPr>
        <w:tc>
          <w:tcPr>
            <w:tcW w:w="152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Massaro</w:t>
            </w: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ind w:left="380"/>
              <w:spacing w:after="0"/>
              <w:rPr>
                <w:sz w:val="20"/>
                <w:szCs w:val="20"/>
                <w:color w:val="auto"/>
              </w:rPr>
            </w:pPr>
            <w:r>
              <w:rPr>
                <w:rFonts w:ascii="Arial" w:cs="Arial" w:eastAsia="Arial" w:hAnsi="Arial"/>
                <w:sz w:val="14"/>
                <w:szCs w:val="14"/>
                <w:color w:val="auto"/>
              </w:rPr>
              <w:t>107,538</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0​.35</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4/29/25</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ind w:right="91"/>
              <w:spacing w:after="0"/>
              <w:rPr>
                <w:sz w:val="20"/>
                <w:szCs w:val="20"/>
                <w:color w:val="auto"/>
              </w:rPr>
            </w:pPr>
            <w:r>
              <w:rPr>
                <w:rFonts w:ascii="Arial" w:cs="Arial" w:eastAsia="Arial" w:hAnsi="Arial"/>
                <w:sz w:val="14"/>
                <w:szCs w:val="14"/>
                <w:color w:val="auto"/>
              </w:rPr>
              <w:t>88,731</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0​.59</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7/25/26</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ind w:right="91"/>
              <w:spacing w:after="0"/>
              <w:rPr>
                <w:sz w:val="20"/>
                <w:szCs w:val="20"/>
                <w:color w:val="auto"/>
              </w:rPr>
            </w:pPr>
            <w:r>
              <w:rPr>
                <w:rFonts w:ascii="Arial" w:cs="Arial" w:eastAsia="Arial" w:hAnsi="Arial"/>
                <w:sz w:val="14"/>
                <w:szCs w:val="14"/>
                <w:color w:val="auto"/>
              </w:rPr>
              <w:t>23,598</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0​.59</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7/25/26</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ind w:right="91"/>
              <w:spacing w:after="0"/>
              <w:rPr>
                <w:sz w:val="20"/>
                <w:szCs w:val="20"/>
                <w:color w:val="auto"/>
              </w:rPr>
            </w:pPr>
            <w:r>
              <w:rPr>
                <w:rFonts w:ascii="Arial" w:cs="Arial" w:eastAsia="Arial" w:hAnsi="Arial"/>
                <w:sz w:val="14"/>
                <w:szCs w:val="14"/>
                <w:color w:val="auto"/>
              </w:rPr>
              <w:t>18,435</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3​.28</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2/27/29</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ind w:left="380"/>
              <w:spacing w:after="0"/>
              <w:rPr>
                <w:sz w:val="20"/>
                <w:szCs w:val="20"/>
                <w:color w:val="auto"/>
              </w:rPr>
            </w:pPr>
            <w:r>
              <w:rPr>
                <w:rFonts w:ascii="Arial" w:cs="Arial" w:eastAsia="Arial" w:hAnsi="Arial"/>
                <w:sz w:val="14"/>
                <w:szCs w:val="14"/>
                <w:color w:val="auto"/>
              </w:rPr>
              <w:t>302,724</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3​.30</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10/31/29</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ind w:left="380"/>
              <w:spacing w:after="0"/>
              <w:rPr>
                <w:sz w:val="20"/>
                <w:szCs w:val="20"/>
                <w:color w:val="auto"/>
              </w:rPr>
            </w:pPr>
            <w:r>
              <w:rPr>
                <w:rFonts w:ascii="Arial" w:cs="Arial" w:eastAsia="Arial" w:hAnsi="Arial"/>
                <w:sz w:val="14"/>
                <w:szCs w:val="14"/>
                <w:color w:val="auto"/>
                <w:w w:val="95"/>
              </w:rPr>
              <w:t>218,750</w:t>
            </w:r>
            <w:r>
              <w:rPr>
                <w:rFonts w:ascii="Arial" w:cs="Arial" w:eastAsia="Arial" w:hAnsi="Arial"/>
                <w:sz w:val="23"/>
                <w:szCs w:val="23"/>
                <w:color w:val="auto"/>
                <w:w w:val="95"/>
                <w:vertAlign w:val="superscript"/>
              </w:rPr>
              <w:t>(2)</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81,250</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ind w:left="380"/>
              <w:spacing w:after="0"/>
              <w:rPr>
                <w:sz w:val="20"/>
                <w:szCs w:val="20"/>
                <w:color w:val="auto"/>
              </w:rPr>
            </w:pPr>
            <w:r>
              <w:rPr>
                <w:rFonts w:ascii="Arial" w:cs="Arial" w:eastAsia="Arial" w:hAnsi="Arial"/>
                <w:sz w:val="14"/>
                <w:szCs w:val="14"/>
                <w:color w:val="auto"/>
                <w:w w:val="95"/>
              </w:rPr>
              <w:t>175,000</w:t>
            </w:r>
            <w:r>
              <w:rPr>
                <w:rFonts w:ascii="Arial" w:cs="Arial" w:eastAsia="Arial" w:hAnsi="Arial"/>
                <w:sz w:val="23"/>
                <w:szCs w:val="23"/>
                <w:color w:val="auto"/>
                <w:w w:val="95"/>
                <w:vertAlign w:val="superscript"/>
              </w:rPr>
              <w:t>(3)</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125,000</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spacing w:after="0"/>
              <w:rPr>
                <w:sz w:val="24"/>
                <w:szCs w:val="24"/>
                <w:color w:val="auto"/>
              </w:rPr>
            </w:pPr>
          </w:p>
        </w:tc>
        <w:tc>
          <w:tcPr>
            <w:tcW w:w="1780" w:type="dxa"/>
            <w:vAlign w:val="bottom"/>
            <w:shd w:val="clear" w:color="auto" w:fill="E5EBF7"/>
          </w:tcPr>
          <w:p>
            <w:pPr>
              <w:spacing w:after="0"/>
              <w:rPr>
                <w:sz w:val="24"/>
                <w:szCs w:val="24"/>
                <w:color w:val="auto"/>
              </w:rPr>
            </w:pPr>
          </w:p>
        </w:tc>
        <w:tc>
          <w:tcPr>
            <w:tcW w:w="820" w:type="dxa"/>
            <w:vAlign w:val="bottom"/>
            <w:shd w:val="clear" w:color="auto" w:fill="E5EBF7"/>
          </w:tcPr>
          <w:p>
            <w:pPr>
              <w:spacing w:after="0"/>
              <w:rPr>
                <w:sz w:val="24"/>
                <w:szCs w:val="24"/>
                <w:color w:val="auto"/>
              </w:rPr>
            </w:pPr>
          </w:p>
        </w:tc>
        <w:tc>
          <w:tcPr>
            <w:tcW w:w="960" w:type="dxa"/>
            <w:vAlign w:val="bottom"/>
            <w:shd w:val="clear" w:color="auto" w:fill="E5EBF7"/>
          </w:tcPr>
          <w:p>
            <w:pPr>
              <w:spacing w:after="0"/>
              <w:rPr>
                <w:sz w:val="24"/>
                <w:szCs w:val="24"/>
                <w:color w:val="auto"/>
              </w:rPr>
            </w:pP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jc w:val="right"/>
              <w:ind w:right="132"/>
              <w:spacing w:after="0"/>
              <w:rPr>
                <w:sz w:val="20"/>
                <w:szCs w:val="20"/>
                <w:color w:val="auto"/>
              </w:rPr>
            </w:pPr>
            <w:r>
              <w:rPr>
                <w:rFonts w:ascii="Arial" w:cs="Arial" w:eastAsia="Arial" w:hAnsi="Arial"/>
                <w:sz w:val="14"/>
                <w:szCs w:val="14"/>
                <w:color w:val="auto"/>
              </w:rPr>
              <w:t>141,773</w:t>
            </w:r>
            <w:r>
              <w:rPr>
                <w:rFonts w:ascii="Arial" w:cs="Arial" w:eastAsia="Arial" w:hAnsi="Arial"/>
                <w:sz w:val="23"/>
                <w:szCs w:val="23"/>
                <w:color w:val="auto"/>
                <w:vertAlign w:val="superscript"/>
              </w:rPr>
              <w:t>(4)</w:t>
            </w:r>
          </w:p>
        </w:tc>
        <w:tc>
          <w:tcPr>
            <w:tcW w:w="1340" w:type="dxa"/>
            <w:vAlign w:val="bottom"/>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3,282,045​</w:t>
            </w: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spacing w:after="0"/>
              <w:rPr>
                <w:sz w:val="24"/>
                <w:szCs w:val="24"/>
                <w:color w:val="auto"/>
              </w:rPr>
            </w:pPr>
          </w:p>
        </w:tc>
        <w:tc>
          <w:tcPr>
            <w:tcW w:w="1780" w:type="dxa"/>
            <w:vAlign w:val="bottom"/>
            <w:shd w:val="clear" w:color="auto" w:fill="E5EBF7"/>
          </w:tcPr>
          <w:p>
            <w:pPr>
              <w:spacing w:after="0"/>
              <w:rPr>
                <w:sz w:val="24"/>
                <w:szCs w:val="24"/>
                <w:color w:val="auto"/>
              </w:rPr>
            </w:pPr>
          </w:p>
        </w:tc>
        <w:tc>
          <w:tcPr>
            <w:tcW w:w="820" w:type="dxa"/>
            <w:vAlign w:val="bottom"/>
            <w:shd w:val="clear" w:color="auto" w:fill="E5EBF7"/>
          </w:tcPr>
          <w:p>
            <w:pPr>
              <w:spacing w:after="0"/>
              <w:rPr>
                <w:sz w:val="24"/>
                <w:szCs w:val="24"/>
                <w:color w:val="auto"/>
              </w:rPr>
            </w:pPr>
          </w:p>
        </w:tc>
        <w:tc>
          <w:tcPr>
            <w:tcW w:w="960" w:type="dxa"/>
            <w:vAlign w:val="bottom"/>
            <w:shd w:val="clear" w:color="auto" w:fill="E5EBF7"/>
          </w:tcPr>
          <w:p>
            <w:pPr>
              <w:spacing w:after="0"/>
              <w:rPr>
                <w:sz w:val="24"/>
                <w:szCs w:val="24"/>
                <w:color w:val="auto"/>
              </w:rPr>
            </w:pP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jc w:val="right"/>
              <w:ind w:right="132"/>
              <w:spacing w:after="0"/>
              <w:rPr>
                <w:sz w:val="20"/>
                <w:szCs w:val="20"/>
                <w:color w:val="auto"/>
              </w:rPr>
            </w:pPr>
            <w:r>
              <w:rPr>
                <w:rFonts w:ascii="Arial" w:cs="Arial" w:eastAsia="Arial" w:hAnsi="Arial"/>
                <w:sz w:val="14"/>
                <w:szCs w:val="14"/>
                <w:color w:val="auto"/>
              </w:rPr>
              <w:t>284,436</w:t>
            </w:r>
            <w:r>
              <w:rPr>
                <w:rFonts w:ascii="Arial" w:cs="Arial" w:eastAsia="Arial" w:hAnsi="Arial"/>
                <w:sz w:val="23"/>
                <w:szCs w:val="23"/>
                <w:color w:val="auto"/>
                <w:vertAlign w:val="superscript"/>
              </w:rPr>
              <w:t>(5)</w:t>
            </w:r>
          </w:p>
        </w:tc>
        <w:tc>
          <w:tcPr>
            <w:tcW w:w="1340" w:type="dxa"/>
            <w:vAlign w:val="bottom"/>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6,584,693​</w:t>
            </w:r>
          </w:p>
        </w:tc>
        <w:tc>
          <w:tcPr>
            <w:tcW w:w="0" w:type="dxa"/>
            <w:vAlign w:val="bottom"/>
          </w:tcPr>
          <w:p>
            <w:pPr>
              <w:spacing w:after="0"/>
              <w:rPr>
                <w:sz w:val="1"/>
                <w:szCs w:val="1"/>
                <w:color w:val="auto"/>
              </w:rPr>
            </w:pPr>
          </w:p>
        </w:tc>
      </w:tr>
      <w:tr>
        <w:trPr>
          <w:trHeight w:val="295"/>
        </w:trPr>
        <w:tc>
          <w:tcPr>
            <w:tcW w:w="1520" w:type="dxa"/>
            <w:vAlign w:val="bottom"/>
          </w:tcPr>
          <w:p>
            <w:pPr>
              <w:ind w:left="160"/>
              <w:spacing w:after="0"/>
              <w:rPr>
                <w:sz w:val="20"/>
                <w:szCs w:val="20"/>
                <w:color w:val="auto"/>
              </w:rPr>
            </w:pPr>
            <w:r>
              <w:rPr>
                <w:rFonts w:ascii="Arial" w:cs="Arial" w:eastAsia="Arial" w:hAnsi="Arial"/>
                <w:sz w:val="14"/>
                <w:szCs w:val="14"/>
                <w:b w:val="1"/>
                <w:bCs w:val="1"/>
                <w:color w:val="007FC4"/>
              </w:rPr>
              <w:t>Robert Orgel</w:t>
            </w: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384,452</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3.30</w:t>
            </w:r>
          </w:p>
        </w:tc>
        <w:tc>
          <w:tcPr>
            <w:tcW w:w="960" w:type="dxa"/>
            <w:vAlign w:val="bottom"/>
          </w:tcPr>
          <w:p>
            <w:pPr>
              <w:jc w:val="right"/>
              <w:spacing w:after="0"/>
              <w:rPr>
                <w:sz w:val="20"/>
                <w:szCs w:val="20"/>
                <w:color w:val="auto"/>
              </w:rPr>
            </w:pPr>
            <w:r>
              <w:rPr>
                <w:rFonts w:ascii="Arial" w:cs="Arial" w:eastAsia="Arial" w:hAnsi="Arial"/>
                <w:sz w:val="14"/>
                <w:szCs w:val="14"/>
                <w:color w:val="auto"/>
              </w:rPr>
              <w:t>10/31/29</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520" w:type="dxa"/>
            <w:vAlign w:val="bottom"/>
          </w:tcPr>
          <w:p>
            <w:pPr>
              <w:spacing w:after="0"/>
              <w:rPr>
                <w:sz w:val="24"/>
                <w:szCs w:val="24"/>
                <w:color w:val="auto"/>
              </w:rPr>
            </w:pP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w w:val="95"/>
              </w:rPr>
              <w:t>138,125</w:t>
            </w:r>
            <w:r>
              <w:rPr>
                <w:rFonts w:ascii="Arial" w:cs="Arial" w:eastAsia="Arial" w:hAnsi="Arial"/>
                <w:sz w:val="23"/>
                <w:szCs w:val="23"/>
                <w:color w:val="auto"/>
                <w:w w:val="95"/>
                <w:vertAlign w:val="superscript"/>
              </w:rPr>
              <w:t>(6)</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121,875</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70,887</w:t>
            </w:r>
            <w:r>
              <w:rPr>
                <w:rFonts w:ascii="Arial" w:cs="Arial" w:eastAsia="Arial" w:hAnsi="Arial"/>
                <w:sz w:val="23"/>
                <w:szCs w:val="23"/>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4"/>
                <w:szCs w:val="14"/>
                <w:color w:val="auto"/>
              </w:rPr>
              <w:t>1,641,034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150,064</w:t>
            </w:r>
            <w:r>
              <w:rPr>
                <w:rFonts w:ascii="Arial" w:cs="Arial" w:eastAsia="Arial" w:hAnsi="Arial"/>
                <w:sz w:val="23"/>
                <w:szCs w:val="23"/>
                <w:color w:val="auto"/>
                <w:vertAlign w:val="superscript"/>
              </w:rPr>
              <w:t>(5)</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​3,473,982</w:t>
            </w:r>
          </w:p>
        </w:tc>
        <w:tc>
          <w:tcPr>
            <w:tcW w:w="0" w:type="dxa"/>
            <w:vAlign w:val="bottom"/>
          </w:tcPr>
          <w:p>
            <w:pPr>
              <w:spacing w:after="0"/>
              <w:rPr>
                <w:sz w:val="1"/>
                <w:szCs w:val="1"/>
                <w:color w:val="auto"/>
              </w:rPr>
            </w:pPr>
          </w:p>
        </w:tc>
      </w:tr>
      <w:tr>
        <w:trPr>
          <w:trHeight w:val="295"/>
        </w:trPr>
        <w:tc>
          <w:tcPr>
            <w:tcW w:w="152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Ellis</w:t>
            </w: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ind w:right="91"/>
              <w:spacing w:after="0"/>
              <w:rPr>
                <w:sz w:val="20"/>
                <w:szCs w:val="20"/>
                <w:color w:val="auto"/>
              </w:rPr>
            </w:pPr>
            <w:r>
              <w:rPr>
                <w:rFonts w:ascii="Arial" w:cs="Arial" w:eastAsia="Arial" w:hAnsi="Arial"/>
                <w:sz w:val="14"/>
                <w:szCs w:val="14"/>
                <w:color w:val="auto"/>
              </w:rPr>
              <w:t>111,932</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3​.28</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11/27/28</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40,687</w:t>
            </w:r>
            <w:r>
              <w:rPr>
                <w:rFonts w:ascii="Arial" w:cs="Arial" w:eastAsia="Arial" w:hAnsi="Arial"/>
                <w:sz w:val="23"/>
                <w:szCs w:val="23"/>
                <w:color w:val="auto"/>
                <w:vertAlign w:val="superscript"/>
              </w:rPr>
              <w:t>(6)</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52,813</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spacing w:after="0"/>
              <w:rPr>
                <w:sz w:val="24"/>
                <w:szCs w:val="24"/>
                <w:color w:val="auto"/>
              </w:rPr>
            </w:pPr>
          </w:p>
        </w:tc>
        <w:tc>
          <w:tcPr>
            <w:tcW w:w="1780" w:type="dxa"/>
            <w:vAlign w:val="bottom"/>
            <w:shd w:val="clear" w:color="auto" w:fill="E5EBF7"/>
          </w:tcPr>
          <w:p>
            <w:pPr>
              <w:spacing w:after="0"/>
              <w:rPr>
                <w:sz w:val="24"/>
                <w:szCs w:val="24"/>
                <w:color w:val="auto"/>
              </w:rPr>
            </w:pPr>
          </w:p>
        </w:tc>
        <w:tc>
          <w:tcPr>
            <w:tcW w:w="820" w:type="dxa"/>
            <w:vAlign w:val="bottom"/>
            <w:shd w:val="clear" w:color="auto" w:fill="E5EBF7"/>
          </w:tcPr>
          <w:p>
            <w:pPr>
              <w:spacing w:after="0"/>
              <w:rPr>
                <w:sz w:val="24"/>
                <w:szCs w:val="24"/>
                <w:color w:val="auto"/>
              </w:rPr>
            </w:pPr>
          </w:p>
        </w:tc>
        <w:tc>
          <w:tcPr>
            <w:tcW w:w="960" w:type="dxa"/>
            <w:vAlign w:val="bottom"/>
            <w:shd w:val="clear" w:color="auto" w:fill="E5EBF7"/>
          </w:tcPr>
          <w:p>
            <w:pPr>
              <w:spacing w:after="0"/>
              <w:rPr>
                <w:sz w:val="24"/>
                <w:szCs w:val="24"/>
                <w:color w:val="auto"/>
              </w:rPr>
            </w:pP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jc w:val="right"/>
              <w:ind w:right="132"/>
              <w:spacing w:after="0"/>
              <w:rPr>
                <w:sz w:val="20"/>
                <w:szCs w:val="20"/>
                <w:color w:val="auto"/>
              </w:rPr>
            </w:pPr>
            <w:r>
              <w:rPr>
                <w:rFonts w:ascii="Arial" w:cs="Arial" w:eastAsia="Arial" w:hAnsi="Arial"/>
                <w:sz w:val="14"/>
                <w:szCs w:val="14"/>
                <w:color w:val="auto"/>
              </w:rPr>
              <w:t>50,634</w:t>
            </w:r>
            <w:r>
              <w:rPr>
                <w:rFonts w:ascii="Arial" w:cs="Arial" w:eastAsia="Arial" w:hAnsi="Arial"/>
                <w:sz w:val="23"/>
                <w:szCs w:val="23"/>
                <w:color w:val="auto"/>
                <w:vertAlign w:val="superscript"/>
              </w:rPr>
              <w:t>(4)</w:t>
            </w:r>
          </w:p>
        </w:tc>
        <w:tc>
          <w:tcPr>
            <w:tcW w:w="1340" w:type="dxa"/>
            <w:vAlign w:val="bottom"/>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​1,172,177</w:t>
            </w: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spacing w:after="0"/>
              <w:rPr>
                <w:sz w:val="24"/>
                <w:szCs w:val="24"/>
                <w:color w:val="auto"/>
              </w:rPr>
            </w:pPr>
          </w:p>
        </w:tc>
        <w:tc>
          <w:tcPr>
            <w:tcW w:w="1780" w:type="dxa"/>
            <w:vAlign w:val="bottom"/>
            <w:shd w:val="clear" w:color="auto" w:fill="E5EBF7"/>
          </w:tcPr>
          <w:p>
            <w:pPr>
              <w:spacing w:after="0"/>
              <w:rPr>
                <w:sz w:val="24"/>
                <w:szCs w:val="24"/>
                <w:color w:val="auto"/>
              </w:rPr>
            </w:pPr>
          </w:p>
        </w:tc>
        <w:tc>
          <w:tcPr>
            <w:tcW w:w="820" w:type="dxa"/>
            <w:vAlign w:val="bottom"/>
            <w:shd w:val="clear" w:color="auto" w:fill="E5EBF7"/>
          </w:tcPr>
          <w:p>
            <w:pPr>
              <w:spacing w:after="0"/>
              <w:rPr>
                <w:sz w:val="24"/>
                <w:szCs w:val="24"/>
                <w:color w:val="auto"/>
              </w:rPr>
            </w:pPr>
          </w:p>
        </w:tc>
        <w:tc>
          <w:tcPr>
            <w:tcW w:w="960" w:type="dxa"/>
            <w:vAlign w:val="bottom"/>
            <w:shd w:val="clear" w:color="auto" w:fill="E5EBF7"/>
          </w:tcPr>
          <w:p>
            <w:pPr>
              <w:spacing w:after="0"/>
              <w:rPr>
                <w:sz w:val="24"/>
                <w:szCs w:val="24"/>
                <w:color w:val="auto"/>
              </w:rPr>
            </w:pP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jc w:val="right"/>
              <w:ind w:right="132"/>
              <w:spacing w:after="0"/>
              <w:rPr>
                <w:sz w:val="20"/>
                <w:szCs w:val="20"/>
                <w:color w:val="auto"/>
              </w:rPr>
            </w:pPr>
            <w:r>
              <w:rPr>
                <w:rFonts w:ascii="Arial" w:cs="Arial" w:eastAsia="Arial" w:hAnsi="Arial"/>
                <w:sz w:val="14"/>
                <w:szCs w:val="14"/>
                <w:color w:val="auto"/>
              </w:rPr>
              <w:t>101,023</w:t>
            </w:r>
            <w:r>
              <w:rPr>
                <w:rFonts w:ascii="Arial" w:cs="Arial" w:eastAsia="Arial" w:hAnsi="Arial"/>
                <w:sz w:val="23"/>
                <w:szCs w:val="23"/>
                <w:color w:val="auto"/>
                <w:vertAlign w:val="superscript"/>
              </w:rPr>
              <w:t>(5)</w:t>
            </w:r>
          </w:p>
        </w:tc>
        <w:tc>
          <w:tcPr>
            <w:tcW w:w="1340" w:type="dxa"/>
            <w:vAlign w:val="bottom"/>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​2,338,682</w:t>
            </w:r>
          </w:p>
        </w:tc>
        <w:tc>
          <w:tcPr>
            <w:tcW w:w="0" w:type="dxa"/>
            <w:vAlign w:val="bottom"/>
          </w:tcPr>
          <w:p>
            <w:pPr>
              <w:spacing w:after="0"/>
              <w:rPr>
                <w:sz w:val="1"/>
                <w:szCs w:val="1"/>
                <w:color w:val="auto"/>
              </w:rPr>
            </w:pPr>
          </w:p>
        </w:tc>
      </w:tr>
      <w:tr>
        <w:trPr>
          <w:trHeight w:val="295"/>
        </w:trPr>
        <w:tc>
          <w:tcPr>
            <w:tcW w:w="1520" w:type="dxa"/>
            <w:vAlign w:val="bottom"/>
          </w:tcPr>
          <w:p>
            <w:pPr>
              <w:ind w:left="160"/>
              <w:spacing w:after="0"/>
              <w:rPr>
                <w:sz w:val="20"/>
                <w:szCs w:val="20"/>
                <w:color w:val="auto"/>
              </w:rPr>
            </w:pPr>
            <w:r>
              <w:rPr>
                <w:rFonts w:ascii="Arial" w:cs="Arial" w:eastAsia="Arial" w:hAnsi="Arial"/>
                <w:sz w:val="14"/>
                <w:szCs w:val="14"/>
                <w:b w:val="1"/>
                <w:bCs w:val="1"/>
                <w:color w:val="007FC4"/>
              </w:rPr>
              <w:t>Peter Butterfield</w:t>
            </w:r>
          </w:p>
        </w:tc>
        <w:tc>
          <w:tcPr>
            <w:tcW w:w="1240" w:type="dxa"/>
            <w:vAlign w:val="bottom"/>
            <w:gridSpan w:val="2"/>
          </w:tcPr>
          <w:p>
            <w:pPr>
              <w:jc w:val="right"/>
              <w:ind w:right="91"/>
              <w:spacing w:after="0"/>
              <w:rPr>
                <w:sz w:val="20"/>
                <w:szCs w:val="20"/>
                <w:color w:val="auto"/>
              </w:rPr>
            </w:pPr>
            <w:r>
              <w:rPr>
                <w:rFonts w:ascii="Arial" w:cs="Arial" w:eastAsia="Arial" w:hAnsi="Arial"/>
                <w:sz w:val="14"/>
                <w:szCs w:val="14"/>
                <w:color w:val="auto"/>
              </w:rPr>
              <w:t>84,542</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0.35</w:t>
            </w:r>
          </w:p>
        </w:tc>
        <w:tc>
          <w:tcPr>
            <w:tcW w:w="960" w:type="dxa"/>
            <w:vAlign w:val="bottom"/>
          </w:tcPr>
          <w:p>
            <w:pPr>
              <w:jc w:val="right"/>
              <w:spacing w:after="0"/>
              <w:rPr>
                <w:sz w:val="20"/>
                <w:szCs w:val="20"/>
                <w:color w:val="auto"/>
              </w:rPr>
            </w:pPr>
            <w:r>
              <w:rPr>
                <w:rFonts w:ascii="Arial" w:cs="Arial" w:eastAsia="Arial" w:hAnsi="Arial"/>
                <w:sz w:val="14"/>
                <w:szCs w:val="14"/>
                <w:color w:val="auto"/>
              </w:rPr>
              <w:t>3/10/25</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520" w:type="dxa"/>
            <w:vAlign w:val="bottom"/>
          </w:tcPr>
          <w:p>
            <w:pPr>
              <w:spacing w:after="0"/>
              <w:rPr>
                <w:sz w:val="24"/>
                <w:szCs w:val="24"/>
                <w:color w:val="auto"/>
              </w:rPr>
            </w:pP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145,950</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0​.59</w:t>
            </w:r>
          </w:p>
        </w:tc>
        <w:tc>
          <w:tcPr>
            <w:tcW w:w="960" w:type="dxa"/>
            <w:vAlign w:val="bottom"/>
          </w:tcPr>
          <w:p>
            <w:pPr>
              <w:jc w:val="right"/>
              <w:spacing w:after="0"/>
              <w:rPr>
                <w:sz w:val="20"/>
                <w:szCs w:val="20"/>
                <w:color w:val="auto"/>
              </w:rPr>
            </w:pPr>
            <w:r>
              <w:rPr>
                <w:rFonts w:ascii="Arial" w:cs="Arial" w:eastAsia="Arial" w:hAnsi="Arial"/>
                <w:sz w:val="14"/>
                <w:szCs w:val="14"/>
                <w:color w:val="auto"/>
              </w:rPr>
              <w:t>7/25/26</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4"/>
                <w:szCs w:val="24"/>
                <w:color w:val="auto"/>
              </w:rPr>
            </w:pPr>
          </w:p>
        </w:tc>
        <w:tc>
          <w:tcPr>
            <w:tcW w:w="1240" w:type="dxa"/>
            <w:vAlign w:val="bottom"/>
            <w:gridSpan w:val="2"/>
          </w:tcPr>
          <w:p>
            <w:pPr>
              <w:jc w:val="right"/>
              <w:ind w:right="91"/>
              <w:spacing w:after="0"/>
              <w:rPr>
                <w:sz w:val="20"/>
                <w:szCs w:val="20"/>
                <w:color w:val="auto"/>
              </w:rPr>
            </w:pPr>
            <w:r>
              <w:rPr>
                <w:rFonts w:ascii="Arial" w:cs="Arial" w:eastAsia="Arial" w:hAnsi="Arial"/>
                <w:sz w:val="14"/>
                <w:szCs w:val="14"/>
                <w:color w:val="auto"/>
              </w:rPr>
              <w:t>90,066</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3.28</w:t>
            </w:r>
          </w:p>
        </w:tc>
        <w:tc>
          <w:tcPr>
            <w:tcW w:w="960" w:type="dxa"/>
            <w:vAlign w:val="bottom"/>
          </w:tcPr>
          <w:p>
            <w:pPr>
              <w:jc w:val="right"/>
              <w:spacing w:after="0"/>
              <w:rPr>
                <w:sz w:val="20"/>
                <w:szCs w:val="20"/>
                <w:color w:val="auto"/>
              </w:rPr>
            </w:pPr>
            <w:r>
              <w:rPr>
                <w:rFonts w:ascii="Arial" w:cs="Arial" w:eastAsia="Arial" w:hAnsi="Arial"/>
                <w:sz w:val="14"/>
                <w:szCs w:val="14"/>
                <w:color w:val="auto"/>
              </w:rPr>
              <w:t>11/27/28</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5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21,294</w:t>
            </w:r>
            <w:r>
              <w:rPr>
                <w:rFonts w:ascii="Arial" w:cs="Arial" w:eastAsia="Arial" w:hAnsi="Arial"/>
                <w:sz w:val="23"/>
                <w:szCs w:val="23"/>
                <w:color w:val="auto"/>
                <w:vertAlign w:val="superscript"/>
              </w:rPr>
              <w:t>(6)</w:t>
            </w:r>
          </w:p>
        </w:tc>
        <w:tc>
          <w:tcPr>
            <w:tcW w:w="1780" w:type="dxa"/>
            <w:vAlign w:val="bottom"/>
          </w:tcPr>
          <w:p>
            <w:pPr>
              <w:jc w:val="right"/>
              <w:ind w:right="291"/>
              <w:spacing w:after="0"/>
              <w:rPr>
                <w:sz w:val="20"/>
                <w:szCs w:val="20"/>
                <w:color w:val="auto"/>
              </w:rPr>
            </w:pPr>
            <w:r>
              <w:rPr>
                <w:rFonts w:ascii="Arial" w:cs="Arial" w:eastAsia="Arial" w:hAnsi="Arial"/>
                <w:sz w:val="14"/>
                <w:szCs w:val="14"/>
                <w:color w:val="auto"/>
              </w:rPr>
              <w:t>52,813</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30,380</w:t>
            </w:r>
            <w:r>
              <w:rPr>
                <w:rFonts w:ascii="Arial" w:cs="Arial" w:eastAsia="Arial" w:hAnsi="Arial"/>
                <w:sz w:val="23"/>
                <w:szCs w:val="23"/>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4"/>
                <w:szCs w:val="14"/>
                <w:color w:val="auto"/>
              </w:rPr>
              <w:t>703,297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71,599</w:t>
            </w:r>
            <w:r>
              <w:rPr>
                <w:rFonts w:ascii="Arial" w:cs="Arial" w:eastAsia="Arial" w:hAnsi="Arial"/>
                <w:sz w:val="23"/>
                <w:szCs w:val="23"/>
                <w:color w:val="auto"/>
                <w:vertAlign w:val="superscript"/>
              </w:rPr>
              <w:t>(5)</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​1,657,517</w:t>
            </w: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David King</w:t>
            </w: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17,156</w:t>
            </w:r>
            <w:r>
              <w:rPr>
                <w:rFonts w:ascii="Arial" w:cs="Arial" w:eastAsia="Arial" w:hAnsi="Arial"/>
                <w:sz w:val="23"/>
                <w:szCs w:val="23"/>
                <w:color w:val="auto"/>
                <w:vertAlign w:val="superscript"/>
              </w:rPr>
              <w:t>(6)</w:t>
            </w:r>
          </w:p>
        </w:tc>
        <w:tc>
          <w:tcPr>
            <w:tcW w:w="1780" w:type="dxa"/>
            <w:vAlign w:val="bottom"/>
            <w:shd w:val="clear" w:color="auto" w:fill="E5EBF7"/>
          </w:tcPr>
          <w:p>
            <w:pPr>
              <w:jc w:val="right"/>
              <w:ind w:right="291"/>
              <w:spacing w:after="0"/>
              <w:rPr>
                <w:sz w:val="20"/>
                <w:szCs w:val="20"/>
                <w:color w:val="auto"/>
              </w:rPr>
            </w:pPr>
            <w:r>
              <w:rPr>
                <w:rFonts w:ascii="Arial" w:cs="Arial" w:eastAsia="Arial" w:hAnsi="Arial"/>
                <w:sz w:val="14"/>
                <w:szCs w:val="14"/>
                <w:color w:val="auto"/>
              </w:rPr>
              <w:t>24,375</w:t>
            </w:r>
          </w:p>
        </w:tc>
        <w:tc>
          <w:tcPr>
            <w:tcW w:w="820" w:type="dxa"/>
            <w:vAlign w:val="bottom"/>
            <w:shd w:val="clear" w:color="auto" w:fill="E5EBF7"/>
          </w:tcPr>
          <w:p>
            <w:pPr>
              <w:jc w:val="right"/>
              <w:ind w:right="110"/>
              <w:spacing w:after="0"/>
              <w:rPr>
                <w:sz w:val="20"/>
                <w:szCs w:val="20"/>
                <w:color w:val="auto"/>
              </w:rPr>
            </w:pPr>
            <w:r>
              <w:rPr>
                <w:rFonts w:ascii="Arial" w:cs="Arial" w:eastAsia="Arial" w:hAnsi="Arial"/>
                <w:sz w:val="14"/>
                <w:szCs w:val="14"/>
                <w:color w:val="auto"/>
              </w:rPr>
              <w:t>​3.95</w:t>
            </w:r>
          </w:p>
        </w:tc>
        <w:tc>
          <w:tcPr>
            <w:tcW w:w="96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1/20/31</w:t>
            </w: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spacing w:after="0"/>
              <w:rPr>
                <w:sz w:val="24"/>
                <w:szCs w:val="24"/>
                <w:color w:val="auto"/>
              </w:rPr>
            </w:pPr>
          </w:p>
        </w:tc>
        <w:tc>
          <w:tcPr>
            <w:tcW w:w="1240" w:type="dxa"/>
            <w:vAlign w:val="bottom"/>
            <w:shd w:val="clear" w:color="auto" w:fill="E5EBF7"/>
          </w:tcPr>
          <w:p>
            <w:pPr>
              <w:spacing w:after="0"/>
              <w:rPr>
                <w:sz w:val="24"/>
                <w:szCs w:val="24"/>
                <w:color w:val="auto"/>
              </w:rPr>
            </w:pPr>
          </w:p>
        </w:tc>
        <w:tc>
          <w:tcPr>
            <w:tcW w:w="10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shd w:val="clear" w:color="auto" w:fill="E5EBF7"/>
          </w:tcPr>
          <w:p>
            <w:pPr>
              <w:spacing w:after="0"/>
              <w:rPr>
                <w:sz w:val="24"/>
                <w:szCs w:val="24"/>
                <w:color w:val="auto"/>
              </w:rPr>
            </w:pPr>
          </w:p>
        </w:tc>
        <w:tc>
          <w:tcPr>
            <w:tcW w:w="180" w:type="dxa"/>
            <w:vAlign w:val="bottom"/>
            <w:shd w:val="clear" w:color="auto" w:fill="E5EBF7"/>
          </w:tcPr>
          <w:p>
            <w:pPr>
              <w:spacing w:after="0"/>
              <w:rPr>
                <w:sz w:val="24"/>
                <w:szCs w:val="24"/>
                <w:color w:val="auto"/>
              </w:rPr>
            </w:pPr>
          </w:p>
        </w:tc>
        <w:tc>
          <w:tcPr>
            <w:tcW w:w="1060" w:type="dxa"/>
            <w:vAlign w:val="bottom"/>
            <w:shd w:val="clear" w:color="auto" w:fill="E5EBF7"/>
          </w:tcPr>
          <w:p>
            <w:pPr>
              <w:spacing w:after="0"/>
              <w:rPr>
                <w:sz w:val="24"/>
                <w:szCs w:val="24"/>
                <w:color w:val="auto"/>
              </w:rPr>
            </w:pPr>
          </w:p>
        </w:tc>
        <w:tc>
          <w:tcPr>
            <w:tcW w:w="1780" w:type="dxa"/>
            <w:vAlign w:val="bottom"/>
            <w:shd w:val="clear" w:color="auto" w:fill="E5EBF7"/>
          </w:tcPr>
          <w:p>
            <w:pPr>
              <w:spacing w:after="0"/>
              <w:rPr>
                <w:sz w:val="24"/>
                <w:szCs w:val="24"/>
                <w:color w:val="auto"/>
              </w:rPr>
            </w:pPr>
          </w:p>
        </w:tc>
        <w:tc>
          <w:tcPr>
            <w:tcW w:w="820" w:type="dxa"/>
            <w:vAlign w:val="bottom"/>
            <w:shd w:val="clear" w:color="auto" w:fill="E5EBF7"/>
          </w:tcPr>
          <w:p>
            <w:pPr>
              <w:spacing w:after="0"/>
              <w:rPr>
                <w:sz w:val="24"/>
                <w:szCs w:val="24"/>
                <w:color w:val="auto"/>
              </w:rPr>
            </w:pPr>
          </w:p>
        </w:tc>
        <w:tc>
          <w:tcPr>
            <w:tcW w:w="960" w:type="dxa"/>
            <w:vAlign w:val="bottom"/>
            <w:shd w:val="clear" w:color="auto" w:fill="E5EBF7"/>
          </w:tcPr>
          <w:p>
            <w:pPr>
              <w:spacing w:after="0"/>
              <w:rPr>
                <w:sz w:val="24"/>
                <w:szCs w:val="24"/>
                <w:color w:val="auto"/>
              </w:rPr>
            </w:pPr>
          </w:p>
        </w:tc>
        <w:tc>
          <w:tcPr>
            <w:tcW w:w="340" w:type="dxa"/>
            <w:vAlign w:val="bottom"/>
            <w:shd w:val="clear" w:color="auto" w:fill="E5EBF7"/>
          </w:tcPr>
          <w:p>
            <w:pPr>
              <w:spacing w:after="0"/>
              <w:rPr>
                <w:sz w:val="24"/>
                <w:szCs w:val="24"/>
                <w:color w:val="auto"/>
              </w:rPr>
            </w:pPr>
          </w:p>
        </w:tc>
        <w:tc>
          <w:tcPr>
            <w:tcW w:w="1400" w:type="dxa"/>
            <w:vAlign w:val="bottom"/>
            <w:shd w:val="clear" w:color="auto" w:fill="E5EBF7"/>
          </w:tcPr>
          <w:p>
            <w:pPr>
              <w:jc w:val="right"/>
              <w:ind w:right="132"/>
              <w:spacing w:after="0"/>
              <w:rPr>
                <w:sz w:val="20"/>
                <w:szCs w:val="20"/>
                <w:color w:val="auto"/>
              </w:rPr>
            </w:pPr>
            <w:r>
              <w:rPr>
                <w:rFonts w:ascii="Arial" w:cs="Arial" w:eastAsia="Arial" w:hAnsi="Arial"/>
                <w:sz w:val="14"/>
                <w:szCs w:val="14"/>
                <w:color w:val="auto"/>
              </w:rPr>
              <w:t>70,887</w:t>
            </w:r>
            <w:r>
              <w:rPr>
                <w:rFonts w:ascii="Arial" w:cs="Arial" w:eastAsia="Arial" w:hAnsi="Arial"/>
                <w:sz w:val="23"/>
                <w:szCs w:val="23"/>
                <w:color w:val="auto"/>
                <w:vertAlign w:val="superscript"/>
              </w:rPr>
              <w:t>(4)</w:t>
            </w:r>
          </w:p>
        </w:tc>
        <w:tc>
          <w:tcPr>
            <w:tcW w:w="1340" w:type="dxa"/>
            <w:vAlign w:val="bottom"/>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​1,641,034</w:t>
            </w:r>
          </w:p>
        </w:tc>
        <w:tc>
          <w:tcPr>
            <w:tcW w:w="0" w:type="dxa"/>
            <w:vAlign w:val="bottom"/>
          </w:tcPr>
          <w:p>
            <w:pPr>
              <w:spacing w:after="0"/>
              <w:rPr>
                <w:sz w:val="1"/>
                <w:szCs w:val="1"/>
                <w:color w:val="auto"/>
              </w:rPr>
            </w:pPr>
          </w:p>
        </w:tc>
      </w:tr>
      <w:tr>
        <w:trPr>
          <w:trHeight w:val="351"/>
        </w:trPr>
        <w:tc>
          <w:tcPr>
            <w:tcW w:w="1520" w:type="dxa"/>
            <w:vAlign w:val="bottom"/>
            <w:tcBorders>
              <w:bottom w:val="single" w:sz="8" w:color="007FC4"/>
            </w:tcBorders>
            <w:shd w:val="clear" w:color="auto" w:fill="E5EBF7"/>
          </w:tcPr>
          <w:p>
            <w:pPr>
              <w:spacing w:after="0"/>
              <w:rPr>
                <w:sz w:val="24"/>
                <w:szCs w:val="24"/>
                <w:color w:val="auto"/>
              </w:rPr>
            </w:pPr>
          </w:p>
        </w:tc>
        <w:tc>
          <w:tcPr>
            <w:tcW w:w="180" w:type="dxa"/>
            <w:vAlign w:val="bottom"/>
            <w:tcBorders>
              <w:bottom w:val="single" w:sz="8" w:color="007FC4"/>
            </w:tcBorders>
            <w:shd w:val="clear" w:color="auto" w:fill="E5EBF7"/>
          </w:tcPr>
          <w:p>
            <w:pPr>
              <w:spacing w:after="0"/>
              <w:rPr>
                <w:sz w:val="24"/>
                <w:szCs w:val="24"/>
                <w:color w:val="auto"/>
              </w:rPr>
            </w:pPr>
          </w:p>
        </w:tc>
        <w:tc>
          <w:tcPr>
            <w:tcW w:w="1060" w:type="dxa"/>
            <w:vAlign w:val="bottom"/>
            <w:tcBorders>
              <w:bottom w:val="single" w:sz="8" w:color="007FC4"/>
            </w:tcBorders>
            <w:shd w:val="clear" w:color="auto" w:fill="E5EBF7"/>
          </w:tcPr>
          <w:p>
            <w:pPr>
              <w:spacing w:after="0"/>
              <w:rPr>
                <w:sz w:val="24"/>
                <w:szCs w:val="24"/>
                <w:color w:val="auto"/>
              </w:rPr>
            </w:pPr>
          </w:p>
        </w:tc>
        <w:tc>
          <w:tcPr>
            <w:tcW w:w="1780" w:type="dxa"/>
            <w:vAlign w:val="bottom"/>
            <w:tcBorders>
              <w:bottom w:val="single" w:sz="8" w:color="007FC4"/>
            </w:tcBorders>
            <w:shd w:val="clear" w:color="auto" w:fill="E5EBF7"/>
          </w:tcPr>
          <w:p>
            <w:pPr>
              <w:spacing w:after="0"/>
              <w:rPr>
                <w:sz w:val="24"/>
                <w:szCs w:val="24"/>
                <w:color w:val="auto"/>
              </w:rPr>
            </w:pPr>
          </w:p>
        </w:tc>
        <w:tc>
          <w:tcPr>
            <w:tcW w:w="820" w:type="dxa"/>
            <w:vAlign w:val="bottom"/>
            <w:tcBorders>
              <w:bottom w:val="single" w:sz="8" w:color="007FC4"/>
            </w:tcBorders>
            <w:shd w:val="clear" w:color="auto" w:fill="E5EBF7"/>
          </w:tcPr>
          <w:p>
            <w:pPr>
              <w:spacing w:after="0"/>
              <w:rPr>
                <w:sz w:val="24"/>
                <w:szCs w:val="24"/>
                <w:color w:val="auto"/>
              </w:rPr>
            </w:pPr>
          </w:p>
        </w:tc>
        <w:tc>
          <w:tcPr>
            <w:tcW w:w="960" w:type="dxa"/>
            <w:vAlign w:val="bottom"/>
            <w:tcBorders>
              <w:bottom w:val="single" w:sz="8" w:color="007FC4"/>
            </w:tcBorders>
            <w:shd w:val="clear" w:color="auto" w:fill="E5EBF7"/>
          </w:tcPr>
          <w:p>
            <w:pPr>
              <w:spacing w:after="0"/>
              <w:rPr>
                <w:sz w:val="24"/>
                <w:szCs w:val="24"/>
                <w:color w:val="auto"/>
              </w:rPr>
            </w:pPr>
          </w:p>
        </w:tc>
        <w:tc>
          <w:tcPr>
            <w:tcW w:w="340" w:type="dxa"/>
            <w:vAlign w:val="bottom"/>
            <w:tcBorders>
              <w:bottom w:val="single" w:sz="8" w:color="007FC4"/>
            </w:tcBorders>
            <w:shd w:val="clear" w:color="auto" w:fill="E5EBF7"/>
          </w:tcPr>
          <w:p>
            <w:pPr>
              <w:spacing w:after="0"/>
              <w:rPr>
                <w:sz w:val="24"/>
                <w:szCs w:val="24"/>
                <w:color w:val="auto"/>
              </w:rPr>
            </w:pPr>
          </w:p>
        </w:tc>
        <w:tc>
          <w:tcPr>
            <w:tcW w:w="1400" w:type="dxa"/>
            <w:vAlign w:val="bottom"/>
            <w:tcBorders>
              <w:bottom w:val="single" w:sz="8" w:color="007FC4"/>
            </w:tcBorders>
            <w:shd w:val="clear" w:color="auto" w:fill="E5EBF7"/>
          </w:tcPr>
          <w:p>
            <w:pPr>
              <w:jc w:val="right"/>
              <w:ind w:right="132"/>
              <w:spacing w:after="0"/>
              <w:rPr>
                <w:sz w:val="20"/>
                <w:szCs w:val="20"/>
                <w:color w:val="auto"/>
              </w:rPr>
            </w:pPr>
            <w:r>
              <w:rPr>
                <w:rFonts w:ascii="Arial" w:cs="Arial" w:eastAsia="Arial" w:hAnsi="Arial"/>
                <w:sz w:val="14"/>
                <w:szCs w:val="14"/>
                <w:color w:val="auto"/>
              </w:rPr>
              <w:t>120,640</w:t>
            </w:r>
            <w:r>
              <w:rPr>
                <w:rFonts w:ascii="Arial" w:cs="Arial" w:eastAsia="Arial" w:hAnsi="Arial"/>
                <w:sz w:val="23"/>
                <w:szCs w:val="23"/>
                <w:color w:val="auto"/>
                <w:vertAlign w:val="superscript"/>
              </w:rPr>
              <w:t>(5)</w:t>
            </w:r>
          </w:p>
        </w:tc>
        <w:tc>
          <w:tcPr>
            <w:tcW w:w="1340" w:type="dxa"/>
            <w:vAlign w:val="bottom"/>
            <w:tcBorders>
              <w:bottom w:val="single" w:sz="8" w:color="007FC4"/>
            </w:tcBorders>
            <w:gridSpan w:val="2"/>
            <w:shd w:val="clear" w:color="auto" w:fill="E5EBF7"/>
          </w:tcPr>
          <w:p>
            <w:pPr>
              <w:jc w:val="right"/>
              <w:ind w:right="120"/>
              <w:spacing w:after="0"/>
              <w:rPr>
                <w:sz w:val="20"/>
                <w:szCs w:val="20"/>
                <w:color w:val="auto"/>
              </w:rPr>
            </w:pPr>
            <w:r>
              <w:rPr>
                <w:rFonts w:ascii="Arial" w:cs="Arial" w:eastAsia="Arial" w:hAnsi="Arial"/>
                <w:sz w:val="14"/>
                <w:szCs w:val="14"/>
                <w:color w:val="auto"/>
              </w:rPr>
              <w:t>​2,792,816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60" w:hanging="354"/>
        <w:spacing w:after="0" w:line="226" w:lineRule="auto"/>
        <w:tabs>
          <w:tab w:leader="none" w:pos="360" w:val="left"/>
        </w:tabs>
        <w:numPr>
          <w:ilvl w:val="0"/>
          <w:numId w:val="75"/>
        </w:numPr>
        <w:rPr>
          <w:rFonts w:ascii="Arial" w:cs="Arial" w:eastAsia="Arial" w:hAnsi="Arial"/>
          <w:sz w:val="13"/>
          <w:szCs w:val="13"/>
          <w:color w:val="333333"/>
        </w:rPr>
      </w:pPr>
      <w:r>
        <w:rPr>
          <w:rFonts w:ascii="Arial" w:cs="Arial" w:eastAsia="Arial" w:hAnsi="Arial"/>
          <w:sz w:val="13"/>
          <w:szCs w:val="13"/>
          <w:color w:val="333333"/>
        </w:rPr>
        <w:t>Computed in accordance with SEC rules as the number of shares of common stock underlying unvested RSUs multiplied by the closing market price per share of our common stock on December 29, 2023, which was the last trading day of 2023, which was $23.15 per share. The actual value (if any) to be realized by the NEO depends on whether the RSUs vest and the future performance of our common stock. Each of the RSUs vest if we are acquired and the NEO is either terminated without cause or voluntarily resigns for good reason under certain circumstances following our change of control, as discussed in more detail below under Fiscal 2023 Potential Payments Upon Termination or Change in Control.</w:t>
      </w:r>
    </w:p>
    <w:p>
      <w:pPr>
        <w:spacing w:after="0" w:line="79" w:lineRule="exact"/>
        <w:rPr>
          <w:rFonts w:ascii="Arial" w:cs="Arial" w:eastAsia="Arial" w:hAnsi="Arial"/>
          <w:sz w:val="13"/>
          <w:szCs w:val="13"/>
          <w:color w:val="333333"/>
        </w:rPr>
      </w:pPr>
    </w:p>
    <w:p>
      <w:pPr>
        <w:ind w:left="360" w:right="580" w:hanging="354"/>
        <w:spacing w:after="0" w:line="243" w:lineRule="auto"/>
        <w:tabs>
          <w:tab w:leader="none" w:pos="360" w:val="left"/>
        </w:tabs>
        <w:numPr>
          <w:ilvl w:val="0"/>
          <w:numId w:val="75"/>
        </w:numPr>
        <w:rPr>
          <w:rFonts w:ascii="Arial" w:cs="Arial" w:eastAsia="Arial" w:hAnsi="Arial"/>
          <w:sz w:val="13"/>
          <w:szCs w:val="13"/>
          <w:color w:val="333333"/>
        </w:rPr>
      </w:pPr>
      <w:r>
        <w:rPr>
          <w:rFonts w:ascii="Arial" w:cs="Arial" w:eastAsia="Arial" w:hAnsi="Arial"/>
          <w:sz w:val="13"/>
          <w:szCs w:val="13"/>
          <w:color w:val="333333"/>
        </w:rPr>
        <w:t>The shares originally subject to this option vest in substantially equal monthly installments over the next 48 months of continuous service to Flywire after January 21,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54"/>
        <w:spacing w:after="0"/>
        <w:tabs>
          <w:tab w:leader="none" w:pos="3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shares subject to this option vest in substantially equal monthly installments over the next 60 months of continuous service to Flywire after January 21, 2021.</w:t>
      </w:r>
    </w:p>
    <w:p>
      <w:pPr>
        <w:spacing w:after="0" w:line="105" w:lineRule="exact"/>
        <w:rPr>
          <w:rFonts w:ascii="Arial" w:cs="Arial" w:eastAsia="Arial" w:hAnsi="Arial"/>
          <w:sz w:val="12"/>
          <w:szCs w:val="12"/>
          <w:color w:val="auto"/>
        </w:rPr>
      </w:pPr>
    </w:p>
    <w:p>
      <w:pPr>
        <w:ind w:left="360" w:right="340" w:hanging="354"/>
        <w:spacing w:after="0" w:line="243" w:lineRule="auto"/>
        <w:tabs>
          <w:tab w:leader="none" w:pos="3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Time-based restricted stock units vest 25% on March 4, 2023 and the remaining 75% in substantially equal quarterly installments over the next 36 months of continuous service thereafter.</w:t>
      </w:r>
    </w:p>
    <w:p>
      <w:pPr>
        <w:spacing w:after="0" w:line="75" w:lineRule="exact"/>
        <w:rPr>
          <w:rFonts w:ascii="Arial" w:cs="Arial" w:eastAsia="Arial" w:hAnsi="Arial"/>
          <w:sz w:val="13"/>
          <w:szCs w:val="13"/>
          <w:color w:val="auto"/>
        </w:rPr>
      </w:pPr>
    </w:p>
    <w:p>
      <w:pPr>
        <w:ind w:left="360" w:right="340" w:hanging="354"/>
        <w:spacing w:after="0" w:line="243" w:lineRule="auto"/>
        <w:tabs>
          <w:tab w:leader="none" w:pos="3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Time-based restricted stock units vest 25% on March 1, 2024 and the remaining 75% in substantially equal quarterly installments over the next 36 months of continuous service thereafter.</w:t>
      </w:r>
    </w:p>
    <w:p>
      <w:pPr>
        <w:spacing w:after="0" w:line="75" w:lineRule="exact"/>
        <w:rPr>
          <w:rFonts w:ascii="Arial" w:cs="Arial" w:eastAsia="Arial" w:hAnsi="Arial"/>
          <w:sz w:val="13"/>
          <w:szCs w:val="13"/>
          <w:color w:val="auto"/>
        </w:rPr>
      </w:pPr>
    </w:p>
    <w:p>
      <w:pPr>
        <w:ind w:left="360" w:right="320" w:hanging="354"/>
        <w:spacing w:after="0" w:line="243" w:lineRule="auto"/>
        <w:tabs>
          <w:tab w:leader="none" w:pos="3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share subject to this option vest 25% on January 21, 2022 and the remaining 75% in substantially equal monthly installments over the next 36 months of continuous service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FISCAL 2023 OPTION EXERCISES AND STOCK VESTED TABLE</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certain information regarding options exercised and common stock received upon vesting of restricted stock unit awards by our NEOs during Fiscal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3600" w:type="dxa"/>
            <w:vAlign w:val="bottom"/>
            <w:gridSpan w:val="3"/>
          </w:tcPr>
          <w:p>
            <w:pPr>
              <w:ind w:left="1040"/>
              <w:spacing w:after="0"/>
              <w:rPr>
                <w:sz w:val="20"/>
                <w:szCs w:val="20"/>
                <w:color w:val="auto"/>
              </w:rPr>
            </w:pPr>
            <w:r>
              <w:rPr>
                <w:rFonts w:ascii="Arial" w:cs="Arial" w:eastAsia="Arial" w:hAnsi="Arial"/>
                <w:sz w:val="13"/>
                <w:szCs w:val="13"/>
                <w:b w:val="1"/>
                <w:bCs w:val="1"/>
                <w:color w:val="auto"/>
              </w:rPr>
              <w:t>OPTION AWARDS</w:t>
            </w:r>
          </w:p>
        </w:tc>
        <w:tc>
          <w:tcPr>
            <w:tcW w:w="3100" w:type="dxa"/>
            <w:vAlign w:val="bottom"/>
            <w:gridSpan w:val="3"/>
          </w:tcPr>
          <w:p>
            <w:pPr>
              <w:ind w:left="100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1820" w:type="dxa"/>
            <w:vAlign w:val="bottom"/>
            <w:tcBorders>
              <w:bottom w:val="single" w:sz="8" w:color="007FC4"/>
            </w:tcBorders>
          </w:tcPr>
          <w:p>
            <w:pPr>
              <w:spacing w:after="0"/>
              <w:rPr>
                <w:sz w:val="4"/>
                <w:szCs w:val="4"/>
                <w:color w:val="auto"/>
              </w:rPr>
            </w:pPr>
          </w:p>
        </w:tc>
        <w:tc>
          <w:tcPr>
            <w:tcW w:w="1320" w:type="dxa"/>
            <w:vAlign w:val="bottom"/>
            <w:tcBorders>
              <w:bottom w:val="single" w:sz="8" w:color="007FC4"/>
            </w:tcBorders>
          </w:tcPr>
          <w:p>
            <w:pPr>
              <w:spacing w:after="0"/>
              <w:rPr>
                <w:sz w:val="4"/>
                <w:szCs w:val="4"/>
                <w:color w:val="auto"/>
              </w:rPr>
            </w:pPr>
          </w:p>
        </w:tc>
        <w:tc>
          <w:tcPr>
            <w:tcW w:w="460" w:type="dxa"/>
            <w:vAlign w:val="bottom"/>
          </w:tcPr>
          <w:p>
            <w:pPr>
              <w:spacing w:after="0"/>
              <w:rPr>
                <w:sz w:val="4"/>
                <w:szCs w:val="4"/>
                <w:color w:val="auto"/>
              </w:rPr>
            </w:pPr>
          </w:p>
        </w:tc>
        <w:tc>
          <w:tcPr>
            <w:tcW w:w="1720" w:type="dxa"/>
            <w:vAlign w:val="bottom"/>
            <w:tcBorders>
              <w:bottom w:val="single" w:sz="8" w:color="007FC4"/>
            </w:tcBorders>
          </w:tcPr>
          <w:p>
            <w:pPr>
              <w:spacing w:after="0"/>
              <w:rPr>
                <w:sz w:val="4"/>
                <w:szCs w:val="4"/>
                <w:color w:val="auto"/>
              </w:rPr>
            </w:pPr>
          </w:p>
        </w:tc>
        <w:tc>
          <w:tcPr>
            <w:tcW w:w="1320" w:type="dxa"/>
            <w:vAlign w:val="bottom"/>
            <w:tcBorders>
              <w:bottom w:val="single" w:sz="8" w:color="007FC4"/>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820" w:type="dxa"/>
            <w:vAlign w:val="bottom"/>
          </w:tcPr>
          <w:p>
            <w:pPr>
              <w:jc w:val="right"/>
              <w:ind w:right="312"/>
              <w:spacing w:after="0"/>
              <w:rPr>
                <w:sz w:val="20"/>
                <w:szCs w:val="20"/>
                <w:color w:val="auto"/>
              </w:rPr>
            </w:pPr>
            <w:r>
              <w:rPr>
                <w:rFonts w:ascii="Arial" w:cs="Arial" w:eastAsia="Arial" w:hAnsi="Arial"/>
                <w:sz w:val="13"/>
                <w:szCs w:val="13"/>
                <w:b w:val="1"/>
                <w:bCs w:val="1"/>
                <w:color w:val="auto"/>
              </w:rPr>
              <w:t>NUMBER OF SHARES</w:t>
            </w:r>
          </w:p>
        </w:tc>
        <w:tc>
          <w:tcPr>
            <w:tcW w:w="17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VALUE REALIZED</w:t>
            </w:r>
          </w:p>
        </w:tc>
        <w:tc>
          <w:tcPr>
            <w:tcW w:w="1720" w:type="dxa"/>
            <w:vAlign w:val="bottom"/>
          </w:tcPr>
          <w:p>
            <w:pPr>
              <w:jc w:val="center"/>
              <w:ind w:right="212"/>
              <w:spacing w:after="0"/>
              <w:rPr>
                <w:sz w:val="20"/>
                <w:szCs w:val="20"/>
                <w:color w:val="auto"/>
              </w:rPr>
            </w:pPr>
            <w:r>
              <w:rPr>
                <w:rFonts w:ascii="Arial" w:cs="Arial" w:eastAsia="Arial" w:hAnsi="Arial"/>
                <w:sz w:val="13"/>
                <w:szCs w:val="13"/>
                <w:b w:val="1"/>
                <w:bCs w:val="1"/>
                <w:color w:val="auto"/>
                <w:w w:val="96"/>
              </w:rPr>
              <w:t>NUMBER OF SHARES</w:t>
            </w:r>
          </w:p>
        </w:tc>
        <w:tc>
          <w:tcPr>
            <w:tcW w:w="138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VALUE REALIZED</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1820" w:type="dxa"/>
            <w:vAlign w:val="bottom"/>
          </w:tcPr>
          <w:p>
            <w:pPr>
              <w:jc w:val="right"/>
              <w:ind w:right="172"/>
              <w:spacing w:after="0" w:line="135" w:lineRule="exact"/>
              <w:rPr>
                <w:sz w:val="20"/>
                <w:szCs w:val="20"/>
                <w:color w:val="auto"/>
              </w:rPr>
            </w:pPr>
            <w:r>
              <w:rPr>
                <w:rFonts w:ascii="Arial" w:cs="Arial" w:eastAsia="Arial" w:hAnsi="Arial"/>
                <w:sz w:val="13"/>
                <w:szCs w:val="13"/>
                <w:b w:val="1"/>
                <w:bCs w:val="1"/>
                <w:color w:val="auto"/>
                <w:w w:val="96"/>
              </w:rPr>
              <w:t>ACQUIRED ON EXERCISE</w:t>
            </w:r>
          </w:p>
        </w:tc>
        <w:tc>
          <w:tcPr>
            <w:tcW w:w="1780" w:type="dxa"/>
            <w:vAlign w:val="bottom"/>
            <w:gridSpan w:val="2"/>
          </w:tcPr>
          <w:p>
            <w:pPr>
              <w:ind w:left="420"/>
              <w:spacing w:after="0" w:line="135" w:lineRule="exact"/>
              <w:rPr>
                <w:sz w:val="20"/>
                <w:szCs w:val="20"/>
                <w:color w:val="auto"/>
              </w:rPr>
            </w:pPr>
            <w:r>
              <w:rPr>
                <w:rFonts w:ascii="Arial" w:cs="Arial" w:eastAsia="Arial" w:hAnsi="Arial"/>
                <w:sz w:val="13"/>
                <w:szCs w:val="13"/>
                <w:b w:val="1"/>
                <w:bCs w:val="1"/>
                <w:color w:val="auto"/>
              </w:rPr>
              <w:t>ON EXERCISE</w:t>
            </w:r>
          </w:p>
        </w:tc>
        <w:tc>
          <w:tcPr>
            <w:tcW w:w="1720" w:type="dxa"/>
            <w:vAlign w:val="bottom"/>
          </w:tcPr>
          <w:p>
            <w:pPr>
              <w:jc w:val="center"/>
              <w:ind w:right="172"/>
              <w:spacing w:after="0" w:line="135" w:lineRule="exact"/>
              <w:rPr>
                <w:sz w:val="20"/>
                <w:szCs w:val="20"/>
                <w:color w:val="auto"/>
              </w:rPr>
            </w:pPr>
            <w:r>
              <w:rPr>
                <w:rFonts w:ascii="Arial" w:cs="Arial" w:eastAsia="Arial" w:hAnsi="Arial"/>
                <w:sz w:val="13"/>
                <w:szCs w:val="13"/>
                <w:b w:val="1"/>
                <w:bCs w:val="1"/>
                <w:color w:val="auto"/>
                <w:w w:val="96"/>
              </w:rPr>
              <w:t>ACQUIRED ON VESTING</w:t>
            </w:r>
          </w:p>
        </w:tc>
        <w:tc>
          <w:tcPr>
            <w:tcW w:w="1380" w:type="dxa"/>
            <w:vAlign w:val="bottom"/>
            <w:gridSpan w:val="2"/>
          </w:tcPr>
          <w:p>
            <w:pPr>
              <w:ind w:left="500"/>
              <w:spacing w:after="0" w:line="135"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1820" w:type="dxa"/>
            <w:vAlign w:val="bottom"/>
          </w:tcPr>
          <w:p>
            <w:pPr>
              <w:jc w:val="right"/>
              <w:ind w:right="872"/>
              <w:spacing w:after="0"/>
              <w:rPr>
                <w:sz w:val="20"/>
                <w:szCs w:val="20"/>
                <w:color w:val="auto"/>
              </w:rPr>
            </w:pPr>
            <w:r>
              <w:rPr>
                <w:rFonts w:ascii="Arial" w:cs="Arial" w:eastAsia="Arial" w:hAnsi="Arial"/>
                <w:sz w:val="13"/>
                <w:szCs w:val="13"/>
                <w:b w:val="1"/>
                <w:bCs w:val="1"/>
                <w:color w:val="auto"/>
              </w:rPr>
              <w:t>(#)</w:t>
            </w:r>
          </w:p>
        </w:tc>
        <w:tc>
          <w:tcPr>
            <w:tcW w:w="17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720" w:type="dxa"/>
            <w:vAlign w:val="bottom"/>
          </w:tcPr>
          <w:p>
            <w:pPr>
              <w:jc w:val="center"/>
              <w:ind w:right="172"/>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308"/>
        </w:trPr>
        <w:tc>
          <w:tcPr>
            <w:tcW w:w="270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Massaro</w:t>
            </w:r>
          </w:p>
        </w:tc>
        <w:tc>
          <w:tcPr>
            <w:tcW w:w="1820" w:type="dxa"/>
            <w:vAlign w:val="bottom"/>
            <w:shd w:val="clear" w:color="auto" w:fill="E5EBF7"/>
          </w:tcPr>
          <w:p>
            <w:pPr>
              <w:jc w:val="right"/>
              <w:ind w:right="172"/>
              <w:spacing w:after="0"/>
              <w:rPr>
                <w:sz w:val="20"/>
                <w:szCs w:val="20"/>
                <w:color w:val="auto"/>
              </w:rPr>
            </w:pPr>
            <w:r>
              <w:rPr>
                <w:rFonts w:ascii="Arial" w:cs="Arial" w:eastAsia="Arial" w:hAnsi="Arial"/>
                <w:sz w:val="14"/>
                <w:szCs w:val="14"/>
                <w:color w:val="auto"/>
              </w:rPr>
              <w:t>989,307</w:t>
            </w:r>
          </w:p>
        </w:tc>
        <w:tc>
          <w:tcPr>
            <w:tcW w:w="13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20,830,560</w:t>
            </w:r>
          </w:p>
        </w:tc>
        <w:tc>
          <w:tcPr>
            <w:tcW w:w="460" w:type="dxa"/>
            <w:vAlign w:val="bottom"/>
            <w:shd w:val="clear" w:color="auto" w:fill="E5EBF7"/>
          </w:tcPr>
          <w:p>
            <w:pPr>
              <w:spacing w:after="0"/>
              <w:rPr>
                <w:sz w:val="24"/>
                <w:szCs w:val="24"/>
                <w:color w:val="auto"/>
              </w:rPr>
            </w:pPr>
          </w:p>
        </w:tc>
        <w:tc>
          <w:tcPr>
            <w:tcW w:w="1720" w:type="dxa"/>
            <w:vAlign w:val="bottom"/>
            <w:shd w:val="clear" w:color="auto" w:fill="E5EBF7"/>
          </w:tcPr>
          <w:p>
            <w:pPr>
              <w:jc w:val="right"/>
              <w:ind w:right="172"/>
              <w:spacing w:after="0"/>
              <w:rPr>
                <w:sz w:val="20"/>
                <w:szCs w:val="20"/>
                <w:color w:val="auto"/>
              </w:rPr>
            </w:pPr>
            <w:r>
              <w:rPr>
                <w:rFonts w:ascii="Arial" w:cs="Arial" w:eastAsia="Arial" w:hAnsi="Arial"/>
                <w:sz w:val="14"/>
                <w:szCs w:val="14"/>
                <w:color w:val="auto"/>
              </w:rPr>
              <w:t>110,266</w:t>
            </w:r>
          </w:p>
        </w:tc>
        <w:tc>
          <w:tcPr>
            <w:tcW w:w="13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3,146,828</w:t>
            </w:r>
          </w:p>
        </w:tc>
        <w:tc>
          <w:tcPr>
            <w:tcW w:w="6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shd w:val="clear" w:color="auto" w:fill="E5EBF7"/>
          </w:tcPr>
          <w:p>
            <w:pPr>
              <w:spacing w:after="0"/>
              <w:rPr>
                <w:sz w:val="13"/>
                <w:szCs w:val="13"/>
                <w:color w:val="auto"/>
              </w:rPr>
            </w:pPr>
          </w:p>
        </w:tc>
        <w:tc>
          <w:tcPr>
            <w:tcW w:w="1820" w:type="dxa"/>
            <w:vAlign w:val="bottom"/>
            <w:shd w:val="clear" w:color="auto" w:fill="E5EBF7"/>
          </w:tcPr>
          <w:p>
            <w:pPr>
              <w:spacing w:after="0"/>
              <w:rPr>
                <w:sz w:val="13"/>
                <w:szCs w:val="13"/>
                <w:color w:val="auto"/>
              </w:rPr>
            </w:pPr>
          </w:p>
        </w:tc>
        <w:tc>
          <w:tcPr>
            <w:tcW w:w="1320" w:type="dxa"/>
            <w:vAlign w:val="bottom"/>
            <w:shd w:val="clear" w:color="auto" w:fill="E5EBF7"/>
          </w:tcPr>
          <w:p>
            <w:pPr>
              <w:spacing w:after="0"/>
              <w:rPr>
                <w:sz w:val="13"/>
                <w:szCs w:val="13"/>
                <w:color w:val="auto"/>
              </w:rPr>
            </w:pPr>
          </w:p>
        </w:tc>
        <w:tc>
          <w:tcPr>
            <w:tcW w:w="460" w:type="dxa"/>
            <w:vAlign w:val="bottom"/>
            <w:shd w:val="clear" w:color="auto" w:fill="E5EBF7"/>
          </w:tcPr>
          <w:p>
            <w:pPr>
              <w:spacing w:after="0"/>
              <w:rPr>
                <w:sz w:val="13"/>
                <w:szCs w:val="13"/>
                <w:color w:val="auto"/>
              </w:rPr>
            </w:pPr>
          </w:p>
        </w:tc>
        <w:tc>
          <w:tcPr>
            <w:tcW w:w="1720" w:type="dxa"/>
            <w:vAlign w:val="bottom"/>
            <w:shd w:val="clear" w:color="auto" w:fill="E5EBF7"/>
          </w:tcPr>
          <w:p>
            <w:pPr>
              <w:spacing w:after="0"/>
              <w:rPr>
                <w:sz w:val="13"/>
                <w:szCs w:val="13"/>
                <w:color w:val="auto"/>
              </w:rPr>
            </w:pPr>
          </w:p>
        </w:tc>
        <w:tc>
          <w:tcPr>
            <w:tcW w:w="1320" w:type="dxa"/>
            <w:vAlign w:val="bottom"/>
            <w:shd w:val="clear" w:color="auto" w:fill="E5EBF7"/>
          </w:tcPr>
          <w:p>
            <w:pPr>
              <w:spacing w:after="0"/>
              <w:rPr>
                <w:sz w:val="13"/>
                <w:szCs w:val="13"/>
                <w:color w:val="auto"/>
              </w:rPr>
            </w:pPr>
          </w:p>
        </w:tc>
        <w:tc>
          <w:tcPr>
            <w:tcW w:w="60" w:type="dxa"/>
            <w:vAlign w:val="bottom"/>
            <w:shd w:val="clear" w:color="auto" w:fill="E5EBF7"/>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700" w:type="dxa"/>
            <w:vAlign w:val="bottom"/>
          </w:tcPr>
          <w:p>
            <w:pPr>
              <w:ind w:left="160"/>
              <w:spacing w:after="0"/>
              <w:rPr>
                <w:sz w:val="20"/>
                <w:szCs w:val="20"/>
                <w:color w:val="auto"/>
              </w:rPr>
            </w:pPr>
            <w:r>
              <w:rPr>
                <w:rFonts w:ascii="Arial" w:cs="Arial" w:eastAsia="Arial" w:hAnsi="Arial"/>
                <w:sz w:val="14"/>
                <w:szCs w:val="14"/>
                <w:b w:val="1"/>
                <w:bCs w:val="1"/>
                <w:color w:val="007FC4"/>
              </w:rPr>
              <w:t>Robert Orgel</w:t>
            </w:r>
          </w:p>
        </w:tc>
        <w:tc>
          <w:tcPr>
            <w:tcW w:w="1820" w:type="dxa"/>
            <w:vAlign w:val="bottom"/>
          </w:tcPr>
          <w:p>
            <w:pPr>
              <w:jc w:val="right"/>
              <w:ind w:right="172"/>
              <w:spacing w:after="0"/>
              <w:rPr>
                <w:sz w:val="20"/>
                <w:szCs w:val="20"/>
                <w:color w:val="auto"/>
              </w:rPr>
            </w:pPr>
            <w:r>
              <w:rPr>
                <w:rFonts w:ascii="Arial" w:cs="Arial" w:eastAsia="Arial" w:hAnsi="Arial"/>
                <w:sz w:val="14"/>
                <w:szCs w:val="14"/>
                <w:color w:val="auto"/>
              </w:rPr>
              <w:t>205,272</w:t>
            </w:r>
          </w:p>
        </w:tc>
        <w:tc>
          <w:tcPr>
            <w:tcW w:w="1320" w:type="dxa"/>
            <w:vAlign w:val="bottom"/>
          </w:tcPr>
          <w:p>
            <w:pPr>
              <w:jc w:val="right"/>
              <w:spacing w:after="0"/>
              <w:rPr>
                <w:sz w:val="20"/>
                <w:szCs w:val="20"/>
                <w:color w:val="auto"/>
              </w:rPr>
            </w:pPr>
            <w:r>
              <w:rPr>
                <w:rFonts w:ascii="Arial" w:cs="Arial" w:eastAsia="Arial" w:hAnsi="Arial"/>
                <w:sz w:val="14"/>
                <w:szCs w:val="14"/>
                <w:color w:val="auto"/>
              </w:rPr>
              <w:t>5,055,535</w:t>
            </w:r>
          </w:p>
        </w:tc>
        <w:tc>
          <w:tcPr>
            <w:tcW w:w="460" w:type="dxa"/>
            <w:vAlign w:val="bottom"/>
          </w:tcPr>
          <w:p>
            <w:pPr>
              <w:spacing w:after="0"/>
              <w:rPr>
                <w:sz w:val="24"/>
                <w:szCs w:val="24"/>
                <w:color w:val="auto"/>
              </w:rPr>
            </w:pPr>
          </w:p>
        </w:tc>
        <w:tc>
          <w:tcPr>
            <w:tcW w:w="1720" w:type="dxa"/>
            <w:vAlign w:val="bottom"/>
          </w:tcPr>
          <w:p>
            <w:pPr>
              <w:jc w:val="right"/>
              <w:ind w:right="172"/>
              <w:spacing w:after="0"/>
              <w:rPr>
                <w:sz w:val="20"/>
                <w:szCs w:val="20"/>
                <w:color w:val="auto"/>
              </w:rPr>
            </w:pPr>
            <w:r>
              <w:rPr>
                <w:rFonts w:ascii="Arial" w:cs="Arial" w:eastAsia="Arial" w:hAnsi="Arial"/>
                <w:sz w:val="14"/>
                <w:szCs w:val="14"/>
                <w:color w:val="auto"/>
              </w:rPr>
              <w:t>55,132</w:t>
            </w:r>
          </w:p>
        </w:tc>
        <w:tc>
          <w:tcPr>
            <w:tcW w:w="1320" w:type="dxa"/>
            <w:vAlign w:val="bottom"/>
          </w:tcPr>
          <w:p>
            <w:pPr>
              <w:jc w:val="right"/>
              <w:spacing w:after="0"/>
              <w:rPr>
                <w:sz w:val="20"/>
                <w:szCs w:val="20"/>
                <w:color w:val="auto"/>
              </w:rPr>
            </w:pPr>
            <w:r>
              <w:rPr>
                <w:rFonts w:ascii="Arial" w:cs="Arial" w:eastAsia="Arial" w:hAnsi="Arial"/>
                <w:sz w:val="14"/>
                <w:szCs w:val="14"/>
                <w:color w:val="auto"/>
              </w:rPr>
              <w:t>1,573,389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700" w:type="dxa"/>
            <w:vAlign w:val="bottom"/>
            <w:shd w:val="clear" w:color="auto" w:fill="E5EBF7"/>
          </w:tcPr>
          <w:p>
            <w:pPr>
              <w:ind w:left="160"/>
              <w:spacing w:after="0"/>
              <w:rPr>
                <w:sz w:val="20"/>
                <w:szCs w:val="20"/>
                <w:color w:val="auto"/>
              </w:rPr>
            </w:pPr>
            <w:r>
              <w:rPr>
                <w:rFonts w:ascii="Arial" w:cs="Arial" w:eastAsia="Arial" w:hAnsi="Arial"/>
                <w:sz w:val="14"/>
                <w:szCs w:val="14"/>
                <w:b w:val="1"/>
                <w:bCs w:val="1"/>
                <w:color w:val="007FC4"/>
              </w:rPr>
              <w:t>Michael Ellis</w:t>
            </w:r>
          </w:p>
        </w:tc>
        <w:tc>
          <w:tcPr>
            <w:tcW w:w="1820" w:type="dxa"/>
            <w:vAlign w:val="bottom"/>
            <w:shd w:val="clear" w:color="auto" w:fill="E5EBF7"/>
          </w:tcPr>
          <w:p>
            <w:pPr>
              <w:jc w:val="right"/>
              <w:ind w:right="172"/>
              <w:spacing w:after="0"/>
              <w:rPr>
                <w:sz w:val="20"/>
                <w:szCs w:val="20"/>
                <w:color w:val="auto"/>
              </w:rPr>
            </w:pPr>
            <w:r>
              <w:rPr>
                <w:rFonts w:ascii="Arial" w:cs="Arial" w:eastAsia="Arial" w:hAnsi="Arial"/>
                <w:sz w:val="14"/>
                <w:szCs w:val="14"/>
                <w:color w:val="auto"/>
              </w:rPr>
              <w:t>293,615</w:t>
            </w:r>
          </w:p>
        </w:tc>
        <w:tc>
          <w:tcPr>
            <w:tcW w:w="13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7,059,479</w:t>
            </w:r>
          </w:p>
        </w:tc>
        <w:tc>
          <w:tcPr>
            <w:tcW w:w="460" w:type="dxa"/>
            <w:vAlign w:val="bottom"/>
            <w:shd w:val="clear" w:color="auto" w:fill="E5EBF7"/>
          </w:tcPr>
          <w:p>
            <w:pPr>
              <w:spacing w:after="0"/>
              <w:rPr>
                <w:sz w:val="24"/>
                <w:szCs w:val="24"/>
                <w:color w:val="auto"/>
              </w:rPr>
            </w:pPr>
          </w:p>
        </w:tc>
        <w:tc>
          <w:tcPr>
            <w:tcW w:w="1720" w:type="dxa"/>
            <w:vAlign w:val="bottom"/>
            <w:shd w:val="clear" w:color="auto" w:fill="E5EBF7"/>
          </w:tcPr>
          <w:p>
            <w:pPr>
              <w:jc w:val="right"/>
              <w:ind w:right="172"/>
              <w:spacing w:after="0"/>
              <w:rPr>
                <w:sz w:val="20"/>
                <w:szCs w:val="20"/>
                <w:color w:val="auto"/>
              </w:rPr>
            </w:pPr>
            <w:r>
              <w:rPr>
                <w:rFonts w:ascii="Arial" w:cs="Arial" w:eastAsia="Arial" w:hAnsi="Arial"/>
                <w:sz w:val="14"/>
                <w:szCs w:val="14"/>
                <w:color w:val="auto"/>
              </w:rPr>
              <w:t>39,380</w:t>
            </w:r>
          </w:p>
        </w:tc>
        <w:tc>
          <w:tcPr>
            <w:tcW w:w="13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1,123,847</w:t>
            </w:r>
          </w:p>
        </w:tc>
        <w:tc>
          <w:tcPr>
            <w:tcW w:w="60" w:type="dxa"/>
            <w:vAlign w:val="bottom"/>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shd w:val="clear" w:color="auto" w:fill="E5EBF7"/>
          </w:tcPr>
          <w:p>
            <w:pPr>
              <w:spacing w:after="0"/>
              <w:rPr>
                <w:sz w:val="13"/>
                <w:szCs w:val="13"/>
                <w:color w:val="auto"/>
              </w:rPr>
            </w:pPr>
          </w:p>
        </w:tc>
        <w:tc>
          <w:tcPr>
            <w:tcW w:w="1820" w:type="dxa"/>
            <w:vAlign w:val="bottom"/>
            <w:shd w:val="clear" w:color="auto" w:fill="E5EBF7"/>
          </w:tcPr>
          <w:p>
            <w:pPr>
              <w:spacing w:after="0"/>
              <w:rPr>
                <w:sz w:val="13"/>
                <w:szCs w:val="13"/>
                <w:color w:val="auto"/>
              </w:rPr>
            </w:pPr>
          </w:p>
        </w:tc>
        <w:tc>
          <w:tcPr>
            <w:tcW w:w="1320" w:type="dxa"/>
            <w:vAlign w:val="bottom"/>
            <w:shd w:val="clear" w:color="auto" w:fill="E5EBF7"/>
          </w:tcPr>
          <w:p>
            <w:pPr>
              <w:spacing w:after="0"/>
              <w:rPr>
                <w:sz w:val="13"/>
                <w:szCs w:val="13"/>
                <w:color w:val="auto"/>
              </w:rPr>
            </w:pPr>
          </w:p>
        </w:tc>
        <w:tc>
          <w:tcPr>
            <w:tcW w:w="460" w:type="dxa"/>
            <w:vAlign w:val="bottom"/>
            <w:shd w:val="clear" w:color="auto" w:fill="E5EBF7"/>
          </w:tcPr>
          <w:p>
            <w:pPr>
              <w:spacing w:after="0"/>
              <w:rPr>
                <w:sz w:val="13"/>
                <w:szCs w:val="13"/>
                <w:color w:val="auto"/>
              </w:rPr>
            </w:pPr>
          </w:p>
        </w:tc>
        <w:tc>
          <w:tcPr>
            <w:tcW w:w="1720" w:type="dxa"/>
            <w:vAlign w:val="bottom"/>
            <w:shd w:val="clear" w:color="auto" w:fill="E5EBF7"/>
          </w:tcPr>
          <w:p>
            <w:pPr>
              <w:spacing w:after="0"/>
              <w:rPr>
                <w:sz w:val="13"/>
                <w:szCs w:val="13"/>
                <w:color w:val="auto"/>
              </w:rPr>
            </w:pPr>
          </w:p>
        </w:tc>
        <w:tc>
          <w:tcPr>
            <w:tcW w:w="1320" w:type="dxa"/>
            <w:vAlign w:val="bottom"/>
            <w:shd w:val="clear" w:color="auto" w:fill="E5EBF7"/>
          </w:tcPr>
          <w:p>
            <w:pPr>
              <w:spacing w:after="0"/>
              <w:rPr>
                <w:sz w:val="13"/>
                <w:szCs w:val="13"/>
                <w:color w:val="auto"/>
              </w:rPr>
            </w:pPr>
          </w:p>
        </w:tc>
        <w:tc>
          <w:tcPr>
            <w:tcW w:w="60" w:type="dxa"/>
            <w:vAlign w:val="bottom"/>
            <w:shd w:val="clear" w:color="auto" w:fill="E5EBF7"/>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700" w:type="dxa"/>
            <w:vAlign w:val="bottom"/>
          </w:tcPr>
          <w:p>
            <w:pPr>
              <w:ind w:left="160"/>
              <w:spacing w:after="0"/>
              <w:rPr>
                <w:sz w:val="20"/>
                <w:szCs w:val="20"/>
                <w:color w:val="auto"/>
              </w:rPr>
            </w:pPr>
            <w:r>
              <w:rPr>
                <w:rFonts w:ascii="Arial" w:cs="Arial" w:eastAsia="Arial" w:hAnsi="Arial"/>
                <w:sz w:val="14"/>
                <w:szCs w:val="14"/>
                <w:b w:val="1"/>
                <w:bCs w:val="1"/>
                <w:color w:val="007FC4"/>
              </w:rPr>
              <w:t>Peter Butterfield</w:t>
            </w:r>
          </w:p>
        </w:tc>
        <w:tc>
          <w:tcPr>
            <w:tcW w:w="1820" w:type="dxa"/>
            <w:vAlign w:val="bottom"/>
          </w:tcPr>
          <w:p>
            <w:pPr>
              <w:jc w:val="right"/>
              <w:ind w:right="172"/>
              <w:spacing w:after="0"/>
              <w:rPr>
                <w:sz w:val="20"/>
                <w:szCs w:val="20"/>
                <w:color w:val="auto"/>
              </w:rPr>
            </w:pPr>
            <w:r>
              <w:rPr>
                <w:rFonts w:ascii="Arial" w:cs="Arial" w:eastAsia="Arial" w:hAnsi="Arial"/>
                <w:sz w:val="14"/>
                <w:szCs w:val="14"/>
                <w:color w:val="auto"/>
              </w:rPr>
              <w:t>126,903</w:t>
            </w:r>
          </w:p>
        </w:tc>
        <w:tc>
          <w:tcPr>
            <w:tcW w:w="1320" w:type="dxa"/>
            <w:vAlign w:val="bottom"/>
          </w:tcPr>
          <w:p>
            <w:pPr>
              <w:jc w:val="right"/>
              <w:spacing w:after="0"/>
              <w:rPr>
                <w:sz w:val="20"/>
                <w:szCs w:val="20"/>
                <w:color w:val="auto"/>
              </w:rPr>
            </w:pPr>
            <w:r>
              <w:rPr>
                <w:rFonts w:ascii="Arial" w:cs="Arial" w:eastAsia="Arial" w:hAnsi="Arial"/>
                <w:sz w:val="14"/>
                <w:szCs w:val="14"/>
                <w:color w:val="auto"/>
              </w:rPr>
              <w:t>3,500,764</w:t>
            </w:r>
          </w:p>
        </w:tc>
        <w:tc>
          <w:tcPr>
            <w:tcW w:w="460" w:type="dxa"/>
            <w:vAlign w:val="bottom"/>
          </w:tcPr>
          <w:p>
            <w:pPr>
              <w:spacing w:after="0"/>
              <w:rPr>
                <w:sz w:val="24"/>
                <w:szCs w:val="24"/>
                <w:color w:val="auto"/>
              </w:rPr>
            </w:pPr>
          </w:p>
        </w:tc>
        <w:tc>
          <w:tcPr>
            <w:tcW w:w="1720" w:type="dxa"/>
            <w:vAlign w:val="bottom"/>
          </w:tcPr>
          <w:p>
            <w:pPr>
              <w:jc w:val="right"/>
              <w:ind w:right="172"/>
              <w:spacing w:after="0"/>
              <w:rPr>
                <w:sz w:val="20"/>
                <w:szCs w:val="20"/>
                <w:color w:val="auto"/>
              </w:rPr>
            </w:pPr>
            <w:r>
              <w:rPr>
                <w:rFonts w:ascii="Arial" w:cs="Arial" w:eastAsia="Arial" w:hAnsi="Arial"/>
                <w:sz w:val="14"/>
                <w:szCs w:val="14"/>
                <w:color w:val="auto"/>
              </w:rPr>
              <w:t>23,628</w:t>
            </w:r>
          </w:p>
        </w:tc>
        <w:tc>
          <w:tcPr>
            <w:tcW w:w="1320" w:type="dxa"/>
            <w:vAlign w:val="bottom"/>
          </w:tcPr>
          <w:p>
            <w:pPr>
              <w:jc w:val="right"/>
              <w:spacing w:after="0"/>
              <w:rPr>
                <w:sz w:val="20"/>
                <w:szCs w:val="20"/>
                <w:color w:val="auto"/>
              </w:rPr>
            </w:pPr>
            <w:r>
              <w:rPr>
                <w:rFonts w:ascii="Arial" w:cs="Arial" w:eastAsia="Arial" w:hAnsi="Arial"/>
                <w:sz w:val="14"/>
                <w:szCs w:val="14"/>
                <w:color w:val="auto"/>
              </w:rPr>
              <w:t>674,313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700" w:type="dxa"/>
            <w:vAlign w:val="bottom"/>
            <w:tcBorders>
              <w:bottom w:val="single" w:sz="8" w:color="E5EBF7"/>
            </w:tcBorders>
            <w:shd w:val="clear" w:color="auto" w:fill="E5EBF7"/>
          </w:tcPr>
          <w:p>
            <w:pPr>
              <w:ind w:left="160"/>
              <w:spacing w:after="0"/>
              <w:rPr>
                <w:sz w:val="20"/>
                <w:szCs w:val="20"/>
                <w:color w:val="auto"/>
              </w:rPr>
            </w:pPr>
            <w:r>
              <w:rPr>
                <w:rFonts w:ascii="Arial" w:cs="Arial" w:eastAsia="Arial" w:hAnsi="Arial"/>
                <w:sz w:val="14"/>
                <w:szCs w:val="14"/>
                <w:b w:val="1"/>
                <w:bCs w:val="1"/>
                <w:color w:val="007FC4"/>
              </w:rPr>
              <w:t>David King</w:t>
            </w:r>
          </w:p>
        </w:tc>
        <w:tc>
          <w:tcPr>
            <w:tcW w:w="1820" w:type="dxa"/>
            <w:vAlign w:val="bottom"/>
            <w:tcBorders>
              <w:bottom w:val="single" w:sz="8" w:color="E5EBF7"/>
            </w:tcBorders>
            <w:shd w:val="clear" w:color="auto" w:fill="E5EBF7"/>
          </w:tcPr>
          <w:p>
            <w:pPr>
              <w:jc w:val="right"/>
              <w:ind w:right="192"/>
              <w:spacing w:after="0"/>
              <w:rPr>
                <w:sz w:val="20"/>
                <w:szCs w:val="20"/>
                <w:color w:val="auto"/>
              </w:rPr>
            </w:pPr>
            <w:r>
              <w:rPr>
                <w:rFonts w:ascii="Arial" w:cs="Arial" w:eastAsia="Arial" w:hAnsi="Arial"/>
                <w:sz w:val="14"/>
                <w:szCs w:val="14"/>
                <w:color w:val="auto"/>
              </w:rPr>
              <w:t>48,469</w:t>
            </w:r>
          </w:p>
        </w:tc>
        <w:tc>
          <w:tcPr>
            <w:tcW w:w="132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907,732</w:t>
            </w:r>
          </w:p>
        </w:tc>
        <w:tc>
          <w:tcPr>
            <w:tcW w:w="460" w:type="dxa"/>
            <w:vAlign w:val="bottom"/>
            <w:tcBorders>
              <w:bottom w:val="single" w:sz="8" w:color="E5EBF7"/>
            </w:tcBorders>
            <w:shd w:val="clear" w:color="auto" w:fill="E5EBF7"/>
          </w:tcPr>
          <w:p>
            <w:pPr>
              <w:spacing w:after="0"/>
              <w:rPr>
                <w:sz w:val="24"/>
                <w:szCs w:val="24"/>
                <w:color w:val="auto"/>
              </w:rPr>
            </w:pPr>
          </w:p>
        </w:tc>
        <w:tc>
          <w:tcPr>
            <w:tcW w:w="1720" w:type="dxa"/>
            <w:vAlign w:val="bottom"/>
            <w:tcBorders>
              <w:bottom w:val="single" w:sz="8" w:color="E5EBF7"/>
            </w:tcBorders>
            <w:shd w:val="clear" w:color="auto" w:fill="E5EBF7"/>
          </w:tcPr>
          <w:p>
            <w:pPr>
              <w:jc w:val="right"/>
              <w:ind w:right="172"/>
              <w:spacing w:after="0"/>
              <w:rPr>
                <w:sz w:val="20"/>
                <w:szCs w:val="20"/>
                <w:color w:val="auto"/>
              </w:rPr>
            </w:pPr>
            <w:r>
              <w:rPr>
                <w:rFonts w:ascii="Arial" w:cs="Arial" w:eastAsia="Arial" w:hAnsi="Arial"/>
                <w:sz w:val="14"/>
                <w:szCs w:val="14"/>
                <w:color w:val="auto"/>
              </w:rPr>
              <w:t>55,132</w:t>
            </w:r>
          </w:p>
        </w:tc>
        <w:tc>
          <w:tcPr>
            <w:tcW w:w="132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1,573,392</w:t>
            </w:r>
          </w:p>
        </w:tc>
        <w:tc>
          <w:tcPr>
            <w:tcW w:w="60" w:type="dxa"/>
            <w:vAlign w:val="bottom"/>
            <w:tcBorders>
              <w:bottom w:val="single" w:sz="8" w:color="E5EBF7"/>
            </w:tcBorders>
            <w:shd w:val="clear" w:color="auto" w:fill="E5EBF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007FC4"/>
          </w:tcPr>
          <w:p>
            <w:pPr>
              <w:spacing w:after="0" w:line="20" w:lineRule="exact"/>
              <w:rPr>
                <w:sz w:val="1"/>
                <w:szCs w:val="1"/>
                <w:color w:val="auto"/>
              </w:rPr>
            </w:pPr>
          </w:p>
        </w:tc>
        <w:tc>
          <w:tcPr>
            <w:tcW w:w="1820" w:type="dxa"/>
            <w:vAlign w:val="bottom"/>
            <w:shd w:val="clear" w:color="auto" w:fill="007FC4"/>
          </w:tcPr>
          <w:p>
            <w:pPr>
              <w:spacing w:after="0" w:line="20" w:lineRule="exact"/>
              <w:rPr>
                <w:sz w:val="1"/>
                <w:szCs w:val="1"/>
                <w:color w:val="auto"/>
              </w:rPr>
            </w:pPr>
          </w:p>
        </w:tc>
        <w:tc>
          <w:tcPr>
            <w:tcW w:w="1320" w:type="dxa"/>
            <w:vAlign w:val="bottom"/>
            <w:shd w:val="clear" w:color="auto" w:fill="007FC4"/>
          </w:tcPr>
          <w:p>
            <w:pPr>
              <w:spacing w:after="0" w:line="20" w:lineRule="exact"/>
              <w:rPr>
                <w:sz w:val="1"/>
                <w:szCs w:val="1"/>
                <w:color w:val="auto"/>
              </w:rPr>
            </w:pPr>
          </w:p>
        </w:tc>
        <w:tc>
          <w:tcPr>
            <w:tcW w:w="460" w:type="dxa"/>
            <w:vAlign w:val="bottom"/>
            <w:shd w:val="clear" w:color="auto" w:fill="007FC4"/>
          </w:tcPr>
          <w:p>
            <w:pPr>
              <w:spacing w:after="0" w:line="20" w:lineRule="exact"/>
              <w:rPr>
                <w:sz w:val="1"/>
                <w:szCs w:val="1"/>
                <w:color w:val="auto"/>
              </w:rPr>
            </w:pPr>
          </w:p>
        </w:tc>
        <w:tc>
          <w:tcPr>
            <w:tcW w:w="1720" w:type="dxa"/>
            <w:vAlign w:val="bottom"/>
            <w:shd w:val="clear" w:color="auto" w:fill="007FC4"/>
          </w:tcPr>
          <w:p>
            <w:pPr>
              <w:spacing w:after="0" w:line="20" w:lineRule="exact"/>
              <w:rPr>
                <w:sz w:val="1"/>
                <w:szCs w:val="1"/>
                <w:color w:val="auto"/>
              </w:rPr>
            </w:pPr>
          </w:p>
        </w:tc>
        <w:tc>
          <w:tcPr>
            <w:tcW w:w="1320" w:type="dxa"/>
            <w:vAlign w:val="bottom"/>
            <w:shd w:val="clear" w:color="auto" w:fill="007FC4"/>
          </w:tcPr>
          <w:p>
            <w:pPr>
              <w:spacing w:after="0" w:line="20" w:lineRule="exact"/>
              <w:rPr>
                <w:sz w:val="1"/>
                <w:szCs w:val="1"/>
                <w:color w:val="auto"/>
              </w:rPr>
            </w:pPr>
          </w:p>
        </w:tc>
        <w:tc>
          <w:tcPr>
            <w:tcW w:w="6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20" w:hanging="354"/>
        <w:spacing w:after="0" w:line="229" w:lineRule="auto"/>
        <w:tabs>
          <w:tab w:leader="none" w:pos="360" w:val="left"/>
        </w:tabs>
        <w:numPr>
          <w:ilvl w:val="0"/>
          <w:numId w:val="77"/>
        </w:numPr>
        <w:rPr>
          <w:rFonts w:ascii="Arial" w:cs="Arial" w:eastAsia="Arial" w:hAnsi="Arial"/>
          <w:sz w:val="13"/>
          <w:szCs w:val="13"/>
          <w:color w:val="333333"/>
        </w:rPr>
      </w:pPr>
      <w:r>
        <w:rPr>
          <w:rFonts w:ascii="Arial" w:cs="Arial" w:eastAsia="Arial" w:hAnsi="Arial"/>
          <w:sz w:val="13"/>
          <w:szCs w:val="13"/>
          <w:color w:val="333333"/>
        </w:rPr>
        <w:t>For option awards, value realized on exercise is based on the closing price of our common stock on the exercise date less the exercise price. For stock awards, value realized on vesting is based on the closing price of our common stock on the vesting date. In neither case do the amounts set forth above necessarily reflect proceeds actually received by the NEO. Our NEOs will only realize value on these awards when the underlying shares are sold, which value may differ from the value shown in the table above as it is dependent on the price at which such shares of common stock are actually sold.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PENSION BENEFITS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defined benefit pension plans.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nonqualified deferred compensation plans.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FISCAL 2023 POTENTIAL PAYMENTS UPON TERMINATION OR CHANGE IN CONTROL</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following table, footnotes and narrative set forth our payment and benefit obligations pursuant to the employment agreements with each of our NEOs if the NEO’s employment is terminated by us or our acquirer or successor without Cause (as defined below) or if such executive Resigns for Good Reason (as defined below) within or outside the three months prior to a change in control, upon a change in control, or within 12 months following a change in control (such period being the Change in Control Window), in each case assuming termination on December 31, 2023. Because our executive compensation program is heavily weighted towards equity-based compensation, a significant percentage of the compensation to be received by our NEOs upon a termination of employment or Resignation for Good Reason (as defined below) under the circumstances described below relates to the settlement of outstanding equity awards. Please see the Outstanding Equity Awards at Fiscal 2023 Year-End above for further information regarding outstanding equity awards granted to the NEOs in Fiscal 2023 and in prior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3100" w:type="dxa"/>
            <w:vAlign w:val="bottom"/>
            <w:gridSpan w:val="2"/>
          </w:tcPr>
          <w:p>
            <w:pPr>
              <w:jc w:val="right"/>
              <w:ind w:right="588"/>
              <w:spacing w:after="0"/>
              <w:rPr>
                <w:sz w:val="20"/>
                <w:szCs w:val="20"/>
                <w:color w:val="auto"/>
              </w:rPr>
            </w:pPr>
            <w:r>
              <w:rPr>
                <w:rFonts w:ascii="Arial" w:cs="Arial" w:eastAsia="Arial" w:hAnsi="Arial"/>
                <w:sz w:val="13"/>
                <w:szCs w:val="13"/>
                <w:b w:val="1"/>
                <w:bCs w:val="1"/>
                <w:color w:val="auto"/>
              </w:rPr>
              <w:t>TERMINATION WITHOUT</w:t>
            </w:r>
          </w:p>
        </w:tc>
        <w:tc>
          <w:tcPr>
            <w:tcW w:w="28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TERMINATION WITHOUT</w:t>
            </w:r>
          </w:p>
        </w:tc>
      </w:tr>
      <w:tr>
        <w:trPr>
          <w:trHeight w:val="135"/>
        </w:trPr>
        <w:tc>
          <w:tcPr>
            <w:tcW w:w="3480" w:type="dxa"/>
            <w:vAlign w:val="bottom"/>
          </w:tcPr>
          <w:p>
            <w:pPr>
              <w:spacing w:after="0"/>
              <w:rPr>
                <w:sz w:val="11"/>
                <w:szCs w:val="11"/>
                <w:color w:val="auto"/>
              </w:rPr>
            </w:pPr>
          </w:p>
        </w:tc>
        <w:tc>
          <w:tcPr>
            <w:tcW w:w="3100" w:type="dxa"/>
            <w:vAlign w:val="bottom"/>
            <w:gridSpan w:val="2"/>
          </w:tcPr>
          <w:p>
            <w:pPr>
              <w:jc w:val="right"/>
              <w:ind w:right="588"/>
              <w:spacing w:after="0" w:line="135" w:lineRule="exact"/>
              <w:rPr>
                <w:sz w:val="20"/>
                <w:szCs w:val="20"/>
                <w:color w:val="auto"/>
              </w:rPr>
            </w:pPr>
            <w:r>
              <w:rPr>
                <w:rFonts w:ascii="Arial" w:cs="Arial" w:eastAsia="Arial" w:hAnsi="Arial"/>
                <w:sz w:val="13"/>
                <w:szCs w:val="13"/>
                <w:b w:val="1"/>
                <w:bCs w:val="1"/>
                <w:color w:val="auto"/>
              </w:rPr>
              <w:t>CAUSE OR FOR</w:t>
            </w:r>
          </w:p>
        </w:tc>
        <w:tc>
          <w:tcPr>
            <w:tcW w:w="2820" w:type="dxa"/>
            <w:vAlign w:val="bottom"/>
            <w:gridSpan w:val="2"/>
          </w:tcPr>
          <w:p>
            <w:pPr>
              <w:jc w:val="right"/>
              <w:ind w:right="28"/>
              <w:spacing w:after="0" w:line="135" w:lineRule="exact"/>
              <w:rPr>
                <w:sz w:val="20"/>
                <w:szCs w:val="20"/>
                <w:color w:val="auto"/>
              </w:rPr>
            </w:pPr>
            <w:r>
              <w:rPr>
                <w:rFonts w:ascii="Arial" w:cs="Arial" w:eastAsia="Arial" w:hAnsi="Arial"/>
                <w:sz w:val="13"/>
                <w:szCs w:val="13"/>
                <w:b w:val="1"/>
                <w:bCs w:val="1"/>
                <w:color w:val="auto"/>
              </w:rPr>
              <w:t>CAUSE OR FOR</w:t>
            </w:r>
          </w:p>
        </w:tc>
      </w:tr>
      <w:tr>
        <w:trPr>
          <w:trHeight w:val="143"/>
        </w:trPr>
        <w:tc>
          <w:tcPr>
            <w:tcW w:w="3480" w:type="dxa"/>
            <w:vAlign w:val="bottom"/>
          </w:tcPr>
          <w:p>
            <w:pPr>
              <w:spacing w:after="0"/>
              <w:rPr>
                <w:sz w:val="12"/>
                <w:szCs w:val="12"/>
                <w:color w:val="auto"/>
              </w:rPr>
            </w:pPr>
          </w:p>
        </w:tc>
        <w:tc>
          <w:tcPr>
            <w:tcW w:w="3100" w:type="dxa"/>
            <w:vAlign w:val="bottom"/>
            <w:gridSpan w:val="2"/>
          </w:tcPr>
          <w:p>
            <w:pPr>
              <w:jc w:val="right"/>
              <w:ind w:right="548"/>
              <w:spacing w:after="0" w:line="143" w:lineRule="exact"/>
              <w:rPr>
                <w:sz w:val="20"/>
                <w:szCs w:val="20"/>
                <w:color w:val="auto"/>
              </w:rPr>
            </w:pPr>
            <w:r>
              <w:rPr>
                <w:rFonts w:ascii="Arial" w:cs="Arial" w:eastAsia="Arial" w:hAnsi="Arial"/>
                <w:sz w:val="13"/>
                <w:szCs w:val="13"/>
                <w:b w:val="1"/>
                <w:bCs w:val="1"/>
                <w:color w:val="auto"/>
              </w:rPr>
              <w:t>GOOD REASON WITHIN CHANGE</w:t>
            </w:r>
          </w:p>
        </w:tc>
        <w:tc>
          <w:tcPr>
            <w:tcW w:w="28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GOOD REASON OUTSIDE CHANGE</w:t>
            </w:r>
          </w:p>
        </w:tc>
      </w:tr>
      <w:tr>
        <w:trPr>
          <w:trHeight w:val="253"/>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NAME</w:t>
            </w:r>
          </w:p>
        </w:tc>
        <w:tc>
          <w:tcPr>
            <w:tcW w:w="3100" w:type="dxa"/>
            <w:vAlign w:val="bottom"/>
            <w:gridSpan w:val="2"/>
          </w:tcPr>
          <w:p>
            <w:pPr>
              <w:jc w:val="right"/>
              <w:ind w:right="548"/>
              <w:spacing w:after="0"/>
              <w:rPr>
                <w:sz w:val="20"/>
                <w:szCs w:val="20"/>
                <w:color w:val="auto"/>
              </w:rPr>
            </w:pPr>
            <w:r>
              <w:rPr>
                <w:rFonts w:ascii="Arial" w:cs="Arial" w:eastAsia="Arial" w:hAnsi="Arial"/>
                <w:sz w:val="13"/>
                <w:szCs w:val="13"/>
                <w:b w:val="1"/>
                <w:bCs w:val="1"/>
                <w:color w:val="auto"/>
              </w:rPr>
              <w:t>IN CONTROL WINDOW ($)</w:t>
            </w:r>
            <w:r>
              <w:rPr>
                <w:rFonts w:ascii="Arial" w:cs="Arial" w:eastAsia="Arial" w:hAnsi="Arial"/>
                <w:sz w:val="20"/>
                <w:szCs w:val="20"/>
                <w:b w:val="1"/>
                <w:bCs w:val="1"/>
                <w:color w:val="auto"/>
                <w:vertAlign w:val="superscript"/>
              </w:rPr>
              <w:t>(1)</w:t>
            </w:r>
          </w:p>
        </w:tc>
        <w:tc>
          <w:tcPr>
            <w:tcW w:w="282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CONTROL WINDOW ($)</w:t>
            </w:r>
            <w:r>
              <w:rPr>
                <w:rFonts w:ascii="Arial" w:cs="Arial" w:eastAsia="Arial" w:hAnsi="Arial"/>
                <w:sz w:val="20"/>
                <w:szCs w:val="20"/>
                <w:b w:val="1"/>
                <w:bCs w:val="1"/>
                <w:color w:val="auto"/>
                <w:vertAlign w:val="superscript"/>
              </w:rPr>
              <w:t>(2)</w:t>
            </w:r>
          </w:p>
        </w:tc>
      </w:tr>
      <w:tr>
        <w:trPr>
          <w:trHeight w:val="308"/>
        </w:trPr>
        <w:tc>
          <w:tcPr>
            <w:tcW w:w="34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Massaro</w:t>
            </w:r>
          </w:p>
        </w:tc>
        <w:tc>
          <w:tcPr>
            <w:tcW w:w="1820" w:type="dxa"/>
            <w:vAlign w:val="bottom"/>
            <w:shd w:val="clear" w:color="auto" w:fill="E5EBF7"/>
          </w:tcPr>
          <w:p>
            <w:pPr>
              <w:spacing w:after="0"/>
              <w:rPr>
                <w:sz w:val="24"/>
                <w:szCs w:val="24"/>
                <w:color w:val="auto"/>
              </w:rPr>
            </w:pPr>
          </w:p>
        </w:tc>
        <w:tc>
          <w:tcPr>
            <w:tcW w:w="1280" w:type="dxa"/>
            <w:vAlign w:val="bottom"/>
            <w:shd w:val="clear" w:color="auto" w:fill="E5EBF7"/>
          </w:tcPr>
          <w:p>
            <w:pPr>
              <w:spacing w:after="0"/>
              <w:rPr>
                <w:sz w:val="24"/>
                <w:szCs w:val="24"/>
                <w:color w:val="auto"/>
              </w:rPr>
            </w:pPr>
          </w:p>
        </w:tc>
        <w:tc>
          <w:tcPr>
            <w:tcW w:w="2160" w:type="dxa"/>
            <w:vAlign w:val="bottom"/>
            <w:shd w:val="clear" w:color="auto" w:fill="E5EBF7"/>
          </w:tcPr>
          <w:p>
            <w:pPr>
              <w:spacing w:after="0"/>
              <w:rPr>
                <w:sz w:val="24"/>
                <w:szCs w:val="24"/>
                <w:color w:val="auto"/>
              </w:rPr>
            </w:pPr>
          </w:p>
        </w:tc>
        <w:tc>
          <w:tcPr>
            <w:tcW w:w="660" w:type="dxa"/>
            <w:vAlign w:val="bottom"/>
            <w:shd w:val="clear" w:color="auto" w:fill="E5EBF7"/>
          </w:tcPr>
          <w:p>
            <w:pPr>
              <w:spacing w:after="0"/>
              <w:rPr>
                <w:sz w:val="24"/>
                <w:szCs w:val="24"/>
                <w:color w:val="auto"/>
              </w:rPr>
            </w:pPr>
          </w:p>
        </w:tc>
      </w:tr>
      <w:tr>
        <w:trPr>
          <w:trHeight w:val="326"/>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Cash Severance</w:t>
            </w:r>
            <w:r>
              <w:rPr>
                <w:rFonts w:ascii="Arial" w:cs="Arial" w:eastAsia="Arial" w:hAnsi="Arial"/>
                <w:sz w:val="23"/>
                <w:szCs w:val="23"/>
                <w:i w:val="1"/>
                <w:iCs w:val="1"/>
                <w:color w:val="007FC4"/>
                <w:vertAlign w:val="superscript"/>
              </w:rPr>
              <w:t>(3)</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1,350,000</w:t>
            </w:r>
          </w:p>
        </w:tc>
        <w:tc>
          <w:tcPr>
            <w:tcW w:w="2820" w:type="dxa"/>
            <w:vAlign w:val="bottom"/>
            <w:gridSpan w:val="2"/>
            <w:shd w:val="clear" w:color="auto" w:fill="E5EBF7"/>
          </w:tcPr>
          <w:p>
            <w:pPr>
              <w:jc w:val="right"/>
              <w:ind w:right="28"/>
              <w:spacing w:after="0"/>
              <w:rPr>
                <w:sz w:val="20"/>
                <w:szCs w:val="20"/>
                <w:color w:val="auto"/>
              </w:rPr>
            </w:pPr>
            <w:r>
              <w:rPr>
                <w:rFonts w:ascii="Arial" w:cs="Arial" w:eastAsia="Arial" w:hAnsi="Arial"/>
                <w:sz w:val="14"/>
                <w:szCs w:val="14"/>
                <w:color w:val="auto"/>
              </w:rPr>
              <w:t>​ 900,000</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Option Acceleration</w:t>
            </w:r>
            <w:r>
              <w:rPr>
                <w:rFonts w:ascii="Arial" w:cs="Arial" w:eastAsia="Arial" w:hAnsi="Arial"/>
                <w:sz w:val="23"/>
                <w:szCs w:val="23"/>
                <w:i w:val="1"/>
                <w:iCs w:val="1"/>
                <w:color w:val="007FC4"/>
                <w:vertAlign w:val="superscript"/>
              </w:rPr>
              <w:t>(4)</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3,960,000</w:t>
            </w:r>
          </w:p>
        </w:tc>
        <w:tc>
          <w:tcPr>
            <w:tcW w:w="2820" w:type="dxa"/>
            <w:vAlign w:val="bottom"/>
            <w:gridSpan w:val="2"/>
            <w:shd w:val="clear" w:color="auto" w:fill="E5EBF7"/>
          </w:tcPr>
          <w:p>
            <w:pPr>
              <w:ind w:left="2080"/>
              <w:spacing w:after="0"/>
              <w:rPr>
                <w:sz w:val="20"/>
                <w:szCs w:val="20"/>
                <w:color w:val="auto"/>
              </w:rPr>
            </w:pPr>
            <w:r>
              <w:rPr>
                <w:rFonts w:ascii="Arial" w:cs="Arial" w:eastAsia="Arial" w:hAnsi="Arial"/>
                <w:sz w:val="14"/>
                <w:szCs w:val="14"/>
                <w:color w:val="auto"/>
              </w:rPr>
              <w:t>1,296,000​</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Restricted Stock Unit Acceleration</w:t>
            </w:r>
            <w:r>
              <w:rPr>
                <w:rFonts w:ascii="Arial" w:cs="Arial" w:eastAsia="Arial" w:hAnsi="Arial"/>
                <w:sz w:val="23"/>
                <w:szCs w:val="23"/>
                <w:i w:val="1"/>
                <w:iCs w:val="1"/>
                <w:color w:val="007FC4"/>
                <w:vertAlign w:val="superscript"/>
              </w:rPr>
              <w:t>(5)</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9,866,738</w:t>
            </w:r>
          </w:p>
        </w:tc>
        <w:tc>
          <w:tcPr>
            <w:tcW w:w="2820" w:type="dxa"/>
            <w:vAlign w:val="bottom"/>
            <w:gridSpan w:val="2"/>
            <w:shd w:val="clear" w:color="auto" w:fill="E5EBF7"/>
          </w:tcPr>
          <w:p>
            <w:pPr>
              <w:ind w:left="2080"/>
              <w:spacing w:after="0"/>
              <w:rPr>
                <w:sz w:val="20"/>
                <w:szCs w:val="20"/>
                <w:color w:val="auto"/>
              </w:rPr>
            </w:pPr>
            <w:r>
              <w:rPr>
                <w:rFonts w:ascii="Arial" w:cs="Arial" w:eastAsia="Arial" w:hAnsi="Arial"/>
                <w:sz w:val="14"/>
                <w:szCs w:val="14"/>
                <w:color w:val="auto"/>
              </w:rPr>
              <w:t>2,787,052​</w:t>
            </w:r>
          </w:p>
        </w:tc>
      </w:tr>
      <w:tr>
        <w:trPr>
          <w:trHeight w:val="235"/>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Benefit Continuation</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44,721</w:t>
            </w:r>
          </w:p>
        </w:tc>
        <w:tc>
          <w:tcPr>
            <w:tcW w:w="2160" w:type="dxa"/>
            <w:vAlign w:val="bottom"/>
            <w:shd w:val="clear" w:color="auto" w:fill="E5EBF7"/>
          </w:tcPr>
          <w:p>
            <w:pPr>
              <w:ind w:left="20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29,814</w:t>
            </w:r>
          </w:p>
        </w:tc>
      </w:tr>
      <w:tr>
        <w:trPr>
          <w:trHeight w:val="285"/>
        </w:trPr>
        <w:tc>
          <w:tcPr>
            <w:tcW w:w="3480" w:type="dxa"/>
            <w:vAlign w:val="bottom"/>
            <w:tcBorders>
              <w:bottom w:val="single" w:sz="8" w:color="E5EBF7"/>
            </w:tcBorders>
            <w:shd w:val="clear" w:color="auto" w:fill="E5EBF7"/>
          </w:tcPr>
          <w:p>
            <w:pPr>
              <w:ind w:left="360"/>
              <w:spacing w:after="0"/>
              <w:rPr>
                <w:sz w:val="20"/>
                <w:szCs w:val="20"/>
                <w:color w:val="auto"/>
              </w:rPr>
            </w:pPr>
            <w:r>
              <w:rPr>
                <w:rFonts w:ascii="Arial" w:cs="Arial" w:eastAsia="Arial" w:hAnsi="Arial"/>
                <w:sz w:val="14"/>
                <w:szCs w:val="14"/>
                <w:i w:val="1"/>
                <w:iCs w:val="1"/>
                <w:color w:val="007FC4"/>
              </w:rPr>
              <w:t>Total Value</w:t>
            </w:r>
          </w:p>
        </w:tc>
        <w:tc>
          <w:tcPr>
            <w:tcW w:w="3100" w:type="dxa"/>
            <w:vAlign w:val="bottom"/>
            <w:tcBorders>
              <w:bottom w:val="single" w:sz="8" w:color="E5EBF7"/>
            </w:tcBorders>
            <w:gridSpan w:val="2"/>
            <w:shd w:val="clear" w:color="auto" w:fill="E5EBF7"/>
          </w:tcPr>
          <w:p>
            <w:pPr>
              <w:ind w:left="1760"/>
              <w:spacing w:after="0"/>
              <w:rPr>
                <w:sz w:val="20"/>
                <w:szCs w:val="20"/>
                <w:color w:val="auto"/>
              </w:rPr>
            </w:pPr>
            <w:r>
              <w:rPr>
                <w:rFonts w:ascii="Arial" w:cs="Arial" w:eastAsia="Arial" w:hAnsi="Arial"/>
                <w:sz w:val="14"/>
                <w:szCs w:val="14"/>
                <w:color w:val="auto"/>
              </w:rPr>
              <w:t>15,221,459​</w:t>
            </w:r>
          </w:p>
        </w:tc>
        <w:tc>
          <w:tcPr>
            <w:tcW w:w="2820" w:type="dxa"/>
            <w:vAlign w:val="bottom"/>
            <w:tcBorders>
              <w:bottom w:val="single" w:sz="8" w:color="E5EBF7"/>
            </w:tcBorders>
            <w:gridSpan w:val="2"/>
            <w:shd w:val="clear" w:color="auto" w:fill="E5EBF7"/>
          </w:tcPr>
          <w:p>
            <w:pPr>
              <w:ind w:left="2080"/>
              <w:spacing w:after="0"/>
              <w:rPr>
                <w:sz w:val="20"/>
                <w:szCs w:val="20"/>
                <w:color w:val="auto"/>
              </w:rPr>
            </w:pPr>
            <w:r>
              <w:rPr>
                <w:rFonts w:ascii="Arial" w:cs="Arial" w:eastAsia="Arial" w:hAnsi="Arial"/>
                <w:sz w:val="14"/>
                <w:szCs w:val="14"/>
                <w:color w:val="auto"/>
              </w:rPr>
              <w:t>5,012,866​</w:t>
            </w:r>
          </w:p>
        </w:tc>
      </w:tr>
      <w:tr>
        <w:trPr>
          <w:trHeight w:val="241"/>
        </w:trPr>
        <w:tc>
          <w:tcPr>
            <w:tcW w:w="3480" w:type="dxa"/>
            <w:vAlign w:val="bottom"/>
          </w:tcPr>
          <w:p>
            <w:pPr>
              <w:ind w:left="180"/>
              <w:spacing w:after="0"/>
              <w:rPr>
                <w:sz w:val="20"/>
                <w:szCs w:val="20"/>
                <w:color w:val="auto"/>
              </w:rPr>
            </w:pPr>
            <w:r>
              <w:rPr>
                <w:rFonts w:ascii="Arial" w:cs="Arial" w:eastAsia="Arial" w:hAnsi="Arial"/>
                <w:sz w:val="14"/>
                <w:szCs w:val="14"/>
                <w:b w:val="1"/>
                <w:bCs w:val="1"/>
                <w:color w:val="007FC4"/>
              </w:rPr>
              <w:t>Robert Orgel</w:t>
            </w: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7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Cash Severance</w:t>
            </w:r>
            <w:r>
              <w:rPr>
                <w:rFonts w:ascii="Arial" w:cs="Arial" w:eastAsia="Arial" w:hAnsi="Arial"/>
                <w:sz w:val="23"/>
                <w:szCs w:val="23"/>
                <w:i w:val="1"/>
                <w:iCs w:val="1"/>
                <w:color w:val="007FC4"/>
                <w:vertAlign w:val="superscript"/>
              </w:rPr>
              <w:t>(3)</w:t>
            </w:r>
          </w:p>
        </w:tc>
        <w:tc>
          <w:tcPr>
            <w:tcW w:w="1820" w:type="dxa"/>
            <w:vAlign w:val="bottom"/>
          </w:tcPr>
          <w:p>
            <w:pPr>
              <w:spacing w:after="0"/>
              <w:rPr>
                <w:sz w:val="24"/>
                <w:szCs w:val="24"/>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575,000</w:t>
            </w:r>
          </w:p>
        </w:tc>
        <w:tc>
          <w:tcPr>
            <w:tcW w:w="21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487,500</w:t>
            </w:r>
          </w:p>
        </w:tc>
      </w:tr>
      <w:tr>
        <w:trPr>
          <w:trHeight w:val="297"/>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Option Acceleration</w:t>
            </w:r>
            <w:r>
              <w:rPr>
                <w:rFonts w:ascii="Arial" w:cs="Arial" w:eastAsia="Arial" w:hAnsi="Arial"/>
                <w:sz w:val="23"/>
                <w:szCs w:val="23"/>
                <w:i w:val="1"/>
                <w:iCs w:val="1"/>
                <w:color w:val="007FC4"/>
                <w:vertAlign w:val="superscript"/>
              </w:rPr>
              <w:t>(4)</w:t>
            </w:r>
          </w:p>
        </w:tc>
        <w:tc>
          <w:tcPr>
            <w:tcW w:w="3100" w:type="dxa"/>
            <w:vAlign w:val="bottom"/>
            <w:gridSpan w:val="2"/>
          </w:tcPr>
          <w:p>
            <w:pPr>
              <w:jc w:val="right"/>
              <w:ind w:right="568"/>
              <w:spacing w:after="0"/>
              <w:rPr>
                <w:sz w:val="20"/>
                <w:szCs w:val="20"/>
                <w:color w:val="auto"/>
              </w:rPr>
            </w:pPr>
            <w:r>
              <w:rPr>
                <w:rFonts w:ascii="Arial" w:cs="Arial" w:eastAsia="Arial" w:hAnsi="Arial"/>
                <w:sz w:val="14"/>
                <w:szCs w:val="14"/>
                <w:color w:val="auto"/>
              </w:rPr>
              <w:t>​ 2,340,000</w:t>
            </w:r>
          </w:p>
        </w:tc>
        <w:tc>
          <w:tcPr>
            <w:tcW w:w="2820" w:type="dxa"/>
            <w:vAlign w:val="bottom"/>
            <w:gridSpan w:val="2"/>
          </w:tcPr>
          <w:p>
            <w:pPr>
              <w:ind w:left="2080"/>
              <w:spacing w:after="0"/>
              <w:rPr>
                <w:sz w:val="20"/>
                <w:szCs w:val="20"/>
                <w:color w:val="auto"/>
              </w:rPr>
            </w:pPr>
            <w:r>
              <w:rPr>
                <w:rFonts w:ascii="Arial" w:cs="Arial" w:eastAsia="Arial" w:hAnsi="Arial"/>
                <w:sz w:val="14"/>
                <w:szCs w:val="14"/>
                <w:color w:val="auto"/>
              </w:rPr>
              <w:t>1,080,000​</w:t>
            </w:r>
          </w:p>
        </w:tc>
      </w:tr>
      <w:tr>
        <w:trPr>
          <w:trHeight w:val="298"/>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Restricted Stock Unit Acceleration</w:t>
            </w:r>
            <w:r>
              <w:rPr>
                <w:rFonts w:ascii="Arial" w:cs="Arial" w:eastAsia="Arial" w:hAnsi="Arial"/>
                <w:sz w:val="23"/>
                <w:szCs w:val="23"/>
                <w:i w:val="1"/>
                <w:iCs w:val="1"/>
                <w:color w:val="007FC4"/>
                <w:vertAlign w:val="superscript"/>
              </w:rPr>
              <w:t>(5)</w:t>
            </w:r>
          </w:p>
        </w:tc>
        <w:tc>
          <w:tcPr>
            <w:tcW w:w="3100" w:type="dxa"/>
            <w:vAlign w:val="bottom"/>
            <w:gridSpan w:val="2"/>
          </w:tcPr>
          <w:p>
            <w:pPr>
              <w:jc w:val="right"/>
              <w:ind w:right="568"/>
              <w:spacing w:after="0"/>
              <w:rPr>
                <w:sz w:val="20"/>
                <w:szCs w:val="20"/>
                <w:color w:val="auto"/>
              </w:rPr>
            </w:pPr>
            <w:r>
              <w:rPr>
                <w:rFonts w:ascii="Arial" w:cs="Arial" w:eastAsia="Arial" w:hAnsi="Arial"/>
                <w:sz w:val="14"/>
                <w:szCs w:val="14"/>
                <w:color w:val="auto"/>
              </w:rPr>
              <w:t>​ 5,115,016</w:t>
            </w:r>
          </w:p>
        </w:tc>
        <w:tc>
          <w:tcPr>
            <w:tcW w:w="2820" w:type="dxa"/>
            <w:vAlign w:val="bottom"/>
            <w:gridSpan w:val="2"/>
          </w:tcPr>
          <w:p>
            <w:pPr>
              <w:ind w:left="2080"/>
              <w:spacing w:after="0"/>
              <w:rPr>
                <w:sz w:val="20"/>
                <w:szCs w:val="20"/>
                <w:color w:val="auto"/>
              </w:rPr>
            </w:pPr>
            <w:r>
              <w:rPr>
                <w:rFonts w:ascii="Arial" w:cs="Arial" w:eastAsia="Arial" w:hAnsi="Arial"/>
                <w:sz w:val="14"/>
                <w:szCs w:val="14"/>
                <w:color w:val="auto"/>
              </w:rPr>
              <w:t>1,450,278​</w:t>
            </w:r>
          </w:p>
        </w:tc>
      </w:tr>
      <w:tr>
        <w:trPr>
          <w:trHeight w:val="19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Benefit Continuation</w:t>
            </w:r>
          </w:p>
        </w:tc>
        <w:tc>
          <w:tcPr>
            <w:tcW w:w="1820" w:type="dxa"/>
            <w:vAlign w:val="bottom"/>
          </w:tcPr>
          <w:p>
            <w:pPr>
              <w:ind w:left="17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29,814</w:t>
            </w:r>
          </w:p>
        </w:tc>
        <w:tc>
          <w:tcPr>
            <w:tcW w:w="2160" w:type="dxa"/>
            <w:vAlign w:val="bottom"/>
          </w:tcPr>
          <w:p>
            <w:pPr>
              <w:ind w:left="20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22,360</w:t>
            </w:r>
          </w:p>
        </w:tc>
      </w:tr>
      <w:tr>
        <w:trPr>
          <w:trHeight w:val="27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Total Value</w:t>
            </w:r>
          </w:p>
        </w:tc>
        <w:tc>
          <w:tcPr>
            <w:tcW w:w="1820" w:type="dxa"/>
            <w:vAlign w:val="bottom"/>
          </w:tcPr>
          <w:p>
            <w:pPr>
              <w:spacing w:after="0"/>
              <w:rPr>
                <w:sz w:val="23"/>
                <w:szCs w:val="23"/>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color w:val="auto"/>
                <w:w w:val="99"/>
              </w:rPr>
              <w:t>8,059,830</w:t>
            </w:r>
          </w:p>
        </w:tc>
        <w:tc>
          <w:tcPr>
            <w:tcW w:w="2820" w:type="dxa"/>
            <w:vAlign w:val="bottom"/>
            <w:gridSpan w:val="2"/>
          </w:tcPr>
          <w:p>
            <w:pPr>
              <w:ind w:left="2080"/>
              <w:spacing w:after="0"/>
              <w:rPr>
                <w:sz w:val="20"/>
                <w:szCs w:val="20"/>
                <w:color w:val="auto"/>
              </w:rPr>
            </w:pPr>
            <w:r>
              <w:rPr>
                <w:rFonts w:ascii="Arial" w:cs="Arial" w:eastAsia="Arial" w:hAnsi="Arial"/>
                <w:sz w:val="14"/>
                <w:szCs w:val="14"/>
                <w:color w:val="auto"/>
              </w:rPr>
              <w:t>3,040,138</w:t>
            </w:r>
          </w:p>
        </w:tc>
      </w:tr>
      <w:tr>
        <w:trPr>
          <w:trHeight w:val="35"/>
        </w:trPr>
        <w:tc>
          <w:tcPr>
            <w:tcW w:w="3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1"/>
        </w:trPr>
        <w:tc>
          <w:tcPr>
            <w:tcW w:w="34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Michael Ellis</w:t>
            </w:r>
          </w:p>
        </w:tc>
        <w:tc>
          <w:tcPr>
            <w:tcW w:w="1820" w:type="dxa"/>
            <w:vAlign w:val="bottom"/>
            <w:shd w:val="clear" w:color="auto" w:fill="E5EBF7"/>
          </w:tcPr>
          <w:p>
            <w:pPr>
              <w:spacing w:after="0"/>
              <w:rPr>
                <w:sz w:val="20"/>
                <w:szCs w:val="20"/>
                <w:color w:val="auto"/>
              </w:rPr>
            </w:pPr>
          </w:p>
        </w:tc>
        <w:tc>
          <w:tcPr>
            <w:tcW w:w="1280" w:type="dxa"/>
            <w:vAlign w:val="bottom"/>
            <w:shd w:val="clear" w:color="auto" w:fill="E5EBF7"/>
          </w:tcPr>
          <w:p>
            <w:pPr>
              <w:spacing w:after="0"/>
              <w:rPr>
                <w:sz w:val="20"/>
                <w:szCs w:val="20"/>
                <w:color w:val="auto"/>
              </w:rPr>
            </w:pPr>
          </w:p>
        </w:tc>
        <w:tc>
          <w:tcPr>
            <w:tcW w:w="2160" w:type="dxa"/>
            <w:vAlign w:val="bottom"/>
            <w:shd w:val="clear" w:color="auto" w:fill="E5EBF7"/>
          </w:tcPr>
          <w:p>
            <w:pPr>
              <w:spacing w:after="0"/>
              <w:rPr>
                <w:sz w:val="20"/>
                <w:szCs w:val="20"/>
                <w:color w:val="auto"/>
              </w:rPr>
            </w:pPr>
          </w:p>
        </w:tc>
        <w:tc>
          <w:tcPr>
            <w:tcW w:w="660" w:type="dxa"/>
            <w:vAlign w:val="bottom"/>
            <w:shd w:val="clear" w:color="auto" w:fill="E5EBF7"/>
          </w:tcPr>
          <w:p>
            <w:pPr>
              <w:spacing w:after="0"/>
              <w:rPr>
                <w:sz w:val="20"/>
                <w:szCs w:val="20"/>
                <w:color w:val="auto"/>
              </w:rPr>
            </w:pPr>
          </w:p>
        </w:tc>
      </w:tr>
      <w:tr>
        <w:trPr>
          <w:trHeight w:val="326"/>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Cash Severance</w:t>
            </w:r>
            <w:r>
              <w:rPr>
                <w:rFonts w:ascii="Arial" w:cs="Arial" w:eastAsia="Arial" w:hAnsi="Arial"/>
                <w:sz w:val="23"/>
                <w:szCs w:val="23"/>
                <w:i w:val="1"/>
                <w:iCs w:val="1"/>
                <w:color w:val="007FC4"/>
                <w:vertAlign w:val="superscript"/>
              </w:rPr>
              <w:t>(3)</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550,000</w:t>
            </w:r>
          </w:p>
        </w:tc>
        <w:tc>
          <w:tcPr>
            <w:tcW w:w="2820" w:type="dxa"/>
            <w:vAlign w:val="bottom"/>
            <w:gridSpan w:val="2"/>
            <w:shd w:val="clear" w:color="auto" w:fill="E5EBF7"/>
          </w:tcPr>
          <w:p>
            <w:pPr>
              <w:jc w:val="right"/>
              <w:ind w:right="28"/>
              <w:spacing w:after="0"/>
              <w:rPr>
                <w:sz w:val="20"/>
                <w:szCs w:val="20"/>
                <w:color w:val="auto"/>
              </w:rPr>
            </w:pPr>
            <w:r>
              <w:rPr>
                <w:rFonts w:ascii="Arial" w:cs="Arial" w:eastAsia="Arial" w:hAnsi="Arial"/>
                <w:sz w:val="14"/>
                <w:szCs w:val="14"/>
                <w:color w:val="auto"/>
              </w:rPr>
              <w:t>​ 468,750</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Option Acceleration</w:t>
            </w:r>
            <w:r>
              <w:rPr>
                <w:rFonts w:ascii="Arial" w:cs="Arial" w:eastAsia="Arial" w:hAnsi="Arial"/>
                <w:sz w:val="23"/>
                <w:szCs w:val="23"/>
                <w:i w:val="1"/>
                <w:iCs w:val="1"/>
                <w:color w:val="007FC4"/>
                <w:vertAlign w:val="superscript"/>
              </w:rPr>
              <w:t>(4)</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1,014,010</w:t>
            </w:r>
          </w:p>
        </w:tc>
        <w:tc>
          <w:tcPr>
            <w:tcW w:w="2160" w:type="dxa"/>
            <w:vAlign w:val="bottom"/>
            <w:shd w:val="clear" w:color="auto" w:fill="E5EBF7"/>
          </w:tcPr>
          <w:p>
            <w:pPr>
              <w:spacing w:after="0"/>
              <w:rPr>
                <w:sz w:val="24"/>
                <w:szCs w:val="24"/>
                <w:color w:val="auto"/>
              </w:rPr>
            </w:pP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Restricted Stock Unit Acceleration</w:t>
            </w:r>
            <w:r>
              <w:rPr>
                <w:rFonts w:ascii="Arial" w:cs="Arial" w:eastAsia="Arial" w:hAnsi="Arial"/>
                <w:sz w:val="23"/>
                <w:szCs w:val="23"/>
                <w:i w:val="1"/>
                <w:iCs w:val="1"/>
                <w:color w:val="007FC4"/>
                <w:vertAlign w:val="superscript"/>
              </w:rPr>
              <w:t>(5)</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3,510,860</w:t>
            </w:r>
          </w:p>
        </w:tc>
        <w:tc>
          <w:tcPr>
            <w:tcW w:w="2160" w:type="dxa"/>
            <w:vAlign w:val="bottom"/>
            <w:shd w:val="clear" w:color="auto" w:fill="E5EBF7"/>
          </w:tcPr>
          <w:p>
            <w:pPr>
              <w:spacing w:after="0"/>
              <w:rPr>
                <w:sz w:val="24"/>
                <w:szCs w:val="24"/>
                <w:color w:val="auto"/>
              </w:rPr>
            </w:pP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w:t>
            </w:r>
          </w:p>
        </w:tc>
      </w:tr>
      <w:tr>
        <w:trPr>
          <w:trHeight w:val="235"/>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Benefit Continuation</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29,814</w:t>
            </w:r>
          </w:p>
        </w:tc>
        <w:tc>
          <w:tcPr>
            <w:tcW w:w="2160" w:type="dxa"/>
            <w:vAlign w:val="bottom"/>
            <w:shd w:val="clear" w:color="auto" w:fill="E5EBF7"/>
          </w:tcPr>
          <w:p>
            <w:pPr>
              <w:ind w:left="20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22,360</w:t>
            </w:r>
          </w:p>
        </w:tc>
      </w:tr>
      <w:tr>
        <w:trPr>
          <w:trHeight w:val="285"/>
        </w:trPr>
        <w:tc>
          <w:tcPr>
            <w:tcW w:w="3480" w:type="dxa"/>
            <w:vAlign w:val="bottom"/>
            <w:tcBorders>
              <w:bottom w:val="single" w:sz="8" w:color="E5EBF7"/>
            </w:tcBorders>
            <w:shd w:val="clear" w:color="auto" w:fill="E5EBF7"/>
          </w:tcPr>
          <w:p>
            <w:pPr>
              <w:ind w:left="360"/>
              <w:spacing w:after="0"/>
              <w:rPr>
                <w:sz w:val="20"/>
                <w:szCs w:val="20"/>
                <w:color w:val="auto"/>
              </w:rPr>
            </w:pPr>
            <w:r>
              <w:rPr>
                <w:rFonts w:ascii="Arial" w:cs="Arial" w:eastAsia="Arial" w:hAnsi="Arial"/>
                <w:sz w:val="14"/>
                <w:szCs w:val="14"/>
                <w:i w:val="1"/>
                <w:iCs w:val="1"/>
                <w:color w:val="007FC4"/>
              </w:rPr>
              <w:t>Total Value</w:t>
            </w:r>
          </w:p>
        </w:tc>
        <w:tc>
          <w:tcPr>
            <w:tcW w:w="3100" w:type="dxa"/>
            <w:vAlign w:val="bottom"/>
            <w:tcBorders>
              <w:bottom w:val="single" w:sz="8" w:color="E5EBF7"/>
            </w:tcBorders>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5,104,684</w:t>
            </w:r>
          </w:p>
        </w:tc>
        <w:tc>
          <w:tcPr>
            <w:tcW w:w="2160" w:type="dxa"/>
            <w:vAlign w:val="bottom"/>
            <w:tcBorders>
              <w:bottom w:val="single" w:sz="8" w:color="E5EBF7"/>
            </w:tcBorders>
            <w:shd w:val="clear" w:color="auto" w:fill="E5EBF7"/>
          </w:tcPr>
          <w:p>
            <w:pPr>
              <w:ind w:left="20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BF7"/>
            </w:tcBorders>
            <w:shd w:val="clear" w:color="auto" w:fill="E5EBF7"/>
          </w:tcPr>
          <w:p>
            <w:pPr>
              <w:jc w:val="right"/>
              <w:ind w:right="28"/>
              <w:spacing w:after="0"/>
              <w:rPr>
                <w:sz w:val="20"/>
                <w:szCs w:val="20"/>
                <w:color w:val="auto"/>
              </w:rPr>
            </w:pPr>
            <w:r>
              <w:rPr>
                <w:rFonts w:ascii="Arial" w:cs="Arial" w:eastAsia="Arial" w:hAnsi="Arial"/>
                <w:sz w:val="14"/>
                <w:szCs w:val="14"/>
                <w:color w:val="auto"/>
              </w:rPr>
              <w:t>491,110</w:t>
            </w:r>
          </w:p>
        </w:tc>
      </w:tr>
      <w:tr>
        <w:trPr>
          <w:trHeight w:val="241"/>
        </w:trPr>
        <w:tc>
          <w:tcPr>
            <w:tcW w:w="348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7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Cash Severance</w:t>
            </w:r>
            <w:r>
              <w:rPr>
                <w:rFonts w:ascii="Arial" w:cs="Arial" w:eastAsia="Arial" w:hAnsi="Arial"/>
                <w:sz w:val="23"/>
                <w:szCs w:val="23"/>
                <w:i w:val="1"/>
                <w:iCs w:val="1"/>
                <w:color w:val="007FC4"/>
                <w:vertAlign w:val="superscript"/>
              </w:rPr>
              <w:t>(3)</w:t>
            </w:r>
          </w:p>
        </w:tc>
        <w:tc>
          <w:tcPr>
            <w:tcW w:w="1820" w:type="dxa"/>
            <w:vAlign w:val="bottom"/>
          </w:tcPr>
          <w:p>
            <w:pPr>
              <w:spacing w:after="0"/>
              <w:rPr>
                <w:sz w:val="24"/>
                <w:szCs w:val="24"/>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450,000</w:t>
            </w:r>
          </w:p>
        </w:tc>
        <w:tc>
          <w:tcPr>
            <w:tcW w:w="21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300,000</w:t>
            </w:r>
          </w:p>
        </w:tc>
      </w:tr>
      <w:tr>
        <w:trPr>
          <w:trHeight w:val="297"/>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Option Acceleration</w:t>
            </w:r>
            <w:r>
              <w:rPr>
                <w:rFonts w:ascii="Arial" w:cs="Arial" w:eastAsia="Arial" w:hAnsi="Arial"/>
                <w:sz w:val="23"/>
                <w:szCs w:val="23"/>
                <w:i w:val="1"/>
                <w:iCs w:val="1"/>
                <w:color w:val="007FC4"/>
                <w:vertAlign w:val="superscript"/>
              </w:rPr>
              <w:t>(4)</w:t>
            </w:r>
          </w:p>
        </w:tc>
        <w:tc>
          <w:tcPr>
            <w:tcW w:w="1820" w:type="dxa"/>
            <w:vAlign w:val="bottom"/>
          </w:tcPr>
          <w:p>
            <w:pPr>
              <w:ind w:left="17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624,000</w:t>
            </w:r>
          </w:p>
        </w:tc>
        <w:tc>
          <w:tcPr>
            <w:tcW w:w="21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8"/>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Restricted Stock Unit Acceleration</w:t>
            </w:r>
            <w:r>
              <w:rPr>
                <w:rFonts w:ascii="Arial" w:cs="Arial" w:eastAsia="Arial" w:hAnsi="Arial"/>
                <w:sz w:val="23"/>
                <w:szCs w:val="23"/>
                <w:i w:val="1"/>
                <w:iCs w:val="1"/>
                <w:color w:val="007FC4"/>
                <w:vertAlign w:val="superscript"/>
              </w:rPr>
              <w:t>(5)</w:t>
            </w:r>
          </w:p>
        </w:tc>
        <w:tc>
          <w:tcPr>
            <w:tcW w:w="3100" w:type="dxa"/>
            <w:vAlign w:val="bottom"/>
            <w:gridSpan w:val="2"/>
          </w:tcPr>
          <w:p>
            <w:pPr>
              <w:jc w:val="right"/>
              <w:ind w:right="568"/>
              <w:spacing w:after="0"/>
              <w:rPr>
                <w:sz w:val="20"/>
                <w:szCs w:val="20"/>
                <w:color w:val="auto"/>
              </w:rPr>
            </w:pPr>
            <w:r>
              <w:rPr>
                <w:rFonts w:ascii="Arial" w:cs="Arial" w:eastAsia="Arial" w:hAnsi="Arial"/>
                <w:sz w:val="14"/>
                <w:szCs w:val="14"/>
                <w:color w:val="auto"/>
              </w:rPr>
              <w:t>​ 2,360,814</w:t>
            </w:r>
          </w:p>
        </w:tc>
        <w:tc>
          <w:tcPr>
            <w:tcW w:w="21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Benefit Continuation</w:t>
            </w:r>
          </w:p>
        </w:tc>
        <w:tc>
          <w:tcPr>
            <w:tcW w:w="1820" w:type="dxa"/>
            <w:vAlign w:val="bottom"/>
          </w:tcPr>
          <w:p>
            <w:pPr>
              <w:ind w:left="17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29,527</w:t>
            </w:r>
          </w:p>
        </w:tc>
        <w:tc>
          <w:tcPr>
            <w:tcW w:w="2160" w:type="dxa"/>
            <w:vAlign w:val="bottom"/>
          </w:tcPr>
          <w:p>
            <w:pPr>
              <w:ind w:left="20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14,763</w:t>
            </w:r>
          </w:p>
        </w:tc>
      </w:tr>
      <w:tr>
        <w:trPr>
          <w:trHeight w:val="270"/>
        </w:trPr>
        <w:tc>
          <w:tcPr>
            <w:tcW w:w="3480" w:type="dxa"/>
            <w:vAlign w:val="bottom"/>
          </w:tcPr>
          <w:p>
            <w:pPr>
              <w:ind w:left="360"/>
              <w:spacing w:after="0"/>
              <w:rPr>
                <w:sz w:val="20"/>
                <w:szCs w:val="20"/>
                <w:color w:val="auto"/>
              </w:rPr>
            </w:pPr>
            <w:r>
              <w:rPr>
                <w:rFonts w:ascii="Arial" w:cs="Arial" w:eastAsia="Arial" w:hAnsi="Arial"/>
                <w:sz w:val="14"/>
                <w:szCs w:val="14"/>
                <w:i w:val="1"/>
                <w:iCs w:val="1"/>
                <w:color w:val="007FC4"/>
              </w:rPr>
              <w:t>Total Value</w:t>
            </w:r>
          </w:p>
        </w:tc>
        <w:tc>
          <w:tcPr>
            <w:tcW w:w="3100" w:type="dxa"/>
            <w:vAlign w:val="bottom"/>
            <w:gridSpan w:val="2"/>
          </w:tcPr>
          <w:p>
            <w:pPr>
              <w:jc w:val="right"/>
              <w:ind w:right="568"/>
              <w:spacing w:after="0"/>
              <w:rPr>
                <w:sz w:val="20"/>
                <w:szCs w:val="20"/>
                <w:color w:val="auto"/>
              </w:rPr>
            </w:pPr>
            <w:r>
              <w:rPr>
                <w:rFonts w:ascii="Arial" w:cs="Arial" w:eastAsia="Arial" w:hAnsi="Arial"/>
                <w:sz w:val="14"/>
                <w:szCs w:val="14"/>
                <w:color w:val="auto"/>
              </w:rPr>
              <w:t>​ 3,464,341</w:t>
            </w:r>
          </w:p>
        </w:tc>
        <w:tc>
          <w:tcPr>
            <w:tcW w:w="2820" w:type="dxa"/>
            <w:vAlign w:val="bottom"/>
            <w:gridSpan w:val="2"/>
          </w:tcPr>
          <w:p>
            <w:pPr>
              <w:jc w:val="right"/>
              <w:ind w:right="28"/>
              <w:spacing w:after="0"/>
              <w:rPr>
                <w:sz w:val="20"/>
                <w:szCs w:val="20"/>
                <w:color w:val="auto"/>
              </w:rPr>
            </w:pPr>
            <w:r>
              <w:rPr>
                <w:rFonts w:ascii="Arial" w:cs="Arial" w:eastAsia="Arial" w:hAnsi="Arial"/>
                <w:sz w:val="14"/>
                <w:szCs w:val="14"/>
                <w:color w:val="auto"/>
              </w:rPr>
              <w:t>​ 314,763</w:t>
            </w:r>
          </w:p>
        </w:tc>
      </w:tr>
      <w:tr>
        <w:trPr>
          <w:trHeight w:val="35"/>
        </w:trPr>
        <w:tc>
          <w:tcPr>
            <w:tcW w:w="3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1"/>
        </w:trPr>
        <w:tc>
          <w:tcPr>
            <w:tcW w:w="348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p>
        </w:tc>
        <w:tc>
          <w:tcPr>
            <w:tcW w:w="1820" w:type="dxa"/>
            <w:vAlign w:val="bottom"/>
            <w:shd w:val="clear" w:color="auto" w:fill="E5EBF7"/>
          </w:tcPr>
          <w:p>
            <w:pPr>
              <w:spacing w:after="0"/>
              <w:rPr>
                <w:sz w:val="20"/>
                <w:szCs w:val="20"/>
                <w:color w:val="auto"/>
              </w:rPr>
            </w:pPr>
          </w:p>
        </w:tc>
        <w:tc>
          <w:tcPr>
            <w:tcW w:w="1280" w:type="dxa"/>
            <w:vAlign w:val="bottom"/>
            <w:shd w:val="clear" w:color="auto" w:fill="E5EBF7"/>
          </w:tcPr>
          <w:p>
            <w:pPr>
              <w:spacing w:after="0"/>
              <w:rPr>
                <w:sz w:val="20"/>
                <w:szCs w:val="20"/>
                <w:color w:val="auto"/>
              </w:rPr>
            </w:pPr>
          </w:p>
        </w:tc>
        <w:tc>
          <w:tcPr>
            <w:tcW w:w="2160" w:type="dxa"/>
            <w:vAlign w:val="bottom"/>
            <w:shd w:val="clear" w:color="auto" w:fill="E5EBF7"/>
          </w:tcPr>
          <w:p>
            <w:pPr>
              <w:spacing w:after="0"/>
              <w:rPr>
                <w:sz w:val="20"/>
                <w:szCs w:val="20"/>
                <w:color w:val="auto"/>
              </w:rPr>
            </w:pPr>
          </w:p>
        </w:tc>
        <w:tc>
          <w:tcPr>
            <w:tcW w:w="660" w:type="dxa"/>
            <w:vAlign w:val="bottom"/>
            <w:shd w:val="clear" w:color="auto" w:fill="E5EBF7"/>
          </w:tcPr>
          <w:p>
            <w:pPr>
              <w:spacing w:after="0"/>
              <w:rPr>
                <w:sz w:val="20"/>
                <w:szCs w:val="20"/>
                <w:color w:val="auto"/>
              </w:rPr>
            </w:pPr>
          </w:p>
        </w:tc>
      </w:tr>
      <w:tr>
        <w:trPr>
          <w:trHeight w:val="326"/>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Cash Severance</w:t>
            </w:r>
            <w:r>
              <w:rPr>
                <w:rFonts w:ascii="Arial" w:cs="Arial" w:eastAsia="Arial" w:hAnsi="Arial"/>
                <w:sz w:val="23"/>
                <w:szCs w:val="23"/>
                <w:i w:val="1"/>
                <w:iCs w:val="1"/>
                <w:color w:val="007FC4"/>
                <w:vertAlign w:val="superscript"/>
              </w:rPr>
              <w:t>(3)</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450,000</w:t>
            </w:r>
          </w:p>
        </w:tc>
        <w:tc>
          <w:tcPr>
            <w:tcW w:w="2820" w:type="dxa"/>
            <w:vAlign w:val="bottom"/>
            <w:gridSpan w:val="2"/>
            <w:shd w:val="clear" w:color="auto" w:fill="E5EBF7"/>
          </w:tcPr>
          <w:p>
            <w:pPr>
              <w:jc w:val="right"/>
              <w:ind w:right="28"/>
              <w:spacing w:after="0"/>
              <w:rPr>
                <w:sz w:val="20"/>
                <w:szCs w:val="20"/>
                <w:color w:val="auto"/>
              </w:rPr>
            </w:pPr>
            <w:r>
              <w:rPr>
                <w:rFonts w:ascii="Arial" w:cs="Arial" w:eastAsia="Arial" w:hAnsi="Arial"/>
                <w:sz w:val="14"/>
                <w:szCs w:val="14"/>
                <w:color w:val="auto"/>
              </w:rPr>
              <w:t>​ 300,000</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Option Acceleration</w:t>
            </w:r>
            <w:r>
              <w:rPr>
                <w:rFonts w:ascii="Arial" w:cs="Arial" w:eastAsia="Arial" w:hAnsi="Arial"/>
                <w:sz w:val="23"/>
                <w:szCs w:val="23"/>
                <w:i w:val="1"/>
                <w:iCs w:val="1"/>
                <w:color w:val="007FC4"/>
                <w:vertAlign w:val="superscript"/>
              </w:rPr>
              <w:t>(4)</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468,000</w:t>
            </w:r>
          </w:p>
        </w:tc>
        <w:tc>
          <w:tcPr>
            <w:tcW w:w="2160" w:type="dxa"/>
            <w:vAlign w:val="bottom"/>
            <w:shd w:val="clear" w:color="auto" w:fill="E5EBF7"/>
          </w:tcPr>
          <w:p>
            <w:pPr>
              <w:spacing w:after="0"/>
              <w:rPr>
                <w:sz w:val="24"/>
                <w:szCs w:val="24"/>
                <w:color w:val="auto"/>
              </w:rPr>
            </w:pP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w:t>
            </w:r>
          </w:p>
        </w:tc>
      </w:tr>
      <w:tr>
        <w:trPr>
          <w:trHeight w:val="297"/>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Restricted Stock Unit Acceleration</w:t>
            </w:r>
            <w:r>
              <w:rPr>
                <w:rFonts w:ascii="Arial" w:cs="Arial" w:eastAsia="Arial" w:hAnsi="Arial"/>
                <w:sz w:val="23"/>
                <w:szCs w:val="23"/>
                <w:i w:val="1"/>
                <w:iCs w:val="1"/>
                <w:color w:val="007FC4"/>
                <w:vertAlign w:val="superscript"/>
              </w:rPr>
              <w:t>(5)</w:t>
            </w:r>
          </w:p>
        </w:tc>
        <w:tc>
          <w:tcPr>
            <w:tcW w:w="3100" w:type="dxa"/>
            <w:vAlign w:val="bottom"/>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1,641,034</w:t>
            </w:r>
          </w:p>
        </w:tc>
        <w:tc>
          <w:tcPr>
            <w:tcW w:w="2160" w:type="dxa"/>
            <w:vAlign w:val="bottom"/>
            <w:shd w:val="clear" w:color="auto" w:fill="E5EBF7"/>
          </w:tcPr>
          <w:p>
            <w:pPr>
              <w:spacing w:after="0"/>
              <w:rPr>
                <w:sz w:val="24"/>
                <w:szCs w:val="24"/>
                <w:color w:val="auto"/>
              </w:rPr>
            </w:pP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w:t>
            </w:r>
          </w:p>
        </w:tc>
      </w:tr>
      <w:tr>
        <w:trPr>
          <w:trHeight w:val="235"/>
        </w:trPr>
        <w:tc>
          <w:tcPr>
            <w:tcW w:w="3480" w:type="dxa"/>
            <w:vAlign w:val="bottom"/>
            <w:shd w:val="clear" w:color="auto" w:fill="E5EBF7"/>
          </w:tcPr>
          <w:p>
            <w:pPr>
              <w:ind w:left="360"/>
              <w:spacing w:after="0"/>
              <w:rPr>
                <w:sz w:val="20"/>
                <w:szCs w:val="20"/>
                <w:color w:val="auto"/>
              </w:rPr>
            </w:pPr>
            <w:r>
              <w:rPr>
                <w:rFonts w:ascii="Arial" w:cs="Arial" w:eastAsia="Arial" w:hAnsi="Arial"/>
                <w:sz w:val="14"/>
                <w:szCs w:val="14"/>
                <w:i w:val="1"/>
                <w:iCs w:val="1"/>
                <w:color w:val="007FC4"/>
              </w:rPr>
              <w:t>Benefit Continuation</w:t>
            </w:r>
          </w:p>
        </w:tc>
        <w:tc>
          <w:tcPr>
            <w:tcW w:w="1820" w:type="dxa"/>
            <w:vAlign w:val="bottom"/>
            <w:shd w:val="clear" w:color="auto" w:fill="E5EBF7"/>
          </w:tcPr>
          <w:p>
            <w:pPr>
              <w:ind w:left="17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BF7"/>
          </w:tcPr>
          <w:p>
            <w:pPr>
              <w:jc w:val="right"/>
              <w:ind w:right="568"/>
              <w:spacing w:after="0"/>
              <w:rPr>
                <w:sz w:val="20"/>
                <w:szCs w:val="20"/>
                <w:color w:val="auto"/>
              </w:rPr>
            </w:pPr>
            <w:r>
              <w:rPr>
                <w:rFonts w:ascii="Arial" w:cs="Arial" w:eastAsia="Arial" w:hAnsi="Arial"/>
                <w:sz w:val="14"/>
                <w:szCs w:val="14"/>
                <w:color w:val="auto"/>
              </w:rPr>
              <w:t>29,814</w:t>
            </w:r>
          </w:p>
        </w:tc>
        <w:tc>
          <w:tcPr>
            <w:tcW w:w="2160" w:type="dxa"/>
            <w:vAlign w:val="bottom"/>
            <w:shd w:val="clear" w:color="auto" w:fill="E5EBF7"/>
          </w:tcPr>
          <w:p>
            <w:pPr>
              <w:ind w:left="20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BF7"/>
          </w:tcPr>
          <w:p>
            <w:pPr>
              <w:jc w:val="right"/>
              <w:ind w:right="28"/>
              <w:spacing w:after="0"/>
              <w:rPr>
                <w:sz w:val="20"/>
                <w:szCs w:val="20"/>
                <w:color w:val="auto"/>
              </w:rPr>
            </w:pPr>
            <w:r>
              <w:rPr>
                <w:rFonts w:ascii="Arial" w:cs="Arial" w:eastAsia="Arial" w:hAnsi="Arial"/>
                <w:sz w:val="14"/>
                <w:szCs w:val="14"/>
                <w:color w:val="auto"/>
              </w:rPr>
              <w:t>14,907</w:t>
            </w:r>
          </w:p>
        </w:tc>
      </w:tr>
      <w:tr>
        <w:trPr>
          <w:trHeight w:val="285"/>
        </w:trPr>
        <w:tc>
          <w:tcPr>
            <w:tcW w:w="3480" w:type="dxa"/>
            <w:vAlign w:val="bottom"/>
            <w:tcBorders>
              <w:bottom w:val="single" w:sz="8" w:color="E5EBF7"/>
            </w:tcBorders>
            <w:shd w:val="clear" w:color="auto" w:fill="E5EBF7"/>
          </w:tcPr>
          <w:p>
            <w:pPr>
              <w:ind w:left="360"/>
              <w:spacing w:after="0"/>
              <w:rPr>
                <w:sz w:val="20"/>
                <w:szCs w:val="20"/>
                <w:color w:val="auto"/>
              </w:rPr>
            </w:pPr>
            <w:r>
              <w:rPr>
                <w:rFonts w:ascii="Arial" w:cs="Arial" w:eastAsia="Arial" w:hAnsi="Arial"/>
                <w:sz w:val="14"/>
                <w:szCs w:val="14"/>
                <w:i w:val="1"/>
                <w:iCs w:val="1"/>
                <w:color w:val="007FC4"/>
              </w:rPr>
              <w:t>Total Value</w:t>
            </w:r>
          </w:p>
        </w:tc>
        <w:tc>
          <w:tcPr>
            <w:tcW w:w="3100" w:type="dxa"/>
            <w:vAlign w:val="bottom"/>
            <w:tcBorders>
              <w:bottom w:val="single" w:sz="8" w:color="E5EBF7"/>
            </w:tcBorders>
            <w:gridSpan w:val="2"/>
            <w:shd w:val="clear" w:color="auto" w:fill="E5EBF7"/>
          </w:tcPr>
          <w:p>
            <w:pPr>
              <w:jc w:val="right"/>
              <w:ind w:right="568"/>
              <w:spacing w:after="0"/>
              <w:rPr>
                <w:sz w:val="20"/>
                <w:szCs w:val="20"/>
                <w:color w:val="auto"/>
              </w:rPr>
            </w:pPr>
            <w:r>
              <w:rPr>
                <w:rFonts w:ascii="Arial" w:cs="Arial" w:eastAsia="Arial" w:hAnsi="Arial"/>
                <w:sz w:val="14"/>
                <w:szCs w:val="14"/>
                <w:color w:val="auto"/>
              </w:rPr>
              <w:t>​ 2,588,848</w:t>
            </w:r>
          </w:p>
        </w:tc>
        <w:tc>
          <w:tcPr>
            <w:tcW w:w="2820" w:type="dxa"/>
            <w:vAlign w:val="bottom"/>
            <w:tcBorders>
              <w:bottom w:val="single" w:sz="8" w:color="E5EBF7"/>
            </w:tcBorders>
            <w:gridSpan w:val="2"/>
            <w:shd w:val="clear" w:color="auto" w:fill="E5EBF7"/>
          </w:tcPr>
          <w:p>
            <w:pPr>
              <w:jc w:val="right"/>
              <w:ind w:right="28"/>
              <w:spacing w:after="0"/>
              <w:rPr>
                <w:sz w:val="20"/>
                <w:szCs w:val="20"/>
                <w:color w:val="auto"/>
              </w:rPr>
            </w:pPr>
            <w:r>
              <w:rPr>
                <w:rFonts w:ascii="Arial" w:cs="Arial" w:eastAsia="Arial" w:hAnsi="Arial"/>
                <w:sz w:val="14"/>
                <w:szCs w:val="14"/>
                <w:color w:val="auto"/>
              </w:rPr>
              <w:t>​ 314,907</w:t>
            </w:r>
          </w:p>
        </w:tc>
      </w:tr>
      <w:tr>
        <w:trPr>
          <w:trHeight w:val="20"/>
        </w:trPr>
        <w:tc>
          <w:tcPr>
            <w:tcW w:w="3480" w:type="dxa"/>
            <w:vAlign w:val="bottom"/>
            <w:shd w:val="clear" w:color="auto" w:fill="007FC4"/>
          </w:tcPr>
          <w:p>
            <w:pPr>
              <w:spacing w:after="0" w:line="20" w:lineRule="exact"/>
              <w:rPr>
                <w:sz w:val="1"/>
                <w:szCs w:val="1"/>
                <w:color w:val="auto"/>
              </w:rPr>
            </w:pPr>
          </w:p>
        </w:tc>
        <w:tc>
          <w:tcPr>
            <w:tcW w:w="1820" w:type="dxa"/>
            <w:vAlign w:val="bottom"/>
            <w:shd w:val="clear" w:color="auto" w:fill="007FC4"/>
          </w:tcPr>
          <w:p>
            <w:pPr>
              <w:spacing w:after="0" w:line="20" w:lineRule="exact"/>
              <w:rPr>
                <w:sz w:val="1"/>
                <w:szCs w:val="1"/>
                <w:color w:val="auto"/>
              </w:rPr>
            </w:pPr>
          </w:p>
        </w:tc>
        <w:tc>
          <w:tcPr>
            <w:tcW w:w="1280" w:type="dxa"/>
            <w:vAlign w:val="bottom"/>
            <w:shd w:val="clear" w:color="auto" w:fill="007FC4"/>
          </w:tcPr>
          <w:p>
            <w:pPr>
              <w:spacing w:after="0" w:line="20" w:lineRule="exact"/>
              <w:rPr>
                <w:sz w:val="1"/>
                <w:szCs w:val="1"/>
                <w:color w:val="auto"/>
              </w:rPr>
            </w:pPr>
          </w:p>
        </w:tc>
        <w:tc>
          <w:tcPr>
            <w:tcW w:w="2160" w:type="dxa"/>
            <w:vAlign w:val="bottom"/>
            <w:shd w:val="clear" w:color="auto" w:fill="007FC4"/>
          </w:tcPr>
          <w:p>
            <w:pPr>
              <w:spacing w:after="0" w:line="20" w:lineRule="exact"/>
              <w:rPr>
                <w:sz w:val="1"/>
                <w:szCs w:val="1"/>
                <w:color w:val="auto"/>
              </w:rPr>
            </w:pPr>
          </w:p>
        </w:tc>
        <w:tc>
          <w:tcPr>
            <w:tcW w:w="660" w:type="dxa"/>
            <w:vAlign w:val="bottom"/>
            <w:shd w:val="clear" w:color="auto" w:fill="007FC4"/>
          </w:tcPr>
          <w:p>
            <w:pPr>
              <w:spacing w:after="0" w:line="20" w:lineRule="exact"/>
              <w:rPr>
                <w:sz w:val="1"/>
                <w:szCs w:val="1"/>
                <w:color w:val="auto"/>
              </w:rPr>
            </w:pPr>
          </w:p>
        </w:tc>
      </w:tr>
    </w:tbl>
    <w:p>
      <w:pPr>
        <w:spacing w:after="0" w:line="90" w:lineRule="exact"/>
        <w:rPr>
          <w:sz w:val="20"/>
          <w:szCs w:val="20"/>
          <w:color w:val="auto"/>
        </w:rPr>
      </w:pPr>
    </w:p>
    <w:p>
      <w:pPr>
        <w:ind w:left="360" w:right="100" w:hanging="354"/>
        <w:spacing w:after="0" w:line="233" w:lineRule="auto"/>
        <w:tabs>
          <w:tab w:leader="none" w:pos="360" w:val="left"/>
        </w:tabs>
        <w:numPr>
          <w:ilvl w:val="0"/>
          <w:numId w:val="78"/>
        </w:numPr>
        <w:rPr>
          <w:rFonts w:ascii="Arial" w:cs="Arial" w:eastAsia="Arial" w:hAnsi="Arial"/>
          <w:sz w:val="13"/>
          <w:szCs w:val="13"/>
          <w:color w:val="333333"/>
        </w:rPr>
      </w:pPr>
      <w:r>
        <w:rPr>
          <w:rFonts w:ascii="Arial" w:cs="Arial" w:eastAsia="Arial" w:hAnsi="Arial"/>
          <w:sz w:val="13"/>
          <w:szCs w:val="13"/>
          <w:color w:val="333333"/>
        </w:rPr>
        <w:t>Pursuant to their employment agreements, if we terminate the employment of any of our NEOs without Cause (as defined below) or if such executive Resigns for Good Reason (as defined below) in a Change of Control Window, then, subject to them executing and not revoking a release of claims against us, such named executive will be eligible to receive:</w:t>
      </w:r>
    </w:p>
    <w:p>
      <w:pPr>
        <w:spacing w:after="0" w:line="77" w:lineRule="exact"/>
        <w:rPr>
          <w:rFonts w:ascii="Arial" w:cs="Arial" w:eastAsia="Arial" w:hAnsi="Arial"/>
          <w:sz w:val="13"/>
          <w:szCs w:val="13"/>
          <w:color w:val="333333"/>
        </w:rPr>
      </w:pPr>
    </w:p>
    <w:p>
      <w:pPr>
        <w:ind w:left="720" w:hanging="354"/>
        <w:spacing w:after="0"/>
        <w:tabs>
          <w:tab w:leader="none" w:pos="720" w:val="left"/>
        </w:tabs>
        <w:numPr>
          <w:ilvl w:val="1"/>
          <w:numId w:val="78"/>
        </w:numPr>
        <w:rPr>
          <w:rFonts w:ascii="Arial" w:cs="Arial" w:eastAsia="Arial" w:hAnsi="Arial"/>
          <w:sz w:val="12"/>
          <w:szCs w:val="12"/>
          <w:color w:val="333333"/>
        </w:rPr>
      </w:pPr>
      <w:r>
        <w:rPr>
          <w:rFonts w:ascii="Arial" w:cs="Arial" w:eastAsia="Arial" w:hAnsi="Arial"/>
          <w:sz w:val="12"/>
          <w:szCs w:val="12"/>
          <w:color w:val="333333"/>
        </w:rPr>
        <w:t>a lump sum cash payment equal to one (1) (one and one-half (1.5) in the case of Mr. Massaro) multiplied by the sum of (1) his then current base salary and</w:t>
      </w:r>
    </w:p>
    <w:p>
      <w:pPr>
        <w:spacing w:after="0" w:line="9" w:lineRule="exact"/>
        <w:rPr>
          <w:rFonts w:ascii="Arial" w:cs="Arial" w:eastAsia="Arial" w:hAnsi="Arial"/>
          <w:sz w:val="12"/>
          <w:szCs w:val="12"/>
          <w:color w:val="333333"/>
        </w:rPr>
      </w:pPr>
    </w:p>
    <w:p>
      <w:pPr>
        <w:ind w:left="720"/>
        <w:spacing w:after="0"/>
        <w:rPr>
          <w:rFonts w:ascii="Arial" w:cs="Arial" w:eastAsia="Arial" w:hAnsi="Arial"/>
          <w:sz w:val="12"/>
          <w:szCs w:val="12"/>
          <w:color w:val="333333"/>
        </w:rPr>
      </w:pPr>
      <w:r>
        <w:rPr>
          <w:rFonts w:ascii="Arial" w:cs="Arial" w:eastAsia="Arial" w:hAnsi="Arial"/>
          <w:sz w:val="13"/>
          <w:szCs w:val="13"/>
          <w:color w:val="333333"/>
        </w:rPr>
        <w:t>(2) his annual target bonus;</w:t>
      </w:r>
    </w:p>
    <w:p>
      <w:pPr>
        <w:spacing w:after="0" w:line="81" w:lineRule="exact"/>
        <w:rPr>
          <w:rFonts w:ascii="Arial" w:cs="Arial" w:eastAsia="Arial" w:hAnsi="Arial"/>
          <w:sz w:val="12"/>
          <w:szCs w:val="12"/>
          <w:color w:val="333333"/>
        </w:rPr>
      </w:pPr>
    </w:p>
    <w:p>
      <w:pPr>
        <w:ind w:left="720" w:hanging="354"/>
        <w:spacing w:after="0"/>
        <w:tabs>
          <w:tab w:leader="none" w:pos="720" w:val="left"/>
        </w:tabs>
        <w:numPr>
          <w:ilvl w:val="1"/>
          <w:numId w:val="78"/>
        </w:numPr>
        <w:rPr>
          <w:rFonts w:ascii="Arial" w:cs="Arial" w:eastAsia="Arial" w:hAnsi="Arial"/>
          <w:sz w:val="13"/>
          <w:szCs w:val="13"/>
          <w:color w:val="333333"/>
        </w:rPr>
      </w:pPr>
      <w:r>
        <w:rPr>
          <w:rFonts w:ascii="Arial" w:cs="Arial" w:eastAsia="Arial" w:hAnsi="Arial"/>
          <w:sz w:val="13"/>
          <w:szCs w:val="13"/>
          <w:color w:val="333333"/>
        </w:rPr>
        <w:t>the payment of COBRA continuation premiums for up to 12 months (18 months in the case of Mr. Massaro); and</w:t>
      </w:r>
    </w:p>
    <w:p>
      <w:pPr>
        <w:spacing w:after="0" w:line="93" w:lineRule="exact"/>
        <w:rPr>
          <w:rFonts w:ascii="Arial" w:cs="Arial" w:eastAsia="Arial" w:hAnsi="Arial"/>
          <w:sz w:val="13"/>
          <w:szCs w:val="13"/>
          <w:color w:val="333333"/>
        </w:rPr>
      </w:pPr>
    </w:p>
    <w:p>
      <w:pPr>
        <w:ind w:left="720" w:right="100" w:hanging="354"/>
        <w:spacing w:after="0" w:line="259" w:lineRule="auto"/>
        <w:tabs>
          <w:tab w:leader="none" w:pos="720" w:val="left"/>
        </w:tabs>
        <w:numPr>
          <w:ilvl w:val="1"/>
          <w:numId w:val="78"/>
        </w:numPr>
        <w:rPr>
          <w:rFonts w:ascii="Arial" w:cs="Arial" w:eastAsia="Arial" w:hAnsi="Arial"/>
          <w:sz w:val="12"/>
          <w:szCs w:val="12"/>
          <w:color w:val="333333"/>
        </w:rPr>
      </w:pPr>
      <w:r>
        <w:rPr>
          <w:rFonts w:ascii="Arial" w:cs="Arial" w:eastAsia="Arial" w:hAnsi="Arial"/>
          <w:sz w:val="12"/>
          <w:szCs w:val="12"/>
          <w:color w:val="333333"/>
        </w:rPr>
        <w:t>any unvested option shares and equity awards that are subject to time-based vesting shall be vested in full and non-forfeitable; provided, that, with respect to Messrs. Massaro, Orgel and Ellis, in the event that, prior to such termination, any unvested options held by the executive were terminated without payment upon the closing of the change in control, then, in lieu of the acceleration of such vesting, the executive shall receive a cash payment equal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20" w:right="80"/>
        <w:spacing w:after="0" w:line="251" w:lineRule="auto"/>
        <w:rPr>
          <w:sz w:val="20"/>
          <w:szCs w:val="20"/>
          <w:color w:val="auto"/>
        </w:rPr>
      </w:pPr>
      <w:r>
        <w:rPr>
          <w:rFonts w:ascii="Arial" w:cs="Arial" w:eastAsia="Arial" w:hAnsi="Arial"/>
          <w:sz w:val="12"/>
          <w:szCs w:val="12"/>
          <w:color w:val="auto"/>
        </w:rPr>
        <w:t>value to the difference between (i) the amount payable per share in the change in control, multiplied by the number of option shares that would have been accelerated and (ii) the aggregate exercise price of such shares. Solely with respect to Mr. Orgel’s stock options that were outstanding as of May 28, 2021, Mr. Orgel may exercise such vested options for up to 12 months following a termination without Cause or his Resignation for Good Reason in connection with a change in control provided that no such exercise period shall extend beyond the applicable extension date of such options.</w:t>
      </w:r>
    </w:p>
    <w:p>
      <w:pPr>
        <w:spacing w:after="0" w:line="71" w:lineRule="exact"/>
        <w:rPr>
          <w:sz w:val="20"/>
          <w:szCs w:val="20"/>
          <w:color w:val="auto"/>
        </w:rPr>
      </w:pPr>
    </w:p>
    <w:p>
      <w:pPr>
        <w:ind w:left="360" w:right="120" w:hanging="354"/>
        <w:spacing w:after="0" w:line="233" w:lineRule="auto"/>
        <w:tabs>
          <w:tab w:leader="none" w:pos="3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Pursuant to their employment agreements, if we terminate the employment of any of our NEOs without Cause or if such executive Resigns for Good Reason outside of a Change in Control Window, then, subject to them executing and not revoking a release of claims against us, such named executive will be eligible to receive:</w:t>
      </w:r>
    </w:p>
    <w:p>
      <w:pPr>
        <w:spacing w:after="0" w:line="77" w:lineRule="exact"/>
        <w:rPr>
          <w:rFonts w:ascii="Arial" w:cs="Arial" w:eastAsia="Arial" w:hAnsi="Arial"/>
          <w:sz w:val="13"/>
          <w:szCs w:val="13"/>
          <w:color w:val="auto"/>
        </w:rPr>
      </w:pPr>
    </w:p>
    <w:p>
      <w:pPr>
        <w:ind w:left="720" w:hanging="354"/>
        <w:spacing w:after="0"/>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salary continuation at his then current base salary for the applicable continuation period following such termination;</w:t>
      </w:r>
    </w:p>
    <w:p>
      <w:pPr>
        <w:spacing w:after="0" w:line="93" w:lineRule="exact"/>
        <w:rPr>
          <w:rFonts w:ascii="Arial" w:cs="Arial" w:eastAsia="Arial" w:hAnsi="Arial"/>
          <w:sz w:val="13"/>
          <w:szCs w:val="13"/>
          <w:color w:val="auto"/>
        </w:rPr>
      </w:pPr>
    </w:p>
    <w:p>
      <w:pPr>
        <w:ind w:left="720" w:right="280" w:hanging="354"/>
        <w:spacing w:after="0" w:line="243" w:lineRule="auto"/>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 lump sum payment equal to his accrued and unpaid annual bonus if he or she is terminated after the end of a fiscal year, but prior to payment of such bonus;</w:t>
      </w:r>
    </w:p>
    <w:p>
      <w:pPr>
        <w:spacing w:after="0" w:line="75" w:lineRule="exact"/>
        <w:rPr>
          <w:rFonts w:ascii="Arial" w:cs="Arial" w:eastAsia="Arial" w:hAnsi="Arial"/>
          <w:sz w:val="13"/>
          <w:szCs w:val="13"/>
          <w:color w:val="auto"/>
        </w:rPr>
      </w:pPr>
    </w:p>
    <w:p>
      <w:pPr>
        <w:ind w:left="720" w:hanging="354"/>
        <w:spacing w:after="0"/>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in the case of Messrs. Massaro and Orgel, an additional six months of vesting with respect to any outstanding equity awards; and</w:t>
      </w:r>
    </w:p>
    <w:p>
      <w:pPr>
        <w:spacing w:after="0" w:line="93" w:lineRule="exact"/>
        <w:rPr>
          <w:rFonts w:ascii="Arial" w:cs="Arial" w:eastAsia="Arial" w:hAnsi="Arial"/>
          <w:sz w:val="13"/>
          <w:szCs w:val="13"/>
          <w:color w:val="auto"/>
        </w:rPr>
      </w:pPr>
    </w:p>
    <w:p>
      <w:pPr>
        <w:ind w:left="720" w:hanging="354"/>
        <w:spacing w:after="0"/>
        <w:tabs>
          <w:tab w:leader="none" w:pos="7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payment of COBRA continuation premiums for the applicable continuation period.</w:t>
      </w:r>
    </w:p>
    <w:p>
      <w:pPr>
        <w:spacing w:after="0" w:line="94" w:lineRule="exact"/>
        <w:rPr>
          <w:sz w:val="20"/>
          <w:szCs w:val="20"/>
          <w:color w:val="auto"/>
        </w:rPr>
      </w:pPr>
    </w:p>
    <w:p>
      <w:pPr>
        <w:ind w:left="360" w:right="480"/>
        <w:spacing w:after="0" w:line="243" w:lineRule="auto"/>
        <w:rPr>
          <w:sz w:val="20"/>
          <w:szCs w:val="20"/>
          <w:color w:val="auto"/>
        </w:rPr>
      </w:pPr>
      <w:r>
        <w:rPr>
          <w:rFonts w:ascii="Arial" w:cs="Arial" w:eastAsia="Arial" w:hAnsi="Arial"/>
          <w:sz w:val="13"/>
          <w:szCs w:val="13"/>
          <w:color w:val="auto"/>
        </w:rPr>
        <w:t>The applicable continuation period is (i) six months for Messrs. Butterfield and Mr. King, (ii) nine months for Messrs. Orgel and Ellis, and (iii) 12 months for Mr. Massaro.</w:t>
      </w:r>
    </w:p>
    <w:p>
      <w:pPr>
        <w:spacing w:after="0" w:line="75" w:lineRule="exact"/>
        <w:rPr>
          <w:sz w:val="20"/>
          <w:szCs w:val="20"/>
          <w:color w:val="auto"/>
        </w:rPr>
      </w:pPr>
    </w:p>
    <w:p>
      <w:pPr>
        <w:ind w:left="360"/>
        <w:spacing w:after="0" w:line="238" w:lineRule="auto"/>
        <w:rPr>
          <w:sz w:val="20"/>
          <w:szCs w:val="20"/>
          <w:color w:val="auto"/>
        </w:rPr>
      </w:pPr>
      <w:r>
        <w:rPr>
          <w:rFonts w:ascii="Arial" w:cs="Arial" w:eastAsia="Arial" w:hAnsi="Arial"/>
          <w:sz w:val="12"/>
          <w:szCs w:val="12"/>
          <w:color w:val="auto"/>
        </w:rPr>
        <w:t>Cause is defined in the employment agreements as (i) a material failure by the executive to comply with our written policies or rules after being provided written notice and failing to remedy such failure within 30 days after such notice; (ii) the executive’s conviction of, or plea of guilty or no contest to, a crime involving moral turpitude, deceit, dishonesty or fraud that has caused harm to us or any affiliate of ours; (iii) the executive’s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the executive, or his use or possession of illegal drugs in the workplace;</w:t>
      </w:r>
    </w:p>
    <w:p>
      <w:pPr>
        <w:spacing w:after="0" w:line="1" w:lineRule="exact"/>
        <w:rPr>
          <w:sz w:val="20"/>
          <w:szCs w:val="20"/>
          <w:color w:val="auto"/>
        </w:rPr>
      </w:pPr>
    </w:p>
    <w:p>
      <w:pPr>
        <w:jc w:val="both"/>
        <w:ind w:left="360" w:right="120" w:firstLine="6"/>
        <w:spacing w:after="0" w:line="244" w:lineRule="auto"/>
        <w:tabs>
          <w:tab w:leader="none" w:pos="542"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material breach by the executive of any of his obligations under any agreement between him and us after being provided written notice and failing to remedy such failure within 30 days after such notice; or (vi) the executive’s failure to cooperate in good faith with a governmental or internal investigation of Flywire or its directors, officers or employees, if we have requested his cooperation. Notwithstanding the foregoing, no act, or failure to act, will be deemed willful or intentional if done or omitted to be done by the executive in good faith with a reasonable belief that his act, or failure to act, was in the best interest of Flywire.</w:t>
      </w:r>
    </w:p>
    <w:p>
      <w:pPr>
        <w:spacing w:after="0" w:line="75" w:lineRule="exact"/>
        <w:rPr>
          <w:sz w:val="20"/>
          <w:szCs w:val="20"/>
          <w:color w:val="auto"/>
        </w:rPr>
      </w:pPr>
    </w:p>
    <w:p>
      <w:pPr>
        <w:ind w:left="360" w:right="20"/>
        <w:spacing w:after="0" w:line="223" w:lineRule="auto"/>
        <w:rPr>
          <w:sz w:val="20"/>
          <w:szCs w:val="20"/>
          <w:color w:val="auto"/>
        </w:rPr>
      </w:pPr>
      <w:r>
        <w:rPr>
          <w:rFonts w:ascii="Arial" w:cs="Arial" w:eastAsia="Arial" w:hAnsi="Arial"/>
          <w:sz w:val="13"/>
          <w:szCs w:val="13"/>
          <w:color w:val="auto"/>
        </w:rPr>
        <w:t>Resign for Good Reason is defined in the employment agreement as a separation as a result of the executive resigning within 12 months after one of the following conditions has come into existence without his written consent: (i) a material diminution in the executive’s compensation (except for across-the-board reductions affecting our similarly situated employees generally); (ii) a material diminution in the executive’s title, duties, authority and responsibilities within Flywire; (iii) the relocation of the executive’s principal workplace by more than 50 miles away from the location which he was working immediately prior to the required relocation without his prior consent; or (iv) a material breach of our obligation under any agreement between us and the executive. A Resignation for Good Reason shall not be deemed to have occurred unless the executive gives our written notice of the condition within 60 days after the condition comes into existence and we fail to remedy the condition within 30 days after receiving his written notice.</w:t>
      </w:r>
    </w:p>
    <w:p>
      <w:pPr>
        <w:spacing w:after="0" w:line="81" w:lineRule="exact"/>
        <w:rPr>
          <w:sz w:val="20"/>
          <w:szCs w:val="20"/>
          <w:color w:val="auto"/>
        </w:rPr>
      </w:pPr>
    </w:p>
    <w:p>
      <w:pPr>
        <w:ind w:left="360" w:hanging="354"/>
        <w:spacing w:after="0"/>
        <w:tabs>
          <w:tab w:leader="none" w:pos="3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For purposes of valuing cash severance payments in the table above, we used each NEO’s base salary and target bonus as of December 31, 2023.</w:t>
      </w:r>
    </w:p>
    <w:p>
      <w:pPr>
        <w:spacing w:after="0" w:line="93" w:lineRule="exact"/>
        <w:rPr>
          <w:rFonts w:ascii="Arial" w:cs="Arial" w:eastAsia="Arial" w:hAnsi="Arial"/>
          <w:sz w:val="13"/>
          <w:szCs w:val="13"/>
          <w:color w:val="auto"/>
        </w:rPr>
      </w:pPr>
    </w:p>
    <w:p>
      <w:pPr>
        <w:ind w:left="360" w:right="220" w:hanging="354"/>
        <w:spacing w:after="0" w:line="243" w:lineRule="auto"/>
        <w:tabs>
          <w:tab w:leader="none" w:pos="3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value realized on the acceleration of options is based on the difference between the closing market price per share of our common stock on December 29, 2023 and the exercise price of the related stock option, multiplied by the number of shares for which the options were exercised.</w:t>
      </w:r>
    </w:p>
    <w:p>
      <w:pPr>
        <w:spacing w:after="0" w:line="75" w:lineRule="exact"/>
        <w:rPr>
          <w:rFonts w:ascii="Arial" w:cs="Arial" w:eastAsia="Arial" w:hAnsi="Arial"/>
          <w:sz w:val="13"/>
          <w:szCs w:val="13"/>
          <w:color w:val="auto"/>
        </w:rPr>
      </w:pPr>
    </w:p>
    <w:p>
      <w:pPr>
        <w:ind w:left="360" w:hanging="354"/>
        <w:spacing w:after="0"/>
        <w:tabs>
          <w:tab w:leader="none" w:pos="3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value realized on the acceleration of restricted stock units is based on the closing market price per share of our common stock on December 29, 2023.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44 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PAY RATIO DISCLOSURE</w:t>
      </w:r>
    </w:p>
    <w:p>
      <w:pPr>
        <w:spacing w:after="0" w:line="18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required by the Dodd-Frank Act and applicable SEC rules, we are providing the following information about the relationship of the annual total compensation of our employees and the annual total compensation of Michael Massaro, our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our Fiscal 2023:</w:t>
      </w:r>
    </w:p>
    <w:p>
      <w:pPr>
        <w:spacing w:after="0" w:line="181" w:lineRule="exact"/>
        <w:rPr>
          <w:sz w:val="20"/>
          <w:szCs w:val="20"/>
          <w:color w:val="auto"/>
        </w:rPr>
      </w:pPr>
    </w:p>
    <w:p>
      <w:pPr>
        <w:ind w:left="660" w:hanging="330"/>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(other than our CEO) was $183,317; and</w:t>
      </w:r>
    </w:p>
    <w:p>
      <w:pPr>
        <w:spacing w:after="0" w:line="180" w:lineRule="exact"/>
        <w:rPr>
          <w:rFonts w:ascii="Arial" w:cs="Arial" w:eastAsia="Arial" w:hAnsi="Arial"/>
          <w:sz w:val="16"/>
          <w:szCs w:val="16"/>
          <w:color w:val="auto"/>
        </w:rPr>
      </w:pPr>
    </w:p>
    <w:p>
      <w:pPr>
        <w:ind w:left="660" w:right="60" w:hanging="330"/>
        <w:spacing w:after="0" w:line="28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annual total compensation of our CEO, as reported in the 2022 Summary Compensation Table included elsewhere in this Proxy Statement, was $8,673,572.</w:t>
      </w:r>
    </w:p>
    <w:p>
      <w:pPr>
        <w:spacing w:after="0" w:line="10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Based on this information the ratio of the annual total compensation of our CEO to the median of the annual total compensation of our employees was 47 to 1.</w:t>
      </w:r>
    </w:p>
    <w:p>
      <w:pPr>
        <w:spacing w:after="0" w:line="10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above ratio is appropriately viewed as an estimate. To identify the median of the annual compensation of our employees, we reviewed the base salaries, bonuses, incentives, other compensation and long-term incentive compensation grants of our U.S. and non-U.S. employees as of December 31, 2023. Out of our approximately 1,094 employees, approximately 716 of our employees are located outside of the U.S. Once we identified our median employee, using the methodology described above, we determined that employee’s annual total compensation in accordance with the requirements of Item 402(c)(2)(x) of Regulation S-K for purposes of calculating the required pay ratio.</w:t>
      </w:r>
    </w:p>
    <w:p>
      <w:pPr>
        <w:spacing w:after="0" w:line="12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required by the Dodd-Frank Act and applicable SEC rules, we are providing the following information about the relationship of the annual total compensation of our employees and the annual total compensation of Michael Massaro, our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7FC4"/>
        </w:rPr>
        <w:t>PAY VERSUS PERFORMANCE</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As required by applicable SEC rules, we are providing the following information about the relationship of compensation actually paid to our principal executive officer (PEO) and other NEOs and our, and certain of our peers’, performance. For further information concerning our pay for performance philosophy and how our executive compensation aligns with our performance, refer to “Executive Compensation – Compensation Discussion and Analysis” above.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PAY VERSUS PERFORMANCE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VALUE OF INITIAL FIXED $100</w:t>
            </w: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spacing w:after="0"/>
              <w:rPr>
                <w:sz w:val="14"/>
                <w:szCs w:val="14"/>
                <w:color w:val="auto"/>
              </w:rPr>
            </w:pPr>
          </w:p>
        </w:tc>
        <w:tc>
          <w:tcPr>
            <w:tcW w:w="21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INVESTMENT BASED ON:</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1060" w:type="dxa"/>
            <w:vAlign w:val="bottom"/>
            <w:tcBorders>
              <w:bottom w:val="single" w:sz="8" w:color="007FC4"/>
            </w:tcBorders>
          </w:tcPr>
          <w:p>
            <w:pPr>
              <w:spacing w:after="0"/>
              <w:rPr>
                <w:sz w:val="3"/>
                <w:szCs w:val="3"/>
                <w:color w:val="auto"/>
              </w:rPr>
            </w:pPr>
          </w:p>
        </w:tc>
        <w:tc>
          <w:tcPr>
            <w:tcW w:w="1020" w:type="dxa"/>
            <w:vAlign w:val="bottom"/>
            <w:tcBorders>
              <w:bottom w:val="single" w:sz="8" w:color="007FC4"/>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jc w:val="right"/>
              <w:ind w:right="55"/>
              <w:spacing w:after="0" w:line="104" w:lineRule="exact"/>
              <w:rPr>
                <w:sz w:val="20"/>
                <w:szCs w:val="20"/>
                <w:color w:val="auto"/>
              </w:rPr>
            </w:pPr>
            <w:r>
              <w:rPr>
                <w:rFonts w:ascii="Arial" w:cs="Arial" w:eastAsia="Arial" w:hAnsi="Arial"/>
                <w:sz w:val="12"/>
                <w:szCs w:val="12"/>
                <w:b w:val="1"/>
                <w:bCs w:val="1"/>
                <w:color w:val="auto"/>
              </w:rPr>
              <w:t>SUMMARY</w:t>
            </w:r>
          </w:p>
        </w:tc>
        <w:tc>
          <w:tcPr>
            <w:tcW w:w="1240" w:type="dxa"/>
            <w:vAlign w:val="bottom"/>
          </w:tcPr>
          <w:p>
            <w:pPr>
              <w:jc w:val="right"/>
              <w:ind w:right="75"/>
              <w:spacing w:after="0" w:line="104" w:lineRule="exact"/>
              <w:rPr>
                <w:sz w:val="20"/>
                <w:szCs w:val="20"/>
                <w:color w:val="auto"/>
              </w:rPr>
            </w:pPr>
            <w:r>
              <w:rPr>
                <w:rFonts w:ascii="Arial" w:cs="Arial" w:eastAsia="Arial" w:hAnsi="Arial"/>
                <w:sz w:val="12"/>
                <w:szCs w:val="12"/>
                <w:b w:val="1"/>
                <w:bCs w:val="1"/>
                <w:color w:val="auto"/>
              </w:rPr>
              <w:t>AVERAGE</w:t>
            </w:r>
          </w:p>
        </w:tc>
        <w:tc>
          <w:tcPr>
            <w:tcW w:w="1060" w:type="dxa"/>
            <w:vAlign w:val="bottom"/>
          </w:tcPr>
          <w:p>
            <w:pPr>
              <w:spacing w:after="0"/>
              <w:rPr>
                <w:sz w:val="9"/>
                <w:szCs w:val="9"/>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PEER</w:t>
            </w:r>
          </w:p>
        </w:tc>
        <w:tc>
          <w:tcPr>
            <w:tcW w:w="980" w:type="dxa"/>
            <w:vAlign w:val="bottom"/>
          </w:tcPr>
          <w:p>
            <w:pPr>
              <w:spacing w:after="0"/>
              <w:rPr>
                <w:sz w:val="9"/>
                <w:szCs w:val="9"/>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1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SUMMARY</w:t>
            </w:r>
          </w:p>
        </w:tc>
        <w:tc>
          <w:tcPr>
            <w:tcW w:w="1200" w:type="dxa"/>
            <w:vAlign w:val="bottom"/>
          </w:tcPr>
          <w:p>
            <w:pPr>
              <w:spacing w:after="0"/>
              <w:rPr>
                <w:sz w:val="11"/>
                <w:szCs w:val="11"/>
                <w:color w:val="auto"/>
              </w:rPr>
            </w:pPr>
          </w:p>
        </w:tc>
        <w:tc>
          <w:tcPr>
            <w:tcW w:w="11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24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COMPENSATION</w:t>
            </w:r>
          </w:p>
        </w:tc>
        <w:tc>
          <w:tcPr>
            <w:tcW w:w="10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NET</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TABLE</w:t>
            </w:r>
          </w:p>
        </w:tc>
        <w:tc>
          <w:tcPr>
            <w:tcW w:w="124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ACTUALLY</w:t>
            </w:r>
          </w:p>
        </w:tc>
        <w:tc>
          <w:tcPr>
            <w:tcW w:w="10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TOTAL</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GROUP</w:t>
            </w:r>
          </w:p>
        </w:tc>
        <w:tc>
          <w:tcPr>
            <w:tcW w:w="980" w:type="dxa"/>
            <w:vAlign w:val="bottom"/>
            <w:vMerge w:val="continue"/>
          </w:tcPr>
          <w:p>
            <w:pPr>
              <w:spacing w:after="0"/>
              <w:rPr>
                <w:sz w:val="11"/>
                <w:szCs w:val="11"/>
                <w:color w:val="auto"/>
              </w:rPr>
            </w:pPr>
          </w:p>
        </w:tc>
        <w:tc>
          <w:tcPr>
            <w:tcW w:w="9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LESS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18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w w:val="99"/>
              </w:rPr>
              <w:t>COMPENSATION</w:t>
            </w:r>
          </w:p>
        </w:tc>
        <w:tc>
          <w:tcPr>
            <w:tcW w:w="1200" w:type="dxa"/>
            <w:vAlign w:val="bottom"/>
            <w:vMerge w:val="continue"/>
          </w:tcPr>
          <w:p>
            <w:pPr>
              <w:spacing w:after="0"/>
              <w:rPr>
                <w:sz w:val="11"/>
                <w:szCs w:val="11"/>
                <w:color w:val="auto"/>
              </w:rPr>
            </w:pPr>
          </w:p>
        </w:tc>
        <w:tc>
          <w:tcPr>
            <w:tcW w:w="11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TOTAL FOR</w:t>
            </w:r>
          </w:p>
        </w:tc>
        <w:tc>
          <w:tcPr>
            <w:tcW w:w="124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PAID</w:t>
            </w:r>
          </w:p>
        </w:tc>
        <w:tc>
          <w:tcPr>
            <w:tcW w:w="1060" w:type="dxa"/>
            <w:vAlign w:val="bottom"/>
            <w:vMerge w:val="continue"/>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INCOME</w:t>
            </w:r>
          </w:p>
        </w:tc>
        <w:tc>
          <w:tcPr>
            <w:tcW w:w="9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ANCILLARY</w:t>
            </w: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1180" w:type="dxa"/>
            <w:vAlign w:val="bottom"/>
          </w:tcPr>
          <w:p>
            <w:pPr>
              <w:jc w:val="right"/>
              <w:ind w:right="54"/>
              <w:spacing w:after="0" w:line="143" w:lineRule="exact"/>
              <w:rPr>
                <w:sz w:val="20"/>
                <w:szCs w:val="20"/>
                <w:color w:val="auto"/>
              </w:rPr>
            </w:pPr>
            <w:r>
              <w:rPr>
                <w:rFonts w:ascii="Arial" w:cs="Arial" w:eastAsia="Arial" w:hAnsi="Arial"/>
                <w:sz w:val="13"/>
                <w:szCs w:val="13"/>
                <w:b w:val="1"/>
                <w:bCs w:val="1"/>
                <w:color w:val="auto"/>
              </w:rPr>
              <w:t>TABLE TOTAL</w:t>
            </w:r>
          </w:p>
        </w:tc>
        <w:tc>
          <w:tcPr>
            <w:tcW w:w="1200" w:type="dxa"/>
            <w:vAlign w:val="bottom"/>
          </w:tcPr>
          <w:p>
            <w:pPr>
              <w:jc w:val="right"/>
              <w:ind w:right="34"/>
              <w:spacing w:after="0" w:line="143" w:lineRule="exact"/>
              <w:rPr>
                <w:sz w:val="20"/>
                <w:szCs w:val="20"/>
                <w:color w:val="auto"/>
              </w:rPr>
            </w:pPr>
            <w:r>
              <w:rPr>
                <w:rFonts w:ascii="Arial" w:cs="Arial" w:eastAsia="Arial" w:hAnsi="Arial"/>
                <w:sz w:val="13"/>
                <w:szCs w:val="13"/>
                <w:b w:val="1"/>
                <w:bCs w:val="1"/>
                <w:color w:val="auto"/>
              </w:rPr>
              <w:t>ACTUALLY</w:t>
            </w:r>
          </w:p>
        </w:tc>
        <w:tc>
          <w:tcPr>
            <w:tcW w:w="1160" w:type="dxa"/>
            <w:vAlign w:val="bottom"/>
          </w:tcPr>
          <w:p>
            <w:pPr>
              <w:jc w:val="right"/>
              <w:ind w:right="55"/>
              <w:spacing w:after="0" w:line="143" w:lineRule="exact"/>
              <w:rPr>
                <w:sz w:val="20"/>
                <w:szCs w:val="20"/>
                <w:color w:val="auto"/>
              </w:rPr>
            </w:pPr>
            <w:r>
              <w:rPr>
                <w:rFonts w:ascii="Arial" w:cs="Arial" w:eastAsia="Arial" w:hAnsi="Arial"/>
                <w:sz w:val="13"/>
                <w:szCs w:val="13"/>
                <w:b w:val="1"/>
                <w:bCs w:val="1"/>
                <w:color w:val="auto"/>
              </w:rPr>
              <w:t>NON-PEO</w:t>
            </w:r>
          </w:p>
        </w:tc>
        <w:tc>
          <w:tcPr>
            <w:tcW w:w="124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TO NON-PEO</w:t>
            </w:r>
          </w:p>
        </w:tc>
        <w:tc>
          <w:tcPr>
            <w:tcW w:w="10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7"/>
              </w:rPr>
              <w:t>SHAREHOLDER</w:t>
            </w:r>
          </w:p>
        </w:tc>
        <w:tc>
          <w:tcPr>
            <w:tcW w:w="1120" w:type="dxa"/>
            <w:vAlign w:val="bottom"/>
            <w:gridSpan w:val="2"/>
          </w:tcPr>
          <w:p>
            <w:pPr>
              <w:jc w:val="right"/>
              <w:ind w:right="100"/>
              <w:spacing w:after="0" w:line="143" w:lineRule="exact"/>
              <w:rPr>
                <w:sz w:val="20"/>
                <w:szCs w:val="20"/>
                <w:color w:val="auto"/>
              </w:rPr>
            </w:pPr>
            <w:r>
              <w:rPr>
                <w:rFonts w:ascii="Arial" w:cs="Arial" w:eastAsia="Arial" w:hAnsi="Arial"/>
                <w:sz w:val="13"/>
                <w:szCs w:val="13"/>
                <w:b w:val="1"/>
                <w:bCs w:val="1"/>
                <w:color w:val="auto"/>
                <w:w w:val="99"/>
              </w:rPr>
              <w:t>SHAREHOLDER</w:t>
            </w:r>
          </w:p>
        </w:tc>
        <w:tc>
          <w:tcPr>
            <w:tcW w:w="980" w:type="dxa"/>
            <w:vAlign w:val="bottom"/>
          </w:tcPr>
          <w:p>
            <w:pPr>
              <w:jc w:val="right"/>
              <w:ind w:right="34"/>
              <w:spacing w:after="0" w:line="143" w:lineRule="exact"/>
              <w:rPr>
                <w:sz w:val="20"/>
                <w:szCs w:val="20"/>
                <w:color w:val="auto"/>
              </w:rPr>
            </w:pPr>
            <w:r>
              <w:rPr>
                <w:rFonts w:ascii="Arial" w:cs="Arial" w:eastAsia="Arial" w:hAnsi="Arial"/>
                <w:sz w:val="13"/>
                <w:szCs w:val="13"/>
                <w:b w:val="1"/>
                <w:bCs w:val="1"/>
                <w:color w:val="auto"/>
              </w:rPr>
              <w:t>(LOSS)</w:t>
            </w:r>
          </w:p>
        </w:tc>
        <w:tc>
          <w:tcPr>
            <w:tcW w:w="920" w:type="dxa"/>
            <w:vAlign w:val="bottom"/>
          </w:tcPr>
          <w:p>
            <w:pPr>
              <w:jc w:val="right"/>
              <w:ind w:right="14"/>
              <w:spacing w:after="0" w:line="143" w:lineRule="exact"/>
              <w:rPr>
                <w:sz w:val="20"/>
                <w:szCs w:val="20"/>
                <w:color w:val="auto"/>
              </w:rPr>
            </w:pPr>
            <w:r>
              <w:rPr>
                <w:rFonts w:ascii="Arial" w:cs="Arial" w:eastAsia="Arial" w:hAnsi="Arial"/>
                <w:sz w:val="13"/>
                <w:szCs w:val="13"/>
                <w:b w:val="1"/>
                <w:bCs w:val="1"/>
                <w:color w:val="auto"/>
              </w:rPr>
              <w:t>SERVICES</w:t>
            </w:r>
          </w:p>
        </w:tc>
        <w:tc>
          <w:tcPr>
            <w:tcW w:w="0" w:type="dxa"/>
            <w:vAlign w:val="bottom"/>
          </w:tcPr>
          <w:p>
            <w:pPr>
              <w:spacing w:after="0"/>
              <w:rPr>
                <w:sz w:val="1"/>
                <w:szCs w:val="1"/>
                <w:color w:val="auto"/>
              </w:rPr>
            </w:pPr>
          </w:p>
        </w:tc>
      </w:tr>
      <w:tr>
        <w:trPr>
          <w:trHeight w:val="168"/>
        </w:trPr>
        <w:tc>
          <w:tcPr>
            <w:tcW w:w="540" w:type="dxa"/>
            <w:vAlign w:val="bottom"/>
          </w:tcPr>
          <w:p>
            <w:pPr>
              <w:ind w:left="120"/>
              <w:spacing w:after="0"/>
              <w:rPr>
                <w:sz w:val="20"/>
                <w:szCs w:val="20"/>
                <w:color w:val="auto"/>
              </w:rPr>
            </w:pPr>
            <w:r>
              <w:rPr>
                <w:rFonts w:ascii="Arial" w:cs="Arial" w:eastAsia="Arial" w:hAnsi="Arial"/>
                <w:sz w:val="13"/>
                <w:szCs w:val="13"/>
                <w:b w:val="1"/>
                <w:bCs w:val="1"/>
                <w:color w:val="auto"/>
              </w:rPr>
              <w:t>YEAR</w:t>
            </w:r>
          </w:p>
        </w:tc>
        <w:tc>
          <w:tcPr>
            <w:tcW w:w="1180" w:type="dxa"/>
            <w:vAlign w:val="bottom"/>
          </w:tcPr>
          <w:p>
            <w:pPr>
              <w:jc w:val="right"/>
              <w:ind w:right="34"/>
              <w:spacing w:after="0" w:line="168" w:lineRule="exact"/>
              <w:rPr>
                <w:sz w:val="20"/>
                <w:szCs w:val="20"/>
                <w:color w:val="auto"/>
              </w:rPr>
            </w:pPr>
            <w:r>
              <w:rPr>
                <w:rFonts w:ascii="Arial" w:cs="Arial" w:eastAsia="Arial" w:hAnsi="Arial"/>
                <w:sz w:val="12"/>
                <w:szCs w:val="12"/>
                <w:b w:val="1"/>
                <w:bCs w:val="1"/>
                <w:color w:val="auto"/>
              </w:rPr>
              <w:t>FOR PEO</w:t>
            </w:r>
            <w:r>
              <w:rPr>
                <w:rFonts w:ascii="Arial" w:cs="Arial" w:eastAsia="Arial" w:hAnsi="Arial"/>
                <w:sz w:val="19"/>
                <w:szCs w:val="19"/>
                <w:b w:val="1"/>
                <w:bCs w:val="1"/>
                <w:color w:val="auto"/>
                <w:vertAlign w:val="superscript"/>
              </w:rPr>
              <w:t>(1)</w:t>
            </w:r>
          </w:p>
        </w:tc>
        <w:tc>
          <w:tcPr>
            <w:tcW w:w="120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PAID TO PEO</w:t>
            </w:r>
            <w:r>
              <w:rPr>
                <w:rFonts w:ascii="Arial" w:cs="Arial" w:eastAsia="Arial" w:hAnsi="Arial"/>
                <w:sz w:val="19"/>
                <w:szCs w:val="19"/>
                <w:b w:val="1"/>
                <w:bCs w:val="1"/>
                <w:color w:val="auto"/>
                <w:vertAlign w:val="superscript"/>
              </w:rPr>
              <w:t>(2)</w:t>
            </w:r>
          </w:p>
        </w:tc>
        <w:tc>
          <w:tcPr>
            <w:tcW w:w="1160" w:type="dxa"/>
            <w:vAlign w:val="bottom"/>
          </w:tcPr>
          <w:p>
            <w:pPr>
              <w:jc w:val="right"/>
              <w:ind w:right="35"/>
              <w:spacing w:after="0" w:line="168"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19"/>
                <w:szCs w:val="19"/>
                <w:b w:val="1"/>
                <w:bCs w:val="1"/>
                <w:color w:val="auto"/>
                <w:vertAlign w:val="superscript"/>
              </w:rPr>
              <w:t>(3)</w:t>
            </w:r>
          </w:p>
        </w:tc>
        <w:tc>
          <w:tcPr>
            <w:tcW w:w="1240" w:type="dxa"/>
            <w:vAlign w:val="bottom"/>
          </w:tcPr>
          <w:p>
            <w:pPr>
              <w:jc w:val="right"/>
              <w:ind w:right="35"/>
              <w:spacing w:after="0" w:line="168"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19"/>
                <w:szCs w:val="19"/>
                <w:b w:val="1"/>
                <w:bCs w:val="1"/>
                <w:color w:val="auto"/>
                <w:vertAlign w:val="superscript"/>
              </w:rPr>
              <w:t>(4)</w:t>
            </w:r>
          </w:p>
        </w:tc>
        <w:tc>
          <w:tcPr>
            <w:tcW w:w="106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19"/>
                <w:szCs w:val="19"/>
                <w:b w:val="1"/>
                <w:bCs w:val="1"/>
                <w:color w:val="auto"/>
                <w:vertAlign w:val="superscript"/>
              </w:rPr>
              <w:t>(5)</w:t>
            </w:r>
          </w:p>
        </w:tc>
        <w:tc>
          <w:tcPr>
            <w:tcW w:w="1120" w:type="dxa"/>
            <w:vAlign w:val="bottom"/>
            <w:gridSpan w:val="2"/>
          </w:tcPr>
          <w:p>
            <w:pPr>
              <w:jc w:val="right"/>
              <w:ind w:right="140"/>
              <w:spacing w:after="0" w:line="168"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19"/>
                <w:szCs w:val="19"/>
                <w:b w:val="1"/>
                <w:bCs w:val="1"/>
                <w:color w:val="auto"/>
                <w:vertAlign w:val="superscript"/>
              </w:rPr>
              <w:t>(6)</w:t>
            </w:r>
          </w:p>
        </w:tc>
        <w:tc>
          <w:tcPr>
            <w:tcW w:w="98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(MILLIONS)</w:t>
            </w:r>
            <w:r>
              <w:rPr>
                <w:rFonts w:ascii="Arial" w:cs="Arial" w:eastAsia="Arial" w:hAnsi="Arial"/>
                <w:sz w:val="19"/>
                <w:szCs w:val="19"/>
                <w:b w:val="1"/>
                <w:bCs w:val="1"/>
                <w:color w:val="auto"/>
                <w:vertAlign w:val="superscript"/>
              </w:rPr>
              <w:t>(7)</w:t>
            </w:r>
          </w:p>
        </w:tc>
        <w:tc>
          <w:tcPr>
            <w:tcW w:w="92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(MILLIONS)</w:t>
            </w:r>
            <w:r>
              <w:rPr>
                <w:rFonts w:ascii="Arial" w:cs="Arial" w:eastAsia="Arial" w:hAnsi="Arial"/>
                <w:sz w:val="19"/>
                <w:szCs w:val="19"/>
                <w:b w:val="1"/>
                <w:bCs w:val="1"/>
                <w:color w:val="auto"/>
                <w:vertAlign w:val="superscript"/>
              </w:rPr>
              <w:t>(8)</w:t>
            </w:r>
          </w:p>
        </w:tc>
        <w:tc>
          <w:tcPr>
            <w:tcW w:w="0" w:type="dxa"/>
            <w:vAlign w:val="bottom"/>
          </w:tcPr>
          <w:p>
            <w:pPr>
              <w:spacing w:after="0"/>
              <w:rPr>
                <w:sz w:val="1"/>
                <w:szCs w:val="1"/>
                <w:color w:val="auto"/>
              </w:rPr>
            </w:pPr>
          </w:p>
        </w:tc>
      </w:tr>
      <w:tr>
        <w:trPr>
          <w:trHeight w:val="172"/>
        </w:trPr>
        <w:tc>
          <w:tcPr>
            <w:tcW w:w="540" w:type="dxa"/>
            <w:vAlign w:val="bottom"/>
          </w:tcPr>
          <w:p>
            <w:pPr>
              <w:ind w:left="120"/>
              <w:spacing w:after="0"/>
              <w:rPr>
                <w:sz w:val="20"/>
                <w:szCs w:val="20"/>
                <w:color w:val="auto"/>
              </w:rPr>
            </w:pPr>
            <w:r>
              <w:rPr>
                <w:rFonts w:ascii="Arial" w:cs="Arial" w:eastAsia="Arial" w:hAnsi="Arial"/>
                <w:sz w:val="13"/>
                <w:szCs w:val="13"/>
                <w:b w:val="1"/>
                <w:bCs w:val="1"/>
                <w:color w:val="auto"/>
              </w:rPr>
              <w:t>(a)</w:t>
            </w:r>
          </w:p>
        </w:tc>
        <w:tc>
          <w:tcPr>
            <w:tcW w:w="1180" w:type="dxa"/>
            <w:vAlign w:val="bottom"/>
          </w:tcPr>
          <w:p>
            <w:pPr>
              <w:jc w:val="right"/>
              <w:ind w:right="34"/>
              <w:spacing w:after="0"/>
              <w:rPr>
                <w:sz w:val="20"/>
                <w:szCs w:val="20"/>
                <w:color w:val="auto"/>
              </w:rPr>
            </w:pPr>
            <w:r>
              <w:rPr>
                <w:rFonts w:ascii="Arial" w:cs="Arial" w:eastAsia="Arial" w:hAnsi="Arial"/>
                <w:sz w:val="13"/>
                <w:szCs w:val="13"/>
                <w:b w:val="1"/>
                <w:bCs w:val="1"/>
                <w:color w:val="auto"/>
              </w:rPr>
              <w:t>(b)</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1160" w:type="dxa"/>
            <w:vAlign w:val="bottom"/>
          </w:tcPr>
          <w:p>
            <w:pPr>
              <w:jc w:val="right"/>
              <w:ind w:right="35"/>
              <w:spacing w:after="0"/>
              <w:rPr>
                <w:sz w:val="20"/>
                <w:szCs w:val="20"/>
                <w:color w:val="auto"/>
              </w:rPr>
            </w:pPr>
            <w:r>
              <w:rPr>
                <w:rFonts w:ascii="Arial" w:cs="Arial" w:eastAsia="Arial" w:hAnsi="Arial"/>
                <w:sz w:val="13"/>
                <w:szCs w:val="13"/>
                <w:b w:val="1"/>
                <w:bCs w:val="1"/>
                <w:color w:val="auto"/>
              </w:rPr>
              <w:t>(d)</w:t>
            </w:r>
          </w:p>
        </w:tc>
        <w:tc>
          <w:tcPr>
            <w:tcW w:w="1240" w:type="dxa"/>
            <w:vAlign w:val="bottom"/>
          </w:tcPr>
          <w:p>
            <w:pPr>
              <w:jc w:val="right"/>
              <w:ind w:right="35"/>
              <w:spacing w:after="0"/>
              <w:rPr>
                <w:sz w:val="20"/>
                <w:szCs w:val="20"/>
                <w:color w:val="auto"/>
              </w:rPr>
            </w:pPr>
            <w:r>
              <w:rPr>
                <w:rFonts w:ascii="Arial" w:cs="Arial" w:eastAsia="Arial" w:hAnsi="Arial"/>
                <w:sz w:val="13"/>
                <w:szCs w:val="13"/>
                <w:b w:val="1"/>
                <w:bCs w:val="1"/>
                <w:color w:val="auto"/>
              </w:rPr>
              <w:t>(e)</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49"/>
        </w:trPr>
        <w:tc>
          <w:tcPr>
            <w:tcW w:w="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540" w:type="dxa"/>
            <w:vAlign w:val="bottom"/>
            <w:shd w:val="clear" w:color="auto" w:fill="E5EBF7"/>
          </w:tcPr>
          <w:p>
            <w:pPr>
              <w:ind w:left="120"/>
              <w:spacing w:after="0"/>
              <w:rPr>
                <w:sz w:val="20"/>
                <w:szCs w:val="20"/>
                <w:color w:val="auto"/>
              </w:rPr>
            </w:pPr>
            <w:r>
              <w:rPr>
                <w:rFonts w:ascii="Arial" w:cs="Arial" w:eastAsia="Arial" w:hAnsi="Arial"/>
                <w:sz w:val="14"/>
                <w:szCs w:val="14"/>
                <w:b w:val="1"/>
                <w:bCs w:val="1"/>
                <w:color w:val="007FC4"/>
              </w:rPr>
              <w:t>2023</w:t>
            </w:r>
          </w:p>
        </w:tc>
        <w:tc>
          <w:tcPr>
            <w:tcW w:w="1180" w:type="dxa"/>
            <w:vAlign w:val="bottom"/>
            <w:shd w:val="clear" w:color="auto" w:fill="E5EBF7"/>
          </w:tcPr>
          <w:p>
            <w:pPr>
              <w:jc w:val="right"/>
              <w:ind w:right="34"/>
              <w:spacing w:after="0"/>
              <w:rPr>
                <w:sz w:val="20"/>
                <w:szCs w:val="20"/>
                <w:color w:val="auto"/>
              </w:rPr>
            </w:pPr>
            <w:r>
              <w:rPr>
                <w:rFonts w:ascii="Arial" w:cs="Arial" w:eastAsia="Arial" w:hAnsi="Arial"/>
                <w:sz w:val="14"/>
                <w:szCs w:val="14"/>
                <w:color w:val="auto"/>
              </w:rPr>
              <w:t>$8,673,572</w:t>
            </w:r>
          </w:p>
        </w:tc>
        <w:tc>
          <w:tcPr>
            <w:tcW w:w="1200" w:type="dxa"/>
            <w:vAlign w:val="bottom"/>
            <w:shd w:val="clear" w:color="auto" w:fill="E5EBF7"/>
          </w:tcPr>
          <w:p>
            <w:pPr>
              <w:ind w:left="240"/>
              <w:spacing w:after="0"/>
              <w:rPr>
                <w:sz w:val="20"/>
                <w:szCs w:val="20"/>
                <w:color w:val="auto"/>
              </w:rPr>
            </w:pPr>
            <w:r>
              <w:rPr>
                <w:rFonts w:ascii="Arial" w:cs="Arial" w:eastAsia="Arial" w:hAnsi="Arial"/>
                <w:sz w:val="14"/>
                <w:szCs w:val="14"/>
                <w:color w:val="auto"/>
              </w:rPr>
              <w:t>$ 8,250,862</w:t>
            </w:r>
          </w:p>
        </w:tc>
        <w:tc>
          <w:tcPr>
            <w:tcW w:w="1160" w:type="dxa"/>
            <w:vAlign w:val="bottom"/>
            <w:shd w:val="clear" w:color="auto" w:fill="E5EBF7"/>
          </w:tcPr>
          <w:p>
            <w:pPr>
              <w:jc w:val="right"/>
              <w:ind w:right="35"/>
              <w:spacing w:after="0"/>
              <w:rPr>
                <w:sz w:val="20"/>
                <w:szCs w:val="20"/>
                <w:color w:val="auto"/>
              </w:rPr>
            </w:pPr>
            <w:r>
              <w:rPr>
                <w:rFonts w:ascii="Arial" w:cs="Arial" w:eastAsia="Arial" w:hAnsi="Arial"/>
                <w:sz w:val="14"/>
                <w:szCs w:val="14"/>
                <w:color w:val="auto"/>
              </w:rPr>
              <w:t>$3,544,157</w:t>
            </w:r>
          </w:p>
        </w:tc>
        <w:tc>
          <w:tcPr>
            <w:tcW w:w="1240" w:type="dxa"/>
            <w:vAlign w:val="bottom"/>
            <w:shd w:val="clear" w:color="auto" w:fill="E5EBF7"/>
          </w:tcPr>
          <w:p>
            <w:pPr>
              <w:ind w:left="240"/>
              <w:spacing w:after="0"/>
              <w:rPr>
                <w:sz w:val="20"/>
                <w:szCs w:val="20"/>
                <w:color w:val="auto"/>
              </w:rPr>
            </w:pPr>
            <w:r>
              <w:rPr>
                <w:rFonts w:ascii="Arial" w:cs="Arial" w:eastAsia="Arial" w:hAnsi="Arial"/>
                <w:sz w:val="14"/>
                <w:szCs w:val="14"/>
                <w:color w:val="auto"/>
              </w:rPr>
              <w:t>$ 3,530,313</w:t>
            </w:r>
          </w:p>
        </w:tc>
        <w:tc>
          <w:tcPr>
            <w:tcW w:w="1060" w:type="dxa"/>
            <w:vAlign w:val="bottom"/>
            <w:shd w:val="clear" w:color="auto" w:fill="E5EBF7"/>
          </w:tcPr>
          <w:p>
            <w:pPr>
              <w:ind w:left="660"/>
              <w:spacing w:after="0"/>
              <w:rPr>
                <w:sz w:val="20"/>
                <w:szCs w:val="20"/>
                <w:color w:val="auto"/>
              </w:rPr>
            </w:pPr>
            <w:r>
              <w:rPr>
                <w:rFonts w:ascii="Arial" w:cs="Arial" w:eastAsia="Arial" w:hAnsi="Arial"/>
                <w:sz w:val="14"/>
                <w:szCs w:val="14"/>
                <w:color w:val="auto"/>
              </w:rPr>
              <w:t>$ 96</w:t>
            </w:r>
          </w:p>
        </w:tc>
        <w:tc>
          <w:tcPr>
            <w:tcW w:w="1020" w:type="dxa"/>
            <w:vAlign w:val="bottom"/>
            <w:shd w:val="clear" w:color="auto" w:fill="E5EBF7"/>
          </w:tcPr>
          <w:p>
            <w:pPr>
              <w:ind w:left="700"/>
              <w:spacing w:after="0"/>
              <w:rPr>
                <w:sz w:val="20"/>
                <w:szCs w:val="20"/>
                <w:color w:val="auto"/>
              </w:rPr>
            </w:pPr>
            <w:r>
              <w:rPr>
                <w:rFonts w:ascii="Arial" w:cs="Arial" w:eastAsia="Arial" w:hAnsi="Arial"/>
                <w:sz w:val="14"/>
                <w:szCs w:val="14"/>
                <w:color w:val="auto"/>
                <w:w w:val="96"/>
              </w:rPr>
              <w:t>$140</w:t>
            </w:r>
          </w:p>
        </w:tc>
        <w:tc>
          <w:tcPr>
            <w:tcW w:w="100" w:type="dxa"/>
            <w:vAlign w:val="bottom"/>
            <w:shd w:val="clear" w:color="auto" w:fill="E5EBF7"/>
          </w:tcPr>
          <w:p>
            <w:pPr>
              <w:spacing w:after="0"/>
              <w:rPr>
                <w:sz w:val="24"/>
                <w:szCs w:val="24"/>
                <w:color w:val="auto"/>
              </w:rPr>
            </w:pPr>
          </w:p>
        </w:tc>
        <w:tc>
          <w:tcPr>
            <w:tcW w:w="980" w:type="dxa"/>
            <w:vAlign w:val="bottom"/>
            <w:shd w:val="clear" w:color="auto" w:fill="E5EBF7"/>
          </w:tcPr>
          <w:p>
            <w:pPr>
              <w:ind w:left="460"/>
              <w:spacing w:after="0"/>
              <w:rPr>
                <w:sz w:val="20"/>
                <w:szCs w:val="20"/>
                <w:color w:val="auto"/>
              </w:rPr>
            </w:pPr>
            <w:r>
              <w:rPr>
                <w:rFonts w:ascii="Arial" w:cs="Arial" w:eastAsia="Arial" w:hAnsi="Arial"/>
                <w:sz w:val="14"/>
                <w:szCs w:val="14"/>
                <w:color w:val="auto"/>
              </w:rPr>
              <w:t>($ 8.6)</w:t>
            </w:r>
          </w:p>
        </w:tc>
        <w:tc>
          <w:tcPr>
            <w:tcW w:w="920" w:type="dxa"/>
            <w:vAlign w:val="bottom"/>
            <w:shd w:val="clear" w:color="auto" w:fill="E5EBF7"/>
          </w:tcPr>
          <w:p>
            <w:pPr>
              <w:jc w:val="right"/>
              <w:spacing w:after="0"/>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83"/>
        </w:trPr>
        <w:tc>
          <w:tcPr>
            <w:tcW w:w="540" w:type="dxa"/>
            <w:vAlign w:val="bottom"/>
            <w:shd w:val="clear" w:color="auto" w:fill="E5EBF7"/>
          </w:tcPr>
          <w:p>
            <w:pPr>
              <w:spacing w:after="0"/>
              <w:rPr>
                <w:sz w:val="7"/>
                <w:szCs w:val="7"/>
                <w:color w:val="auto"/>
              </w:rPr>
            </w:pPr>
          </w:p>
        </w:tc>
        <w:tc>
          <w:tcPr>
            <w:tcW w:w="1180" w:type="dxa"/>
            <w:vAlign w:val="bottom"/>
            <w:shd w:val="clear" w:color="auto" w:fill="E5EBF7"/>
          </w:tcPr>
          <w:p>
            <w:pPr>
              <w:spacing w:after="0"/>
              <w:rPr>
                <w:sz w:val="7"/>
                <w:szCs w:val="7"/>
                <w:color w:val="auto"/>
              </w:rPr>
            </w:pPr>
          </w:p>
        </w:tc>
        <w:tc>
          <w:tcPr>
            <w:tcW w:w="1200" w:type="dxa"/>
            <w:vAlign w:val="bottom"/>
            <w:shd w:val="clear" w:color="auto" w:fill="E5EBF7"/>
          </w:tcPr>
          <w:p>
            <w:pPr>
              <w:spacing w:after="0"/>
              <w:rPr>
                <w:sz w:val="7"/>
                <w:szCs w:val="7"/>
                <w:color w:val="auto"/>
              </w:rPr>
            </w:pPr>
          </w:p>
        </w:tc>
        <w:tc>
          <w:tcPr>
            <w:tcW w:w="1160" w:type="dxa"/>
            <w:vAlign w:val="bottom"/>
            <w:shd w:val="clear" w:color="auto" w:fill="E5EBF7"/>
          </w:tcPr>
          <w:p>
            <w:pPr>
              <w:spacing w:after="0"/>
              <w:rPr>
                <w:sz w:val="7"/>
                <w:szCs w:val="7"/>
                <w:color w:val="auto"/>
              </w:rPr>
            </w:pPr>
          </w:p>
        </w:tc>
        <w:tc>
          <w:tcPr>
            <w:tcW w:w="1240" w:type="dxa"/>
            <w:vAlign w:val="bottom"/>
            <w:shd w:val="clear" w:color="auto" w:fill="E5EBF7"/>
          </w:tcPr>
          <w:p>
            <w:pPr>
              <w:spacing w:after="0"/>
              <w:rPr>
                <w:sz w:val="7"/>
                <w:szCs w:val="7"/>
                <w:color w:val="auto"/>
              </w:rPr>
            </w:pPr>
          </w:p>
        </w:tc>
        <w:tc>
          <w:tcPr>
            <w:tcW w:w="1060" w:type="dxa"/>
            <w:vAlign w:val="bottom"/>
            <w:shd w:val="clear" w:color="auto" w:fill="E5EBF7"/>
          </w:tcPr>
          <w:p>
            <w:pPr>
              <w:spacing w:after="0"/>
              <w:rPr>
                <w:sz w:val="7"/>
                <w:szCs w:val="7"/>
                <w:color w:val="auto"/>
              </w:rPr>
            </w:pPr>
          </w:p>
        </w:tc>
        <w:tc>
          <w:tcPr>
            <w:tcW w:w="1020" w:type="dxa"/>
            <w:vAlign w:val="bottom"/>
            <w:shd w:val="clear" w:color="auto" w:fill="E5EBF7"/>
          </w:tcPr>
          <w:p>
            <w:pPr>
              <w:spacing w:after="0"/>
              <w:rPr>
                <w:sz w:val="7"/>
                <w:szCs w:val="7"/>
                <w:color w:val="auto"/>
              </w:rPr>
            </w:pPr>
          </w:p>
        </w:tc>
        <w:tc>
          <w:tcPr>
            <w:tcW w:w="100" w:type="dxa"/>
            <w:vAlign w:val="bottom"/>
            <w:shd w:val="clear" w:color="auto" w:fill="E5EBF7"/>
          </w:tcPr>
          <w:p>
            <w:pPr>
              <w:spacing w:after="0"/>
              <w:rPr>
                <w:sz w:val="7"/>
                <w:szCs w:val="7"/>
                <w:color w:val="auto"/>
              </w:rPr>
            </w:pPr>
          </w:p>
        </w:tc>
        <w:tc>
          <w:tcPr>
            <w:tcW w:w="980" w:type="dxa"/>
            <w:vAlign w:val="bottom"/>
            <w:shd w:val="clear" w:color="auto" w:fill="E5EBF7"/>
          </w:tcPr>
          <w:p>
            <w:pPr>
              <w:spacing w:after="0"/>
              <w:rPr>
                <w:sz w:val="7"/>
                <w:szCs w:val="7"/>
                <w:color w:val="auto"/>
              </w:rPr>
            </w:pPr>
          </w:p>
        </w:tc>
        <w:tc>
          <w:tcPr>
            <w:tcW w:w="92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40" w:type="dxa"/>
            <w:vAlign w:val="bottom"/>
          </w:tcPr>
          <w:p>
            <w:pPr>
              <w:ind w:left="120"/>
              <w:spacing w:after="0"/>
              <w:rPr>
                <w:sz w:val="20"/>
                <w:szCs w:val="20"/>
                <w:color w:val="auto"/>
              </w:rPr>
            </w:pPr>
            <w:r>
              <w:rPr>
                <w:rFonts w:ascii="Arial" w:cs="Arial" w:eastAsia="Arial" w:hAnsi="Arial"/>
                <w:sz w:val="14"/>
                <w:szCs w:val="14"/>
                <w:b w:val="1"/>
                <w:bCs w:val="1"/>
                <w:color w:val="007FC4"/>
              </w:rPr>
              <w:t>2022</w:t>
            </w:r>
          </w:p>
        </w:tc>
        <w:tc>
          <w:tcPr>
            <w:tcW w:w="1180" w:type="dxa"/>
            <w:vAlign w:val="bottom"/>
          </w:tcPr>
          <w:p>
            <w:pPr>
              <w:jc w:val="right"/>
              <w:ind w:right="34"/>
              <w:spacing w:after="0"/>
              <w:rPr>
                <w:sz w:val="20"/>
                <w:szCs w:val="20"/>
                <w:color w:val="auto"/>
              </w:rPr>
            </w:pPr>
            <w:r>
              <w:rPr>
                <w:rFonts w:ascii="Arial" w:cs="Arial" w:eastAsia="Arial" w:hAnsi="Arial"/>
                <w:sz w:val="14"/>
                <w:szCs w:val="14"/>
                <w:color w:val="auto"/>
              </w:rPr>
              <w:t>$7,069,596</w:t>
            </w:r>
          </w:p>
        </w:tc>
        <w:tc>
          <w:tcPr>
            <w:tcW w:w="1200" w:type="dxa"/>
            <w:vAlign w:val="bottom"/>
          </w:tcPr>
          <w:p>
            <w:pPr>
              <w:ind w:left="240"/>
              <w:spacing w:after="0"/>
              <w:rPr>
                <w:sz w:val="20"/>
                <w:szCs w:val="20"/>
                <w:color w:val="auto"/>
              </w:rPr>
            </w:pPr>
            <w:r>
              <w:rPr>
                <w:rFonts w:ascii="Arial" w:cs="Arial" w:eastAsia="Arial" w:hAnsi="Arial"/>
                <w:sz w:val="14"/>
                <w:szCs w:val="14"/>
                <w:color w:val="auto"/>
              </w:rPr>
              <w:t>($ 4,645,074)</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$3,131,699</w:t>
            </w:r>
          </w:p>
        </w:tc>
        <w:tc>
          <w:tcPr>
            <w:tcW w:w="1240" w:type="dxa"/>
            <w:vAlign w:val="bottom"/>
          </w:tcPr>
          <w:p>
            <w:pPr>
              <w:ind w:left="240"/>
              <w:spacing w:after="0"/>
              <w:rPr>
                <w:sz w:val="20"/>
                <w:szCs w:val="20"/>
                <w:color w:val="auto"/>
              </w:rPr>
            </w:pPr>
            <w:r>
              <w:rPr>
                <w:rFonts w:ascii="Arial" w:cs="Arial" w:eastAsia="Arial" w:hAnsi="Arial"/>
                <w:sz w:val="14"/>
                <w:szCs w:val="14"/>
                <w:color w:val="auto"/>
              </w:rPr>
              <w:t>($ 1,254,761)</w:t>
            </w:r>
          </w:p>
        </w:tc>
        <w:tc>
          <w:tcPr>
            <w:tcW w:w="1060" w:type="dxa"/>
            <w:vAlign w:val="bottom"/>
          </w:tcPr>
          <w:p>
            <w:pPr>
              <w:ind w:left="660"/>
              <w:spacing w:after="0"/>
              <w:rPr>
                <w:sz w:val="20"/>
                <w:szCs w:val="20"/>
                <w:color w:val="auto"/>
              </w:rPr>
            </w:pPr>
            <w:r>
              <w:rPr>
                <w:rFonts w:ascii="Arial" w:cs="Arial" w:eastAsia="Arial" w:hAnsi="Arial"/>
                <w:sz w:val="14"/>
                <w:szCs w:val="14"/>
                <w:color w:val="auto"/>
              </w:rPr>
              <w:t>$102</w:t>
            </w:r>
          </w:p>
        </w:tc>
        <w:tc>
          <w:tcPr>
            <w:tcW w:w="1020" w:type="dxa"/>
            <w:vAlign w:val="bottom"/>
          </w:tcPr>
          <w:p>
            <w:pPr>
              <w:ind w:left="700"/>
              <w:spacing w:after="0"/>
              <w:rPr>
                <w:sz w:val="20"/>
                <w:szCs w:val="20"/>
                <w:color w:val="auto"/>
              </w:rPr>
            </w:pPr>
            <w:r>
              <w:rPr>
                <w:rFonts w:ascii="Arial" w:cs="Arial" w:eastAsia="Arial" w:hAnsi="Arial"/>
                <w:sz w:val="14"/>
                <w:szCs w:val="14"/>
                <w:color w:val="auto"/>
              </w:rPr>
              <w:t>$ 89</w:t>
            </w:r>
          </w:p>
        </w:tc>
        <w:tc>
          <w:tcPr>
            <w:tcW w:w="100" w:type="dxa"/>
            <w:vAlign w:val="bottom"/>
          </w:tcPr>
          <w:p>
            <w:pPr>
              <w:spacing w:after="0"/>
              <w:rPr>
                <w:sz w:val="24"/>
                <w:szCs w:val="24"/>
                <w:color w:val="auto"/>
              </w:rPr>
            </w:pPr>
          </w:p>
        </w:tc>
        <w:tc>
          <w:tcPr>
            <w:tcW w:w="980" w:type="dxa"/>
            <w:vAlign w:val="bottom"/>
          </w:tcPr>
          <w:p>
            <w:pPr>
              <w:ind w:left="460"/>
              <w:spacing w:after="0"/>
              <w:rPr>
                <w:sz w:val="20"/>
                <w:szCs w:val="20"/>
                <w:color w:val="auto"/>
              </w:rPr>
            </w:pPr>
            <w:r>
              <w:rPr>
                <w:rFonts w:ascii="Arial" w:cs="Arial" w:eastAsia="Arial" w:hAnsi="Arial"/>
                <w:sz w:val="14"/>
                <w:szCs w:val="14"/>
                <w:color w:val="auto"/>
              </w:rPr>
              <w:t>($39.3)</w:t>
            </w:r>
          </w:p>
        </w:tc>
        <w:tc>
          <w:tcPr>
            <w:tcW w:w="92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83"/>
        </w:trPr>
        <w:tc>
          <w:tcPr>
            <w:tcW w:w="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E5EBF7"/>
            </w:tcBorders>
            <w:shd w:val="clear" w:color="auto" w:fill="E5EBF7"/>
          </w:tcPr>
          <w:p>
            <w:pPr>
              <w:ind w:left="120"/>
              <w:spacing w:after="0"/>
              <w:rPr>
                <w:sz w:val="20"/>
                <w:szCs w:val="20"/>
                <w:color w:val="auto"/>
              </w:rPr>
            </w:pPr>
            <w:r>
              <w:rPr>
                <w:rFonts w:ascii="Arial" w:cs="Arial" w:eastAsia="Arial" w:hAnsi="Arial"/>
                <w:sz w:val="14"/>
                <w:szCs w:val="14"/>
                <w:b w:val="1"/>
                <w:bCs w:val="1"/>
                <w:color w:val="007FC4"/>
              </w:rPr>
              <w:t>2021</w:t>
            </w:r>
          </w:p>
        </w:tc>
        <w:tc>
          <w:tcPr>
            <w:tcW w:w="1180" w:type="dxa"/>
            <w:vAlign w:val="bottom"/>
            <w:tcBorders>
              <w:bottom w:val="single" w:sz="8" w:color="E5EBF7"/>
            </w:tcBorders>
            <w:shd w:val="clear" w:color="auto" w:fill="E5EBF7"/>
          </w:tcPr>
          <w:p>
            <w:pPr>
              <w:jc w:val="right"/>
              <w:ind w:right="34"/>
              <w:spacing w:after="0"/>
              <w:rPr>
                <w:sz w:val="20"/>
                <w:szCs w:val="20"/>
                <w:color w:val="auto"/>
              </w:rPr>
            </w:pPr>
            <w:r>
              <w:rPr>
                <w:rFonts w:ascii="Arial" w:cs="Arial" w:eastAsia="Arial" w:hAnsi="Arial"/>
                <w:sz w:val="14"/>
                <w:szCs w:val="14"/>
                <w:color w:val="auto"/>
              </w:rPr>
              <w:t>$4,768,798</w:t>
            </w:r>
          </w:p>
        </w:tc>
        <w:tc>
          <w:tcPr>
            <w:tcW w:w="1200" w:type="dxa"/>
            <w:vAlign w:val="bottom"/>
            <w:tcBorders>
              <w:bottom w:val="single" w:sz="8" w:color="E5EBF7"/>
            </w:tcBorders>
            <w:shd w:val="clear" w:color="auto" w:fill="E5EBF7"/>
          </w:tcPr>
          <w:p>
            <w:pPr>
              <w:ind w:left="240"/>
              <w:spacing w:after="0"/>
              <w:rPr>
                <w:sz w:val="20"/>
                <w:szCs w:val="20"/>
                <w:color w:val="auto"/>
              </w:rPr>
            </w:pPr>
            <w:r>
              <w:rPr>
                <w:rFonts w:ascii="Arial" w:cs="Arial" w:eastAsia="Arial" w:hAnsi="Arial"/>
                <w:sz w:val="14"/>
                <w:szCs w:val="14"/>
                <w:color w:val="auto"/>
              </w:rPr>
              <w:t>$40,706,656</w:t>
            </w:r>
          </w:p>
        </w:tc>
        <w:tc>
          <w:tcPr>
            <w:tcW w:w="1160" w:type="dxa"/>
            <w:vAlign w:val="bottom"/>
            <w:tcBorders>
              <w:bottom w:val="single" w:sz="8" w:color="E5EBF7"/>
            </w:tcBorders>
            <w:shd w:val="clear" w:color="auto" w:fill="E5EBF7"/>
          </w:tcPr>
          <w:p>
            <w:pPr>
              <w:jc w:val="right"/>
              <w:ind w:right="35"/>
              <w:spacing w:after="0"/>
              <w:rPr>
                <w:sz w:val="20"/>
                <w:szCs w:val="20"/>
                <w:color w:val="auto"/>
              </w:rPr>
            </w:pPr>
            <w:r>
              <w:rPr>
                <w:rFonts w:ascii="Arial" w:cs="Arial" w:eastAsia="Arial" w:hAnsi="Arial"/>
                <w:sz w:val="14"/>
                <w:szCs w:val="14"/>
                <w:color w:val="auto"/>
              </w:rPr>
              <w:t>$2,685,819</w:t>
            </w:r>
          </w:p>
        </w:tc>
        <w:tc>
          <w:tcPr>
            <w:tcW w:w="1240" w:type="dxa"/>
            <w:vAlign w:val="bottom"/>
            <w:tcBorders>
              <w:bottom w:val="single" w:sz="8" w:color="E5EBF7"/>
            </w:tcBorders>
            <w:shd w:val="clear" w:color="auto" w:fill="E5EBF7"/>
          </w:tcPr>
          <w:p>
            <w:pPr>
              <w:ind w:left="240"/>
              <w:spacing w:after="0"/>
              <w:rPr>
                <w:sz w:val="20"/>
                <w:szCs w:val="20"/>
                <w:color w:val="auto"/>
              </w:rPr>
            </w:pPr>
            <w:r>
              <w:rPr>
                <w:rFonts w:ascii="Arial" w:cs="Arial" w:eastAsia="Arial" w:hAnsi="Arial"/>
                <w:sz w:val="14"/>
                <w:szCs w:val="14"/>
                <w:color w:val="auto"/>
              </w:rPr>
              <w:t>$21,188,572</w:t>
            </w:r>
          </w:p>
        </w:tc>
        <w:tc>
          <w:tcPr>
            <w:tcW w:w="1060" w:type="dxa"/>
            <w:vAlign w:val="bottom"/>
            <w:tcBorders>
              <w:bottom w:val="single" w:sz="8" w:color="E5EBF7"/>
            </w:tcBorders>
            <w:shd w:val="clear" w:color="auto" w:fill="E5EBF7"/>
          </w:tcPr>
          <w:p>
            <w:pPr>
              <w:ind w:left="660"/>
              <w:spacing w:after="0"/>
              <w:rPr>
                <w:sz w:val="20"/>
                <w:szCs w:val="20"/>
                <w:color w:val="auto"/>
              </w:rPr>
            </w:pPr>
            <w:r>
              <w:rPr>
                <w:rFonts w:ascii="Arial" w:cs="Arial" w:eastAsia="Arial" w:hAnsi="Arial"/>
                <w:sz w:val="14"/>
                <w:szCs w:val="14"/>
                <w:color w:val="auto"/>
              </w:rPr>
              <w:t>$159</w:t>
            </w:r>
          </w:p>
        </w:tc>
        <w:tc>
          <w:tcPr>
            <w:tcW w:w="1020" w:type="dxa"/>
            <w:vAlign w:val="bottom"/>
            <w:tcBorders>
              <w:bottom w:val="single" w:sz="8" w:color="E5EBF7"/>
            </w:tcBorders>
            <w:shd w:val="clear" w:color="auto" w:fill="E5EBF7"/>
          </w:tcPr>
          <w:p>
            <w:pPr>
              <w:ind w:left="700"/>
              <w:spacing w:after="0"/>
              <w:rPr>
                <w:sz w:val="20"/>
                <w:szCs w:val="20"/>
                <w:color w:val="auto"/>
              </w:rPr>
            </w:pPr>
            <w:r>
              <w:rPr>
                <w:rFonts w:ascii="Arial" w:cs="Arial" w:eastAsia="Arial" w:hAnsi="Arial"/>
                <w:sz w:val="14"/>
                <w:szCs w:val="14"/>
                <w:color w:val="auto"/>
                <w:w w:val="96"/>
              </w:rPr>
              <w:t>$126</w:t>
            </w:r>
          </w:p>
        </w:tc>
        <w:tc>
          <w:tcPr>
            <w:tcW w:w="100" w:type="dxa"/>
            <w:vAlign w:val="bottom"/>
            <w:tcBorders>
              <w:bottom w:val="single" w:sz="8" w:color="E5EBF7"/>
            </w:tcBorders>
            <w:shd w:val="clear" w:color="auto" w:fill="E5EBF7"/>
          </w:tcPr>
          <w:p>
            <w:pPr>
              <w:spacing w:after="0"/>
              <w:rPr>
                <w:sz w:val="24"/>
                <w:szCs w:val="24"/>
                <w:color w:val="auto"/>
              </w:rPr>
            </w:pPr>
          </w:p>
        </w:tc>
        <w:tc>
          <w:tcPr>
            <w:tcW w:w="980" w:type="dxa"/>
            <w:vAlign w:val="bottom"/>
            <w:tcBorders>
              <w:bottom w:val="single" w:sz="8" w:color="E5EBF7"/>
            </w:tcBorders>
            <w:shd w:val="clear" w:color="auto" w:fill="E5EBF7"/>
          </w:tcPr>
          <w:p>
            <w:pPr>
              <w:ind w:left="460"/>
              <w:spacing w:after="0"/>
              <w:rPr>
                <w:sz w:val="20"/>
                <w:szCs w:val="20"/>
                <w:color w:val="auto"/>
              </w:rPr>
            </w:pPr>
            <w:r>
              <w:rPr>
                <w:rFonts w:ascii="Arial" w:cs="Arial" w:eastAsia="Arial" w:hAnsi="Arial"/>
                <w:sz w:val="14"/>
                <w:szCs w:val="14"/>
                <w:color w:val="auto"/>
              </w:rPr>
              <w:t>($28.1)</w:t>
            </w:r>
          </w:p>
        </w:tc>
        <w:tc>
          <w:tcPr>
            <w:tcW w:w="92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0"/>
        </w:trPr>
        <w:tc>
          <w:tcPr>
            <w:tcW w:w="540" w:type="dxa"/>
            <w:vAlign w:val="bottom"/>
            <w:shd w:val="clear" w:color="auto" w:fill="007FC4"/>
          </w:tcPr>
          <w:p>
            <w:pPr>
              <w:spacing w:after="0" w:line="20" w:lineRule="exact"/>
              <w:rPr>
                <w:sz w:val="1"/>
                <w:szCs w:val="1"/>
                <w:color w:val="auto"/>
              </w:rPr>
            </w:pPr>
          </w:p>
        </w:tc>
        <w:tc>
          <w:tcPr>
            <w:tcW w:w="1180" w:type="dxa"/>
            <w:vAlign w:val="bottom"/>
            <w:shd w:val="clear" w:color="auto" w:fill="007FC4"/>
          </w:tcPr>
          <w:p>
            <w:pPr>
              <w:spacing w:after="0" w:line="20" w:lineRule="exact"/>
              <w:rPr>
                <w:sz w:val="1"/>
                <w:szCs w:val="1"/>
                <w:color w:val="auto"/>
              </w:rPr>
            </w:pPr>
          </w:p>
        </w:tc>
        <w:tc>
          <w:tcPr>
            <w:tcW w:w="1200" w:type="dxa"/>
            <w:vAlign w:val="bottom"/>
            <w:shd w:val="clear" w:color="auto" w:fill="007FC4"/>
          </w:tcPr>
          <w:p>
            <w:pPr>
              <w:spacing w:after="0" w:line="20" w:lineRule="exact"/>
              <w:rPr>
                <w:sz w:val="1"/>
                <w:szCs w:val="1"/>
                <w:color w:val="auto"/>
              </w:rPr>
            </w:pPr>
          </w:p>
        </w:tc>
        <w:tc>
          <w:tcPr>
            <w:tcW w:w="1160" w:type="dxa"/>
            <w:vAlign w:val="bottom"/>
            <w:shd w:val="clear" w:color="auto" w:fill="007FC4"/>
          </w:tcPr>
          <w:p>
            <w:pPr>
              <w:spacing w:after="0" w:line="20" w:lineRule="exact"/>
              <w:rPr>
                <w:sz w:val="1"/>
                <w:szCs w:val="1"/>
                <w:color w:val="auto"/>
              </w:rPr>
            </w:pPr>
          </w:p>
        </w:tc>
        <w:tc>
          <w:tcPr>
            <w:tcW w:w="1240" w:type="dxa"/>
            <w:vAlign w:val="bottom"/>
            <w:shd w:val="clear" w:color="auto" w:fill="007FC4"/>
          </w:tcPr>
          <w:p>
            <w:pPr>
              <w:spacing w:after="0" w:line="20" w:lineRule="exact"/>
              <w:rPr>
                <w:sz w:val="1"/>
                <w:szCs w:val="1"/>
                <w:color w:val="auto"/>
              </w:rPr>
            </w:pPr>
          </w:p>
        </w:tc>
        <w:tc>
          <w:tcPr>
            <w:tcW w:w="1060" w:type="dxa"/>
            <w:vAlign w:val="bottom"/>
            <w:shd w:val="clear" w:color="auto" w:fill="007FC4"/>
          </w:tcPr>
          <w:p>
            <w:pPr>
              <w:spacing w:after="0" w:line="20" w:lineRule="exact"/>
              <w:rPr>
                <w:sz w:val="1"/>
                <w:szCs w:val="1"/>
                <w:color w:val="auto"/>
              </w:rPr>
            </w:pPr>
          </w:p>
        </w:tc>
        <w:tc>
          <w:tcPr>
            <w:tcW w:w="1020" w:type="dxa"/>
            <w:vAlign w:val="bottom"/>
            <w:shd w:val="clear" w:color="auto" w:fill="007FC4"/>
          </w:tcPr>
          <w:p>
            <w:pPr>
              <w:spacing w:after="0" w:line="20" w:lineRule="exact"/>
              <w:rPr>
                <w:sz w:val="1"/>
                <w:szCs w:val="1"/>
                <w:color w:val="auto"/>
              </w:rPr>
            </w:pPr>
          </w:p>
        </w:tc>
        <w:tc>
          <w:tcPr>
            <w:tcW w:w="100" w:type="dxa"/>
            <w:vAlign w:val="bottom"/>
            <w:shd w:val="clear" w:color="auto" w:fill="007FC4"/>
          </w:tcPr>
          <w:p>
            <w:pPr>
              <w:spacing w:after="0" w:line="20" w:lineRule="exact"/>
              <w:rPr>
                <w:sz w:val="1"/>
                <w:szCs w:val="1"/>
                <w:color w:val="auto"/>
              </w:rPr>
            </w:pPr>
          </w:p>
        </w:tc>
        <w:tc>
          <w:tcPr>
            <w:tcW w:w="980" w:type="dxa"/>
            <w:vAlign w:val="bottom"/>
            <w:shd w:val="clear" w:color="auto" w:fill="007FC4"/>
          </w:tcPr>
          <w:p>
            <w:pPr>
              <w:spacing w:after="0" w:line="20" w:lineRule="exact"/>
              <w:rPr>
                <w:sz w:val="1"/>
                <w:szCs w:val="1"/>
                <w:color w:val="auto"/>
              </w:rPr>
            </w:pPr>
          </w:p>
        </w:tc>
        <w:tc>
          <w:tcPr>
            <w:tcW w:w="92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160" w:hanging="354"/>
        <w:spacing w:after="0" w:line="243" w:lineRule="auto"/>
        <w:tabs>
          <w:tab w:leader="none" w:pos="360" w:val="left"/>
        </w:tabs>
        <w:numPr>
          <w:ilvl w:val="0"/>
          <w:numId w:val="83"/>
        </w:numPr>
        <w:rPr>
          <w:rFonts w:ascii="Arial" w:cs="Arial" w:eastAsia="Arial" w:hAnsi="Arial"/>
          <w:sz w:val="13"/>
          <w:szCs w:val="13"/>
          <w:color w:val="333333"/>
        </w:rPr>
      </w:pPr>
      <w:r>
        <w:rPr>
          <w:rFonts w:ascii="Arial" w:cs="Arial" w:eastAsia="Arial" w:hAnsi="Arial"/>
          <w:sz w:val="13"/>
          <w:szCs w:val="13"/>
          <w:color w:val="333333"/>
        </w:rPr>
        <w:t>The dollar amounts reported in column (b) are the amounts of total compensation reported for Mr. Massaro (our Chief Executive Officer) for each corresponding year in the Total column of the Summary Compensation Table. Refer to Executive Compensation – Summary Compensation Table.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160" w:right="900" w:hanging="354"/>
        <w:spacing w:after="0" w:line="229" w:lineRule="auto"/>
        <w:tabs>
          <w:tab w:leader="none" w:pos="11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dollar amounts reported in column (c) represent the amount of compensation actually paid to Mr. Massaro, as computed in accordance with Item 402(v) of Regulation S-K. The dollar amounts do not reflect the actual amount of compensation earned by or paid to Mr. Massaro during the applicable year. In accordance with the requirements of Item 402(v) of Regulation S-K, the following adjustments were made to Mr. Massaro’s total compensation for each year to determine the compensation actually paid:</w:t>
      </w:r>
    </w:p>
    <w:p>
      <w:pPr>
        <w:spacing w:after="0" w:line="252"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320" w:type="dxa"/>
            <w:vAlign w:val="bottom"/>
          </w:tcPr>
          <w:p>
            <w:pPr>
              <w:jc w:val="right"/>
              <w:ind w:right="614"/>
              <w:spacing w:after="0"/>
              <w:rPr>
                <w:sz w:val="20"/>
                <w:szCs w:val="20"/>
                <w:color w:val="auto"/>
              </w:rPr>
            </w:pPr>
            <w:r>
              <w:rPr>
                <w:rFonts w:ascii="Arial" w:cs="Arial" w:eastAsia="Arial" w:hAnsi="Arial"/>
                <w:sz w:val="13"/>
                <w:szCs w:val="13"/>
                <w:b w:val="1"/>
                <w:bCs w:val="1"/>
                <w:color w:val="auto"/>
              </w:rPr>
              <w:t>REPORTED</w:t>
            </w:r>
          </w:p>
        </w:tc>
        <w:tc>
          <w:tcPr>
            <w:tcW w:w="2000" w:type="dxa"/>
            <w:vAlign w:val="bottom"/>
            <w:vMerge w:val="restart"/>
          </w:tcPr>
          <w:p>
            <w:pPr>
              <w:jc w:val="right"/>
              <w:ind w:right="493"/>
              <w:spacing w:after="0"/>
              <w:rPr>
                <w:sz w:val="20"/>
                <w:szCs w:val="20"/>
                <w:color w:val="auto"/>
              </w:rPr>
            </w:pPr>
            <w:r>
              <w:rPr>
                <w:rFonts w:ascii="Arial" w:cs="Arial" w:eastAsia="Arial" w:hAnsi="Arial"/>
                <w:sz w:val="13"/>
                <w:szCs w:val="13"/>
                <w:b w:val="1"/>
                <w:bCs w:val="1"/>
                <w:color w:val="auto"/>
              </w:rPr>
              <w:t>REPORTED</w:t>
            </w: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2320" w:type="dxa"/>
            <w:vAlign w:val="bottom"/>
          </w:tcPr>
          <w:p>
            <w:pPr>
              <w:jc w:val="right"/>
              <w:ind w:right="614"/>
              <w:spacing w:after="0" w:line="126" w:lineRule="exact"/>
              <w:rPr>
                <w:sz w:val="20"/>
                <w:szCs w:val="20"/>
                <w:color w:val="auto"/>
              </w:rPr>
            </w:pPr>
            <w:r>
              <w:rPr>
                <w:rFonts w:ascii="Arial" w:cs="Arial" w:eastAsia="Arial" w:hAnsi="Arial"/>
                <w:sz w:val="13"/>
                <w:szCs w:val="13"/>
                <w:b w:val="1"/>
                <w:bCs w:val="1"/>
                <w:color w:val="auto"/>
              </w:rPr>
              <w:t>SUMMARY</w:t>
            </w:r>
          </w:p>
        </w:tc>
        <w:tc>
          <w:tcPr>
            <w:tcW w:w="2000" w:type="dxa"/>
            <w:vAlign w:val="bottom"/>
            <w:vMerge w:val="continue"/>
          </w:tcPr>
          <w:p>
            <w:pPr>
              <w:spacing w:after="0"/>
              <w:rPr>
                <w:sz w:val="10"/>
                <w:szCs w:val="10"/>
                <w:color w:val="auto"/>
              </w:rPr>
            </w:pPr>
          </w:p>
        </w:tc>
        <w:tc>
          <w:tcPr>
            <w:tcW w:w="216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EQUITY</w:t>
            </w:r>
          </w:p>
        </w:tc>
        <w:tc>
          <w:tcPr>
            <w:tcW w:w="16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320" w:type="dxa"/>
            <w:vAlign w:val="bottom"/>
          </w:tcPr>
          <w:p>
            <w:pPr>
              <w:jc w:val="right"/>
              <w:ind w:right="614"/>
              <w:spacing w:after="0" w:line="135" w:lineRule="exact"/>
              <w:rPr>
                <w:sz w:val="20"/>
                <w:szCs w:val="20"/>
                <w:color w:val="auto"/>
              </w:rPr>
            </w:pPr>
            <w:r>
              <w:rPr>
                <w:rFonts w:ascii="Arial" w:cs="Arial" w:eastAsia="Arial" w:hAnsi="Arial"/>
                <w:sz w:val="13"/>
                <w:szCs w:val="13"/>
                <w:b w:val="1"/>
                <w:bCs w:val="1"/>
                <w:color w:val="auto"/>
              </w:rPr>
              <w:t>COMPENSATION</w:t>
            </w:r>
          </w:p>
        </w:tc>
        <w:tc>
          <w:tcPr>
            <w:tcW w:w="2000" w:type="dxa"/>
            <w:vAlign w:val="bottom"/>
          </w:tcPr>
          <w:p>
            <w:pPr>
              <w:jc w:val="right"/>
              <w:ind w:right="493"/>
              <w:spacing w:after="0" w:line="135" w:lineRule="exact"/>
              <w:rPr>
                <w:sz w:val="20"/>
                <w:szCs w:val="20"/>
                <w:color w:val="auto"/>
              </w:rPr>
            </w:pPr>
            <w:r>
              <w:rPr>
                <w:rFonts w:ascii="Arial" w:cs="Arial" w:eastAsia="Arial" w:hAnsi="Arial"/>
                <w:sz w:val="13"/>
                <w:szCs w:val="13"/>
                <w:b w:val="1"/>
                <w:bCs w:val="1"/>
                <w:color w:val="auto"/>
              </w:rPr>
              <w:t>VALUE OF</w:t>
            </w:r>
          </w:p>
        </w:tc>
        <w:tc>
          <w:tcPr>
            <w:tcW w:w="21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YEAR</w:t>
            </w:r>
          </w:p>
        </w:tc>
        <w:tc>
          <w:tcPr>
            <w:tcW w:w="2320" w:type="dxa"/>
            <w:vAlign w:val="bottom"/>
          </w:tcPr>
          <w:p>
            <w:pPr>
              <w:jc w:val="right"/>
              <w:ind w:right="614"/>
              <w:spacing w:after="0" w:line="135" w:lineRule="exact"/>
              <w:rPr>
                <w:sz w:val="20"/>
                <w:szCs w:val="20"/>
                <w:color w:val="auto"/>
              </w:rPr>
            </w:pPr>
            <w:r>
              <w:rPr>
                <w:rFonts w:ascii="Arial" w:cs="Arial" w:eastAsia="Arial" w:hAnsi="Arial"/>
                <w:sz w:val="13"/>
                <w:szCs w:val="13"/>
                <w:b w:val="1"/>
                <w:bCs w:val="1"/>
                <w:color w:val="auto"/>
              </w:rPr>
              <w:t>TABLE TOTAL FOR</w:t>
            </w:r>
          </w:p>
        </w:tc>
        <w:tc>
          <w:tcPr>
            <w:tcW w:w="2000" w:type="dxa"/>
            <w:vAlign w:val="bottom"/>
          </w:tcPr>
          <w:p>
            <w:pPr>
              <w:jc w:val="right"/>
              <w:ind w:right="493"/>
              <w:spacing w:after="0" w:line="135" w:lineRule="exact"/>
              <w:rPr>
                <w:sz w:val="20"/>
                <w:szCs w:val="20"/>
                <w:color w:val="auto"/>
              </w:rPr>
            </w:pPr>
            <w:r>
              <w:rPr>
                <w:rFonts w:ascii="Arial" w:cs="Arial" w:eastAsia="Arial" w:hAnsi="Arial"/>
                <w:sz w:val="13"/>
                <w:szCs w:val="13"/>
                <w:b w:val="1"/>
                <w:bCs w:val="1"/>
                <w:color w:val="auto"/>
              </w:rPr>
              <w:t>EQUITY</w:t>
            </w:r>
          </w:p>
        </w:tc>
        <w:tc>
          <w:tcPr>
            <w:tcW w:w="2160" w:type="dxa"/>
            <w:vAlign w:val="bottom"/>
          </w:tcPr>
          <w:p>
            <w:pPr>
              <w:ind w:left="1120"/>
              <w:spacing w:after="0" w:line="135" w:lineRule="exact"/>
              <w:rPr>
                <w:sz w:val="20"/>
                <w:szCs w:val="20"/>
                <w:color w:val="auto"/>
              </w:rPr>
            </w:pPr>
            <w:r>
              <w:rPr>
                <w:rFonts w:ascii="Arial" w:cs="Arial" w:eastAsia="Arial" w:hAnsi="Arial"/>
                <w:sz w:val="13"/>
                <w:szCs w:val="13"/>
                <w:b w:val="1"/>
                <w:bCs w:val="1"/>
                <w:color w:val="auto"/>
              </w:rPr>
              <w:t>AWARD</w:t>
            </w:r>
          </w:p>
        </w:tc>
        <w:tc>
          <w:tcPr>
            <w:tcW w:w="164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ACTUALLY</w:t>
            </w:r>
          </w:p>
        </w:tc>
        <w:tc>
          <w:tcPr>
            <w:tcW w:w="0" w:type="dxa"/>
            <w:vAlign w:val="bottom"/>
          </w:tcPr>
          <w:p>
            <w:pPr>
              <w:spacing w:after="0"/>
              <w:rPr>
                <w:sz w:val="1"/>
                <w:szCs w:val="1"/>
                <w:color w:val="auto"/>
              </w:rPr>
            </w:pPr>
          </w:p>
        </w:tc>
      </w:tr>
      <w:tr>
        <w:trPr>
          <w:trHeight w:val="229"/>
        </w:trPr>
        <w:tc>
          <w:tcPr>
            <w:tcW w:w="900" w:type="dxa"/>
            <w:vAlign w:val="bottom"/>
            <w:vMerge w:val="continue"/>
          </w:tcPr>
          <w:p>
            <w:pPr>
              <w:spacing w:after="0"/>
              <w:rPr>
                <w:sz w:val="19"/>
                <w:szCs w:val="19"/>
                <w:color w:val="auto"/>
              </w:rPr>
            </w:pPr>
          </w:p>
        </w:tc>
        <w:tc>
          <w:tcPr>
            <w:tcW w:w="2320" w:type="dxa"/>
            <w:vAlign w:val="bottom"/>
          </w:tcPr>
          <w:p>
            <w:pPr>
              <w:jc w:val="right"/>
              <w:ind w:right="594"/>
              <w:spacing w:after="0"/>
              <w:rPr>
                <w:sz w:val="20"/>
                <w:szCs w:val="20"/>
                <w:color w:val="auto"/>
              </w:rPr>
            </w:pPr>
            <w:r>
              <w:rPr>
                <w:rFonts w:ascii="Arial" w:cs="Arial" w:eastAsia="Arial" w:hAnsi="Arial"/>
                <w:sz w:val="13"/>
                <w:szCs w:val="13"/>
                <w:b w:val="1"/>
                <w:bCs w:val="1"/>
                <w:color w:val="auto"/>
              </w:rPr>
              <w:t>PEO</w:t>
            </w:r>
          </w:p>
        </w:tc>
        <w:tc>
          <w:tcPr>
            <w:tcW w:w="2000" w:type="dxa"/>
            <w:vAlign w:val="bottom"/>
          </w:tcPr>
          <w:p>
            <w:pPr>
              <w:jc w:val="right"/>
              <w:ind w:right="453"/>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(a)</w:t>
            </w:r>
          </w:p>
        </w:tc>
        <w:tc>
          <w:tcPr>
            <w:tcW w:w="2160" w:type="dxa"/>
            <w:vAlign w:val="bottom"/>
          </w:tcPr>
          <w:p>
            <w:pPr>
              <w:ind w:left="540"/>
              <w:spacing w:after="0"/>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(b)</w:t>
            </w:r>
          </w:p>
        </w:tc>
        <w:tc>
          <w:tcPr>
            <w:tcW w:w="1640" w:type="dxa"/>
            <w:vAlign w:val="bottom"/>
          </w:tcPr>
          <w:p>
            <w:pPr>
              <w:ind w:left="780"/>
              <w:spacing w:after="0"/>
              <w:rPr>
                <w:sz w:val="20"/>
                <w:szCs w:val="20"/>
                <w:color w:val="auto"/>
              </w:rPr>
            </w:pPr>
            <w:r>
              <w:rPr>
                <w:rFonts w:ascii="Arial" w:cs="Arial" w:eastAsia="Arial" w:hAnsi="Arial"/>
                <w:sz w:val="13"/>
                <w:szCs w:val="13"/>
                <w:b w:val="1"/>
                <w:bCs w:val="1"/>
                <w:color w:val="auto"/>
              </w:rPr>
              <w:t>PAID TO PEO</w:t>
            </w:r>
          </w:p>
        </w:tc>
        <w:tc>
          <w:tcPr>
            <w:tcW w:w="0" w:type="dxa"/>
            <w:vAlign w:val="bottom"/>
          </w:tcPr>
          <w:p>
            <w:pPr>
              <w:spacing w:after="0"/>
              <w:rPr>
                <w:sz w:val="1"/>
                <w:szCs w:val="1"/>
                <w:color w:val="auto"/>
              </w:rPr>
            </w:pPr>
          </w:p>
        </w:tc>
      </w:tr>
      <w:tr>
        <w:trPr>
          <w:trHeight w:val="308"/>
        </w:trPr>
        <w:tc>
          <w:tcPr>
            <w:tcW w:w="900" w:type="dxa"/>
            <w:vAlign w:val="bottom"/>
            <w:shd w:val="clear" w:color="auto" w:fill="E5EBF7"/>
          </w:tcPr>
          <w:p>
            <w:pPr>
              <w:ind w:left="80"/>
              <w:spacing w:after="0"/>
              <w:rPr>
                <w:sz w:val="20"/>
                <w:szCs w:val="20"/>
                <w:color w:val="auto"/>
              </w:rPr>
            </w:pPr>
            <w:r>
              <w:rPr>
                <w:rFonts w:ascii="Arial" w:cs="Arial" w:eastAsia="Arial" w:hAnsi="Arial"/>
                <w:sz w:val="14"/>
                <w:szCs w:val="14"/>
                <w:b w:val="1"/>
                <w:bCs w:val="1"/>
                <w:color w:val="007FC4"/>
              </w:rPr>
              <w:t>2023</w:t>
            </w:r>
          </w:p>
        </w:tc>
        <w:tc>
          <w:tcPr>
            <w:tcW w:w="2320" w:type="dxa"/>
            <w:vAlign w:val="bottom"/>
            <w:shd w:val="clear" w:color="auto" w:fill="E5EBF7"/>
          </w:tcPr>
          <w:p>
            <w:pPr>
              <w:jc w:val="right"/>
              <w:ind w:right="594"/>
              <w:spacing w:after="0"/>
              <w:rPr>
                <w:sz w:val="20"/>
                <w:szCs w:val="20"/>
                <w:color w:val="auto"/>
              </w:rPr>
            </w:pPr>
            <w:r>
              <w:rPr>
                <w:rFonts w:ascii="Arial" w:cs="Arial" w:eastAsia="Arial" w:hAnsi="Arial"/>
                <w:sz w:val="14"/>
                <w:szCs w:val="14"/>
                <w:color w:val="auto"/>
              </w:rPr>
              <w:t>$8,673,572</w:t>
            </w:r>
          </w:p>
        </w:tc>
        <w:tc>
          <w:tcPr>
            <w:tcW w:w="2000" w:type="dxa"/>
            <w:vAlign w:val="bottom"/>
            <w:shd w:val="clear" w:color="auto" w:fill="E5EBF7"/>
          </w:tcPr>
          <w:p>
            <w:pPr>
              <w:jc w:val="right"/>
              <w:ind w:right="473"/>
              <w:spacing w:after="0"/>
              <w:rPr>
                <w:sz w:val="20"/>
                <w:szCs w:val="20"/>
                <w:color w:val="auto"/>
              </w:rPr>
            </w:pPr>
            <w:r>
              <w:rPr>
                <w:rFonts w:ascii="Arial" w:cs="Arial" w:eastAsia="Arial" w:hAnsi="Arial"/>
                <w:sz w:val="14"/>
                <w:szCs w:val="14"/>
                <w:color w:val="auto"/>
              </w:rPr>
              <w:t>($7,628,574)</w:t>
            </w:r>
          </w:p>
        </w:tc>
        <w:tc>
          <w:tcPr>
            <w:tcW w:w="2160" w:type="dxa"/>
            <w:vAlign w:val="bottom"/>
            <w:shd w:val="clear" w:color="auto" w:fill="E5EBF7"/>
          </w:tcPr>
          <w:p>
            <w:pPr>
              <w:ind w:left="700"/>
              <w:spacing w:after="0"/>
              <w:rPr>
                <w:sz w:val="20"/>
                <w:szCs w:val="20"/>
                <w:color w:val="auto"/>
              </w:rPr>
            </w:pPr>
            <w:r>
              <w:rPr>
                <w:rFonts w:ascii="Arial" w:cs="Arial" w:eastAsia="Arial" w:hAnsi="Arial"/>
                <w:sz w:val="14"/>
                <w:szCs w:val="14"/>
                <w:color w:val="auto"/>
              </w:rPr>
              <w:t>$ 7,205,864</w:t>
            </w:r>
          </w:p>
        </w:tc>
        <w:tc>
          <w:tcPr>
            <w:tcW w:w="1640" w:type="dxa"/>
            <w:vAlign w:val="bottom"/>
            <w:shd w:val="clear" w:color="auto" w:fill="E5EBF7"/>
          </w:tcPr>
          <w:p>
            <w:pPr>
              <w:ind w:left="680"/>
              <w:spacing w:after="0"/>
              <w:rPr>
                <w:sz w:val="20"/>
                <w:szCs w:val="20"/>
                <w:color w:val="auto"/>
              </w:rPr>
            </w:pPr>
            <w:r>
              <w:rPr>
                <w:rFonts w:ascii="Arial" w:cs="Arial" w:eastAsia="Arial" w:hAnsi="Arial"/>
                <w:sz w:val="14"/>
                <w:szCs w:val="14"/>
                <w:color w:val="auto"/>
              </w:rPr>
              <w:t>$ 8,250,862</w:t>
            </w:r>
          </w:p>
        </w:tc>
        <w:tc>
          <w:tcPr>
            <w:tcW w:w="0" w:type="dxa"/>
            <w:vAlign w:val="bottom"/>
          </w:tcPr>
          <w:p>
            <w:pPr>
              <w:spacing w:after="0"/>
              <w:rPr>
                <w:sz w:val="1"/>
                <w:szCs w:val="1"/>
                <w:color w:val="auto"/>
              </w:rPr>
            </w:pPr>
          </w:p>
        </w:tc>
      </w:tr>
      <w:tr>
        <w:trPr>
          <w:trHeight w:val="83"/>
        </w:trPr>
        <w:tc>
          <w:tcPr>
            <w:tcW w:w="900" w:type="dxa"/>
            <w:vAlign w:val="bottom"/>
            <w:shd w:val="clear" w:color="auto" w:fill="E5EBF7"/>
          </w:tcPr>
          <w:p>
            <w:pPr>
              <w:spacing w:after="0"/>
              <w:rPr>
                <w:sz w:val="7"/>
                <w:szCs w:val="7"/>
                <w:color w:val="auto"/>
              </w:rPr>
            </w:pPr>
          </w:p>
        </w:tc>
        <w:tc>
          <w:tcPr>
            <w:tcW w:w="2320" w:type="dxa"/>
            <w:vAlign w:val="bottom"/>
            <w:shd w:val="clear" w:color="auto" w:fill="E5EBF7"/>
          </w:tcPr>
          <w:p>
            <w:pPr>
              <w:spacing w:after="0"/>
              <w:rPr>
                <w:sz w:val="7"/>
                <w:szCs w:val="7"/>
                <w:color w:val="auto"/>
              </w:rPr>
            </w:pPr>
          </w:p>
        </w:tc>
        <w:tc>
          <w:tcPr>
            <w:tcW w:w="2000" w:type="dxa"/>
            <w:vAlign w:val="bottom"/>
            <w:shd w:val="clear" w:color="auto" w:fill="E5EBF7"/>
          </w:tcPr>
          <w:p>
            <w:pPr>
              <w:spacing w:after="0"/>
              <w:rPr>
                <w:sz w:val="7"/>
                <w:szCs w:val="7"/>
                <w:color w:val="auto"/>
              </w:rPr>
            </w:pPr>
          </w:p>
        </w:tc>
        <w:tc>
          <w:tcPr>
            <w:tcW w:w="2160" w:type="dxa"/>
            <w:vAlign w:val="bottom"/>
            <w:shd w:val="clear" w:color="auto" w:fill="E5EBF7"/>
          </w:tcPr>
          <w:p>
            <w:pPr>
              <w:spacing w:after="0"/>
              <w:rPr>
                <w:sz w:val="7"/>
                <w:szCs w:val="7"/>
                <w:color w:val="auto"/>
              </w:rPr>
            </w:pPr>
          </w:p>
        </w:tc>
        <w:tc>
          <w:tcPr>
            <w:tcW w:w="164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900" w:type="dxa"/>
            <w:vAlign w:val="bottom"/>
          </w:tcPr>
          <w:p>
            <w:pPr>
              <w:ind w:left="80"/>
              <w:spacing w:after="0"/>
              <w:rPr>
                <w:sz w:val="20"/>
                <w:szCs w:val="20"/>
                <w:color w:val="auto"/>
              </w:rPr>
            </w:pPr>
            <w:r>
              <w:rPr>
                <w:rFonts w:ascii="Arial" w:cs="Arial" w:eastAsia="Arial" w:hAnsi="Arial"/>
                <w:sz w:val="14"/>
                <w:szCs w:val="14"/>
                <w:b w:val="1"/>
                <w:bCs w:val="1"/>
                <w:color w:val="007FC4"/>
              </w:rPr>
              <w:t>2022</w:t>
            </w:r>
          </w:p>
        </w:tc>
        <w:tc>
          <w:tcPr>
            <w:tcW w:w="2320" w:type="dxa"/>
            <w:vAlign w:val="bottom"/>
          </w:tcPr>
          <w:p>
            <w:pPr>
              <w:jc w:val="right"/>
              <w:ind w:right="594"/>
              <w:spacing w:after="0"/>
              <w:rPr>
                <w:sz w:val="20"/>
                <w:szCs w:val="20"/>
                <w:color w:val="auto"/>
              </w:rPr>
            </w:pPr>
            <w:r>
              <w:rPr>
                <w:rFonts w:ascii="Arial" w:cs="Arial" w:eastAsia="Arial" w:hAnsi="Arial"/>
                <w:sz w:val="14"/>
                <w:szCs w:val="14"/>
                <w:color w:val="auto"/>
              </w:rPr>
              <w:t>$7,069,596</w:t>
            </w:r>
          </w:p>
        </w:tc>
        <w:tc>
          <w:tcPr>
            <w:tcW w:w="2000" w:type="dxa"/>
            <w:vAlign w:val="bottom"/>
          </w:tcPr>
          <w:p>
            <w:pPr>
              <w:jc w:val="right"/>
              <w:ind w:right="473"/>
              <w:spacing w:after="0"/>
              <w:rPr>
                <w:sz w:val="20"/>
                <w:szCs w:val="20"/>
                <w:color w:val="auto"/>
              </w:rPr>
            </w:pPr>
            <w:r>
              <w:rPr>
                <w:rFonts w:ascii="Arial" w:cs="Arial" w:eastAsia="Arial" w:hAnsi="Arial"/>
                <w:sz w:val="14"/>
                <w:szCs w:val="14"/>
                <w:color w:val="auto"/>
              </w:rPr>
              <w:t>($6,384,148)</w:t>
            </w:r>
          </w:p>
        </w:tc>
        <w:tc>
          <w:tcPr>
            <w:tcW w:w="2160" w:type="dxa"/>
            <w:vAlign w:val="bottom"/>
          </w:tcPr>
          <w:p>
            <w:pPr>
              <w:ind w:left="700"/>
              <w:spacing w:after="0"/>
              <w:rPr>
                <w:sz w:val="20"/>
                <w:szCs w:val="20"/>
                <w:color w:val="auto"/>
              </w:rPr>
            </w:pPr>
            <w:r>
              <w:rPr>
                <w:rFonts w:ascii="Arial" w:cs="Arial" w:eastAsia="Arial" w:hAnsi="Arial"/>
                <w:sz w:val="14"/>
                <w:szCs w:val="14"/>
                <w:color w:val="auto"/>
              </w:rPr>
              <w:t>($ 5,330,522)</w:t>
            </w:r>
          </w:p>
        </w:tc>
        <w:tc>
          <w:tcPr>
            <w:tcW w:w="1640" w:type="dxa"/>
            <w:vAlign w:val="bottom"/>
          </w:tcPr>
          <w:p>
            <w:pPr>
              <w:ind w:left="680"/>
              <w:spacing w:after="0"/>
              <w:rPr>
                <w:sz w:val="20"/>
                <w:szCs w:val="20"/>
                <w:color w:val="auto"/>
              </w:rPr>
            </w:pPr>
            <w:r>
              <w:rPr>
                <w:rFonts w:ascii="Arial" w:cs="Arial" w:eastAsia="Arial" w:hAnsi="Arial"/>
                <w:sz w:val="14"/>
                <w:szCs w:val="14"/>
                <w:color w:val="auto"/>
              </w:rPr>
              <w:t>($ 4,645,074)</w:t>
            </w:r>
          </w:p>
        </w:tc>
        <w:tc>
          <w:tcPr>
            <w:tcW w:w="0" w:type="dxa"/>
            <w:vAlign w:val="bottom"/>
          </w:tcPr>
          <w:p>
            <w:pPr>
              <w:spacing w:after="0"/>
              <w:rPr>
                <w:sz w:val="1"/>
                <w:szCs w:val="1"/>
                <w:color w:val="auto"/>
              </w:rPr>
            </w:pPr>
          </w:p>
        </w:tc>
      </w:tr>
      <w:tr>
        <w:trPr>
          <w:trHeight w:val="83"/>
        </w:trPr>
        <w:tc>
          <w:tcPr>
            <w:tcW w:w="9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900" w:type="dxa"/>
            <w:vAlign w:val="bottom"/>
            <w:tcBorders>
              <w:bottom w:val="single" w:sz="8" w:color="E5EBF7"/>
            </w:tcBorders>
            <w:shd w:val="clear" w:color="auto" w:fill="E5EBF7"/>
          </w:tcPr>
          <w:p>
            <w:pPr>
              <w:ind w:left="80"/>
              <w:spacing w:after="0"/>
              <w:rPr>
                <w:sz w:val="20"/>
                <w:szCs w:val="20"/>
                <w:color w:val="auto"/>
              </w:rPr>
            </w:pPr>
            <w:r>
              <w:rPr>
                <w:rFonts w:ascii="Arial" w:cs="Arial" w:eastAsia="Arial" w:hAnsi="Arial"/>
                <w:sz w:val="14"/>
                <w:szCs w:val="14"/>
                <w:b w:val="1"/>
                <w:bCs w:val="1"/>
                <w:color w:val="007FC4"/>
              </w:rPr>
              <w:t>2021</w:t>
            </w:r>
          </w:p>
        </w:tc>
        <w:tc>
          <w:tcPr>
            <w:tcW w:w="2320" w:type="dxa"/>
            <w:vAlign w:val="bottom"/>
            <w:tcBorders>
              <w:bottom w:val="single" w:sz="8" w:color="E5EBF7"/>
            </w:tcBorders>
            <w:shd w:val="clear" w:color="auto" w:fill="E5EBF7"/>
          </w:tcPr>
          <w:p>
            <w:pPr>
              <w:jc w:val="right"/>
              <w:ind w:right="594"/>
              <w:spacing w:after="0"/>
              <w:rPr>
                <w:sz w:val="20"/>
                <w:szCs w:val="20"/>
                <w:color w:val="auto"/>
              </w:rPr>
            </w:pPr>
            <w:r>
              <w:rPr>
                <w:rFonts w:ascii="Arial" w:cs="Arial" w:eastAsia="Arial" w:hAnsi="Arial"/>
                <w:sz w:val="14"/>
                <w:szCs w:val="14"/>
                <w:color w:val="auto"/>
              </w:rPr>
              <w:t>$4,768,798</w:t>
            </w:r>
          </w:p>
        </w:tc>
        <w:tc>
          <w:tcPr>
            <w:tcW w:w="2000" w:type="dxa"/>
            <w:vAlign w:val="bottom"/>
            <w:tcBorders>
              <w:bottom w:val="single" w:sz="8" w:color="E5EBF7"/>
            </w:tcBorders>
            <w:shd w:val="clear" w:color="auto" w:fill="E5EBF7"/>
          </w:tcPr>
          <w:p>
            <w:pPr>
              <w:jc w:val="right"/>
              <w:ind w:right="473"/>
              <w:spacing w:after="0"/>
              <w:rPr>
                <w:sz w:val="20"/>
                <w:szCs w:val="20"/>
                <w:color w:val="auto"/>
              </w:rPr>
            </w:pPr>
            <w:r>
              <w:rPr>
                <w:rFonts w:ascii="Arial" w:cs="Arial" w:eastAsia="Arial" w:hAnsi="Arial"/>
                <w:sz w:val="14"/>
                <w:szCs w:val="14"/>
                <w:color w:val="auto"/>
              </w:rPr>
              <w:t>($4,052,400)</w:t>
            </w:r>
          </w:p>
        </w:tc>
        <w:tc>
          <w:tcPr>
            <w:tcW w:w="2160" w:type="dxa"/>
            <w:vAlign w:val="bottom"/>
            <w:tcBorders>
              <w:bottom w:val="single" w:sz="8" w:color="E5EBF7"/>
            </w:tcBorders>
            <w:shd w:val="clear" w:color="auto" w:fill="E5EBF7"/>
          </w:tcPr>
          <w:p>
            <w:pPr>
              <w:ind w:left="700"/>
              <w:spacing w:after="0"/>
              <w:rPr>
                <w:sz w:val="20"/>
                <w:szCs w:val="20"/>
                <w:color w:val="auto"/>
              </w:rPr>
            </w:pPr>
            <w:r>
              <w:rPr>
                <w:rFonts w:ascii="Arial" w:cs="Arial" w:eastAsia="Arial" w:hAnsi="Arial"/>
                <w:sz w:val="14"/>
                <w:szCs w:val="14"/>
                <w:color w:val="auto"/>
              </w:rPr>
              <w:t>$39,990,258</w:t>
            </w:r>
          </w:p>
        </w:tc>
        <w:tc>
          <w:tcPr>
            <w:tcW w:w="1640" w:type="dxa"/>
            <w:vAlign w:val="bottom"/>
            <w:tcBorders>
              <w:bottom w:val="single" w:sz="8" w:color="E5EBF7"/>
            </w:tcBorders>
            <w:shd w:val="clear" w:color="auto" w:fill="E5EBF7"/>
          </w:tcPr>
          <w:p>
            <w:pPr>
              <w:ind w:left="680"/>
              <w:spacing w:after="0"/>
              <w:rPr>
                <w:sz w:val="20"/>
                <w:szCs w:val="20"/>
                <w:color w:val="auto"/>
              </w:rPr>
            </w:pPr>
            <w:r>
              <w:rPr>
                <w:rFonts w:ascii="Arial" w:cs="Arial" w:eastAsia="Arial" w:hAnsi="Arial"/>
                <w:sz w:val="14"/>
                <w:szCs w:val="14"/>
                <w:color w:val="auto"/>
              </w:rPr>
              <w:t>$40,706,656</w:t>
            </w:r>
          </w:p>
        </w:tc>
        <w:tc>
          <w:tcPr>
            <w:tcW w:w="0" w:type="dxa"/>
            <w:vAlign w:val="bottom"/>
          </w:tcPr>
          <w:p>
            <w:pPr>
              <w:spacing w:after="0"/>
              <w:rPr>
                <w:sz w:val="1"/>
                <w:szCs w:val="1"/>
                <w:color w:val="auto"/>
              </w:rPr>
            </w:pPr>
          </w:p>
        </w:tc>
      </w:tr>
      <w:tr>
        <w:trPr>
          <w:trHeight w:val="20"/>
        </w:trPr>
        <w:tc>
          <w:tcPr>
            <w:tcW w:w="900" w:type="dxa"/>
            <w:vAlign w:val="bottom"/>
            <w:shd w:val="clear" w:color="auto" w:fill="007FC4"/>
          </w:tcPr>
          <w:p>
            <w:pPr>
              <w:spacing w:after="0" w:line="20" w:lineRule="exact"/>
              <w:rPr>
                <w:sz w:val="1"/>
                <w:szCs w:val="1"/>
                <w:color w:val="auto"/>
              </w:rPr>
            </w:pPr>
          </w:p>
        </w:tc>
        <w:tc>
          <w:tcPr>
            <w:tcW w:w="2320" w:type="dxa"/>
            <w:vAlign w:val="bottom"/>
            <w:shd w:val="clear" w:color="auto" w:fill="007FC4"/>
          </w:tcPr>
          <w:p>
            <w:pPr>
              <w:spacing w:after="0" w:line="20" w:lineRule="exact"/>
              <w:rPr>
                <w:sz w:val="1"/>
                <w:szCs w:val="1"/>
                <w:color w:val="auto"/>
              </w:rPr>
            </w:pPr>
          </w:p>
        </w:tc>
        <w:tc>
          <w:tcPr>
            <w:tcW w:w="2000" w:type="dxa"/>
            <w:vAlign w:val="bottom"/>
            <w:shd w:val="clear" w:color="auto" w:fill="007FC4"/>
          </w:tcPr>
          <w:p>
            <w:pPr>
              <w:spacing w:after="0" w:line="20" w:lineRule="exact"/>
              <w:rPr>
                <w:sz w:val="1"/>
                <w:szCs w:val="1"/>
                <w:color w:val="auto"/>
              </w:rPr>
            </w:pPr>
          </w:p>
        </w:tc>
        <w:tc>
          <w:tcPr>
            <w:tcW w:w="2160" w:type="dxa"/>
            <w:vAlign w:val="bottom"/>
            <w:shd w:val="clear" w:color="auto" w:fill="007FC4"/>
          </w:tcPr>
          <w:p>
            <w:pPr>
              <w:spacing w:after="0" w:line="20" w:lineRule="exact"/>
              <w:rPr>
                <w:sz w:val="1"/>
                <w:szCs w:val="1"/>
                <w:color w:val="auto"/>
              </w:rPr>
            </w:pPr>
          </w:p>
        </w:tc>
        <w:tc>
          <w:tcPr>
            <w:tcW w:w="164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520" w:right="1040" w:hanging="354"/>
        <w:spacing w:after="0" w:line="243" w:lineRule="auto"/>
        <w:tabs>
          <w:tab w:leader="none" w:pos="1520" w:val="left"/>
        </w:tabs>
        <w:numPr>
          <w:ilvl w:val="0"/>
          <w:numId w:val="85"/>
        </w:numPr>
        <w:rPr>
          <w:rFonts w:ascii="Arial" w:cs="Arial" w:eastAsia="Arial" w:hAnsi="Arial"/>
          <w:sz w:val="13"/>
          <w:szCs w:val="13"/>
          <w:color w:val="333333"/>
        </w:rPr>
      </w:pPr>
      <w:r>
        <w:rPr>
          <w:rFonts w:ascii="Arial" w:cs="Arial" w:eastAsia="Arial" w:hAnsi="Arial"/>
          <w:sz w:val="13"/>
          <w:szCs w:val="13"/>
          <w:color w:val="333333"/>
        </w:rPr>
        <w:t>The grant date fair value of equity awards represents the total of the amounts reported in the Stock Awards and Option Awards columns in the Summary Compensation Table for the applicable year.</w:t>
      </w:r>
    </w:p>
    <w:p>
      <w:pPr>
        <w:spacing w:after="0" w:line="75" w:lineRule="exact"/>
        <w:rPr>
          <w:rFonts w:ascii="Arial" w:cs="Arial" w:eastAsia="Arial" w:hAnsi="Arial"/>
          <w:sz w:val="13"/>
          <w:szCs w:val="13"/>
          <w:color w:val="333333"/>
        </w:rPr>
      </w:pPr>
    </w:p>
    <w:p>
      <w:pPr>
        <w:ind w:left="1520" w:right="920" w:hanging="354"/>
        <w:spacing w:after="0" w:line="221" w:lineRule="auto"/>
        <w:tabs>
          <w:tab w:leader="none" w:pos="1520" w:val="left"/>
        </w:tabs>
        <w:numPr>
          <w:ilvl w:val="0"/>
          <w:numId w:val="85"/>
        </w:numPr>
        <w:rPr>
          <w:rFonts w:ascii="Arial" w:cs="Arial" w:eastAsia="Arial" w:hAnsi="Arial"/>
          <w:sz w:val="13"/>
          <w:szCs w:val="13"/>
          <w:color w:val="333333"/>
        </w:rPr>
      </w:pPr>
      <w:r>
        <w:rPr>
          <w:rFonts w:ascii="Arial" w:cs="Arial" w:eastAsia="Arial" w:hAnsi="Arial"/>
          <w:sz w:val="13"/>
          <w:szCs w:val="13"/>
          <w:color w:val="333333"/>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methodology used to calculate fair values did not materially differ from those disclosed at the time of grant and include current economic assumptions as of the applicable valuation dates. The amounts deducted or added in calculating the equity award adjustments are as follows:</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3"/>
          <w:szCs w:val="13"/>
          <w:color w:val="333333"/>
        </w:rPr>
        <w:t>(c)</w:t>
      </w:r>
    </w:p>
    <w:p>
      <w:pPr>
        <w:spacing w:after="0" w:line="282"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rPr>
              <w:t>YEAR OVER YEAR</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YEAR OVER</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FAIR VALUE AT</w:t>
            </w:r>
          </w:p>
        </w:tc>
        <w:tc>
          <w:tcPr>
            <w:tcW w:w="1340" w:type="dxa"/>
            <w:vAlign w:val="bottom"/>
          </w:tcPr>
          <w:p>
            <w:pPr>
              <w:jc w:val="right"/>
              <w:ind w:right="55"/>
              <w:spacing w:after="0"/>
              <w:rPr>
                <w:sz w:val="20"/>
                <w:szCs w:val="20"/>
                <w:color w:val="auto"/>
              </w:rPr>
            </w:pPr>
            <w:r>
              <w:rPr>
                <w:rFonts w:ascii="Arial" w:cs="Arial" w:eastAsia="Arial" w:hAnsi="Arial"/>
                <w:sz w:val="13"/>
                <w:szCs w:val="13"/>
                <w:b w:val="1"/>
                <w:bCs w:val="1"/>
                <w:color w:val="auto"/>
              </w:rPr>
              <w:t>VALUE OF</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YEAR END</w:t>
            </w:r>
          </w:p>
        </w:tc>
        <w:tc>
          <w:tcPr>
            <w:tcW w:w="13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YEAR CHANGE THE END OF THE</w:t>
            </w:r>
          </w:p>
        </w:tc>
        <w:tc>
          <w:tcPr>
            <w:tcW w:w="13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DIVIDENDS OR</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3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CHANGE IN FAIR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IN FAIR VALUE</w:t>
            </w:r>
          </w:p>
        </w:tc>
        <w:tc>
          <w:tcPr>
            <w:tcW w:w="1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PRIOR YEAR OF</w:t>
            </w:r>
          </w:p>
        </w:tc>
        <w:tc>
          <w:tcPr>
            <w:tcW w:w="13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OTHER EARNINGS</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6"/>
              </w:rPr>
              <w:t>FAIR VALUE OF</w:t>
            </w:r>
          </w:p>
        </w:tc>
        <w:tc>
          <w:tcPr>
            <w:tcW w:w="25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VALUE OF FAIR VALUE AS OF</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EQUITY</w:t>
            </w:r>
          </w:p>
        </w:tc>
        <w:tc>
          <w:tcPr>
            <w:tcW w:w="2440" w:type="dxa"/>
            <w:vAlign w:val="bottom"/>
            <w:gridSpan w:val="2"/>
          </w:tcPr>
          <w:p>
            <w:pPr>
              <w:jc w:val="right"/>
              <w:ind w:right="15"/>
              <w:spacing w:after="0" w:line="135" w:lineRule="exact"/>
              <w:rPr>
                <w:sz w:val="20"/>
                <w:szCs w:val="20"/>
                <w:color w:val="auto"/>
              </w:rPr>
            </w:pPr>
            <w:r>
              <w:rPr>
                <w:rFonts w:ascii="Arial" w:cs="Arial" w:eastAsia="Arial" w:hAnsi="Arial"/>
                <w:sz w:val="13"/>
                <w:szCs w:val="13"/>
                <w:b w:val="1"/>
                <w:bCs w:val="1"/>
                <w:color w:val="auto"/>
              </w:rPr>
              <w:t>EQUITY PAID ON STOCK OR</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UNVESTED</w:t>
            </w:r>
          </w:p>
        </w:tc>
        <w:tc>
          <w:tcPr>
            <w:tcW w:w="25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8"/>
              </w:rPr>
              <w:t>OUTSTANDING AND  VESTING DATE OF</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AWARDS</w:t>
            </w:r>
          </w:p>
        </w:tc>
        <w:tc>
          <w:tcPr>
            <w:tcW w:w="13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OPTION AWARDS</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EQUITY</w:t>
            </w:r>
          </w:p>
        </w:tc>
        <w:tc>
          <w:tcPr>
            <w:tcW w:w="13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UNVESTED EQUITY</w:t>
            </w:r>
          </w:p>
        </w:tc>
        <w:tc>
          <w:tcPr>
            <w:tcW w:w="1180" w:type="dxa"/>
            <w:vAlign w:val="bottom"/>
            <w:gridSpan w:val="2"/>
          </w:tcPr>
          <w:p>
            <w:pPr>
              <w:jc w:val="right"/>
              <w:ind w:right="11"/>
              <w:spacing w:after="0" w:line="135" w:lineRule="exact"/>
              <w:rPr>
                <w:sz w:val="20"/>
                <w:szCs w:val="20"/>
                <w:color w:val="auto"/>
              </w:rPr>
            </w:pPr>
            <w:r>
              <w:rPr>
                <w:rFonts w:ascii="Arial" w:cs="Arial" w:eastAsia="Arial" w:hAnsi="Arial"/>
                <w:sz w:val="13"/>
                <w:szCs w:val="13"/>
                <w:b w:val="1"/>
                <w:bCs w:val="1"/>
                <w:color w:val="auto"/>
                <w:w w:val="97"/>
              </w:rPr>
              <w:t>EQUITY AWARDS</w:t>
            </w:r>
          </w:p>
        </w:tc>
        <w:tc>
          <w:tcPr>
            <w:tcW w:w="2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GRANTED IN THAT FAILED TO</w:t>
            </w:r>
          </w:p>
        </w:tc>
        <w:tc>
          <w:tcPr>
            <w:tcW w:w="13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NOT OTHERWISE</w:t>
            </w:r>
          </w:p>
        </w:tc>
        <w:tc>
          <w:tcPr>
            <w:tcW w:w="10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AWARDS</w:t>
            </w:r>
          </w:p>
        </w:tc>
        <w:tc>
          <w:tcPr>
            <w:tcW w:w="13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AWARDS</w:t>
            </w:r>
          </w:p>
        </w:tc>
        <w:tc>
          <w:tcPr>
            <w:tcW w:w="1180" w:type="dxa"/>
            <w:vAlign w:val="bottom"/>
            <w:gridSpan w:val="2"/>
          </w:tcPr>
          <w:p>
            <w:pPr>
              <w:jc w:val="right"/>
              <w:ind w:right="11"/>
              <w:spacing w:after="0" w:line="135" w:lineRule="exact"/>
              <w:rPr>
                <w:sz w:val="20"/>
                <w:szCs w:val="20"/>
                <w:color w:val="auto"/>
              </w:rPr>
            </w:pPr>
            <w:r>
              <w:rPr>
                <w:rFonts w:ascii="Arial" w:cs="Arial" w:eastAsia="Arial" w:hAnsi="Arial"/>
                <w:sz w:val="13"/>
                <w:szCs w:val="13"/>
                <w:b w:val="1"/>
                <w:bCs w:val="1"/>
                <w:color w:val="auto"/>
              </w:rPr>
              <w:t>GRANTED AND</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PRIOR YEARS</w:t>
            </w:r>
          </w:p>
        </w:tc>
        <w:tc>
          <w:tcPr>
            <w:tcW w:w="1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MEET VESTING</w:t>
            </w:r>
          </w:p>
        </w:tc>
        <w:tc>
          <w:tcPr>
            <w:tcW w:w="13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w w:val="96"/>
              </w:rPr>
              <w:t>REFLECTED IN FAIR</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9"/>
              </w:rPr>
              <w:t>YEAR</w:t>
            </w:r>
          </w:p>
        </w:tc>
        <w:tc>
          <w:tcPr>
            <w:tcW w:w="102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GRANTED IN</w:t>
            </w:r>
          </w:p>
        </w:tc>
        <w:tc>
          <w:tcPr>
            <w:tcW w:w="13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GRANTED IN</w:t>
            </w:r>
          </w:p>
        </w:tc>
        <w:tc>
          <w:tcPr>
            <w:tcW w:w="1180" w:type="dxa"/>
            <w:vAlign w:val="bottom"/>
            <w:gridSpan w:val="2"/>
          </w:tcPr>
          <w:p>
            <w:pPr>
              <w:jc w:val="right"/>
              <w:ind w:right="11"/>
              <w:spacing w:after="0" w:line="135" w:lineRule="exact"/>
              <w:rPr>
                <w:sz w:val="20"/>
                <w:szCs w:val="20"/>
                <w:color w:val="auto"/>
              </w:rPr>
            </w:pPr>
            <w:r>
              <w:rPr>
                <w:rFonts w:ascii="Arial" w:cs="Arial" w:eastAsia="Arial" w:hAnsi="Arial"/>
                <w:sz w:val="13"/>
                <w:szCs w:val="13"/>
                <w:b w:val="1"/>
                <w:bCs w:val="1"/>
                <w:color w:val="auto"/>
              </w:rPr>
              <w:t>VESTED IN THE</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THAT VESTED IN</w:t>
            </w:r>
          </w:p>
        </w:tc>
        <w:tc>
          <w:tcPr>
            <w:tcW w:w="1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CONDITIONS IN</w:t>
            </w:r>
          </w:p>
        </w:tc>
        <w:tc>
          <w:tcPr>
            <w:tcW w:w="13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VALUE OR TOTAL</w:t>
            </w:r>
          </w:p>
        </w:tc>
        <w:tc>
          <w:tcPr>
            <w:tcW w:w="1080" w:type="dxa"/>
            <w:vAlign w:val="bottom"/>
          </w:tcPr>
          <w:p>
            <w:pPr>
              <w:ind w:left="520"/>
              <w:spacing w:after="0" w:line="135" w:lineRule="exact"/>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72"/>
        </w:trPr>
        <w:tc>
          <w:tcPr>
            <w:tcW w:w="48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PRIOR YEARS</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340" w:type="dxa"/>
            <w:vAlign w:val="bottom"/>
          </w:tcPr>
          <w:p>
            <w:pPr>
              <w:jc w:val="right"/>
              <w:ind w:right="15"/>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Pr>
          <w:p>
            <w:pPr>
              <w:ind w:left="80"/>
              <w:spacing w:after="0"/>
              <w:rPr>
                <w:sz w:val="20"/>
                <w:szCs w:val="20"/>
                <w:color w:val="auto"/>
              </w:rPr>
            </w:pPr>
            <w:r>
              <w:rPr>
                <w:rFonts w:ascii="Arial" w:cs="Arial" w:eastAsia="Arial" w:hAnsi="Arial"/>
                <w:sz w:val="13"/>
                <w:szCs w:val="13"/>
                <w:b w:val="1"/>
                <w:bCs w:val="1"/>
                <w:color w:val="auto"/>
              </w:rPr>
              <w:t>ADJUSTMENTS</w:t>
            </w: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80" w:type="dxa"/>
            <w:vAlign w:val="bottom"/>
            <w:shd w:val="clear" w:color="auto" w:fill="E5EBF7"/>
          </w:tcPr>
          <w:p>
            <w:pPr>
              <w:ind w:left="100"/>
              <w:spacing w:after="0"/>
              <w:rPr>
                <w:sz w:val="20"/>
                <w:szCs w:val="20"/>
                <w:color w:val="auto"/>
              </w:rPr>
            </w:pPr>
            <w:r>
              <w:rPr>
                <w:rFonts w:ascii="Arial" w:cs="Arial" w:eastAsia="Arial" w:hAnsi="Arial"/>
                <w:sz w:val="14"/>
                <w:szCs w:val="14"/>
                <w:b w:val="1"/>
                <w:bCs w:val="1"/>
                <w:color w:val="007FC4"/>
              </w:rPr>
              <w:t>2023</w:t>
            </w:r>
          </w:p>
        </w:tc>
        <w:tc>
          <w:tcPr>
            <w:tcW w:w="1020" w:type="dxa"/>
            <w:vAlign w:val="bottom"/>
            <w:shd w:val="clear" w:color="auto" w:fill="E5EBF7"/>
          </w:tcPr>
          <w:p>
            <w:pPr>
              <w:ind w:left="160"/>
              <w:spacing w:after="0"/>
              <w:rPr>
                <w:sz w:val="20"/>
                <w:szCs w:val="20"/>
                <w:color w:val="auto"/>
              </w:rPr>
            </w:pPr>
            <w:r>
              <w:rPr>
                <w:rFonts w:ascii="Arial" w:cs="Arial" w:eastAsia="Arial" w:hAnsi="Arial"/>
                <w:sz w:val="14"/>
                <w:szCs w:val="14"/>
                <w:color w:val="auto"/>
              </w:rPr>
              <w:t>$ 6,584,693</w:t>
            </w:r>
          </w:p>
        </w:tc>
        <w:tc>
          <w:tcPr>
            <w:tcW w:w="1360" w:type="dxa"/>
            <w:vAlign w:val="bottom"/>
            <w:shd w:val="clear" w:color="auto" w:fill="E5EBF7"/>
          </w:tcPr>
          <w:p>
            <w:pPr>
              <w:ind w:left="400"/>
              <w:spacing w:after="0"/>
              <w:rPr>
                <w:sz w:val="20"/>
                <w:szCs w:val="20"/>
                <w:color w:val="auto"/>
              </w:rPr>
            </w:pPr>
            <w:r>
              <w:rPr>
                <w:rFonts w:ascii="Arial" w:cs="Arial" w:eastAsia="Arial" w:hAnsi="Arial"/>
                <w:sz w:val="14"/>
                <w:szCs w:val="14"/>
                <w:color w:val="auto"/>
              </w:rPr>
              <w:t>($   548,640)</w:t>
            </w:r>
          </w:p>
        </w:tc>
        <w:tc>
          <w:tcPr>
            <w:tcW w:w="640" w:type="dxa"/>
            <w:vAlign w:val="bottom"/>
            <w:shd w:val="clear" w:color="auto" w:fill="E5EBF7"/>
          </w:tcPr>
          <w:p>
            <w:pPr>
              <w:jc w:val="right"/>
              <w:ind w:right="93"/>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BF7"/>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E5EBF7"/>
          </w:tcPr>
          <w:p>
            <w:pPr>
              <w:ind w:left="280"/>
              <w:spacing w:after="0"/>
              <w:rPr>
                <w:sz w:val="20"/>
                <w:szCs w:val="20"/>
                <w:color w:val="auto"/>
              </w:rPr>
            </w:pPr>
            <w:r>
              <w:rPr>
                <w:rFonts w:ascii="Arial" w:cs="Arial" w:eastAsia="Arial" w:hAnsi="Arial"/>
                <w:sz w:val="14"/>
                <w:szCs w:val="14"/>
                <w:color w:val="auto"/>
              </w:rPr>
              <w:t>$1,169,811</w:t>
            </w:r>
          </w:p>
        </w:tc>
        <w:tc>
          <w:tcPr>
            <w:tcW w:w="1100" w:type="dxa"/>
            <w:vAlign w:val="bottom"/>
            <w:shd w:val="clear" w:color="auto" w:fill="E5EBF7"/>
          </w:tcPr>
          <w:p>
            <w:pPr>
              <w:jc w:val="right"/>
              <w:spacing w:after="0"/>
              <w:rPr>
                <w:sz w:val="20"/>
                <w:szCs w:val="20"/>
                <w:color w:val="auto"/>
              </w:rPr>
            </w:pPr>
            <w:r>
              <w:rPr>
                <w:rFonts w:ascii="Arial" w:cs="Arial" w:eastAsia="Arial" w:hAnsi="Arial"/>
                <w:sz w:val="14"/>
                <w:szCs w:val="14"/>
                <w:color w:val="auto"/>
              </w:rPr>
              <w:t>$0</w:t>
            </w:r>
          </w:p>
        </w:tc>
        <w:tc>
          <w:tcPr>
            <w:tcW w:w="1340" w:type="dxa"/>
            <w:vAlign w:val="bottom"/>
            <w:shd w:val="clear" w:color="auto" w:fill="E5EBF7"/>
          </w:tcPr>
          <w:p>
            <w:pPr>
              <w:jc w:val="right"/>
              <w:ind w:right="15"/>
              <w:spacing w:after="0"/>
              <w:rPr>
                <w:sz w:val="20"/>
                <w:szCs w:val="20"/>
                <w:color w:val="auto"/>
              </w:rPr>
            </w:pPr>
            <w:r>
              <w:rPr>
                <w:rFonts w:ascii="Arial" w:cs="Arial" w:eastAsia="Arial" w:hAnsi="Arial"/>
                <w:sz w:val="14"/>
                <w:szCs w:val="14"/>
                <w:color w:val="auto"/>
              </w:rPr>
              <w:t>$0</w:t>
            </w:r>
          </w:p>
        </w:tc>
        <w:tc>
          <w:tcPr>
            <w:tcW w:w="1080" w:type="dxa"/>
            <w:vAlign w:val="bottom"/>
            <w:shd w:val="clear" w:color="auto" w:fill="E5EBF7"/>
          </w:tcPr>
          <w:p>
            <w:pPr>
              <w:ind w:left="120"/>
              <w:spacing w:after="0"/>
              <w:rPr>
                <w:sz w:val="20"/>
                <w:szCs w:val="20"/>
                <w:color w:val="auto"/>
              </w:rPr>
            </w:pPr>
            <w:r>
              <w:rPr>
                <w:rFonts w:ascii="Arial" w:cs="Arial" w:eastAsia="Arial" w:hAnsi="Arial"/>
                <w:sz w:val="14"/>
                <w:szCs w:val="14"/>
                <w:color w:val="auto"/>
              </w:rPr>
              <w:t>$ 7,205,864</w:t>
            </w:r>
          </w:p>
        </w:tc>
        <w:tc>
          <w:tcPr>
            <w:tcW w:w="0" w:type="dxa"/>
            <w:vAlign w:val="bottom"/>
          </w:tcPr>
          <w:p>
            <w:pPr>
              <w:spacing w:after="0"/>
              <w:rPr>
                <w:sz w:val="1"/>
                <w:szCs w:val="1"/>
                <w:color w:val="auto"/>
              </w:rPr>
            </w:pPr>
          </w:p>
        </w:tc>
      </w:tr>
      <w:tr>
        <w:trPr>
          <w:trHeight w:val="235"/>
        </w:trPr>
        <w:tc>
          <w:tcPr>
            <w:tcW w:w="480" w:type="dxa"/>
            <w:vAlign w:val="bottom"/>
          </w:tcPr>
          <w:p>
            <w:pPr>
              <w:ind w:left="100"/>
              <w:spacing w:after="0"/>
              <w:rPr>
                <w:sz w:val="20"/>
                <w:szCs w:val="20"/>
                <w:color w:val="auto"/>
              </w:rPr>
            </w:pPr>
            <w:r>
              <w:rPr>
                <w:rFonts w:ascii="Arial" w:cs="Arial" w:eastAsia="Arial" w:hAnsi="Arial"/>
                <w:sz w:val="14"/>
                <w:szCs w:val="14"/>
                <w:b w:val="1"/>
                <w:bCs w:val="1"/>
                <w:color w:val="007FC4"/>
              </w:rPr>
              <w:t>2022</w:t>
            </w:r>
          </w:p>
        </w:tc>
        <w:tc>
          <w:tcPr>
            <w:tcW w:w="1020" w:type="dxa"/>
            <w:vAlign w:val="bottom"/>
          </w:tcPr>
          <w:p>
            <w:pPr>
              <w:ind w:left="160"/>
              <w:spacing w:after="0"/>
              <w:rPr>
                <w:sz w:val="20"/>
                <w:szCs w:val="20"/>
                <w:color w:val="auto"/>
              </w:rPr>
            </w:pPr>
            <w:r>
              <w:rPr>
                <w:rFonts w:ascii="Arial" w:cs="Arial" w:eastAsia="Arial" w:hAnsi="Arial"/>
                <w:sz w:val="14"/>
                <w:szCs w:val="14"/>
                <w:color w:val="auto"/>
              </w:rPr>
              <w:t>$ 6,167,394</w:t>
            </w:r>
          </w:p>
        </w:tc>
        <w:tc>
          <w:tcPr>
            <w:tcW w:w="1360" w:type="dxa"/>
            <w:vAlign w:val="bottom"/>
          </w:tcPr>
          <w:p>
            <w:pPr>
              <w:ind w:left="400"/>
              <w:spacing w:after="0"/>
              <w:rPr>
                <w:sz w:val="20"/>
                <w:szCs w:val="20"/>
                <w:color w:val="auto"/>
              </w:rPr>
            </w:pPr>
            <w:r>
              <w:rPr>
                <w:rFonts w:ascii="Arial" w:cs="Arial" w:eastAsia="Arial" w:hAnsi="Arial"/>
                <w:sz w:val="14"/>
                <w:szCs w:val="14"/>
                <w:color w:val="auto"/>
              </w:rPr>
              <w:t>($ 5,705,432)</w:t>
            </w:r>
          </w:p>
        </w:tc>
        <w:tc>
          <w:tcPr>
            <w:tcW w:w="6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ind w:left="280"/>
              <w:spacing w:after="0"/>
              <w:rPr>
                <w:sz w:val="20"/>
                <w:szCs w:val="20"/>
                <w:color w:val="auto"/>
              </w:rPr>
            </w:pPr>
            <w:r>
              <w:rPr>
                <w:rFonts w:ascii="Arial" w:cs="Arial" w:eastAsia="Arial" w:hAnsi="Arial"/>
                <w:sz w:val="14"/>
                <w:szCs w:val="14"/>
                <w:color w:val="auto"/>
              </w:rPr>
              <w:t>($5,792,484)</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15"/>
              <w:spacing w:after="0"/>
              <w:rPr>
                <w:sz w:val="20"/>
                <w:szCs w:val="20"/>
                <w:color w:val="auto"/>
              </w:rPr>
            </w:pPr>
            <w:r>
              <w:rPr>
                <w:rFonts w:ascii="Arial" w:cs="Arial" w:eastAsia="Arial" w:hAnsi="Arial"/>
                <w:sz w:val="14"/>
                <w:szCs w:val="14"/>
                <w:color w:val="auto"/>
              </w:rPr>
              <w:t>$0</w:t>
            </w:r>
          </w:p>
        </w:tc>
        <w:tc>
          <w:tcPr>
            <w:tcW w:w="1080" w:type="dxa"/>
            <w:vAlign w:val="bottom"/>
          </w:tcPr>
          <w:p>
            <w:pPr>
              <w:ind w:left="120"/>
              <w:spacing w:after="0"/>
              <w:rPr>
                <w:sz w:val="20"/>
                <w:szCs w:val="20"/>
                <w:color w:val="auto"/>
              </w:rPr>
            </w:pPr>
            <w:r>
              <w:rPr>
                <w:rFonts w:ascii="Arial" w:cs="Arial" w:eastAsia="Arial" w:hAnsi="Arial"/>
                <w:sz w:val="14"/>
                <w:szCs w:val="14"/>
                <w:color w:val="auto"/>
              </w:rPr>
              <w:t>($ 5,330,522)</w:t>
            </w:r>
          </w:p>
        </w:tc>
        <w:tc>
          <w:tcPr>
            <w:tcW w:w="0" w:type="dxa"/>
            <w:vAlign w:val="bottom"/>
          </w:tcPr>
          <w:p>
            <w:pPr>
              <w:spacing w:after="0"/>
              <w:rPr>
                <w:sz w:val="1"/>
                <w:szCs w:val="1"/>
                <w:color w:val="auto"/>
              </w:rPr>
            </w:pPr>
          </w:p>
        </w:tc>
      </w:tr>
      <w:tr>
        <w:trPr>
          <w:trHeight w:val="244"/>
        </w:trPr>
        <w:tc>
          <w:tcPr>
            <w:tcW w:w="480" w:type="dxa"/>
            <w:vAlign w:val="bottom"/>
            <w:tcBorders>
              <w:bottom w:val="single" w:sz="8" w:color="E5EBF7"/>
            </w:tcBorders>
            <w:shd w:val="clear" w:color="auto" w:fill="E5EBF7"/>
          </w:tcPr>
          <w:p>
            <w:pPr>
              <w:ind w:left="100"/>
              <w:spacing w:after="0"/>
              <w:rPr>
                <w:sz w:val="20"/>
                <w:szCs w:val="20"/>
                <w:color w:val="auto"/>
              </w:rPr>
            </w:pPr>
            <w:r>
              <w:rPr>
                <w:rFonts w:ascii="Arial" w:cs="Arial" w:eastAsia="Arial" w:hAnsi="Arial"/>
                <w:sz w:val="14"/>
                <w:szCs w:val="14"/>
                <w:b w:val="1"/>
                <w:bCs w:val="1"/>
                <w:color w:val="007FC4"/>
              </w:rPr>
              <w:t>2021</w:t>
            </w:r>
          </w:p>
        </w:tc>
        <w:tc>
          <w:tcPr>
            <w:tcW w:w="1020" w:type="dxa"/>
            <w:vAlign w:val="bottom"/>
            <w:tcBorders>
              <w:bottom w:val="single" w:sz="8" w:color="E5EBF7"/>
            </w:tcBorders>
            <w:shd w:val="clear" w:color="auto" w:fill="E5EBF7"/>
          </w:tcPr>
          <w:p>
            <w:pPr>
              <w:ind w:left="160"/>
              <w:spacing w:after="0"/>
              <w:rPr>
                <w:sz w:val="20"/>
                <w:szCs w:val="20"/>
                <w:color w:val="auto"/>
              </w:rPr>
            </w:pPr>
            <w:r>
              <w:rPr>
                <w:rFonts w:ascii="Arial" w:cs="Arial" w:eastAsia="Arial" w:hAnsi="Arial"/>
                <w:sz w:val="14"/>
                <w:szCs w:val="14"/>
                <w:color w:val="auto"/>
              </w:rPr>
              <w:t>$16,395,788</w:t>
            </w:r>
          </w:p>
        </w:tc>
        <w:tc>
          <w:tcPr>
            <w:tcW w:w="1360" w:type="dxa"/>
            <w:vAlign w:val="bottom"/>
            <w:tcBorders>
              <w:bottom w:val="single" w:sz="8" w:color="E5EBF7"/>
            </w:tcBorders>
            <w:shd w:val="clear" w:color="auto" w:fill="E5EBF7"/>
          </w:tcPr>
          <w:p>
            <w:pPr>
              <w:ind w:left="400"/>
              <w:spacing w:after="0"/>
              <w:rPr>
                <w:sz w:val="20"/>
                <w:szCs w:val="20"/>
                <w:color w:val="auto"/>
              </w:rPr>
            </w:pPr>
            <w:r>
              <w:rPr>
                <w:rFonts w:ascii="Arial" w:cs="Arial" w:eastAsia="Arial" w:hAnsi="Arial"/>
                <w:sz w:val="14"/>
                <w:szCs w:val="14"/>
                <w:color w:val="auto"/>
              </w:rPr>
              <w:t>$12,685,867</w:t>
            </w:r>
          </w:p>
        </w:tc>
        <w:tc>
          <w:tcPr>
            <w:tcW w:w="1180" w:type="dxa"/>
            <w:vAlign w:val="bottom"/>
            <w:tcBorders>
              <w:bottom w:val="single" w:sz="8" w:color="E5EBF7"/>
            </w:tcBorders>
            <w:gridSpan w:val="2"/>
            <w:shd w:val="clear" w:color="auto" w:fill="E5EBF7"/>
          </w:tcPr>
          <w:p>
            <w:pPr>
              <w:jc w:val="right"/>
              <w:spacing w:after="0"/>
              <w:rPr>
                <w:sz w:val="20"/>
                <w:szCs w:val="20"/>
                <w:color w:val="auto"/>
              </w:rPr>
            </w:pPr>
            <w:r>
              <w:rPr>
                <w:rFonts w:ascii="Arial" w:cs="Arial" w:eastAsia="Arial" w:hAnsi="Arial"/>
                <w:sz w:val="14"/>
                <w:szCs w:val="14"/>
                <w:color w:val="auto"/>
              </w:rPr>
              <w:t>$3,523,500</w:t>
            </w:r>
          </w:p>
        </w:tc>
        <w:tc>
          <w:tcPr>
            <w:tcW w:w="1140" w:type="dxa"/>
            <w:vAlign w:val="bottom"/>
            <w:tcBorders>
              <w:bottom w:val="single" w:sz="8" w:color="E5EBF7"/>
            </w:tcBorders>
            <w:shd w:val="clear" w:color="auto" w:fill="E5EBF7"/>
          </w:tcPr>
          <w:p>
            <w:pPr>
              <w:ind w:left="280"/>
              <w:spacing w:after="0"/>
              <w:rPr>
                <w:sz w:val="20"/>
                <w:szCs w:val="20"/>
                <w:color w:val="auto"/>
              </w:rPr>
            </w:pPr>
            <w:r>
              <w:rPr>
                <w:rFonts w:ascii="Arial" w:cs="Arial" w:eastAsia="Arial" w:hAnsi="Arial"/>
                <w:sz w:val="14"/>
                <w:szCs w:val="14"/>
                <w:color w:val="auto"/>
              </w:rPr>
              <w:t>$7,385,103</w:t>
            </w:r>
          </w:p>
        </w:tc>
        <w:tc>
          <w:tcPr>
            <w:tcW w:w="110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E5EBF7"/>
            </w:tcBorders>
            <w:shd w:val="clear" w:color="auto" w:fill="E5EBF7"/>
          </w:tcPr>
          <w:p>
            <w:pPr>
              <w:jc w:val="right"/>
              <w:ind w:right="15"/>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E5EBF7"/>
            </w:tcBorders>
            <w:shd w:val="clear" w:color="auto" w:fill="E5EBF7"/>
          </w:tcPr>
          <w:p>
            <w:pPr>
              <w:ind w:left="120"/>
              <w:spacing w:after="0"/>
              <w:rPr>
                <w:sz w:val="20"/>
                <w:szCs w:val="20"/>
                <w:color w:val="auto"/>
              </w:rPr>
            </w:pPr>
            <w:r>
              <w:rPr>
                <w:rFonts w:ascii="Arial" w:cs="Arial" w:eastAsia="Arial" w:hAnsi="Arial"/>
                <w:sz w:val="14"/>
                <w:szCs w:val="14"/>
                <w:color w:val="auto"/>
              </w:rPr>
              <w:t>$39,990,258</w:t>
            </w:r>
          </w:p>
        </w:tc>
        <w:tc>
          <w:tcPr>
            <w:tcW w:w="0" w:type="dxa"/>
            <w:vAlign w:val="bottom"/>
          </w:tcPr>
          <w:p>
            <w:pPr>
              <w:spacing w:after="0"/>
              <w:rPr>
                <w:sz w:val="1"/>
                <w:szCs w:val="1"/>
                <w:color w:val="auto"/>
              </w:rPr>
            </w:pPr>
          </w:p>
        </w:tc>
      </w:tr>
      <w:tr>
        <w:trPr>
          <w:trHeight w:val="20"/>
        </w:trPr>
        <w:tc>
          <w:tcPr>
            <w:tcW w:w="480" w:type="dxa"/>
            <w:vAlign w:val="bottom"/>
            <w:shd w:val="clear" w:color="auto" w:fill="007FC4"/>
          </w:tcPr>
          <w:p>
            <w:pPr>
              <w:spacing w:after="0" w:line="20" w:lineRule="exact"/>
              <w:rPr>
                <w:sz w:val="1"/>
                <w:szCs w:val="1"/>
                <w:color w:val="auto"/>
              </w:rPr>
            </w:pPr>
          </w:p>
        </w:tc>
        <w:tc>
          <w:tcPr>
            <w:tcW w:w="1020" w:type="dxa"/>
            <w:vAlign w:val="bottom"/>
            <w:shd w:val="clear" w:color="auto" w:fill="007FC4"/>
          </w:tcPr>
          <w:p>
            <w:pPr>
              <w:spacing w:after="0" w:line="20" w:lineRule="exact"/>
              <w:rPr>
                <w:sz w:val="1"/>
                <w:szCs w:val="1"/>
                <w:color w:val="auto"/>
              </w:rPr>
            </w:pPr>
          </w:p>
        </w:tc>
        <w:tc>
          <w:tcPr>
            <w:tcW w:w="1360" w:type="dxa"/>
            <w:vAlign w:val="bottom"/>
            <w:shd w:val="clear" w:color="auto" w:fill="007FC4"/>
          </w:tcPr>
          <w:p>
            <w:pPr>
              <w:spacing w:after="0" w:line="20" w:lineRule="exact"/>
              <w:rPr>
                <w:sz w:val="1"/>
                <w:szCs w:val="1"/>
                <w:color w:val="auto"/>
              </w:rPr>
            </w:pPr>
          </w:p>
        </w:tc>
        <w:tc>
          <w:tcPr>
            <w:tcW w:w="640" w:type="dxa"/>
            <w:vAlign w:val="bottom"/>
            <w:shd w:val="clear" w:color="auto" w:fill="007FC4"/>
          </w:tcPr>
          <w:p>
            <w:pPr>
              <w:spacing w:after="0" w:line="20" w:lineRule="exact"/>
              <w:rPr>
                <w:sz w:val="1"/>
                <w:szCs w:val="1"/>
                <w:color w:val="auto"/>
              </w:rPr>
            </w:pPr>
          </w:p>
        </w:tc>
        <w:tc>
          <w:tcPr>
            <w:tcW w:w="540" w:type="dxa"/>
            <w:vAlign w:val="bottom"/>
            <w:shd w:val="clear" w:color="auto" w:fill="007FC4"/>
          </w:tcPr>
          <w:p>
            <w:pPr>
              <w:spacing w:after="0" w:line="20" w:lineRule="exact"/>
              <w:rPr>
                <w:sz w:val="1"/>
                <w:szCs w:val="1"/>
                <w:color w:val="auto"/>
              </w:rPr>
            </w:pPr>
          </w:p>
        </w:tc>
        <w:tc>
          <w:tcPr>
            <w:tcW w:w="1140" w:type="dxa"/>
            <w:vAlign w:val="bottom"/>
            <w:shd w:val="clear" w:color="auto" w:fill="007FC4"/>
          </w:tcPr>
          <w:p>
            <w:pPr>
              <w:spacing w:after="0" w:line="20" w:lineRule="exact"/>
              <w:rPr>
                <w:sz w:val="1"/>
                <w:szCs w:val="1"/>
                <w:color w:val="auto"/>
              </w:rPr>
            </w:pPr>
          </w:p>
        </w:tc>
        <w:tc>
          <w:tcPr>
            <w:tcW w:w="1100" w:type="dxa"/>
            <w:vAlign w:val="bottom"/>
            <w:shd w:val="clear" w:color="auto" w:fill="007FC4"/>
          </w:tcPr>
          <w:p>
            <w:pPr>
              <w:spacing w:after="0" w:line="20" w:lineRule="exact"/>
              <w:rPr>
                <w:sz w:val="1"/>
                <w:szCs w:val="1"/>
                <w:color w:val="auto"/>
              </w:rPr>
            </w:pPr>
          </w:p>
        </w:tc>
        <w:tc>
          <w:tcPr>
            <w:tcW w:w="1340" w:type="dxa"/>
            <w:vAlign w:val="bottom"/>
            <w:shd w:val="clear" w:color="auto" w:fill="007FC4"/>
          </w:tcPr>
          <w:p>
            <w:pPr>
              <w:spacing w:after="0" w:line="20" w:lineRule="exact"/>
              <w:rPr>
                <w:sz w:val="1"/>
                <w:szCs w:val="1"/>
                <w:color w:val="auto"/>
              </w:rPr>
            </w:pPr>
          </w:p>
        </w:tc>
        <w:tc>
          <w:tcPr>
            <w:tcW w:w="108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160" w:right="940" w:hanging="354"/>
        <w:spacing w:after="0" w:line="251" w:lineRule="auto"/>
        <w:tabs>
          <w:tab w:leader="none" w:pos="1160" w:val="left"/>
        </w:tabs>
        <w:numPr>
          <w:ilvl w:val="0"/>
          <w:numId w:val="86"/>
        </w:numPr>
        <w:rPr>
          <w:rFonts w:ascii="Arial" w:cs="Arial" w:eastAsia="Arial" w:hAnsi="Arial"/>
          <w:sz w:val="12"/>
          <w:szCs w:val="12"/>
          <w:color w:val="333333"/>
        </w:rPr>
      </w:pPr>
      <w:r>
        <w:rPr>
          <w:rFonts w:ascii="Arial" w:cs="Arial" w:eastAsia="Arial" w:hAnsi="Arial"/>
          <w:sz w:val="12"/>
          <w:szCs w:val="12"/>
          <w:color w:val="333333"/>
        </w:rPr>
        <w:t>The dollar amounts reported in column (d) represent the average of the amounts reported for our NEOs as a group (excluding Mr. Massaro, who has served as our CEO since 2013) in the Total column of the Summary Compensation Table in each applicable year. The names of each of the NEOs (excluding Mr. Massaro) included for purposes of calculating the average amounts in each applicable year are as follows: (i) for 2023, Robert Orgel, Michael Ellis, Peter Butterfield and David King, (ii) for 2022, Robert Orgel, Michael Ellis, Sharon Butler and David King; and (iii) for 2021, Robert Orgel and Michael Ellis.</w:t>
      </w:r>
    </w:p>
    <w:p>
      <w:pPr>
        <w:spacing w:after="0" w:line="70" w:lineRule="exact"/>
        <w:rPr>
          <w:rFonts w:ascii="Arial" w:cs="Arial" w:eastAsia="Arial" w:hAnsi="Arial"/>
          <w:sz w:val="12"/>
          <w:szCs w:val="12"/>
          <w:color w:val="333333"/>
        </w:rPr>
      </w:pPr>
    </w:p>
    <w:p>
      <w:pPr>
        <w:ind w:left="1160" w:right="980" w:hanging="354"/>
        <w:spacing w:after="0" w:line="226" w:lineRule="auto"/>
        <w:tabs>
          <w:tab w:leader="none" w:pos="1160" w:val="left"/>
        </w:tabs>
        <w:numPr>
          <w:ilvl w:val="0"/>
          <w:numId w:val="86"/>
        </w:numPr>
        <w:rPr>
          <w:rFonts w:ascii="Arial" w:cs="Arial" w:eastAsia="Arial" w:hAnsi="Arial"/>
          <w:sz w:val="13"/>
          <w:szCs w:val="13"/>
          <w:color w:val="333333"/>
        </w:rPr>
      </w:pPr>
      <w:r>
        <w:rPr>
          <w:rFonts w:ascii="Arial" w:cs="Arial" w:eastAsia="Arial" w:hAnsi="Arial"/>
          <w:sz w:val="13"/>
          <w:szCs w:val="13"/>
          <w:color w:val="333333"/>
        </w:rPr>
        <w:t>The dollar amounts reported in column (e) represent the average amount of compensation actually paid to the NEOs as a group (excluding Mr. Massaro), as computed in accordance with Item 402(v) of Regulation S-K. The dollar amounts do not reflect the actual average amount of compensation earned by or paid to the NEOs as a group (excluding Mr. Massaro) during the applicable year. In accordance with the requirements of Item 402(v) of Regulation S-K, the following adjustments were made to average total compensation for the NEOs as a group (excluding Mr. Massaro) for each year to determine the compensation actually paid, using the same methodology described above in Footnote (2)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0" w:type="dxa"/>
            <w:vAlign w:val="bottom"/>
          </w:tcPr>
          <w:p>
            <w:pPr>
              <w:jc w:val="right"/>
              <w:ind w:right="175"/>
              <w:spacing w:after="0"/>
              <w:rPr>
                <w:sz w:val="20"/>
                <w:szCs w:val="20"/>
                <w:color w:val="auto"/>
              </w:rPr>
            </w:pPr>
            <w:r>
              <w:rPr>
                <w:rFonts w:ascii="Arial" w:cs="Arial" w:eastAsia="Arial" w:hAnsi="Arial"/>
                <w:sz w:val="13"/>
                <w:szCs w:val="13"/>
                <w:b w:val="1"/>
                <w:bCs w:val="1"/>
                <w:color w:val="auto"/>
              </w:rPr>
              <w:t>AVERAGE</w:t>
            </w:r>
          </w:p>
        </w:tc>
        <w:tc>
          <w:tcPr>
            <w:tcW w:w="1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0" w:type="dxa"/>
            <w:vAlign w:val="bottom"/>
          </w:tcPr>
          <w:p>
            <w:pPr>
              <w:jc w:val="right"/>
              <w:ind w:right="175"/>
              <w:spacing w:after="0" w:line="135" w:lineRule="exact"/>
              <w:rPr>
                <w:sz w:val="20"/>
                <w:szCs w:val="20"/>
                <w:color w:val="auto"/>
              </w:rPr>
            </w:pPr>
            <w:r>
              <w:rPr>
                <w:rFonts w:ascii="Arial" w:cs="Arial" w:eastAsia="Arial" w:hAnsi="Arial"/>
                <w:sz w:val="13"/>
                <w:szCs w:val="13"/>
                <w:b w:val="1"/>
                <w:bCs w:val="1"/>
                <w:color w:val="auto"/>
              </w:rPr>
              <w:t>REPORTED</w:t>
            </w:r>
          </w:p>
        </w:tc>
        <w:tc>
          <w:tcPr>
            <w:tcW w:w="1980" w:type="dxa"/>
            <w:vAlign w:val="bottom"/>
            <w:vMerge w:val="restart"/>
          </w:tcPr>
          <w:p>
            <w:pPr>
              <w:jc w:val="right"/>
              <w:ind w:right="654"/>
              <w:spacing w:after="0"/>
              <w:rPr>
                <w:sz w:val="20"/>
                <w:szCs w:val="20"/>
                <w:color w:val="auto"/>
              </w:rPr>
            </w:pPr>
            <w:r>
              <w:rPr>
                <w:rFonts w:ascii="Arial" w:cs="Arial" w:eastAsia="Arial" w:hAnsi="Arial"/>
                <w:sz w:val="13"/>
                <w:szCs w:val="13"/>
                <w:b w:val="1"/>
                <w:bCs w:val="1"/>
                <w:color w:val="auto"/>
              </w:rPr>
              <w:t>AVERAGE</w:t>
            </w:r>
          </w:p>
        </w:tc>
        <w:tc>
          <w:tcPr>
            <w:tcW w:w="1520" w:type="dxa"/>
            <w:vAlign w:val="bottom"/>
          </w:tcPr>
          <w:p>
            <w:pPr>
              <w:spacing w:after="0"/>
              <w:rPr>
                <w:sz w:val="11"/>
                <w:szCs w:val="11"/>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AVERAGE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0" w:type="dxa"/>
            <w:vAlign w:val="bottom"/>
          </w:tcPr>
          <w:p>
            <w:pPr>
              <w:jc w:val="right"/>
              <w:ind w:right="175"/>
              <w:spacing w:after="0" w:line="135" w:lineRule="exact"/>
              <w:rPr>
                <w:sz w:val="20"/>
                <w:szCs w:val="20"/>
                <w:color w:val="auto"/>
              </w:rPr>
            </w:pPr>
            <w:r>
              <w:rPr>
                <w:rFonts w:ascii="Arial" w:cs="Arial" w:eastAsia="Arial" w:hAnsi="Arial"/>
                <w:sz w:val="13"/>
                <w:szCs w:val="13"/>
                <w:b w:val="1"/>
                <w:bCs w:val="1"/>
                <w:color w:val="auto"/>
              </w:rPr>
              <w:t>SUMMARY</w:t>
            </w:r>
          </w:p>
        </w:tc>
        <w:tc>
          <w:tcPr>
            <w:tcW w:w="198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COMPENSATION</w:t>
            </w:r>
          </w:p>
        </w:tc>
        <w:tc>
          <w:tcPr>
            <w:tcW w:w="1980" w:type="dxa"/>
            <w:vAlign w:val="bottom"/>
          </w:tcPr>
          <w:p>
            <w:pPr>
              <w:jc w:val="right"/>
              <w:ind w:right="654"/>
              <w:spacing w:after="0" w:line="135" w:lineRule="exact"/>
              <w:rPr>
                <w:sz w:val="20"/>
                <w:szCs w:val="20"/>
                <w:color w:val="auto"/>
              </w:rPr>
            </w:pPr>
            <w:r>
              <w:rPr>
                <w:rFonts w:ascii="Arial" w:cs="Arial" w:eastAsia="Arial" w:hAnsi="Arial"/>
                <w:sz w:val="13"/>
                <w:szCs w:val="13"/>
                <w:b w:val="1"/>
                <w:bCs w:val="1"/>
                <w:color w:val="auto"/>
              </w:rPr>
              <w:t>REPORTED</w:t>
            </w:r>
          </w:p>
        </w:tc>
        <w:tc>
          <w:tcPr>
            <w:tcW w:w="15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AVERAGE</w:t>
            </w:r>
          </w:p>
        </w:tc>
        <w:tc>
          <w:tcPr>
            <w:tcW w:w="15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COMPENSATION</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jc w:val="right"/>
              <w:ind w:right="175"/>
              <w:spacing w:after="0" w:line="126" w:lineRule="exact"/>
              <w:rPr>
                <w:sz w:val="20"/>
                <w:szCs w:val="20"/>
                <w:color w:val="auto"/>
              </w:rPr>
            </w:pPr>
            <w:r>
              <w:rPr>
                <w:rFonts w:ascii="Arial" w:cs="Arial" w:eastAsia="Arial" w:hAnsi="Arial"/>
                <w:sz w:val="13"/>
                <w:szCs w:val="13"/>
                <w:b w:val="1"/>
                <w:bCs w:val="1"/>
                <w:color w:val="auto"/>
              </w:rPr>
              <w:t>TABLE TOTAL</w:t>
            </w:r>
          </w:p>
        </w:tc>
        <w:tc>
          <w:tcPr>
            <w:tcW w:w="1980" w:type="dxa"/>
            <w:vAlign w:val="bottom"/>
          </w:tcPr>
          <w:p>
            <w:pPr>
              <w:jc w:val="right"/>
              <w:ind w:right="654"/>
              <w:spacing w:after="0" w:line="126" w:lineRule="exact"/>
              <w:rPr>
                <w:sz w:val="20"/>
                <w:szCs w:val="20"/>
                <w:color w:val="auto"/>
              </w:rPr>
            </w:pPr>
            <w:r>
              <w:rPr>
                <w:rFonts w:ascii="Arial" w:cs="Arial" w:eastAsia="Arial" w:hAnsi="Arial"/>
                <w:sz w:val="13"/>
                <w:szCs w:val="13"/>
                <w:b w:val="1"/>
                <w:bCs w:val="1"/>
                <w:color w:val="auto"/>
              </w:rPr>
              <w:t>VALUE OF</w:t>
            </w:r>
          </w:p>
        </w:tc>
        <w:tc>
          <w:tcPr>
            <w:tcW w:w="1520" w:type="dxa"/>
            <w:vAlign w:val="bottom"/>
            <w:vMerge w:val="continue"/>
          </w:tcPr>
          <w:p>
            <w:pPr>
              <w:spacing w:after="0"/>
              <w:rPr>
                <w:sz w:val="10"/>
                <w:szCs w:val="10"/>
                <w:color w:val="auto"/>
              </w:rPr>
            </w:pPr>
          </w:p>
        </w:tc>
        <w:tc>
          <w:tcPr>
            <w:tcW w:w="1500" w:type="dxa"/>
            <w:vAlign w:val="bottom"/>
          </w:tcPr>
          <w:p>
            <w:pPr>
              <w:jc w:val="right"/>
              <w:ind w:right="34"/>
              <w:spacing w:after="0" w:line="126" w:lineRule="exact"/>
              <w:rPr>
                <w:sz w:val="20"/>
                <w:szCs w:val="20"/>
                <w:color w:val="auto"/>
              </w:rPr>
            </w:pPr>
            <w:r>
              <w:rPr>
                <w:rFonts w:ascii="Arial" w:cs="Arial" w:eastAsia="Arial" w:hAnsi="Arial"/>
                <w:sz w:val="13"/>
                <w:szCs w:val="13"/>
                <w:b w:val="1"/>
                <w:bCs w:val="1"/>
                <w:color w:val="auto"/>
              </w:rPr>
              <w:t>ACTUALLY PAID</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6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YEAR</w:t>
            </w:r>
          </w:p>
        </w:tc>
        <w:tc>
          <w:tcPr>
            <w:tcW w:w="2400" w:type="dxa"/>
            <w:vAlign w:val="bottom"/>
          </w:tcPr>
          <w:p>
            <w:pPr>
              <w:jc w:val="right"/>
              <w:ind w:right="175"/>
              <w:spacing w:after="0" w:line="135" w:lineRule="exact"/>
              <w:rPr>
                <w:sz w:val="20"/>
                <w:szCs w:val="20"/>
                <w:color w:val="auto"/>
              </w:rPr>
            </w:pPr>
            <w:r>
              <w:rPr>
                <w:rFonts w:ascii="Arial" w:cs="Arial" w:eastAsia="Arial" w:hAnsi="Arial"/>
                <w:sz w:val="13"/>
                <w:szCs w:val="13"/>
                <w:b w:val="1"/>
                <w:bCs w:val="1"/>
                <w:color w:val="auto"/>
              </w:rPr>
              <w:t>FOR NON-PEO</w:t>
            </w:r>
          </w:p>
        </w:tc>
        <w:tc>
          <w:tcPr>
            <w:tcW w:w="1980" w:type="dxa"/>
            <w:vAlign w:val="bottom"/>
          </w:tcPr>
          <w:p>
            <w:pPr>
              <w:jc w:val="right"/>
              <w:ind w:right="654"/>
              <w:spacing w:after="0" w:line="135" w:lineRule="exact"/>
              <w:rPr>
                <w:sz w:val="20"/>
                <w:szCs w:val="20"/>
                <w:color w:val="auto"/>
              </w:rPr>
            </w:pPr>
            <w:r>
              <w:rPr>
                <w:rFonts w:ascii="Arial" w:cs="Arial" w:eastAsia="Arial" w:hAnsi="Arial"/>
                <w:sz w:val="13"/>
                <w:szCs w:val="13"/>
                <w:b w:val="1"/>
                <w:bCs w:val="1"/>
                <w:color w:val="auto"/>
              </w:rPr>
              <w:t>EQUITY</w:t>
            </w:r>
          </w:p>
        </w:tc>
        <w:tc>
          <w:tcPr>
            <w:tcW w:w="1520" w:type="dxa"/>
            <w:vAlign w:val="bottom"/>
          </w:tcPr>
          <w:p>
            <w:pPr>
              <w:jc w:val="right"/>
              <w:ind w:right="333"/>
              <w:spacing w:after="0" w:line="135" w:lineRule="exact"/>
              <w:rPr>
                <w:sz w:val="20"/>
                <w:szCs w:val="20"/>
                <w:color w:val="auto"/>
              </w:rPr>
            </w:pPr>
            <w:r>
              <w:rPr>
                <w:rFonts w:ascii="Arial" w:cs="Arial" w:eastAsia="Arial" w:hAnsi="Arial"/>
                <w:sz w:val="13"/>
                <w:szCs w:val="13"/>
                <w:b w:val="1"/>
                <w:bCs w:val="1"/>
                <w:color w:val="auto"/>
              </w:rPr>
              <w:t>EQUITY AWARD</w:t>
            </w:r>
          </w:p>
        </w:tc>
        <w:tc>
          <w:tcPr>
            <w:tcW w:w="15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TO NON-PEO</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2400" w:type="dxa"/>
            <w:vAlign w:val="bottom"/>
          </w:tcPr>
          <w:p>
            <w:pPr>
              <w:jc w:val="right"/>
              <w:ind w:right="135"/>
              <w:spacing w:after="0"/>
              <w:rPr>
                <w:sz w:val="20"/>
                <w:szCs w:val="20"/>
                <w:color w:val="auto"/>
              </w:rPr>
            </w:pPr>
            <w:r>
              <w:rPr>
                <w:rFonts w:ascii="Arial" w:cs="Arial" w:eastAsia="Arial" w:hAnsi="Arial"/>
                <w:sz w:val="13"/>
                <w:szCs w:val="13"/>
                <w:b w:val="1"/>
                <w:bCs w:val="1"/>
                <w:color w:val="auto"/>
              </w:rPr>
              <w:t>NEOS</w:t>
            </w:r>
          </w:p>
        </w:tc>
        <w:tc>
          <w:tcPr>
            <w:tcW w:w="1980" w:type="dxa"/>
            <w:vAlign w:val="bottom"/>
          </w:tcPr>
          <w:p>
            <w:pPr>
              <w:jc w:val="right"/>
              <w:ind w:right="614"/>
              <w:spacing w:after="0"/>
              <w:rPr>
                <w:sz w:val="20"/>
                <w:szCs w:val="20"/>
                <w:color w:val="auto"/>
              </w:rPr>
            </w:pPr>
            <w:r>
              <w:rPr>
                <w:rFonts w:ascii="Arial" w:cs="Arial" w:eastAsia="Arial" w:hAnsi="Arial"/>
                <w:sz w:val="13"/>
                <w:szCs w:val="13"/>
                <w:b w:val="1"/>
                <w:bCs w:val="1"/>
                <w:color w:val="auto"/>
              </w:rPr>
              <w:t>AWARDS</w:t>
            </w:r>
          </w:p>
        </w:tc>
        <w:tc>
          <w:tcPr>
            <w:tcW w:w="1520" w:type="dxa"/>
            <w:vAlign w:val="bottom"/>
          </w:tcPr>
          <w:p>
            <w:pPr>
              <w:ind w:left="80"/>
              <w:spacing w:after="0"/>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(a)</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NEOS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180" w:type="dxa"/>
            <w:vAlign w:val="bottom"/>
          </w:tcPr>
          <w:p>
            <w:pPr>
              <w:spacing w:after="0"/>
              <w:rPr>
                <w:sz w:val="24"/>
                <w:szCs w:val="24"/>
                <w:color w:val="auto"/>
              </w:rPr>
            </w:pPr>
          </w:p>
        </w:tc>
        <w:tc>
          <w:tcPr>
            <w:tcW w:w="1620" w:type="dxa"/>
            <w:vAlign w:val="bottom"/>
            <w:shd w:val="clear" w:color="auto" w:fill="E5EBF7"/>
          </w:tcPr>
          <w:p>
            <w:pPr>
              <w:ind w:left="140"/>
              <w:spacing w:after="0"/>
              <w:rPr>
                <w:sz w:val="20"/>
                <w:szCs w:val="20"/>
                <w:color w:val="auto"/>
              </w:rPr>
            </w:pPr>
            <w:r>
              <w:rPr>
                <w:rFonts w:ascii="Arial" w:cs="Arial" w:eastAsia="Arial" w:hAnsi="Arial"/>
                <w:sz w:val="14"/>
                <w:szCs w:val="14"/>
                <w:b w:val="1"/>
                <w:bCs w:val="1"/>
                <w:color w:val="007FC4"/>
              </w:rPr>
              <w:t>2023</w:t>
            </w:r>
          </w:p>
        </w:tc>
        <w:tc>
          <w:tcPr>
            <w:tcW w:w="2400" w:type="dxa"/>
            <w:vAlign w:val="bottom"/>
            <w:shd w:val="clear" w:color="auto" w:fill="E5EBF7"/>
          </w:tcPr>
          <w:p>
            <w:pPr>
              <w:jc w:val="right"/>
              <w:ind w:right="135"/>
              <w:spacing w:after="0"/>
              <w:rPr>
                <w:sz w:val="20"/>
                <w:szCs w:val="20"/>
                <w:color w:val="auto"/>
              </w:rPr>
            </w:pPr>
            <w:r>
              <w:rPr>
                <w:rFonts w:ascii="Arial" w:cs="Arial" w:eastAsia="Arial" w:hAnsi="Arial"/>
                <w:sz w:val="14"/>
                <w:szCs w:val="14"/>
                <w:color w:val="auto"/>
              </w:rPr>
              <w:t>$3,544,157</w:t>
            </w:r>
          </w:p>
        </w:tc>
        <w:tc>
          <w:tcPr>
            <w:tcW w:w="1980" w:type="dxa"/>
            <w:vAlign w:val="bottom"/>
            <w:shd w:val="clear" w:color="auto" w:fill="E5EBF7"/>
          </w:tcPr>
          <w:p>
            <w:pPr>
              <w:jc w:val="right"/>
              <w:ind w:right="614"/>
              <w:spacing w:after="0"/>
              <w:rPr>
                <w:sz w:val="20"/>
                <w:szCs w:val="20"/>
                <w:color w:val="auto"/>
              </w:rPr>
            </w:pPr>
            <w:r>
              <w:rPr>
                <w:rFonts w:ascii="Arial" w:cs="Arial" w:eastAsia="Arial" w:hAnsi="Arial"/>
                <w:sz w:val="14"/>
                <w:szCs w:val="14"/>
                <w:color w:val="auto"/>
              </w:rPr>
              <w:t>($2,972,501)</w:t>
            </w:r>
          </w:p>
        </w:tc>
        <w:tc>
          <w:tcPr>
            <w:tcW w:w="1520" w:type="dxa"/>
            <w:vAlign w:val="bottom"/>
            <w:shd w:val="clear" w:color="auto" w:fill="E5EBF7"/>
          </w:tcPr>
          <w:p>
            <w:pPr>
              <w:ind w:left="260"/>
              <w:spacing w:after="0"/>
              <w:rPr>
                <w:sz w:val="20"/>
                <w:szCs w:val="20"/>
                <w:color w:val="auto"/>
              </w:rPr>
            </w:pPr>
            <w:r>
              <w:rPr>
                <w:rFonts w:ascii="Arial" w:cs="Arial" w:eastAsia="Arial" w:hAnsi="Arial"/>
                <w:sz w:val="14"/>
                <w:szCs w:val="14"/>
                <w:color w:val="auto"/>
              </w:rPr>
              <w:t>$ 2,958,657</w:t>
            </w:r>
          </w:p>
        </w:tc>
        <w:tc>
          <w:tcPr>
            <w:tcW w:w="1500" w:type="dxa"/>
            <w:vAlign w:val="bottom"/>
            <w:shd w:val="clear" w:color="auto" w:fill="E5EBF7"/>
          </w:tcPr>
          <w:p>
            <w:pPr>
              <w:ind w:left="540"/>
              <w:spacing w:after="0"/>
              <w:rPr>
                <w:sz w:val="20"/>
                <w:szCs w:val="20"/>
                <w:color w:val="auto"/>
              </w:rPr>
            </w:pPr>
            <w:r>
              <w:rPr>
                <w:rFonts w:ascii="Arial" w:cs="Arial" w:eastAsia="Arial" w:hAnsi="Arial"/>
                <w:sz w:val="14"/>
                <w:szCs w:val="14"/>
                <w:color w:val="auto"/>
              </w:rPr>
              <w:t>$ 3,530,313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180" w:type="dxa"/>
            <w:vAlign w:val="bottom"/>
          </w:tcPr>
          <w:p>
            <w:pPr>
              <w:spacing w:after="0"/>
              <w:rPr>
                <w:sz w:val="7"/>
                <w:szCs w:val="7"/>
                <w:color w:val="auto"/>
              </w:rPr>
            </w:pPr>
          </w:p>
        </w:tc>
        <w:tc>
          <w:tcPr>
            <w:tcW w:w="1620" w:type="dxa"/>
            <w:vAlign w:val="bottom"/>
            <w:shd w:val="clear" w:color="auto" w:fill="E5EBF7"/>
          </w:tcPr>
          <w:p>
            <w:pPr>
              <w:spacing w:after="0"/>
              <w:rPr>
                <w:sz w:val="7"/>
                <w:szCs w:val="7"/>
                <w:color w:val="auto"/>
              </w:rPr>
            </w:pPr>
          </w:p>
        </w:tc>
        <w:tc>
          <w:tcPr>
            <w:tcW w:w="2400" w:type="dxa"/>
            <w:vAlign w:val="bottom"/>
            <w:shd w:val="clear" w:color="auto" w:fill="E5EBF7"/>
          </w:tcPr>
          <w:p>
            <w:pPr>
              <w:spacing w:after="0"/>
              <w:rPr>
                <w:sz w:val="7"/>
                <w:szCs w:val="7"/>
                <w:color w:val="auto"/>
              </w:rPr>
            </w:pPr>
          </w:p>
        </w:tc>
        <w:tc>
          <w:tcPr>
            <w:tcW w:w="1980" w:type="dxa"/>
            <w:vAlign w:val="bottom"/>
            <w:shd w:val="clear" w:color="auto" w:fill="E5EBF7"/>
          </w:tcPr>
          <w:p>
            <w:pPr>
              <w:spacing w:after="0"/>
              <w:rPr>
                <w:sz w:val="7"/>
                <w:szCs w:val="7"/>
                <w:color w:val="auto"/>
              </w:rPr>
            </w:pPr>
          </w:p>
        </w:tc>
        <w:tc>
          <w:tcPr>
            <w:tcW w:w="1520" w:type="dxa"/>
            <w:vAlign w:val="bottom"/>
            <w:shd w:val="clear" w:color="auto" w:fill="E5EBF7"/>
          </w:tcPr>
          <w:p>
            <w:pPr>
              <w:spacing w:after="0"/>
              <w:rPr>
                <w:sz w:val="7"/>
                <w:szCs w:val="7"/>
                <w:color w:val="auto"/>
              </w:rPr>
            </w:pPr>
          </w:p>
        </w:tc>
        <w:tc>
          <w:tcPr>
            <w:tcW w:w="1500" w:type="dxa"/>
            <w:vAlign w:val="bottom"/>
            <w:shd w:val="clear" w:color="auto" w:fill="E5EBF7"/>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18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Arial" w:cs="Arial" w:eastAsia="Arial" w:hAnsi="Arial"/>
                <w:sz w:val="14"/>
                <w:szCs w:val="14"/>
                <w:b w:val="1"/>
                <w:bCs w:val="1"/>
                <w:color w:val="007FC4"/>
              </w:rPr>
              <w:t>2022</w:t>
            </w:r>
          </w:p>
        </w:tc>
        <w:tc>
          <w:tcPr>
            <w:tcW w:w="2400" w:type="dxa"/>
            <w:vAlign w:val="bottom"/>
          </w:tcPr>
          <w:p>
            <w:pPr>
              <w:jc w:val="right"/>
              <w:ind w:right="135"/>
              <w:spacing w:after="0"/>
              <w:rPr>
                <w:sz w:val="20"/>
                <w:szCs w:val="20"/>
                <w:color w:val="auto"/>
              </w:rPr>
            </w:pPr>
            <w:r>
              <w:rPr>
                <w:rFonts w:ascii="Arial" w:cs="Arial" w:eastAsia="Arial" w:hAnsi="Arial"/>
                <w:sz w:val="14"/>
                <w:szCs w:val="14"/>
                <w:color w:val="auto"/>
              </w:rPr>
              <w:t>$3,131,699</w:t>
            </w:r>
          </w:p>
        </w:tc>
        <w:tc>
          <w:tcPr>
            <w:tcW w:w="1980" w:type="dxa"/>
            <w:vAlign w:val="bottom"/>
          </w:tcPr>
          <w:p>
            <w:pPr>
              <w:jc w:val="right"/>
              <w:ind w:right="614"/>
              <w:spacing w:after="0"/>
              <w:rPr>
                <w:sz w:val="20"/>
                <w:szCs w:val="20"/>
                <w:color w:val="auto"/>
              </w:rPr>
            </w:pPr>
            <w:r>
              <w:rPr>
                <w:rFonts w:ascii="Arial" w:cs="Arial" w:eastAsia="Arial" w:hAnsi="Arial"/>
                <w:sz w:val="14"/>
                <w:szCs w:val="14"/>
                <w:color w:val="auto"/>
              </w:rPr>
              <w:t>($2,622,054)</w:t>
            </w:r>
          </w:p>
        </w:tc>
        <w:tc>
          <w:tcPr>
            <w:tcW w:w="1520" w:type="dxa"/>
            <w:vAlign w:val="bottom"/>
          </w:tcPr>
          <w:p>
            <w:pPr>
              <w:ind w:left="260"/>
              <w:spacing w:after="0"/>
              <w:rPr>
                <w:sz w:val="20"/>
                <w:szCs w:val="20"/>
                <w:color w:val="auto"/>
              </w:rPr>
            </w:pPr>
            <w:r>
              <w:rPr>
                <w:rFonts w:ascii="Arial" w:cs="Arial" w:eastAsia="Arial" w:hAnsi="Arial"/>
                <w:sz w:val="14"/>
                <w:szCs w:val="14"/>
                <w:color w:val="auto"/>
              </w:rPr>
              <w:t>($ 1,764,405)</w:t>
            </w:r>
          </w:p>
        </w:tc>
        <w:tc>
          <w:tcPr>
            <w:tcW w:w="1500" w:type="dxa"/>
            <w:vAlign w:val="bottom"/>
          </w:tcPr>
          <w:p>
            <w:pPr>
              <w:ind w:left="540"/>
              <w:spacing w:after="0"/>
              <w:rPr>
                <w:sz w:val="20"/>
                <w:szCs w:val="20"/>
                <w:color w:val="auto"/>
              </w:rPr>
            </w:pPr>
            <w:r>
              <w:rPr>
                <w:rFonts w:ascii="Arial" w:cs="Arial" w:eastAsia="Arial" w:hAnsi="Arial"/>
                <w:sz w:val="14"/>
                <w:szCs w:val="14"/>
                <w:color w:val="auto"/>
              </w:rPr>
              <w:t>($ 1,254,761)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1180" w:type="dxa"/>
            <w:vAlign w:val="bottom"/>
          </w:tcPr>
          <w:p>
            <w:pPr>
              <w:spacing w:after="0"/>
              <w:rPr>
                <w:sz w:val="24"/>
                <w:szCs w:val="24"/>
                <w:color w:val="auto"/>
              </w:rPr>
            </w:pPr>
          </w:p>
        </w:tc>
        <w:tc>
          <w:tcPr>
            <w:tcW w:w="1620" w:type="dxa"/>
            <w:vAlign w:val="bottom"/>
            <w:tcBorders>
              <w:bottom w:val="single" w:sz="8" w:color="E5EBF7"/>
            </w:tcBorders>
            <w:shd w:val="clear" w:color="auto" w:fill="E5EBF7"/>
          </w:tcPr>
          <w:p>
            <w:pPr>
              <w:ind w:left="140"/>
              <w:spacing w:after="0"/>
              <w:rPr>
                <w:sz w:val="20"/>
                <w:szCs w:val="20"/>
                <w:color w:val="auto"/>
              </w:rPr>
            </w:pPr>
            <w:r>
              <w:rPr>
                <w:rFonts w:ascii="Arial" w:cs="Arial" w:eastAsia="Arial" w:hAnsi="Arial"/>
                <w:sz w:val="14"/>
                <w:szCs w:val="14"/>
                <w:b w:val="1"/>
                <w:bCs w:val="1"/>
                <w:color w:val="007FC4"/>
              </w:rPr>
              <w:t>2021</w:t>
            </w:r>
          </w:p>
        </w:tc>
        <w:tc>
          <w:tcPr>
            <w:tcW w:w="2400" w:type="dxa"/>
            <w:vAlign w:val="bottom"/>
            <w:tcBorders>
              <w:bottom w:val="single" w:sz="8" w:color="E5EBF7"/>
            </w:tcBorders>
            <w:shd w:val="clear" w:color="auto" w:fill="E5EBF7"/>
          </w:tcPr>
          <w:p>
            <w:pPr>
              <w:jc w:val="right"/>
              <w:ind w:right="135"/>
              <w:spacing w:after="0"/>
              <w:rPr>
                <w:sz w:val="20"/>
                <w:szCs w:val="20"/>
                <w:color w:val="auto"/>
              </w:rPr>
            </w:pPr>
            <w:r>
              <w:rPr>
                <w:rFonts w:ascii="Arial" w:cs="Arial" w:eastAsia="Arial" w:hAnsi="Arial"/>
                <w:sz w:val="14"/>
                <w:szCs w:val="14"/>
                <w:color w:val="auto"/>
              </w:rPr>
              <w:t>$2,685,819</w:t>
            </w:r>
          </w:p>
        </w:tc>
        <w:tc>
          <w:tcPr>
            <w:tcW w:w="1980" w:type="dxa"/>
            <w:vAlign w:val="bottom"/>
            <w:tcBorders>
              <w:bottom w:val="single" w:sz="8" w:color="E5EBF7"/>
            </w:tcBorders>
            <w:shd w:val="clear" w:color="auto" w:fill="E5EBF7"/>
          </w:tcPr>
          <w:p>
            <w:pPr>
              <w:jc w:val="right"/>
              <w:ind w:right="614"/>
              <w:spacing w:after="0"/>
              <w:rPr>
                <w:sz w:val="20"/>
                <w:szCs w:val="20"/>
                <w:color w:val="auto"/>
              </w:rPr>
            </w:pPr>
            <w:r>
              <w:rPr>
                <w:rFonts w:ascii="Arial" w:cs="Arial" w:eastAsia="Arial" w:hAnsi="Arial"/>
                <w:sz w:val="14"/>
                <w:szCs w:val="14"/>
                <w:color w:val="auto"/>
              </w:rPr>
              <w:t>($2,178,165)</w:t>
            </w:r>
          </w:p>
        </w:tc>
        <w:tc>
          <w:tcPr>
            <w:tcW w:w="1520" w:type="dxa"/>
            <w:vAlign w:val="bottom"/>
            <w:tcBorders>
              <w:bottom w:val="single" w:sz="8" w:color="E5EBF7"/>
            </w:tcBorders>
            <w:shd w:val="clear" w:color="auto" w:fill="E5EBF7"/>
          </w:tcPr>
          <w:p>
            <w:pPr>
              <w:ind w:left="260"/>
              <w:spacing w:after="0"/>
              <w:rPr>
                <w:sz w:val="20"/>
                <w:szCs w:val="20"/>
                <w:color w:val="auto"/>
              </w:rPr>
            </w:pPr>
            <w:r>
              <w:rPr>
                <w:rFonts w:ascii="Arial" w:cs="Arial" w:eastAsia="Arial" w:hAnsi="Arial"/>
                <w:sz w:val="14"/>
                <w:szCs w:val="14"/>
                <w:color w:val="auto"/>
              </w:rPr>
              <w:t>$20,680,918</w:t>
            </w:r>
          </w:p>
        </w:tc>
        <w:tc>
          <w:tcPr>
            <w:tcW w:w="1500" w:type="dxa"/>
            <w:vAlign w:val="bottom"/>
            <w:tcBorders>
              <w:bottom w:val="single" w:sz="8" w:color="E5EBF7"/>
            </w:tcBorders>
            <w:shd w:val="clear" w:color="auto" w:fill="E5EBF7"/>
          </w:tcPr>
          <w:p>
            <w:pPr>
              <w:ind w:left="540"/>
              <w:spacing w:after="0"/>
              <w:rPr>
                <w:sz w:val="20"/>
                <w:szCs w:val="20"/>
                <w:color w:val="auto"/>
              </w:rPr>
            </w:pPr>
            <w:r>
              <w:rPr>
                <w:rFonts w:ascii="Arial" w:cs="Arial" w:eastAsia="Arial" w:hAnsi="Arial"/>
                <w:sz w:val="14"/>
                <w:szCs w:val="14"/>
                <w:color w:val="auto"/>
              </w:rPr>
              <w:t>$21,188,572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80" w:type="dxa"/>
            <w:vAlign w:val="bottom"/>
          </w:tcPr>
          <w:p>
            <w:pPr>
              <w:spacing w:after="0"/>
              <w:rPr>
                <w:sz w:val="24"/>
                <w:szCs w:val="24"/>
                <w:color w:val="auto"/>
              </w:rPr>
            </w:pPr>
          </w:p>
        </w:tc>
        <w:tc>
          <w:tcPr>
            <w:tcW w:w="1620" w:type="dxa"/>
            <w:vAlign w:val="bottom"/>
            <w:tcBorders>
              <w:top w:val="single" w:sz="8" w:color="007FC4"/>
            </w:tcBorders>
          </w:tcPr>
          <w:p>
            <w:pPr>
              <w:spacing w:after="0"/>
              <w:rPr>
                <w:sz w:val="24"/>
                <w:szCs w:val="24"/>
                <w:color w:val="auto"/>
              </w:rPr>
            </w:pPr>
          </w:p>
        </w:tc>
        <w:tc>
          <w:tcPr>
            <w:tcW w:w="2400" w:type="dxa"/>
            <w:vAlign w:val="bottom"/>
            <w:tcBorders>
              <w:top w:val="single" w:sz="8" w:color="007FC4"/>
            </w:tcBorders>
          </w:tcPr>
          <w:p>
            <w:pPr>
              <w:jc w:val="right"/>
              <w:spacing w:after="0"/>
              <w:rPr>
                <w:sz w:val="20"/>
                <w:szCs w:val="20"/>
                <w:color w:val="auto"/>
              </w:rPr>
            </w:pPr>
            <w:r>
              <w:rPr>
                <w:rFonts w:ascii="Arial" w:cs="Arial" w:eastAsia="Arial" w:hAnsi="Arial"/>
                <w:sz w:val="13"/>
                <w:szCs w:val="13"/>
                <w:b w:val="1"/>
                <w:bCs w:val="1"/>
                <w:color w:val="auto"/>
              </w:rPr>
              <w:t>Flywire Corporation </w:t>
            </w:r>
          </w:p>
        </w:tc>
        <w:tc>
          <w:tcPr>
            <w:tcW w:w="1980" w:type="dxa"/>
            <w:vAlign w:val="bottom"/>
            <w:tcBorders>
              <w:top w:val="single" w:sz="8" w:color="007FC4"/>
            </w:tcBorders>
          </w:tcPr>
          <w:p>
            <w:pPr>
              <w:jc w:val="right"/>
              <w:ind w:right="34"/>
              <w:spacing w:after="0"/>
              <w:rPr>
                <w:sz w:val="20"/>
                <w:szCs w:val="20"/>
                <w:color w:val="auto"/>
              </w:rPr>
            </w:pPr>
            <w:r>
              <w:rPr>
                <w:rFonts w:ascii="Arial" w:cs="Arial" w:eastAsia="Arial" w:hAnsi="Arial"/>
                <w:sz w:val="13"/>
                <w:szCs w:val="13"/>
                <w:b w:val="1"/>
                <w:bCs w:val="1"/>
                <w:color w:val="auto"/>
                <w:w w:val="92"/>
              </w:rPr>
              <w:t>   46      2024 Proxy Statement</w:t>
            </w:r>
          </w:p>
        </w:tc>
        <w:tc>
          <w:tcPr>
            <w:tcW w:w="1520" w:type="dxa"/>
            <w:vAlign w:val="bottom"/>
            <w:tcBorders>
              <w:top w:val="single" w:sz="8" w:color="007FC4"/>
            </w:tcBorders>
          </w:tcPr>
          <w:p>
            <w:pPr>
              <w:spacing w:after="0"/>
              <w:rPr>
                <w:sz w:val="24"/>
                <w:szCs w:val="24"/>
                <w:color w:val="auto"/>
              </w:rPr>
            </w:pPr>
          </w:p>
        </w:tc>
        <w:tc>
          <w:tcPr>
            <w:tcW w:w="1500" w:type="dxa"/>
            <w:vAlign w:val="bottom"/>
            <w:tcBorders>
              <w:top w:val="single" w:sz="8" w:color="007FC4"/>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20" w:hanging="354"/>
        <w:spacing w:after="0"/>
        <w:tabs>
          <w:tab w:leader="none" w:pos="720" w:val="left"/>
        </w:tabs>
        <w:numPr>
          <w:ilvl w:val="0"/>
          <w:numId w:val="87"/>
        </w:numPr>
        <w:rPr>
          <w:rFonts w:ascii="Arial" w:cs="Arial" w:eastAsia="Arial" w:hAnsi="Arial"/>
          <w:sz w:val="13"/>
          <w:szCs w:val="13"/>
          <w:color w:val="333333"/>
        </w:rPr>
      </w:pPr>
      <w:r>
        <w:rPr>
          <w:rFonts w:ascii="Arial" w:cs="Arial" w:eastAsia="Arial" w:hAnsi="Arial"/>
          <w:sz w:val="13"/>
          <w:szCs w:val="13"/>
          <w:color w:val="333333"/>
        </w:rPr>
        <w:t>The amounts deducted or added in calculating the total average equity award adjustments are as follows:</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YEAR OVER YEAR</w:t>
            </w:r>
          </w:p>
        </w:tc>
        <w:tc>
          <w:tcPr>
            <w:tcW w:w="1280" w:type="dxa"/>
            <w:vAlign w:val="bottom"/>
          </w:tcPr>
          <w:p>
            <w:pPr>
              <w:spacing w:after="0"/>
              <w:rPr>
                <w:sz w:val="13"/>
                <w:szCs w:val="13"/>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b w:val="1"/>
                <w:bCs w:val="1"/>
                <w:color w:val="auto"/>
              </w:rPr>
              <w:t>YEAR OVER</w:t>
            </w:r>
          </w:p>
        </w:tc>
        <w:tc>
          <w:tcPr>
            <w:tcW w:w="1140" w:type="dxa"/>
            <w:vAlign w:val="bottom"/>
          </w:tcPr>
          <w:p>
            <w:pPr>
              <w:jc w:val="right"/>
              <w:ind w:right="15"/>
              <w:spacing w:after="0"/>
              <w:rPr>
                <w:sz w:val="20"/>
                <w:szCs w:val="20"/>
                <w:color w:val="auto"/>
              </w:rPr>
            </w:pPr>
            <w:r>
              <w:rPr>
                <w:rFonts w:ascii="Arial" w:cs="Arial" w:eastAsia="Arial" w:hAnsi="Arial"/>
                <w:sz w:val="13"/>
                <w:szCs w:val="13"/>
                <w:b w:val="1"/>
                <w:bCs w:val="1"/>
                <w:color w:val="auto"/>
              </w:rPr>
              <w:t>FAIR VALUE AT</w:t>
            </w:r>
          </w:p>
        </w:tc>
        <w:tc>
          <w:tcPr>
            <w:tcW w:w="1360" w:type="dxa"/>
            <w:vAlign w:val="bottom"/>
          </w:tcPr>
          <w:p>
            <w:pPr>
              <w:jc w:val="right"/>
              <w:ind w:right="55"/>
              <w:spacing w:after="0"/>
              <w:rPr>
                <w:sz w:val="20"/>
                <w:szCs w:val="20"/>
                <w:color w:val="auto"/>
              </w:rPr>
            </w:pPr>
            <w:r>
              <w:rPr>
                <w:rFonts w:ascii="Arial" w:cs="Arial" w:eastAsia="Arial" w:hAnsi="Arial"/>
                <w:sz w:val="13"/>
                <w:szCs w:val="13"/>
                <w:b w:val="1"/>
                <w:bCs w:val="1"/>
                <w:color w:val="auto"/>
              </w:rPr>
              <w:t>VALUE OF</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YEAR END FAIR</w:t>
            </w:r>
          </w:p>
        </w:tc>
        <w:tc>
          <w:tcPr>
            <w:tcW w:w="13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YEAR CHANGE</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THE END OF THE</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DIVIDENDS OR</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CHANGE IN FAIR</w:t>
            </w:r>
          </w:p>
        </w:tc>
        <w:tc>
          <w:tcPr>
            <w:tcW w:w="128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w w:val="97"/>
              </w:rPr>
              <w:t>FAIR VALUE AS OF</w:t>
            </w: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IN FAIR VALUE</w:t>
            </w:r>
          </w:p>
        </w:tc>
        <w:tc>
          <w:tcPr>
            <w:tcW w:w="11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PRIOR YEAR OF</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OTHER EARNINGS</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VALUE OF</w:t>
            </w: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VALUE OF</w:t>
            </w:r>
          </w:p>
        </w:tc>
        <w:tc>
          <w:tcPr>
            <w:tcW w:w="1280" w:type="dxa"/>
            <w:vAlign w:val="bottom"/>
            <w:vMerge w:val="continue"/>
          </w:tcPr>
          <w:p>
            <w:pPr>
              <w:spacing w:after="0"/>
              <w:rPr>
                <w:sz w:val="11"/>
                <w:szCs w:val="11"/>
                <w:color w:val="auto"/>
              </w:rPr>
            </w:pP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OF EQUITY</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EQUITY</w:t>
            </w:r>
          </w:p>
        </w:tc>
        <w:tc>
          <w:tcPr>
            <w:tcW w:w="136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w w:val="99"/>
              </w:rPr>
              <w:t>PAID ON STOCK OR</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UNVESTED</w:t>
            </w: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OUTSTANDING AND</w:t>
            </w:r>
          </w:p>
        </w:tc>
        <w:tc>
          <w:tcPr>
            <w:tcW w:w="128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VESTING DATE OF</w:t>
            </w: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AWARDS</w:t>
            </w:r>
          </w:p>
        </w:tc>
        <w:tc>
          <w:tcPr>
            <w:tcW w:w="11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AWARDS</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OPTION AWARDS</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EQUITY</w:t>
            </w: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UNVESTED EQUITY</w:t>
            </w:r>
          </w:p>
        </w:tc>
        <w:tc>
          <w:tcPr>
            <w:tcW w:w="12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EQUITY AWARDS</w:t>
            </w: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GRANTED IN</w:t>
            </w:r>
          </w:p>
        </w:tc>
        <w:tc>
          <w:tcPr>
            <w:tcW w:w="11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w w:val="97"/>
              </w:rPr>
              <w:t>THAT FAILED TO</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NOT OTHERWISE</w:t>
            </w:r>
          </w:p>
        </w:tc>
        <w:tc>
          <w:tcPr>
            <w:tcW w:w="11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1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AWARDS</w:t>
            </w: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AWARDS</w:t>
            </w:r>
          </w:p>
        </w:tc>
        <w:tc>
          <w:tcPr>
            <w:tcW w:w="12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GRANTED AND</w:t>
            </w: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PRIOR YEARS</w:t>
            </w:r>
          </w:p>
        </w:tc>
        <w:tc>
          <w:tcPr>
            <w:tcW w:w="11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MEET VESTING</w:t>
            </w:r>
          </w:p>
        </w:tc>
        <w:tc>
          <w:tcPr>
            <w:tcW w:w="136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w w:val="97"/>
              </w:rPr>
              <w:t>REFLECTED IN FAIR</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YEAR</w:t>
            </w:r>
          </w:p>
        </w:tc>
        <w:tc>
          <w:tcPr>
            <w:tcW w:w="110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GRANTED IN</w:t>
            </w:r>
          </w:p>
        </w:tc>
        <w:tc>
          <w:tcPr>
            <w:tcW w:w="13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GRANTED IN</w:t>
            </w:r>
          </w:p>
        </w:tc>
        <w:tc>
          <w:tcPr>
            <w:tcW w:w="12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VESTED IN THE</w:t>
            </w:r>
          </w:p>
        </w:tc>
        <w:tc>
          <w:tcPr>
            <w:tcW w:w="11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THAT VESTED IN</w:t>
            </w:r>
          </w:p>
        </w:tc>
        <w:tc>
          <w:tcPr>
            <w:tcW w:w="114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CONDITIONS IN</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VALUE OR TOTAL</w:t>
            </w:r>
          </w:p>
        </w:tc>
        <w:tc>
          <w:tcPr>
            <w:tcW w:w="1100" w:type="dxa"/>
            <w:vAlign w:val="bottom"/>
          </w:tcPr>
          <w:p>
            <w:pPr>
              <w:ind w:left="540"/>
              <w:spacing w:after="0" w:line="135" w:lineRule="exact"/>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72"/>
        </w:trPr>
        <w:tc>
          <w:tcPr>
            <w:tcW w:w="52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PRIOR YEARS</w:t>
            </w:r>
          </w:p>
        </w:tc>
        <w:tc>
          <w:tcPr>
            <w:tcW w:w="1280" w:type="dxa"/>
            <w:vAlign w:val="bottom"/>
          </w:tcPr>
          <w:p>
            <w:pPr>
              <w:jc w:val="right"/>
              <w:ind w:right="14"/>
              <w:spacing w:after="0"/>
              <w:rPr>
                <w:sz w:val="20"/>
                <w:szCs w:val="20"/>
                <w:color w:val="auto"/>
              </w:rPr>
            </w:pPr>
            <w:r>
              <w:rPr>
                <w:rFonts w:ascii="Arial" w:cs="Arial" w:eastAsia="Arial" w:hAnsi="Arial"/>
                <w:sz w:val="13"/>
                <w:szCs w:val="13"/>
                <w:b w:val="1"/>
                <w:bCs w:val="1"/>
                <w:color w:val="auto"/>
              </w:rPr>
              <w:t>YEAR</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THE YEAR</w:t>
            </w:r>
          </w:p>
        </w:tc>
        <w:tc>
          <w:tcPr>
            <w:tcW w:w="1360" w:type="dxa"/>
            <w:vAlign w:val="bottom"/>
          </w:tcPr>
          <w:p>
            <w:pPr>
              <w:jc w:val="right"/>
              <w:ind w:right="15"/>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tcPr>
          <w:p>
            <w:pPr>
              <w:ind w:left="100"/>
              <w:spacing w:after="0"/>
              <w:rPr>
                <w:sz w:val="20"/>
                <w:szCs w:val="20"/>
                <w:color w:val="auto"/>
              </w:rPr>
            </w:pPr>
            <w:r>
              <w:rPr>
                <w:rFonts w:ascii="Arial" w:cs="Arial" w:eastAsia="Arial" w:hAnsi="Arial"/>
                <w:sz w:val="13"/>
                <w:szCs w:val="13"/>
                <w:b w:val="1"/>
                <w:bCs w:val="1"/>
                <w:color w:val="auto"/>
              </w:rPr>
              <w:t>ADJUSTMENTS</w:t>
            </w: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520" w:type="dxa"/>
            <w:vAlign w:val="bottom"/>
            <w:shd w:val="clear" w:color="auto" w:fill="E5EBF7"/>
          </w:tcPr>
          <w:p>
            <w:pPr>
              <w:ind w:left="100"/>
              <w:spacing w:after="0"/>
              <w:rPr>
                <w:sz w:val="20"/>
                <w:szCs w:val="20"/>
                <w:color w:val="auto"/>
              </w:rPr>
            </w:pPr>
            <w:r>
              <w:rPr>
                <w:rFonts w:ascii="Arial" w:cs="Arial" w:eastAsia="Arial" w:hAnsi="Arial"/>
                <w:sz w:val="14"/>
                <w:szCs w:val="14"/>
                <w:b w:val="1"/>
                <w:bCs w:val="1"/>
                <w:color w:val="007FC4"/>
              </w:rPr>
              <w:t>2023</w:t>
            </w:r>
          </w:p>
        </w:tc>
        <w:tc>
          <w:tcPr>
            <w:tcW w:w="1100" w:type="dxa"/>
            <w:vAlign w:val="bottom"/>
            <w:shd w:val="clear" w:color="auto" w:fill="E5EBF7"/>
          </w:tcPr>
          <w:p>
            <w:pPr>
              <w:jc w:val="right"/>
              <w:ind w:right="14"/>
              <w:spacing w:after="0"/>
              <w:rPr>
                <w:sz w:val="20"/>
                <w:szCs w:val="20"/>
                <w:color w:val="auto"/>
              </w:rPr>
            </w:pPr>
            <w:r>
              <w:rPr>
                <w:rFonts w:ascii="Arial" w:cs="Arial" w:eastAsia="Arial" w:hAnsi="Arial"/>
                <w:sz w:val="14"/>
                <w:szCs w:val="14"/>
                <w:color w:val="auto"/>
              </w:rPr>
              <w:t>$ 2,572,069</w:t>
            </w:r>
          </w:p>
        </w:tc>
        <w:tc>
          <w:tcPr>
            <w:tcW w:w="1380" w:type="dxa"/>
            <w:vAlign w:val="bottom"/>
            <w:shd w:val="clear" w:color="auto" w:fill="E5EBF7"/>
          </w:tcPr>
          <w:p>
            <w:pPr>
              <w:ind w:left="520"/>
              <w:spacing w:after="0"/>
              <w:rPr>
                <w:sz w:val="20"/>
                <w:szCs w:val="20"/>
                <w:color w:val="auto"/>
              </w:rPr>
            </w:pPr>
            <w:r>
              <w:rPr>
                <w:rFonts w:ascii="Arial" w:cs="Arial" w:eastAsia="Arial" w:hAnsi="Arial"/>
                <w:sz w:val="14"/>
                <w:szCs w:val="14"/>
                <w:color w:val="auto"/>
              </w:rPr>
              <w:t>($  176,013)</w:t>
            </w:r>
          </w:p>
        </w:tc>
        <w:tc>
          <w:tcPr>
            <w:tcW w:w="1280" w:type="dxa"/>
            <w:vAlign w:val="bottom"/>
            <w:shd w:val="clear" w:color="auto" w:fill="E5EBF7"/>
          </w:tcPr>
          <w:p>
            <w:pPr>
              <w:jc w:val="right"/>
              <w:ind w:right="14"/>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BF7"/>
          </w:tcPr>
          <w:p>
            <w:pPr>
              <w:ind w:left="300"/>
              <w:spacing w:after="0"/>
              <w:rPr>
                <w:sz w:val="20"/>
                <w:szCs w:val="20"/>
                <w:color w:val="auto"/>
              </w:rPr>
            </w:pPr>
            <w:r>
              <w:rPr>
                <w:rFonts w:ascii="Arial" w:cs="Arial" w:eastAsia="Arial" w:hAnsi="Arial"/>
                <w:sz w:val="14"/>
                <w:szCs w:val="14"/>
                <w:color w:val="auto"/>
              </w:rPr>
              <w:t>$  562,601</w:t>
            </w:r>
          </w:p>
        </w:tc>
        <w:tc>
          <w:tcPr>
            <w:tcW w:w="1140" w:type="dxa"/>
            <w:vAlign w:val="bottom"/>
            <w:shd w:val="clear" w:color="auto" w:fill="E5EBF7"/>
          </w:tcPr>
          <w:p>
            <w:pPr>
              <w:jc w:val="right"/>
              <w:spacing w:after="0"/>
              <w:rPr>
                <w:sz w:val="20"/>
                <w:szCs w:val="20"/>
                <w:color w:val="auto"/>
              </w:rPr>
            </w:pPr>
            <w:r>
              <w:rPr>
                <w:rFonts w:ascii="Arial" w:cs="Arial" w:eastAsia="Arial" w:hAnsi="Arial"/>
                <w:sz w:val="14"/>
                <w:szCs w:val="14"/>
                <w:color w:val="auto"/>
              </w:rPr>
              <w:t>$0</w:t>
            </w:r>
          </w:p>
        </w:tc>
        <w:tc>
          <w:tcPr>
            <w:tcW w:w="1360" w:type="dxa"/>
            <w:vAlign w:val="bottom"/>
            <w:shd w:val="clear" w:color="auto" w:fill="E5EBF7"/>
          </w:tcPr>
          <w:p>
            <w:pPr>
              <w:jc w:val="right"/>
              <w:ind w:right="15"/>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BF7"/>
          </w:tcPr>
          <w:p>
            <w:pPr>
              <w:ind w:left="140"/>
              <w:spacing w:after="0"/>
              <w:rPr>
                <w:sz w:val="20"/>
                <w:szCs w:val="20"/>
                <w:color w:val="auto"/>
              </w:rPr>
            </w:pPr>
            <w:r>
              <w:rPr>
                <w:rFonts w:ascii="Arial" w:cs="Arial" w:eastAsia="Arial" w:hAnsi="Arial"/>
                <w:sz w:val="14"/>
                <w:szCs w:val="14"/>
                <w:color w:val="auto"/>
              </w:rPr>
              <w:t>$ 2,958,657</w:t>
            </w:r>
          </w:p>
        </w:tc>
        <w:tc>
          <w:tcPr>
            <w:tcW w:w="0" w:type="dxa"/>
            <w:vAlign w:val="bottom"/>
          </w:tcPr>
          <w:p>
            <w:pPr>
              <w:spacing w:after="0"/>
              <w:rPr>
                <w:sz w:val="1"/>
                <w:szCs w:val="1"/>
                <w:color w:val="auto"/>
              </w:rPr>
            </w:pPr>
          </w:p>
        </w:tc>
      </w:tr>
      <w:tr>
        <w:trPr>
          <w:trHeight w:val="83"/>
        </w:trPr>
        <w:tc>
          <w:tcPr>
            <w:tcW w:w="520" w:type="dxa"/>
            <w:vAlign w:val="bottom"/>
            <w:shd w:val="clear" w:color="auto" w:fill="E5EBF7"/>
          </w:tcPr>
          <w:p>
            <w:pPr>
              <w:spacing w:after="0"/>
              <w:rPr>
                <w:sz w:val="7"/>
                <w:szCs w:val="7"/>
                <w:color w:val="auto"/>
              </w:rPr>
            </w:pPr>
          </w:p>
        </w:tc>
        <w:tc>
          <w:tcPr>
            <w:tcW w:w="1100" w:type="dxa"/>
            <w:vAlign w:val="bottom"/>
            <w:shd w:val="clear" w:color="auto" w:fill="E5EBF7"/>
          </w:tcPr>
          <w:p>
            <w:pPr>
              <w:spacing w:after="0"/>
              <w:rPr>
                <w:sz w:val="7"/>
                <w:szCs w:val="7"/>
                <w:color w:val="auto"/>
              </w:rPr>
            </w:pPr>
          </w:p>
        </w:tc>
        <w:tc>
          <w:tcPr>
            <w:tcW w:w="1380" w:type="dxa"/>
            <w:vAlign w:val="bottom"/>
            <w:shd w:val="clear" w:color="auto" w:fill="E5EBF7"/>
          </w:tcPr>
          <w:p>
            <w:pPr>
              <w:spacing w:after="0"/>
              <w:rPr>
                <w:sz w:val="7"/>
                <w:szCs w:val="7"/>
                <w:color w:val="auto"/>
              </w:rPr>
            </w:pPr>
          </w:p>
        </w:tc>
        <w:tc>
          <w:tcPr>
            <w:tcW w:w="1280" w:type="dxa"/>
            <w:vAlign w:val="bottom"/>
            <w:shd w:val="clear" w:color="auto" w:fill="E5EBF7"/>
          </w:tcPr>
          <w:p>
            <w:pPr>
              <w:spacing w:after="0"/>
              <w:rPr>
                <w:sz w:val="7"/>
                <w:szCs w:val="7"/>
                <w:color w:val="auto"/>
              </w:rPr>
            </w:pPr>
          </w:p>
        </w:tc>
        <w:tc>
          <w:tcPr>
            <w:tcW w:w="1180" w:type="dxa"/>
            <w:vAlign w:val="bottom"/>
            <w:shd w:val="clear" w:color="auto" w:fill="E5EBF7"/>
          </w:tcPr>
          <w:p>
            <w:pPr>
              <w:spacing w:after="0"/>
              <w:rPr>
                <w:sz w:val="7"/>
                <w:szCs w:val="7"/>
                <w:color w:val="auto"/>
              </w:rPr>
            </w:pPr>
          </w:p>
        </w:tc>
        <w:tc>
          <w:tcPr>
            <w:tcW w:w="1140" w:type="dxa"/>
            <w:vAlign w:val="bottom"/>
            <w:shd w:val="clear" w:color="auto" w:fill="E5EBF7"/>
          </w:tcPr>
          <w:p>
            <w:pPr>
              <w:spacing w:after="0"/>
              <w:rPr>
                <w:sz w:val="7"/>
                <w:szCs w:val="7"/>
                <w:color w:val="auto"/>
              </w:rPr>
            </w:pPr>
          </w:p>
        </w:tc>
        <w:tc>
          <w:tcPr>
            <w:tcW w:w="1360" w:type="dxa"/>
            <w:vAlign w:val="bottom"/>
            <w:shd w:val="clear" w:color="auto" w:fill="E5EBF7"/>
          </w:tcPr>
          <w:p>
            <w:pPr>
              <w:spacing w:after="0"/>
              <w:rPr>
                <w:sz w:val="7"/>
                <w:szCs w:val="7"/>
                <w:color w:val="auto"/>
              </w:rPr>
            </w:pPr>
          </w:p>
        </w:tc>
        <w:tc>
          <w:tcPr>
            <w:tcW w:w="1100" w:type="dxa"/>
            <w:vAlign w:val="bottom"/>
            <w:shd w:val="clear" w:color="auto" w:fill="E5EBF7"/>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20" w:type="dxa"/>
            <w:vAlign w:val="bottom"/>
          </w:tcPr>
          <w:p>
            <w:pPr>
              <w:ind w:left="100"/>
              <w:spacing w:after="0"/>
              <w:rPr>
                <w:sz w:val="20"/>
                <w:szCs w:val="20"/>
                <w:color w:val="auto"/>
              </w:rPr>
            </w:pPr>
            <w:r>
              <w:rPr>
                <w:rFonts w:ascii="Arial" w:cs="Arial" w:eastAsia="Arial" w:hAnsi="Arial"/>
                <w:sz w:val="14"/>
                <w:szCs w:val="14"/>
                <w:b w:val="1"/>
                <w:bCs w:val="1"/>
                <w:color w:val="007FC4"/>
              </w:rPr>
              <w:t>2022</w:t>
            </w:r>
          </w:p>
        </w:tc>
        <w:tc>
          <w:tcPr>
            <w:tcW w:w="1100" w:type="dxa"/>
            <w:vAlign w:val="bottom"/>
          </w:tcPr>
          <w:p>
            <w:pPr>
              <w:jc w:val="right"/>
              <w:ind w:right="14"/>
              <w:spacing w:after="0"/>
              <w:rPr>
                <w:sz w:val="20"/>
                <w:szCs w:val="20"/>
                <w:color w:val="auto"/>
              </w:rPr>
            </w:pPr>
            <w:r>
              <w:rPr>
                <w:rFonts w:ascii="Arial" w:cs="Arial" w:eastAsia="Arial" w:hAnsi="Arial"/>
                <w:sz w:val="14"/>
                <w:szCs w:val="14"/>
                <w:color w:val="auto"/>
              </w:rPr>
              <w:t>$ 2,533,030</w:t>
            </w:r>
          </w:p>
        </w:tc>
        <w:tc>
          <w:tcPr>
            <w:tcW w:w="1380" w:type="dxa"/>
            <w:vAlign w:val="bottom"/>
          </w:tcPr>
          <w:p>
            <w:pPr>
              <w:ind w:left="520"/>
              <w:spacing w:after="0"/>
              <w:rPr>
                <w:sz w:val="20"/>
                <w:szCs w:val="20"/>
                <w:color w:val="auto"/>
              </w:rPr>
            </w:pPr>
            <w:r>
              <w:rPr>
                <w:rFonts w:ascii="Arial" w:cs="Arial" w:eastAsia="Arial" w:hAnsi="Arial"/>
                <w:sz w:val="14"/>
                <w:szCs w:val="14"/>
                <w:color w:val="auto"/>
              </w:rPr>
              <w:t>($2,094,399)</w:t>
            </w:r>
          </w:p>
        </w:tc>
        <w:tc>
          <w:tcPr>
            <w:tcW w:w="1280" w:type="dxa"/>
            <w:vAlign w:val="bottom"/>
          </w:tcPr>
          <w:p>
            <w:pPr>
              <w:jc w:val="right"/>
              <w:ind w:right="14"/>
              <w:spacing w:after="0"/>
              <w:rPr>
                <w:sz w:val="20"/>
                <w:szCs w:val="20"/>
                <w:color w:val="auto"/>
              </w:rPr>
            </w:pPr>
            <w:r>
              <w:rPr>
                <w:rFonts w:ascii="Arial" w:cs="Arial" w:eastAsia="Arial" w:hAnsi="Arial"/>
                <w:sz w:val="14"/>
                <w:szCs w:val="14"/>
                <w:color w:val="auto"/>
              </w:rPr>
              <w:t>$0</w:t>
            </w:r>
          </w:p>
        </w:tc>
        <w:tc>
          <w:tcPr>
            <w:tcW w:w="1180" w:type="dxa"/>
            <w:vAlign w:val="bottom"/>
          </w:tcPr>
          <w:p>
            <w:pPr>
              <w:ind w:left="300"/>
              <w:spacing w:after="0"/>
              <w:rPr>
                <w:sz w:val="20"/>
                <w:szCs w:val="20"/>
                <w:color w:val="auto"/>
              </w:rPr>
            </w:pPr>
            <w:r>
              <w:rPr>
                <w:rFonts w:ascii="Arial" w:cs="Arial" w:eastAsia="Arial" w:hAnsi="Arial"/>
                <w:sz w:val="14"/>
                <w:szCs w:val="14"/>
                <w:color w:val="auto"/>
              </w:rPr>
              <w:t>($2,203,036)</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5"/>
              <w:spacing w:after="0"/>
              <w:rPr>
                <w:sz w:val="20"/>
                <w:szCs w:val="20"/>
                <w:color w:val="auto"/>
              </w:rPr>
            </w:pPr>
            <w:r>
              <w:rPr>
                <w:rFonts w:ascii="Arial" w:cs="Arial" w:eastAsia="Arial" w:hAnsi="Arial"/>
                <w:sz w:val="14"/>
                <w:szCs w:val="14"/>
                <w:color w:val="auto"/>
              </w:rPr>
              <w:t>$0</w:t>
            </w:r>
          </w:p>
        </w:tc>
        <w:tc>
          <w:tcPr>
            <w:tcW w:w="1100" w:type="dxa"/>
            <w:vAlign w:val="bottom"/>
          </w:tcPr>
          <w:p>
            <w:pPr>
              <w:ind w:left="140"/>
              <w:spacing w:after="0"/>
              <w:rPr>
                <w:sz w:val="20"/>
                <w:szCs w:val="20"/>
                <w:color w:val="auto"/>
              </w:rPr>
            </w:pPr>
            <w:r>
              <w:rPr>
                <w:rFonts w:ascii="Arial" w:cs="Arial" w:eastAsia="Arial" w:hAnsi="Arial"/>
                <w:sz w:val="14"/>
                <w:szCs w:val="14"/>
                <w:color w:val="auto"/>
              </w:rPr>
              <w:t>($ 1,764,405)</w:t>
            </w:r>
          </w:p>
        </w:tc>
        <w:tc>
          <w:tcPr>
            <w:tcW w:w="0" w:type="dxa"/>
            <w:vAlign w:val="bottom"/>
          </w:tcPr>
          <w:p>
            <w:pPr>
              <w:spacing w:after="0"/>
              <w:rPr>
                <w:sz w:val="1"/>
                <w:szCs w:val="1"/>
                <w:color w:val="auto"/>
              </w:rPr>
            </w:pPr>
          </w:p>
        </w:tc>
      </w:tr>
      <w:tr>
        <w:trPr>
          <w:trHeight w:val="83"/>
        </w:trPr>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E5EBF7"/>
            </w:tcBorders>
            <w:shd w:val="clear" w:color="auto" w:fill="E5EBF7"/>
          </w:tcPr>
          <w:p>
            <w:pPr>
              <w:ind w:left="100"/>
              <w:spacing w:after="0"/>
              <w:rPr>
                <w:sz w:val="20"/>
                <w:szCs w:val="20"/>
                <w:color w:val="auto"/>
              </w:rPr>
            </w:pPr>
            <w:r>
              <w:rPr>
                <w:rFonts w:ascii="Arial" w:cs="Arial" w:eastAsia="Arial" w:hAnsi="Arial"/>
                <w:sz w:val="14"/>
                <w:szCs w:val="14"/>
                <w:b w:val="1"/>
                <w:bCs w:val="1"/>
                <w:color w:val="007FC4"/>
              </w:rPr>
              <w:t>2021</w:t>
            </w:r>
          </w:p>
        </w:tc>
        <w:tc>
          <w:tcPr>
            <w:tcW w:w="1100" w:type="dxa"/>
            <w:vAlign w:val="bottom"/>
            <w:tcBorders>
              <w:bottom w:val="single" w:sz="8" w:color="E5EBF7"/>
            </w:tcBorders>
            <w:shd w:val="clear" w:color="auto" w:fill="E5EBF7"/>
          </w:tcPr>
          <w:p>
            <w:pPr>
              <w:jc w:val="right"/>
              <w:ind w:right="14"/>
              <w:spacing w:after="0"/>
              <w:rPr>
                <w:sz w:val="20"/>
                <w:szCs w:val="20"/>
                <w:color w:val="auto"/>
              </w:rPr>
            </w:pPr>
            <w:r>
              <w:rPr>
                <w:rFonts w:ascii="Arial" w:cs="Arial" w:eastAsia="Arial" w:hAnsi="Arial"/>
                <w:sz w:val="14"/>
                <w:szCs w:val="14"/>
                <w:color w:val="auto"/>
              </w:rPr>
              <w:t>$11,095,008</w:t>
            </w:r>
          </w:p>
        </w:tc>
        <w:tc>
          <w:tcPr>
            <w:tcW w:w="1380" w:type="dxa"/>
            <w:vAlign w:val="bottom"/>
            <w:tcBorders>
              <w:bottom w:val="single" w:sz="8" w:color="E5EBF7"/>
            </w:tcBorders>
            <w:shd w:val="clear" w:color="auto" w:fill="E5EBF7"/>
          </w:tcPr>
          <w:p>
            <w:pPr>
              <w:ind w:left="520"/>
              <w:spacing w:after="0"/>
              <w:rPr>
                <w:sz w:val="20"/>
                <w:szCs w:val="20"/>
                <w:color w:val="auto"/>
              </w:rPr>
            </w:pPr>
            <w:r>
              <w:rPr>
                <w:rFonts w:ascii="Arial" w:cs="Arial" w:eastAsia="Arial" w:hAnsi="Arial"/>
                <w:sz w:val="14"/>
                <w:szCs w:val="14"/>
                <w:color w:val="auto"/>
              </w:rPr>
              <w:t>$6,753,408</w:t>
            </w:r>
          </w:p>
        </w:tc>
        <w:tc>
          <w:tcPr>
            <w:tcW w:w="1280" w:type="dxa"/>
            <w:vAlign w:val="bottom"/>
            <w:tcBorders>
              <w:bottom w:val="single" w:sz="8" w:color="E5EBF7"/>
            </w:tcBorders>
            <w:shd w:val="clear" w:color="auto" w:fill="E5EBF7"/>
          </w:tcPr>
          <w:p>
            <w:pPr>
              <w:jc w:val="right"/>
              <w:ind w:right="14"/>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E5EBF7"/>
            </w:tcBorders>
            <w:shd w:val="clear" w:color="auto" w:fill="E5EBF7"/>
          </w:tcPr>
          <w:p>
            <w:pPr>
              <w:ind w:left="300"/>
              <w:spacing w:after="0"/>
              <w:rPr>
                <w:sz w:val="20"/>
                <w:szCs w:val="20"/>
                <w:color w:val="auto"/>
              </w:rPr>
            </w:pPr>
            <w:r>
              <w:rPr>
                <w:rFonts w:ascii="Arial" w:cs="Arial" w:eastAsia="Arial" w:hAnsi="Arial"/>
                <w:sz w:val="14"/>
                <w:szCs w:val="14"/>
                <w:color w:val="auto"/>
              </w:rPr>
              <w:t>$2,832,502</w:t>
            </w:r>
          </w:p>
        </w:tc>
        <w:tc>
          <w:tcPr>
            <w:tcW w:w="1140" w:type="dxa"/>
            <w:vAlign w:val="bottom"/>
            <w:tcBorders>
              <w:bottom w:val="single" w:sz="8" w:color="E5EBF7"/>
            </w:tcBorders>
            <w:shd w:val="clear" w:color="auto" w:fill="E5EBF7"/>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E5EBF7"/>
            </w:tcBorders>
            <w:shd w:val="clear" w:color="auto" w:fill="E5EBF7"/>
          </w:tcPr>
          <w:p>
            <w:pPr>
              <w:jc w:val="right"/>
              <w:ind w:right="15"/>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E5EBF7"/>
            </w:tcBorders>
            <w:shd w:val="clear" w:color="auto" w:fill="E5EBF7"/>
          </w:tcPr>
          <w:p>
            <w:pPr>
              <w:ind w:left="140"/>
              <w:spacing w:after="0"/>
              <w:rPr>
                <w:sz w:val="20"/>
                <w:szCs w:val="20"/>
                <w:color w:val="auto"/>
              </w:rPr>
            </w:pPr>
            <w:r>
              <w:rPr>
                <w:rFonts w:ascii="Arial" w:cs="Arial" w:eastAsia="Arial" w:hAnsi="Arial"/>
                <w:sz w:val="14"/>
                <w:szCs w:val="14"/>
                <w:color w:val="auto"/>
              </w:rPr>
              <w:t>$20,680,918</w:t>
            </w:r>
          </w:p>
        </w:tc>
        <w:tc>
          <w:tcPr>
            <w:tcW w:w="0" w:type="dxa"/>
            <w:vAlign w:val="bottom"/>
          </w:tcPr>
          <w:p>
            <w:pPr>
              <w:spacing w:after="0"/>
              <w:rPr>
                <w:sz w:val="1"/>
                <w:szCs w:val="1"/>
                <w:color w:val="auto"/>
              </w:rPr>
            </w:pPr>
          </w:p>
        </w:tc>
      </w:tr>
      <w:tr>
        <w:trPr>
          <w:trHeight w:val="20"/>
        </w:trPr>
        <w:tc>
          <w:tcPr>
            <w:tcW w:w="520" w:type="dxa"/>
            <w:vAlign w:val="bottom"/>
            <w:shd w:val="clear" w:color="auto" w:fill="007FC4"/>
          </w:tcPr>
          <w:p>
            <w:pPr>
              <w:spacing w:after="0" w:line="20" w:lineRule="exact"/>
              <w:rPr>
                <w:sz w:val="1"/>
                <w:szCs w:val="1"/>
                <w:color w:val="auto"/>
              </w:rPr>
            </w:pPr>
          </w:p>
        </w:tc>
        <w:tc>
          <w:tcPr>
            <w:tcW w:w="1100" w:type="dxa"/>
            <w:vAlign w:val="bottom"/>
            <w:shd w:val="clear" w:color="auto" w:fill="007FC4"/>
          </w:tcPr>
          <w:p>
            <w:pPr>
              <w:spacing w:after="0" w:line="20" w:lineRule="exact"/>
              <w:rPr>
                <w:sz w:val="1"/>
                <w:szCs w:val="1"/>
                <w:color w:val="auto"/>
              </w:rPr>
            </w:pPr>
          </w:p>
        </w:tc>
        <w:tc>
          <w:tcPr>
            <w:tcW w:w="1380" w:type="dxa"/>
            <w:vAlign w:val="bottom"/>
            <w:shd w:val="clear" w:color="auto" w:fill="007FC4"/>
          </w:tcPr>
          <w:p>
            <w:pPr>
              <w:spacing w:after="0" w:line="20" w:lineRule="exact"/>
              <w:rPr>
                <w:sz w:val="1"/>
                <w:szCs w:val="1"/>
                <w:color w:val="auto"/>
              </w:rPr>
            </w:pPr>
          </w:p>
        </w:tc>
        <w:tc>
          <w:tcPr>
            <w:tcW w:w="1280" w:type="dxa"/>
            <w:vAlign w:val="bottom"/>
            <w:shd w:val="clear" w:color="auto" w:fill="007FC4"/>
          </w:tcPr>
          <w:p>
            <w:pPr>
              <w:spacing w:after="0" w:line="20" w:lineRule="exact"/>
              <w:rPr>
                <w:sz w:val="1"/>
                <w:szCs w:val="1"/>
                <w:color w:val="auto"/>
              </w:rPr>
            </w:pPr>
          </w:p>
        </w:tc>
        <w:tc>
          <w:tcPr>
            <w:tcW w:w="1180" w:type="dxa"/>
            <w:vAlign w:val="bottom"/>
            <w:shd w:val="clear" w:color="auto" w:fill="007FC4"/>
          </w:tcPr>
          <w:p>
            <w:pPr>
              <w:spacing w:after="0" w:line="20" w:lineRule="exact"/>
              <w:rPr>
                <w:sz w:val="1"/>
                <w:szCs w:val="1"/>
                <w:color w:val="auto"/>
              </w:rPr>
            </w:pPr>
          </w:p>
        </w:tc>
        <w:tc>
          <w:tcPr>
            <w:tcW w:w="1140" w:type="dxa"/>
            <w:vAlign w:val="bottom"/>
            <w:shd w:val="clear" w:color="auto" w:fill="007FC4"/>
          </w:tcPr>
          <w:p>
            <w:pPr>
              <w:spacing w:after="0" w:line="20" w:lineRule="exact"/>
              <w:rPr>
                <w:sz w:val="1"/>
                <w:szCs w:val="1"/>
                <w:color w:val="auto"/>
              </w:rPr>
            </w:pPr>
          </w:p>
        </w:tc>
        <w:tc>
          <w:tcPr>
            <w:tcW w:w="1360" w:type="dxa"/>
            <w:vAlign w:val="bottom"/>
            <w:shd w:val="clear" w:color="auto" w:fill="007FC4"/>
          </w:tcPr>
          <w:p>
            <w:pPr>
              <w:spacing w:after="0" w:line="20" w:lineRule="exact"/>
              <w:rPr>
                <w:sz w:val="1"/>
                <w:szCs w:val="1"/>
                <w:color w:val="auto"/>
              </w:rPr>
            </w:pPr>
          </w:p>
        </w:tc>
        <w:tc>
          <w:tcPr>
            <w:tcW w:w="1100" w:type="dxa"/>
            <w:vAlign w:val="bottom"/>
            <w:shd w:val="clear" w:color="auto" w:fill="007FC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160" w:hanging="354"/>
        <w:spacing w:after="0" w:line="229" w:lineRule="auto"/>
        <w:tabs>
          <w:tab w:leader="none" w:pos="360" w:val="left"/>
        </w:tabs>
        <w:numPr>
          <w:ilvl w:val="0"/>
          <w:numId w:val="88"/>
        </w:numPr>
        <w:rPr>
          <w:rFonts w:ascii="Arial" w:cs="Arial" w:eastAsia="Arial" w:hAnsi="Arial"/>
          <w:sz w:val="13"/>
          <w:szCs w:val="13"/>
          <w:color w:val="333333"/>
        </w:rPr>
      </w:pPr>
      <w:r>
        <w:rPr>
          <w:rFonts w:ascii="Arial" w:cs="Arial" w:eastAsia="Arial" w:hAnsi="Arial"/>
          <w:sz w:val="13"/>
          <w:szCs w:val="13"/>
          <w:color w:val="333333"/>
        </w:rPr>
        <w:t>The dollar amounts reported in column (f) represent our cumulative total shareholder return (TSR). Cumulative TSR is calculated by dividing the sum of the cumulative amount of dividends for the measurement period, assuming dividend reinvestment, and the difference between the price per share of our common stock at the end and the beginning of the measurement period by the price per share of our common stock at the beginning of the measurement period. For this purpose, the measurement period begins at the initial public offering in May 2021.</w:t>
      </w:r>
    </w:p>
    <w:p>
      <w:pPr>
        <w:spacing w:after="0" w:line="77" w:lineRule="exact"/>
        <w:rPr>
          <w:rFonts w:ascii="Arial" w:cs="Arial" w:eastAsia="Arial" w:hAnsi="Arial"/>
          <w:sz w:val="13"/>
          <w:szCs w:val="13"/>
          <w:color w:val="333333"/>
        </w:rPr>
      </w:pPr>
    </w:p>
    <w:p>
      <w:pPr>
        <w:ind w:left="360" w:hanging="354"/>
        <w:spacing w:after="0"/>
        <w:tabs>
          <w:tab w:leader="none" w:pos="360" w:val="left"/>
        </w:tabs>
        <w:numPr>
          <w:ilvl w:val="0"/>
          <w:numId w:val="88"/>
        </w:numPr>
        <w:rPr>
          <w:rFonts w:ascii="Arial" w:cs="Arial" w:eastAsia="Arial" w:hAnsi="Arial"/>
          <w:sz w:val="13"/>
          <w:szCs w:val="13"/>
          <w:color w:val="333333"/>
        </w:rPr>
      </w:pPr>
      <w:r>
        <w:rPr>
          <w:rFonts w:ascii="Arial" w:cs="Arial" w:eastAsia="Arial" w:hAnsi="Arial"/>
          <w:sz w:val="13"/>
          <w:szCs w:val="13"/>
          <w:color w:val="333333"/>
        </w:rPr>
        <w:t>The peer group used for purposes of column (g) is the S&amp;P 500 - Information Technology index.</w:t>
      </w:r>
    </w:p>
    <w:p>
      <w:pPr>
        <w:spacing w:after="0" w:line="93" w:lineRule="exact"/>
        <w:rPr>
          <w:rFonts w:ascii="Arial" w:cs="Arial" w:eastAsia="Arial" w:hAnsi="Arial"/>
          <w:sz w:val="13"/>
          <w:szCs w:val="13"/>
          <w:color w:val="333333"/>
        </w:rPr>
      </w:pPr>
    </w:p>
    <w:p>
      <w:pPr>
        <w:ind w:left="360" w:hanging="354"/>
        <w:spacing w:after="0"/>
        <w:tabs>
          <w:tab w:leader="none" w:pos="360" w:val="left"/>
        </w:tabs>
        <w:numPr>
          <w:ilvl w:val="0"/>
          <w:numId w:val="88"/>
        </w:numPr>
        <w:rPr>
          <w:rFonts w:ascii="Arial" w:cs="Arial" w:eastAsia="Arial" w:hAnsi="Arial"/>
          <w:sz w:val="13"/>
          <w:szCs w:val="13"/>
          <w:color w:val="333333"/>
        </w:rPr>
      </w:pPr>
      <w:r>
        <w:rPr>
          <w:rFonts w:ascii="Arial" w:cs="Arial" w:eastAsia="Arial" w:hAnsi="Arial"/>
          <w:sz w:val="13"/>
          <w:szCs w:val="13"/>
          <w:color w:val="333333"/>
        </w:rPr>
        <w:t>The dollar amounts reported represent the amount of net income (loss) reflected in our audited financial statements for the applicable year.</w:t>
      </w:r>
    </w:p>
    <w:p>
      <w:pPr>
        <w:spacing w:after="0" w:line="93" w:lineRule="exact"/>
        <w:rPr>
          <w:rFonts w:ascii="Arial" w:cs="Arial" w:eastAsia="Arial" w:hAnsi="Arial"/>
          <w:sz w:val="13"/>
          <w:szCs w:val="13"/>
          <w:color w:val="333333"/>
        </w:rPr>
      </w:pPr>
    </w:p>
    <w:p>
      <w:pPr>
        <w:ind w:left="360" w:right="320" w:hanging="354"/>
        <w:spacing w:after="0" w:line="241" w:lineRule="auto"/>
        <w:tabs>
          <w:tab w:leader="none" w:pos="360" w:val="left"/>
        </w:tabs>
        <w:numPr>
          <w:ilvl w:val="0"/>
          <w:numId w:val="88"/>
        </w:numPr>
        <w:rPr>
          <w:rFonts w:ascii="Arial" w:cs="Arial" w:eastAsia="Arial" w:hAnsi="Arial"/>
          <w:sz w:val="12"/>
          <w:szCs w:val="12"/>
          <w:color w:val="333333"/>
        </w:rPr>
      </w:pPr>
      <w:r>
        <w:rPr>
          <w:rFonts w:ascii="Arial" w:cs="Arial" w:eastAsia="Arial" w:hAnsi="Arial"/>
          <w:sz w:val="12"/>
          <w:szCs w:val="12"/>
          <w:color w:val="333333"/>
        </w:rPr>
        <w:t>Our Revenue Less Ancillary Services for the year ended December 31, 2023 was adjusted to $377.1 million based on pre-determined adjustments related to excluding revenue from the StudyLink acquisition and the revenue portion for the Travel business above an internal target was discounted 50%. Our Compensation Committee exercised its discretion to modify our reported Revenue Less Ancillary Services for the year ended December 31, 2022 of</w:t>
      </w:r>
    </w:p>
    <w:p>
      <w:pPr>
        <w:spacing w:after="0" w:line="1" w:lineRule="exact"/>
        <w:rPr>
          <w:rFonts w:ascii="Arial" w:cs="Arial" w:eastAsia="Arial" w:hAnsi="Arial"/>
          <w:sz w:val="12"/>
          <w:szCs w:val="12"/>
          <w:color w:val="333333"/>
        </w:rPr>
      </w:pPr>
    </w:p>
    <w:p>
      <w:pPr>
        <w:ind w:left="360" w:right="80"/>
        <w:spacing w:after="0" w:line="224" w:lineRule="auto"/>
        <w:rPr>
          <w:rFonts w:ascii="Arial" w:cs="Arial" w:eastAsia="Arial" w:hAnsi="Arial"/>
          <w:sz w:val="12"/>
          <w:szCs w:val="12"/>
          <w:color w:val="333333"/>
        </w:rPr>
      </w:pPr>
      <w:r>
        <w:rPr>
          <w:rFonts w:ascii="Arial" w:cs="Arial" w:eastAsia="Arial" w:hAnsi="Arial"/>
          <w:sz w:val="13"/>
          <w:szCs w:val="13"/>
          <w:color w:val="333333"/>
        </w:rPr>
        <w:t>$267.1 million to remove the $10.0 million of revenue attributable to CohortGo. While we use numerous financial and non-financial performance measures for the purpose of evaluating performance for our compensation programs, we have determined that Revenue Less Ancillary Services is the financial performance measure that, in our assessment, represents the most important performance measure (that is not otherwise required to be disclosed in the table) used by us to link compensation actually paid to the our NEOs, for the most recently completed fiscal year, to our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FINANCIAL PERFORMANCE MEASURES</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As described in greater detail in the section “Executive Compensation – Compensation Discussion and Analysis” above, our executive compensation program reflects a pay for performance philosophy. Annual performance-based cash bonuses are tied primarily to achievement of corporate short-term financial goals and, for certain executives, individual performance. Long term incentive awards deliver value based on the performance of our common stock. The most important financial performance measures used by us to link executive compensation actually paid to our NEOs, for the most recently completed fiscal year, to our performance are as follows:</w:t>
      </w:r>
    </w:p>
    <w:p>
      <w:pPr>
        <w:spacing w:after="0" w:line="141" w:lineRule="exact"/>
        <w:rPr>
          <w:sz w:val="20"/>
          <w:szCs w:val="20"/>
          <w:color w:val="auto"/>
        </w:rPr>
      </w:pPr>
    </w:p>
    <w:p>
      <w:pPr>
        <w:ind w:left="660" w:hanging="330"/>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Revenue Less Ancillary Services; and</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ANALYSIS OF THE INFORMATION PRESENTED IN THE PAY VERSUS PERFORMANCE TABLE</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As described in more detail in the section “Executive Compensation – Compensation Discussion and Analysis” above, our executive compensation program reflects a pay for performance philosophy. While we utilize several performance measures to align executive compensation with our performance, all of those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COMPENSATION ACTUALLY PAID AND CUMULATIVE TSR</w:t>
      </w:r>
    </w:p>
    <w:p>
      <w:pPr>
        <w:spacing w:after="0" w:line="19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As demonstrated by the following graph, the amount of compensation actually paid (CAP) to Mr. Massaro and the average amount of compensation actually paid to our NEOs as a group (excluding Mr. Massaro) is aligned with our cumulative TSR over the three years presented in the table. The alignment of compensation actually paid with our cumulative TSR over the period presented is because a significant portion of the compensation actually paid to Mr. Massaro and to the other NEOs is comprised of equity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47 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awards. As described in more detail in the section “Executive Compensation – Compensation Discussion and Analysis” above, in Fiscal 2023, we granted an average of over 80% of our NEOs’ target direct compensation as equity-based compensation in the form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186055</wp:posOffset>
            </wp:positionV>
            <wp:extent cx="4097655" cy="2512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9765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ACTUALLY PAID AND NET INCOME (LOSS)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demonstrated by the following table, the amount of compensation actually paid (CAP) to Mr. Massaro and the average amount of compensation actually paid to our NEOs as a group (excluding Mr. Massaro) is generally aligned with our net income (loss) over the three years presented in the table. Due to the emphasis we place on equity compensation, stock return is the primary driver of CAP for the three years shown in the chart. Equity compensation is sensitive to 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198755</wp:posOffset>
            </wp:positionV>
            <wp:extent cx="4097655" cy="255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9765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Flywire Corporation      48 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COMPENSATION ACTUALLY PAID AND REVENUE LESS ANCILLARY SERVICES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As demonstrated by the following graph, the amount of compensation actually paid to Mr. Massaro and the average amount of compensation actually paid to our NEOs as a group (excluding Mr. Massaro) is not aligned with our Revenue Less Ancillary Services, as modified by our Compensation Committee, over the three years presented in the table. This is largely due to the emphasis we place on equity compensation, which is sensitive to stock price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190500</wp:posOffset>
            </wp:positionV>
            <wp:extent cx="4063365" cy="2503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336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CUMULATIVE TSR AND CUMULATIVE TSR OF THE PEER GROUP</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demonstrated by the following graph, our cumulative TSR over the three-year period presented in the table was -4%, while the cumulative TSR of the peer group presented for this purpose, S&amp;P 500 – Information Technology Sector, was 40% over the three years presented in the table. Our cumulative TSR underperformed the S&amp;P 500 – Information Technology Sector during the three years presented in the table. For more information regarding our performance and the peer group of companies that our Compensation Committee considers when determining compensation, refer to 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193040</wp:posOffset>
            </wp:positionV>
            <wp:extent cx="4097655" cy="255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9765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Flywire Corporation      49 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740"/>
        <w:spacing w:after="0" w:line="292" w:lineRule="auto"/>
        <w:rPr>
          <w:sz w:val="20"/>
          <w:szCs w:val="20"/>
          <w:color w:val="auto"/>
        </w:rPr>
      </w:pPr>
      <w:r>
        <w:rPr>
          <w:rFonts w:ascii="Arial" w:cs="Arial" w:eastAsia="Arial" w:hAnsi="Arial"/>
          <w:sz w:val="50"/>
          <w:szCs w:val="50"/>
          <w:b w:val="1"/>
          <w:bCs w:val="1"/>
          <w:color w:val="007FC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voting common stock as of April 8, 2024 for:</w:t>
      </w:r>
    </w:p>
    <w:p>
      <w:pPr>
        <w:spacing w:after="0" w:line="102" w:lineRule="exact"/>
        <w:rPr>
          <w:sz w:val="20"/>
          <w:szCs w:val="20"/>
          <w:color w:val="auto"/>
        </w:rPr>
      </w:pPr>
    </w:p>
    <w:p>
      <w:pPr>
        <w:ind w:left="660" w:hanging="330"/>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80" w:lineRule="exact"/>
        <w:rPr>
          <w:rFonts w:ascii="Arial" w:cs="Arial" w:eastAsia="Arial" w:hAnsi="Arial"/>
          <w:sz w:val="16"/>
          <w:szCs w:val="16"/>
          <w:color w:val="auto"/>
        </w:rPr>
      </w:pPr>
    </w:p>
    <w:p>
      <w:pPr>
        <w:ind w:left="660" w:hanging="330"/>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our current directors;</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 and</w:t>
      </w:r>
    </w:p>
    <w:p>
      <w:pPr>
        <w:spacing w:after="0" w:line="180" w:lineRule="exact"/>
        <w:rPr>
          <w:rFonts w:ascii="Arial" w:cs="Arial" w:eastAsia="Arial" w:hAnsi="Arial"/>
          <w:sz w:val="16"/>
          <w:szCs w:val="16"/>
          <w:color w:val="auto"/>
        </w:rPr>
      </w:pPr>
    </w:p>
    <w:p>
      <w:pPr>
        <w:ind w:left="660" w:right="240" w:hanging="330"/>
        <w:spacing w:after="0" w:line="286"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stockholder known by us to be the beneficial owner of more than 5% of our outstanding shares of voting common stock</w:t>
      </w:r>
    </w:p>
    <w:p>
      <w:pPr>
        <w:spacing w:after="0" w:line="1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table below is based upon information supplied by officers, directors and principal stockholders and Schedule 13Gs and 13Ds filed with the SEC through April 8, 2024.</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percentage ownership is based upon 122,262,045 shares of voting common stock outstanding as of April 8, 2024. For purposes of the table below, we deem shares of common stock subject to options that are currently exercisable or exercisable within sixty (60) days of April 8, 2024 and common stock subject to restricted stock unit awards that will vest within sixty (60) days of April 8, 2024 to be outstanding and to be beneficially owned by the person holding the options or restricted stock unit award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Certain stockholders listed in the table also hold non-voting common stock, which are not entitled to vote at the Annual Meeting, as described in the relevant footnotes to the table below. Unless otherwise indicated, the address of</w:t>
      </w:r>
    </w:p>
    <w:p>
      <w:pPr>
        <w:spacing w:after="0" w:line="3" w:lineRule="exact"/>
        <w:rPr>
          <w:sz w:val="20"/>
          <w:szCs w:val="20"/>
          <w:color w:val="auto"/>
        </w:rPr>
      </w:pPr>
    </w:p>
    <w:p>
      <w:pPr>
        <w:ind w:right="400"/>
        <w:spacing w:after="0" w:line="214" w:lineRule="auto"/>
        <w:rPr>
          <w:sz w:val="20"/>
          <w:szCs w:val="20"/>
          <w:color w:val="auto"/>
        </w:rPr>
      </w:pPr>
      <w:r>
        <w:rPr>
          <w:rFonts w:ascii="Arial" w:cs="Arial" w:eastAsia="Arial" w:hAnsi="Arial"/>
          <w:sz w:val="16"/>
          <w:szCs w:val="16"/>
          <w:color w:val="auto"/>
        </w:rPr>
        <w:t>each beneficial owner listed in the table below is c/o Flywire Corporation, 141 Tremont St.,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Boston, Massachusetts 02111.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50 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680" w:type="dxa"/>
            <w:vAlign w:val="bottom"/>
          </w:tcPr>
          <w:p>
            <w:pPr>
              <w:jc w:val="center"/>
              <w:ind w:right="10"/>
              <w:spacing w:after="0"/>
              <w:rPr>
                <w:sz w:val="20"/>
                <w:szCs w:val="20"/>
                <w:color w:val="auto"/>
              </w:rPr>
            </w:pPr>
            <w:r>
              <w:rPr>
                <w:rFonts w:ascii="Arial" w:cs="Arial" w:eastAsia="Arial" w:hAnsi="Arial"/>
                <w:sz w:val="13"/>
                <w:szCs w:val="13"/>
                <w:b w:val="1"/>
                <w:bCs w:val="1"/>
                <w:color w:val="auto"/>
                <w:w w:val="96"/>
              </w:rPr>
              <w:t>NUMBER OF</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SHARES</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OF VOTING</w:t>
            </w:r>
          </w:p>
        </w:tc>
        <w:tc>
          <w:tcPr>
            <w:tcW w:w="2500" w:type="dxa"/>
            <w:vAlign w:val="bottom"/>
            <w:vMerge w:val="restart"/>
          </w:tcPr>
          <w:p>
            <w:pPr>
              <w:jc w:val="center"/>
              <w:ind w:left="469"/>
              <w:spacing w:after="0"/>
              <w:rPr>
                <w:sz w:val="20"/>
                <w:szCs w:val="20"/>
                <w:color w:val="auto"/>
              </w:rPr>
            </w:pPr>
            <w:r>
              <w:rPr>
                <w:rFonts w:ascii="Arial" w:cs="Arial" w:eastAsia="Arial" w:hAnsi="Arial"/>
                <w:sz w:val="13"/>
                <w:szCs w:val="13"/>
                <w:b w:val="1"/>
                <w:bCs w:val="1"/>
                <w:color w:val="auto"/>
                <w:w w:val="96"/>
              </w:rPr>
              <w:t>PERCENTAGE OF</w:t>
            </w:r>
          </w:p>
        </w:tc>
        <w:tc>
          <w:tcPr>
            <w:tcW w:w="0" w:type="dxa"/>
            <w:vAlign w:val="bottom"/>
          </w:tcPr>
          <w:p>
            <w:pPr>
              <w:spacing w:after="0"/>
              <w:rPr>
                <w:sz w:val="1"/>
                <w:szCs w:val="1"/>
                <w:color w:val="auto"/>
              </w:rPr>
            </w:pPr>
          </w:p>
        </w:tc>
      </w:tr>
      <w:tr>
        <w:trPr>
          <w:trHeight w:val="135"/>
        </w:trPr>
        <w:tc>
          <w:tcPr>
            <w:tcW w:w="42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NAME OF BENEFICIAL OWNER</w:t>
            </w:r>
          </w:p>
        </w:tc>
        <w:tc>
          <w:tcPr>
            <w:tcW w:w="2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COMMON</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20" w:type="dxa"/>
            <w:vAlign w:val="bottom"/>
            <w:vMerge w:val="continue"/>
          </w:tcPr>
          <w:p>
            <w:pPr>
              <w:spacing w:after="0"/>
              <w:rPr>
                <w:sz w:val="14"/>
                <w:szCs w:val="14"/>
                <w:color w:val="auto"/>
              </w:rPr>
            </w:pPr>
          </w:p>
        </w:tc>
        <w:tc>
          <w:tcPr>
            <w:tcW w:w="2680" w:type="dxa"/>
            <w:vAlign w:val="bottom"/>
          </w:tcPr>
          <w:p>
            <w:pPr>
              <w:jc w:val="center"/>
              <w:ind w:right="10"/>
              <w:spacing w:after="0"/>
              <w:rPr>
                <w:sz w:val="20"/>
                <w:szCs w:val="20"/>
                <w:color w:val="auto"/>
              </w:rPr>
            </w:pPr>
            <w:r>
              <w:rPr>
                <w:rFonts w:ascii="Arial" w:cs="Arial" w:eastAsia="Arial" w:hAnsi="Arial"/>
                <w:sz w:val="13"/>
                <w:szCs w:val="13"/>
                <w:b w:val="1"/>
                <w:bCs w:val="1"/>
                <w:color w:val="auto"/>
                <w:w w:val="96"/>
              </w:rPr>
              <w:t>STOCK</w:t>
            </w:r>
          </w:p>
        </w:tc>
        <w:tc>
          <w:tcPr>
            <w:tcW w:w="2500" w:type="dxa"/>
            <w:vAlign w:val="bottom"/>
          </w:tcPr>
          <w:p>
            <w:pPr>
              <w:jc w:val="center"/>
              <w:ind w:left="469"/>
              <w:spacing w:after="0"/>
              <w:rPr>
                <w:sz w:val="20"/>
                <w:szCs w:val="20"/>
                <w:color w:val="auto"/>
              </w:rPr>
            </w:pPr>
            <w:r>
              <w:rPr>
                <w:rFonts w:ascii="Arial" w:cs="Arial" w:eastAsia="Arial" w:hAnsi="Arial"/>
                <w:sz w:val="13"/>
                <w:szCs w:val="13"/>
                <w:b w:val="1"/>
                <w:bCs w:val="1"/>
                <w:color w:val="auto"/>
                <w:w w:val="99"/>
              </w:rPr>
              <w:t>CLASS</w:t>
            </w: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4220" w:type="dxa"/>
            <w:vAlign w:val="bottom"/>
            <w:shd w:val="clear" w:color="auto" w:fill="007FC4"/>
          </w:tcPr>
          <w:p>
            <w:pPr>
              <w:ind w:left="180"/>
              <w:spacing w:after="0"/>
              <w:rPr>
                <w:sz w:val="20"/>
                <w:szCs w:val="20"/>
                <w:color w:val="auto"/>
              </w:rPr>
            </w:pPr>
            <w:r>
              <w:rPr>
                <w:rFonts w:ascii="Arial" w:cs="Arial" w:eastAsia="Arial" w:hAnsi="Arial"/>
                <w:sz w:val="14"/>
                <w:szCs w:val="14"/>
                <w:b w:val="1"/>
                <w:bCs w:val="1"/>
                <w:color w:val="FFFFFF"/>
              </w:rPr>
              <w:t>5% or Greater Stockholders</w:t>
            </w:r>
          </w:p>
        </w:tc>
        <w:tc>
          <w:tcPr>
            <w:tcW w:w="2680" w:type="dxa"/>
            <w:vAlign w:val="bottom"/>
            <w:shd w:val="clear" w:color="auto" w:fill="007FC4"/>
          </w:tcPr>
          <w:p>
            <w:pPr>
              <w:spacing w:after="0"/>
              <w:rPr>
                <w:sz w:val="24"/>
                <w:szCs w:val="24"/>
                <w:color w:val="auto"/>
              </w:rPr>
            </w:pPr>
          </w:p>
        </w:tc>
        <w:tc>
          <w:tcPr>
            <w:tcW w:w="2500" w:type="dxa"/>
            <w:vAlign w:val="bottom"/>
            <w:shd w:val="clear" w:color="auto" w:fill="007FC4"/>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20" w:type="dxa"/>
            <w:vAlign w:val="bottom"/>
            <w:shd w:val="clear" w:color="auto" w:fill="007FC4"/>
          </w:tcPr>
          <w:p>
            <w:pPr>
              <w:spacing w:after="0"/>
              <w:rPr>
                <w:sz w:val="7"/>
                <w:szCs w:val="7"/>
                <w:color w:val="auto"/>
              </w:rPr>
            </w:pPr>
          </w:p>
        </w:tc>
        <w:tc>
          <w:tcPr>
            <w:tcW w:w="2680" w:type="dxa"/>
            <w:vAlign w:val="bottom"/>
            <w:shd w:val="clear" w:color="auto" w:fill="007FC4"/>
          </w:tcPr>
          <w:p>
            <w:pPr>
              <w:spacing w:after="0"/>
              <w:rPr>
                <w:sz w:val="7"/>
                <w:szCs w:val="7"/>
                <w:color w:val="auto"/>
              </w:rPr>
            </w:pPr>
          </w:p>
        </w:tc>
        <w:tc>
          <w:tcPr>
            <w:tcW w:w="2500" w:type="dxa"/>
            <w:vAlign w:val="bottom"/>
            <w:shd w:val="clear" w:color="auto" w:fill="007FC4"/>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The Vanguard Group, Inc.</w:t>
            </w:r>
            <w:r>
              <w:rPr>
                <w:rFonts w:ascii="Arial" w:cs="Arial" w:eastAsia="Arial" w:hAnsi="Arial"/>
                <w:sz w:val="23"/>
                <w:szCs w:val="23"/>
                <w:b w:val="1"/>
                <w:bCs w:val="1"/>
                <w:color w:val="007FC4"/>
                <w:vertAlign w:val="superscript"/>
              </w:rPr>
              <w:t>(1)</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10,761,286</w:t>
            </w:r>
          </w:p>
        </w:tc>
        <w:tc>
          <w:tcPr>
            <w:tcW w:w="2500" w:type="dxa"/>
            <w:vAlign w:val="bottom"/>
          </w:tcPr>
          <w:p>
            <w:pPr>
              <w:jc w:val="center"/>
              <w:ind w:left="469"/>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Ossa Investments Pte. Ltd</w:t>
            </w:r>
            <w:r>
              <w:rPr>
                <w:rFonts w:ascii="Arial" w:cs="Arial" w:eastAsia="Arial" w:hAnsi="Arial"/>
                <w:sz w:val="23"/>
                <w:szCs w:val="23"/>
                <w:b w:val="1"/>
                <w:bCs w:val="1"/>
                <w:color w:val="007FC4"/>
                <w:vertAlign w:val="superscript"/>
              </w:rPr>
              <w:t>(2)</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10,635,573</w:t>
            </w:r>
          </w:p>
        </w:tc>
        <w:tc>
          <w:tcPr>
            <w:tcW w:w="2500" w:type="dxa"/>
            <w:vAlign w:val="bottom"/>
            <w:shd w:val="clear" w:color="auto" w:fill="E5EBF7"/>
          </w:tcPr>
          <w:p>
            <w:pPr>
              <w:jc w:val="center"/>
              <w:ind w:left="46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FMR LLC</w:t>
            </w:r>
            <w:r>
              <w:rPr>
                <w:rFonts w:ascii="Arial" w:cs="Arial" w:eastAsia="Arial" w:hAnsi="Arial"/>
                <w:sz w:val="23"/>
                <w:szCs w:val="23"/>
                <w:b w:val="1"/>
                <w:bCs w:val="1"/>
                <w:color w:val="007FC4"/>
                <w:vertAlign w:val="superscript"/>
              </w:rPr>
              <w:t>(3)</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8,188,831</w:t>
            </w:r>
          </w:p>
        </w:tc>
        <w:tc>
          <w:tcPr>
            <w:tcW w:w="2500" w:type="dxa"/>
            <w:vAlign w:val="bottom"/>
          </w:tcPr>
          <w:p>
            <w:pPr>
              <w:jc w:val="center"/>
              <w:ind w:left="46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BlackRock, Inc.</w:t>
            </w:r>
            <w:r>
              <w:rPr>
                <w:rFonts w:ascii="Arial" w:cs="Arial" w:eastAsia="Arial" w:hAnsi="Arial"/>
                <w:sz w:val="23"/>
                <w:szCs w:val="23"/>
                <w:b w:val="1"/>
                <w:bCs w:val="1"/>
                <w:color w:val="007FC4"/>
                <w:vertAlign w:val="superscript"/>
              </w:rPr>
              <w:t>(4)</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7,770,569</w:t>
            </w:r>
          </w:p>
        </w:tc>
        <w:tc>
          <w:tcPr>
            <w:tcW w:w="2500" w:type="dxa"/>
            <w:vAlign w:val="bottom"/>
            <w:shd w:val="clear" w:color="auto" w:fill="E5EBF7"/>
          </w:tcPr>
          <w:p>
            <w:pPr>
              <w:jc w:val="center"/>
              <w:ind w:left="46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95"/>
        </w:trPr>
        <w:tc>
          <w:tcPr>
            <w:tcW w:w="4220" w:type="dxa"/>
            <w:vAlign w:val="bottom"/>
            <w:shd w:val="clear" w:color="auto" w:fill="007FC4"/>
          </w:tcPr>
          <w:p>
            <w:pPr>
              <w:ind w:left="180"/>
              <w:spacing w:after="0"/>
              <w:rPr>
                <w:sz w:val="20"/>
                <w:szCs w:val="20"/>
                <w:color w:val="auto"/>
              </w:rPr>
            </w:pPr>
            <w:r>
              <w:rPr>
                <w:rFonts w:ascii="Arial" w:cs="Arial" w:eastAsia="Arial" w:hAnsi="Arial"/>
                <w:sz w:val="14"/>
                <w:szCs w:val="14"/>
                <w:b w:val="1"/>
                <w:bCs w:val="1"/>
                <w:color w:val="FFFFFF"/>
              </w:rPr>
              <w:t>Named Executive Officers and Directors</w:t>
            </w:r>
          </w:p>
        </w:tc>
        <w:tc>
          <w:tcPr>
            <w:tcW w:w="2680" w:type="dxa"/>
            <w:vAlign w:val="bottom"/>
            <w:shd w:val="clear" w:color="auto" w:fill="007FC4"/>
          </w:tcPr>
          <w:p>
            <w:pPr>
              <w:spacing w:after="0"/>
              <w:rPr>
                <w:sz w:val="24"/>
                <w:szCs w:val="24"/>
                <w:color w:val="auto"/>
              </w:rPr>
            </w:pPr>
          </w:p>
        </w:tc>
        <w:tc>
          <w:tcPr>
            <w:tcW w:w="2500" w:type="dxa"/>
            <w:vAlign w:val="bottom"/>
            <w:shd w:val="clear" w:color="auto" w:fill="007FC4"/>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20" w:type="dxa"/>
            <w:vAlign w:val="bottom"/>
            <w:shd w:val="clear" w:color="auto" w:fill="007FC4"/>
          </w:tcPr>
          <w:p>
            <w:pPr>
              <w:spacing w:after="0"/>
              <w:rPr>
                <w:sz w:val="7"/>
                <w:szCs w:val="7"/>
                <w:color w:val="auto"/>
              </w:rPr>
            </w:pPr>
          </w:p>
        </w:tc>
        <w:tc>
          <w:tcPr>
            <w:tcW w:w="2680" w:type="dxa"/>
            <w:vAlign w:val="bottom"/>
            <w:shd w:val="clear" w:color="auto" w:fill="007FC4"/>
          </w:tcPr>
          <w:p>
            <w:pPr>
              <w:spacing w:after="0"/>
              <w:rPr>
                <w:sz w:val="7"/>
                <w:szCs w:val="7"/>
                <w:color w:val="auto"/>
              </w:rPr>
            </w:pPr>
          </w:p>
        </w:tc>
        <w:tc>
          <w:tcPr>
            <w:tcW w:w="2500" w:type="dxa"/>
            <w:vAlign w:val="bottom"/>
            <w:shd w:val="clear" w:color="auto" w:fill="007FC4"/>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Michael Massaro</w:t>
            </w:r>
            <w:r>
              <w:rPr>
                <w:rFonts w:ascii="Arial" w:cs="Arial" w:eastAsia="Arial" w:hAnsi="Arial"/>
                <w:sz w:val="23"/>
                <w:szCs w:val="23"/>
                <w:b w:val="1"/>
                <w:bCs w:val="1"/>
                <w:color w:val="007FC4"/>
                <w:vertAlign w:val="superscript"/>
              </w:rPr>
              <w:t>(5)</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2,277,376</w:t>
            </w:r>
          </w:p>
        </w:tc>
        <w:tc>
          <w:tcPr>
            <w:tcW w:w="2500" w:type="dxa"/>
            <w:vAlign w:val="bottom"/>
          </w:tcPr>
          <w:p>
            <w:pPr>
              <w:jc w:val="center"/>
              <w:ind w:left="46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Robert Orgel</w:t>
            </w:r>
            <w:r>
              <w:rPr>
                <w:rFonts w:ascii="Arial" w:cs="Arial" w:eastAsia="Arial" w:hAnsi="Arial"/>
                <w:sz w:val="23"/>
                <w:szCs w:val="23"/>
                <w:b w:val="1"/>
                <w:bCs w:val="1"/>
                <w:color w:val="007FC4"/>
                <w:vertAlign w:val="superscript"/>
              </w:rPr>
              <w:t>(6)</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771,232</w:t>
            </w:r>
          </w:p>
        </w:tc>
        <w:tc>
          <w:tcPr>
            <w:tcW w:w="2500" w:type="dxa"/>
            <w:vAlign w:val="bottom"/>
            <w:shd w:val="clear" w:color="auto" w:fill="E5EBF7"/>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Cosmin Pitigoi</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w:t>
            </w:r>
          </w:p>
        </w:tc>
        <w:tc>
          <w:tcPr>
            <w:tcW w:w="2500" w:type="dxa"/>
            <w:vAlign w:val="bottom"/>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David King</w:t>
            </w:r>
            <w:r>
              <w:rPr>
                <w:rFonts w:ascii="Arial" w:cs="Arial" w:eastAsia="Arial" w:hAnsi="Arial"/>
                <w:sz w:val="23"/>
                <w:szCs w:val="23"/>
                <w:b w:val="1"/>
                <w:bCs w:val="1"/>
                <w:color w:val="007FC4"/>
                <w:vertAlign w:val="superscript"/>
              </w:rPr>
              <w:t>(7)</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636,172</w:t>
            </w:r>
          </w:p>
        </w:tc>
        <w:tc>
          <w:tcPr>
            <w:tcW w:w="2500" w:type="dxa"/>
            <w:vAlign w:val="bottom"/>
            <w:shd w:val="clear" w:color="auto" w:fill="E5EBF7"/>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Peter Butterfield</w:t>
            </w:r>
            <w:r>
              <w:rPr>
                <w:rFonts w:ascii="Arial" w:cs="Arial" w:eastAsia="Arial" w:hAnsi="Arial"/>
                <w:sz w:val="23"/>
                <w:szCs w:val="23"/>
                <w:b w:val="1"/>
                <w:bCs w:val="1"/>
                <w:color w:val="007FC4"/>
                <w:vertAlign w:val="superscript"/>
              </w:rPr>
              <w:t>(8)</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423,844</w:t>
            </w:r>
          </w:p>
        </w:tc>
        <w:tc>
          <w:tcPr>
            <w:tcW w:w="2500" w:type="dxa"/>
            <w:vAlign w:val="bottom"/>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Matthew Harris</w:t>
            </w:r>
            <w:r>
              <w:rPr>
                <w:rFonts w:ascii="Arial" w:cs="Arial" w:eastAsia="Arial" w:hAnsi="Arial"/>
                <w:sz w:val="23"/>
                <w:szCs w:val="23"/>
                <w:b w:val="1"/>
                <w:bCs w:val="1"/>
                <w:color w:val="007FC4"/>
                <w:vertAlign w:val="superscript"/>
              </w:rPr>
              <w:t>(9)</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108,103</w:t>
            </w:r>
          </w:p>
        </w:tc>
        <w:tc>
          <w:tcPr>
            <w:tcW w:w="2500" w:type="dxa"/>
            <w:vAlign w:val="bottom"/>
            <w:shd w:val="clear" w:color="auto" w:fill="E5EBF7"/>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Alex Finkelstein</w:t>
            </w:r>
            <w:r>
              <w:rPr>
                <w:rFonts w:ascii="Arial" w:cs="Arial" w:eastAsia="Arial" w:hAnsi="Arial"/>
                <w:sz w:val="23"/>
                <w:szCs w:val="23"/>
                <w:b w:val="1"/>
                <w:bCs w:val="1"/>
                <w:color w:val="007FC4"/>
                <w:vertAlign w:val="superscript"/>
              </w:rPr>
              <w:t>(10)</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231,817</w:t>
            </w:r>
          </w:p>
        </w:tc>
        <w:tc>
          <w:tcPr>
            <w:tcW w:w="2500" w:type="dxa"/>
            <w:vAlign w:val="bottom"/>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Phillip Riese</w:t>
            </w:r>
            <w:r>
              <w:rPr>
                <w:rFonts w:ascii="Arial" w:cs="Arial" w:eastAsia="Arial" w:hAnsi="Arial"/>
                <w:sz w:val="23"/>
                <w:szCs w:val="23"/>
                <w:b w:val="1"/>
                <w:bCs w:val="1"/>
                <w:color w:val="007FC4"/>
                <w:vertAlign w:val="superscript"/>
              </w:rPr>
              <w:t>(11)</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405,037</w:t>
            </w:r>
          </w:p>
        </w:tc>
        <w:tc>
          <w:tcPr>
            <w:tcW w:w="2500" w:type="dxa"/>
            <w:vAlign w:val="bottom"/>
            <w:shd w:val="clear" w:color="auto" w:fill="E5EBF7"/>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Edwin Santos</w:t>
            </w:r>
            <w:r>
              <w:rPr>
                <w:rFonts w:ascii="Arial" w:cs="Arial" w:eastAsia="Arial" w:hAnsi="Arial"/>
                <w:sz w:val="23"/>
                <w:szCs w:val="23"/>
                <w:b w:val="1"/>
                <w:bCs w:val="1"/>
                <w:color w:val="007FC4"/>
                <w:vertAlign w:val="superscript"/>
              </w:rPr>
              <w:t>(12)</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10,448</w:t>
            </w:r>
          </w:p>
        </w:tc>
        <w:tc>
          <w:tcPr>
            <w:tcW w:w="2500" w:type="dxa"/>
            <w:vAlign w:val="bottom"/>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Diane Offereins</w:t>
            </w:r>
            <w:r>
              <w:rPr>
                <w:rFonts w:ascii="Arial" w:cs="Arial" w:eastAsia="Arial" w:hAnsi="Arial"/>
                <w:sz w:val="23"/>
                <w:szCs w:val="23"/>
                <w:b w:val="1"/>
                <w:bCs w:val="1"/>
                <w:color w:val="007FC4"/>
                <w:vertAlign w:val="superscript"/>
              </w:rPr>
              <w:t>(13)</w:t>
            </w:r>
          </w:p>
        </w:tc>
        <w:tc>
          <w:tcPr>
            <w:tcW w:w="2680" w:type="dxa"/>
            <w:vAlign w:val="bottom"/>
            <w:shd w:val="clear" w:color="auto" w:fill="E5EBF7"/>
          </w:tcPr>
          <w:p>
            <w:pPr>
              <w:jc w:val="center"/>
              <w:ind w:right="10"/>
              <w:spacing w:after="0"/>
              <w:rPr>
                <w:sz w:val="20"/>
                <w:szCs w:val="20"/>
                <w:color w:val="auto"/>
              </w:rPr>
            </w:pPr>
            <w:r>
              <w:rPr>
                <w:rFonts w:ascii="Arial" w:cs="Arial" w:eastAsia="Arial" w:hAnsi="Arial"/>
                <w:sz w:val="14"/>
                <w:szCs w:val="14"/>
                <w:color w:val="auto"/>
              </w:rPr>
              <w:t>10,312</w:t>
            </w:r>
          </w:p>
        </w:tc>
        <w:tc>
          <w:tcPr>
            <w:tcW w:w="2500" w:type="dxa"/>
            <w:vAlign w:val="bottom"/>
            <w:shd w:val="clear" w:color="auto" w:fill="E5EBF7"/>
          </w:tcPr>
          <w:p>
            <w:pPr>
              <w:jc w:val="center"/>
              <w:ind w:lef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5"/>
        </w:trPr>
        <w:tc>
          <w:tcPr>
            <w:tcW w:w="4220" w:type="dxa"/>
            <w:vAlign w:val="bottom"/>
          </w:tcPr>
          <w:p>
            <w:pPr>
              <w:ind w:left="180"/>
              <w:spacing w:after="0"/>
              <w:rPr>
                <w:sz w:val="20"/>
                <w:szCs w:val="20"/>
                <w:color w:val="auto"/>
              </w:rPr>
            </w:pPr>
            <w:r>
              <w:rPr>
                <w:rFonts w:ascii="Arial" w:cs="Arial" w:eastAsia="Arial" w:hAnsi="Arial"/>
                <w:sz w:val="14"/>
                <w:szCs w:val="14"/>
                <w:b w:val="1"/>
                <w:bCs w:val="1"/>
                <w:color w:val="007FC4"/>
              </w:rPr>
              <w:t>Gretchen Howard</w:t>
            </w:r>
          </w:p>
        </w:tc>
        <w:tc>
          <w:tcPr>
            <w:tcW w:w="2680" w:type="dxa"/>
            <w:vAlign w:val="bottom"/>
          </w:tcPr>
          <w:p>
            <w:pPr>
              <w:jc w:val="center"/>
              <w:ind w:right="10"/>
              <w:spacing w:after="0"/>
              <w:rPr>
                <w:sz w:val="20"/>
                <w:szCs w:val="20"/>
                <w:color w:val="auto"/>
              </w:rPr>
            </w:pPr>
            <w:r>
              <w:rPr>
                <w:rFonts w:ascii="Arial" w:cs="Arial" w:eastAsia="Arial" w:hAnsi="Arial"/>
                <w:sz w:val="14"/>
                <w:szCs w:val="14"/>
                <w:color w:val="auto"/>
              </w:rPr>
              <w:t>—</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4220" w:type="dxa"/>
            <w:vAlign w:val="bottom"/>
            <w:shd w:val="clear" w:color="auto" w:fill="E5EBF7"/>
          </w:tcPr>
          <w:p>
            <w:pPr>
              <w:ind w:left="180"/>
              <w:spacing w:after="0"/>
              <w:rPr>
                <w:sz w:val="20"/>
                <w:szCs w:val="20"/>
                <w:color w:val="auto"/>
              </w:rPr>
            </w:pPr>
            <w:r>
              <w:rPr>
                <w:rFonts w:ascii="Arial" w:cs="Arial" w:eastAsia="Arial" w:hAnsi="Arial"/>
                <w:sz w:val="14"/>
                <w:szCs w:val="14"/>
                <w:b w:val="1"/>
                <w:bCs w:val="1"/>
                <w:color w:val="007FC4"/>
              </w:rPr>
              <w:t>All current executive officers and directors as</w:t>
            </w:r>
          </w:p>
        </w:tc>
        <w:tc>
          <w:tcPr>
            <w:tcW w:w="2680" w:type="dxa"/>
            <w:vAlign w:val="bottom"/>
            <w:vMerge w:val="restart"/>
            <w:shd w:val="clear" w:color="auto" w:fill="E5EBF7"/>
          </w:tcPr>
          <w:p>
            <w:pPr>
              <w:jc w:val="center"/>
              <w:ind w:right="10"/>
              <w:spacing w:after="0"/>
              <w:rPr>
                <w:sz w:val="20"/>
                <w:szCs w:val="20"/>
                <w:color w:val="auto"/>
              </w:rPr>
            </w:pPr>
            <w:r>
              <w:rPr>
                <w:rFonts w:ascii="Arial" w:cs="Arial" w:eastAsia="Arial" w:hAnsi="Arial"/>
                <w:sz w:val="14"/>
                <w:szCs w:val="14"/>
                <w:color w:val="auto"/>
              </w:rPr>
              <w:t>4,874,341</w:t>
            </w:r>
          </w:p>
        </w:tc>
        <w:tc>
          <w:tcPr>
            <w:tcW w:w="2500" w:type="dxa"/>
            <w:vAlign w:val="bottom"/>
            <w:vMerge w:val="restart"/>
            <w:shd w:val="clear" w:color="auto" w:fill="E5EBF7"/>
          </w:tcPr>
          <w:p>
            <w:pPr>
              <w:jc w:val="center"/>
              <w:ind w:left="4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6"/>
        </w:trPr>
        <w:tc>
          <w:tcPr>
            <w:tcW w:w="4220" w:type="dxa"/>
            <w:vAlign w:val="bottom"/>
            <w:vMerge w:val="restart"/>
            <w:shd w:val="clear" w:color="auto" w:fill="E5EBF7"/>
          </w:tcPr>
          <w:p>
            <w:pPr>
              <w:ind w:left="180"/>
              <w:spacing w:after="0" w:line="255" w:lineRule="exact"/>
              <w:rPr>
                <w:sz w:val="20"/>
                <w:szCs w:val="20"/>
                <w:color w:val="auto"/>
              </w:rPr>
            </w:pPr>
            <w:r>
              <w:rPr>
                <w:rFonts w:ascii="Arial" w:cs="Arial" w:eastAsia="Arial" w:hAnsi="Arial"/>
                <w:sz w:val="14"/>
                <w:szCs w:val="14"/>
                <w:b w:val="1"/>
                <w:bCs w:val="1"/>
                <w:color w:val="007FC4"/>
              </w:rPr>
              <w:t>a group (11 persons)</w:t>
            </w:r>
            <w:r>
              <w:rPr>
                <w:rFonts w:ascii="Arial" w:cs="Arial" w:eastAsia="Arial" w:hAnsi="Arial"/>
                <w:sz w:val="23"/>
                <w:szCs w:val="23"/>
                <w:b w:val="1"/>
                <w:bCs w:val="1"/>
                <w:color w:val="007FC4"/>
                <w:vertAlign w:val="superscript"/>
              </w:rPr>
              <w:t>(14)</w:t>
            </w:r>
          </w:p>
        </w:tc>
        <w:tc>
          <w:tcPr>
            <w:tcW w:w="2680" w:type="dxa"/>
            <w:vAlign w:val="bottom"/>
            <w:vMerge w:val="continue"/>
            <w:shd w:val="clear" w:color="auto" w:fill="E5EBF7"/>
          </w:tcPr>
          <w:p>
            <w:pPr>
              <w:spacing w:after="0"/>
              <w:rPr>
                <w:sz w:val="10"/>
                <w:szCs w:val="10"/>
                <w:color w:val="auto"/>
              </w:rPr>
            </w:pPr>
          </w:p>
        </w:tc>
        <w:tc>
          <w:tcPr>
            <w:tcW w:w="2500" w:type="dxa"/>
            <w:vAlign w:val="bottom"/>
            <w:vMerge w:val="continue"/>
            <w:shd w:val="clear" w:color="auto" w:fill="E5EBF7"/>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20" w:type="dxa"/>
            <w:vAlign w:val="bottom"/>
            <w:tcBorders>
              <w:bottom w:val="single" w:sz="8" w:color="007FC4"/>
            </w:tcBorders>
            <w:vMerge w:val="continue"/>
            <w:shd w:val="clear" w:color="auto" w:fill="E5EBF7"/>
          </w:tcPr>
          <w:p>
            <w:pPr>
              <w:spacing w:after="0"/>
              <w:rPr>
                <w:sz w:val="11"/>
                <w:szCs w:val="11"/>
                <w:color w:val="auto"/>
              </w:rPr>
            </w:pPr>
          </w:p>
        </w:tc>
        <w:tc>
          <w:tcPr>
            <w:tcW w:w="2680" w:type="dxa"/>
            <w:vAlign w:val="bottom"/>
            <w:tcBorders>
              <w:bottom w:val="single" w:sz="8" w:color="007FC4"/>
            </w:tcBorders>
            <w:shd w:val="clear" w:color="auto" w:fill="E5EBF7"/>
          </w:tcPr>
          <w:p>
            <w:pPr>
              <w:spacing w:after="0"/>
              <w:rPr>
                <w:sz w:val="11"/>
                <w:szCs w:val="11"/>
                <w:color w:val="auto"/>
              </w:rPr>
            </w:pPr>
          </w:p>
        </w:tc>
        <w:tc>
          <w:tcPr>
            <w:tcW w:w="2500" w:type="dxa"/>
            <w:vAlign w:val="bottom"/>
            <w:tcBorders>
              <w:bottom w:val="single" w:sz="8" w:color="007FC4"/>
            </w:tcBorders>
            <w:shd w:val="clear" w:color="auto" w:fill="E5EBF7"/>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4"/>
        <w:spacing w:after="0"/>
        <w:tabs>
          <w:tab w:leader="none" w:pos="360" w:val="left"/>
        </w:tabs>
        <w:numPr>
          <w:ilvl w:val="0"/>
          <w:numId w:val="91"/>
        </w:numPr>
        <w:rPr>
          <w:rFonts w:ascii="Arial" w:cs="Arial" w:eastAsia="Arial" w:hAnsi="Arial"/>
          <w:sz w:val="13"/>
          <w:szCs w:val="13"/>
          <w:color w:val="333333"/>
        </w:rPr>
      </w:pPr>
      <w:r>
        <w:rPr>
          <w:rFonts w:ascii="Arial" w:cs="Arial" w:eastAsia="Arial" w:hAnsi="Arial"/>
          <w:sz w:val="13"/>
          <w:szCs w:val="13"/>
          <w:color w:val="333333"/>
        </w:rPr>
        <w:t>Less than 1% of the outstanding shares of voting common stock.</w:t>
      </w:r>
    </w:p>
    <w:p>
      <w:pPr>
        <w:spacing w:after="0" w:line="94" w:lineRule="exact"/>
        <w:rPr>
          <w:sz w:val="20"/>
          <w:szCs w:val="20"/>
          <w:color w:val="auto"/>
        </w:rPr>
      </w:pPr>
    </w:p>
    <w:p>
      <w:pPr>
        <w:ind w:left="360" w:right="20" w:hanging="354"/>
        <w:spacing w:after="0" w:line="229"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Consists of shares of our common stock held by The Vanguard Group, Inc. The Vanguard Group, Inc. has shared power to vote or direct the vote with respect to 304,336 shares of our common stock, sole power to dispose or to direct the disposition of 10,456,950 shares of our common stock, and shared power to dispose or to direct the disposition of 138,360 shares of our common stock. The business address of The Vanguard Group, Inc. is 100 Vanguard Blvd., Malvern, PA 19355. The foregoing information in this footnote is based on a Schedule 13G/A filed by The Vanguard Group, Inc. on February 13, 2024.</w:t>
      </w:r>
    </w:p>
    <w:p>
      <w:pPr>
        <w:spacing w:after="0" w:line="77" w:lineRule="exact"/>
        <w:rPr>
          <w:rFonts w:ascii="Arial" w:cs="Arial" w:eastAsia="Arial" w:hAnsi="Arial"/>
          <w:sz w:val="13"/>
          <w:szCs w:val="13"/>
          <w:color w:val="333333"/>
        </w:rPr>
      </w:pPr>
    </w:p>
    <w:p>
      <w:pPr>
        <w:ind w:left="360" w:right="40" w:hanging="354"/>
        <w:spacing w:after="0" w:line="22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Ossa Investments Pte. Ltd. also owns 1,873,320 shares of our non-voting common stock. The address for Ossa Investments Pte. Ltd., Fullerton and Temasek is 60B Orchard Road #06-18 Tower 2, The Atrium@Orchard, Singapore 238891. The foregoing information in this footnote is based on a Schedule 13G filed by Ossa Investments Pte. Ltd, Temasek Holdings (Private) Limited, Hotham Investments Pte Ltd and Fullerton Management Pte Ltd, on February 14, 2022.</w:t>
      </w:r>
    </w:p>
    <w:p>
      <w:pPr>
        <w:spacing w:after="0" w:line="80" w:lineRule="exact"/>
        <w:rPr>
          <w:rFonts w:ascii="Arial" w:cs="Arial" w:eastAsia="Arial" w:hAnsi="Arial"/>
          <w:sz w:val="13"/>
          <w:szCs w:val="13"/>
          <w:color w:val="333333"/>
        </w:rPr>
      </w:pPr>
    </w:p>
    <w:p>
      <w:pPr>
        <w:ind w:left="360" w:right="20" w:hanging="354"/>
        <w:spacing w:after="0" w:line="23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Consists of shares of our common stock held by FMR LLC. FMR LLC has the sole power to vote or direct the vote with respect to all of such shares. The business address of FMR LLC is 245 Summer Street, Boston, MA 02210. The foregoing information in this footnote is based on a Schedule 13G/A filed by FMR LLC on February 9, 2024.</w:t>
      </w:r>
    </w:p>
    <w:p>
      <w:pPr>
        <w:spacing w:after="0" w:line="77" w:lineRule="exact"/>
        <w:rPr>
          <w:rFonts w:ascii="Arial" w:cs="Arial" w:eastAsia="Arial" w:hAnsi="Arial"/>
          <w:sz w:val="13"/>
          <w:szCs w:val="13"/>
          <w:color w:val="333333"/>
        </w:rPr>
      </w:pPr>
    </w:p>
    <w:p>
      <w:pPr>
        <w:ind w:left="360" w:right="40" w:hanging="354"/>
        <w:spacing w:after="0" w:line="23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Consists of shares of our common stock held by BlackRock, Inc. BlackRock, Inc. has the sole power to vote or direct the vote with respect to all of such shares. The business address of BlackRock, Inc. is 50 Hudson Yards New York, NY 10001. The foregoing information in this footnote is based on a Schedule 13G filed by BlackRock, Inc. on January 29, 2024.</w:t>
      </w:r>
    </w:p>
    <w:p>
      <w:pPr>
        <w:spacing w:after="0" w:line="77"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Includes options to purchase 960,841 shares of common stock that may be exercised within 60 days of the Record Date and 33,529 shares underlying restricted stock unit awards which may vest within 60 days of the Record Date.</w:t>
      </w:r>
    </w:p>
    <w:p>
      <w:pPr>
        <w:spacing w:after="0" w:line="75"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Includes options to purchase 663,202 shares of common stock that may be exercised within 60 days of the Record Date and 17,255 shares underlying restricted stock unit awards which may vest within 60 days of the Record Date.</w:t>
      </w:r>
    </w:p>
    <w:p>
      <w:pPr>
        <w:spacing w:after="0" w:line="75" w:lineRule="exact"/>
        <w:rPr>
          <w:rFonts w:ascii="Arial" w:cs="Arial" w:eastAsia="Arial" w:hAnsi="Arial"/>
          <w:sz w:val="13"/>
          <w:szCs w:val="13"/>
          <w:color w:val="333333"/>
        </w:rPr>
      </w:pPr>
    </w:p>
    <w:p>
      <w:pPr>
        <w:ind w:left="360" w:right="260" w:hanging="354"/>
        <w:spacing w:after="0" w:line="243" w:lineRule="auto"/>
        <w:tabs>
          <w:tab w:leader="none" w:pos="360" w:val="left"/>
        </w:tabs>
        <w:numPr>
          <w:ilvl w:val="0"/>
          <w:numId w:val="92"/>
        </w:numPr>
        <w:rPr>
          <w:rFonts w:ascii="Arial" w:cs="Arial" w:eastAsia="Arial" w:hAnsi="Arial"/>
          <w:sz w:val="13"/>
          <w:szCs w:val="13"/>
          <w:color w:val="333333"/>
        </w:rPr>
      </w:pPr>
      <w:r>
        <w:rPr>
          <w:rFonts w:ascii="Arial" w:cs="Arial" w:eastAsia="Arial" w:hAnsi="Arial"/>
          <w:sz w:val="13"/>
          <w:szCs w:val="13"/>
          <w:color w:val="333333"/>
        </w:rPr>
        <w:t>Includes options to purchase 28,125 shares of common stock that may be exercised within 60 days of the Record Date and 7,876 shares underlying restricted stock unit awards which may vest within 60 days of the Record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Corporation      51 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180" w:hanging="354"/>
        <w:spacing w:after="0" w:line="243" w:lineRule="auto"/>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options to purchase 370,165 shares of common stock that may be exercised within 60 days of the Record Date and 7,849 shares underlying restricted stock unit awards which may vest within 60 days of the Record Date.</w:t>
      </w:r>
    </w:p>
    <w:p>
      <w:pPr>
        <w:spacing w:after="0" w:line="75" w:lineRule="exact"/>
        <w:rPr>
          <w:rFonts w:ascii="Arial" w:cs="Arial" w:eastAsia="Arial" w:hAnsi="Arial"/>
          <w:sz w:val="13"/>
          <w:szCs w:val="13"/>
          <w:color w:val="auto"/>
        </w:rPr>
      </w:pPr>
    </w:p>
    <w:p>
      <w:pPr>
        <w:ind w:left="360" w:hanging="354"/>
        <w:spacing w:after="0"/>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108,103 shares of common stock held directly by Mr. Harris.</w:t>
      </w:r>
    </w:p>
    <w:p>
      <w:pPr>
        <w:spacing w:after="0" w:line="93" w:lineRule="exact"/>
        <w:rPr>
          <w:rFonts w:ascii="Arial" w:cs="Arial" w:eastAsia="Arial" w:hAnsi="Arial"/>
          <w:sz w:val="13"/>
          <w:szCs w:val="13"/>
          <w:color w:val="auto"/>
        </w:rPr>
      </w:pPr>
    </w:p>
    <w:p>
      <w:pPr>
        <w:ind w:left="360" w:hanging="354"/>
        <w:spacing w:after="0"/>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5,587 shares underlying restricted stock unit awards which may vest within 60 days of the Record Date.</w:t>
      </w:r>
    </w:p>
    <w:p>
      <w:pPr>
        <w:spacing w:after="0" w:line="93" w:lineRule="exact"/>
        <w:rPr>
          <w:rFonts w:ascii="Arial" w:cs="Arial" w:eastAsia="Arial" w:hAnsi="Arial"/>
          <w:sz w:val="13"/>
          <w:szCs w:val="13"/>
          <w:color w:val="auto"/>
        </w:rPr>
      </w:pPr>
    </w:p>
    <w:p>
      <w:pPr>
        <w:ind w:left="360" w:right="180" w:hanging="354"/>
        <w:spacing w:after="0" w:line="243" w:lineRule="auto"/>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options to purchase 198,000 shares of common stock that may be exercised within 60 days of the Record Date and 5,587 shares underlying restricted stock unit awards which may vest within 60 days of the Record Date.</w:t>
      </w:r>
    </w:p>
    <w:p>
      <w:pPr>
        <w:spacing w:after="0" w:line="75" w:lineRule="exact"/>
        <w:rPr>
          <w:rFonts w:ascii="Arial" w:cs="Arial" w:eastAsia="Arial" w:hAnsi="Arial"/>
          <w:sz w:val="13"/>
          <w:szCs w:val="13"/>
          <w:color w:val="auto"/>
        </w:rPr>
      </w:pPr>
    </w:p>
    <w:p>
      <w:pPr>
        <w:ind w:left="360" w:hanging="354"/>
        <w:spacing w:after="0"/>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10,448 shares underlying restricted stock unit awards which may vest within 60 days of the Record Date.</w:t>
      </w:r>
    </w:p>
    <w:p>
      <w:pPr>
        <w:spacing w:after="0" w:line="93" w:lineRule="exact"/>
        <w:rPr>
          <w:rFonts w:ascii="Arial" w:cs="Arial" w:eastAsia="Arial" w:hAnsi="Arial"/>
          <w:sz w:val="13"/>
          <w:szCs w:val="13"/>
          <w:color w:val="auto"/>
        </w:rPr>
      </w:pPr>
    </w:p>
    <w:p>
      <w:pPr>
        <w:ind w:left="360" w:hanging="354"/>
        <w:spacing w:after="0"/>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5,587 shares underlying restricted stock unit awards which may vest within 60 days of the Record Date.</w:t>
      </w:r>
    </w:p>
    <w:p>
      <w:pPr>
        <w:spacing w:after="0" w:line="93" w:lineRule="exact"/>
        <w:rPr>
          <w:rFonts w:ascii="Arial" w:cs="Arial" w:eastAsia="Arial" w:hAnsi="Arial"/>
          <w:sz w:val="13"/>
          <w:szCs w:val="13"/>
          <w:color w:val="auto"/>
        </w:rPr>
      </w:pPr>
    </w:p>
    <w:p>
      <w:pPr>
        <w:ind w:left="360" w:hanging="354"/>
        <w:spacing w:after="0" w:line="243" w:lineRule="auto"/>
        <w:tabs>
          <w:tab w:leader="none" w:pos="3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options to purchase 2,220,333 shares of common stock that may be exercised within 60 days of the Record Date and 93,718 shares underlying restricted stock unit awards which may vest within 60 days of the Record Date.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52 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1220"/>
        <w:spacing w:after="0" w:line="292" w:lineRule="auto"/>
        <w:rPr>
          <w:sz w:val="20"/>
          <w:szCs w:val="20"/>
          <w:color w:val="auto"/>
        </w:rPr>
      </w:pPr>
      <w:r>
        <w:rPr>
          <w:rFonts w:ascii="Arial" w:cs="Arial" w:eastAsia="Arial" w:hAnsi="Arial"/>
          <w:sz w:val="50"/>
          <w:szCs w:val="50"/>
          <w:b w:val="1"/>
          <w:bCs w:val="1"/>
          <w:color w:val="007FC4"/>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9664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5"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addition to the compensation arrangements with our directors and executive officers described elsewhere in this proxy statement, the following is a description of each transaction since January 1, 2023 and each currently proposed transaction in which:</w:t>
      </w:r>
    </w:p>
    <w:p>
      <w:pPr>
        <w:spacing w:after="0" w:line="131" w:lineRule="exact"/>
        <w:rPr>
          <w:sz w:val="20"/>
          <w:szCs w:val="20"/>
          <w:color w:val="auto"/>
        </w:rPr>
      </w:pPr>
    </w:p>
    <w:p>
      <w:pPr>
        <w:ind w:left="660" w:hanging="330"/>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94" w:lineRule="exact"/>
        <w:rPr>
          <w:rFonts w:ascii="Arial" w:cs="Arial" w:eastAsia="Arial" w:hAnsi="Arial"/>
          <w:sz w:val="16"/>
          <w:szCs w:val="16"/>
          <w:color w:val="auto"/>
        </w:rPr>
      </w:pPr>
    </w:p>
    <w:p>
      <w:pPr>
        <w:ind w:left="660" w:hanging="330"/>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 involved exceeds the lesser of $120,000; and</w:t>
      </w:r>
    </w:p>
    <w:p>
      <w:pPr>
        <w:spacing w:after="0" w:line="180" w:lineRule="exact"/>
        <w:rPr>
          <w:rFonts w:ascii="Arial" w:cs="Arial" w:eastAsia="Arial" w:hAnsi="Arial"/>
          <w:sz w:val="16"/>
          <w:szCs w:val="16"/>
          <w:color w:val="auto"/>
        </w:rPr>
      </w:pPr>
    </w:p>
    <w:p>
      <w:pPr>
        <w:ind w:left="660" w:hanging="330"/>
        <w:spacing w:after="0" w:line="26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capital stock, or any immediate family member of or person sharing the household with any of these individuals (other than tenants or employees), had or will have a direct or indirect material interest.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AGREEMENTS</w:t>
      </w:r>
    </w:p>
    <w:p>
      <w:pPr>
        <w:spacing w:after="0" w:line="18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POLICIES AND PROCEDURES FOR RELATED PARTY TRANSACTIONS</w:t>
      </w:r>
    </w:p>
    <w:p>
      <w:pPr>
        <w:spacing w:after="0" w:line="18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Pursuant to our Code of Conduct and Audit Committee charter, any related party transaction or series of transactions with an executive officer, director, or any of such persons’ immediate family members or affiliates, in which the amount, either individually or in the aggregate, involved exceeds $120,000 must be presented to our Audit Committee for review, consideration and approval. All of our directors and executive officers are required to report to our Audit Committee any such related party transaction. In approving or rejecting the proposed transactions,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transactions that, in light of known circumstances, are not inconsistent with Flywire’s best interests, as our Audit Committee determines in the good faith exercise of its discretion.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53 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i w:val="1"/>
          <w:iCs w:val="1"/>
          <w:color w:val="auto"/>
        </w:rPr>
        <w:t>The information contained in the following report of Flywire’s Audit Committee is not considered to be “soliciting material,” “filed” or incorporated by reference in any past or future filing by us under the Securities Exchange Act of 1934 or the Securities Act of 1933 unless and only to the extent that Flywire specifically incorporates it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REVIEW OF AUDITED FINANCIAL STATEMENTS FOR THE YEAR ENDED DECEMBER 31, 2023</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Audit Committee has reviewed and discussed with Flywire’s management and PricewaterhouseCoopers LLP the audited financial statements of Flywire for the year ended December 31, 2023. The Audit Committee has also discussed with PricewaterhouseCoopers LLP the applicable requirements of the Public Company Accounting Oversight Board (PCAOB) and the SEC.</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Audit Committee has received and reviewed the written disclosures and the letter from PricewaterhouseCoopers LLP required by applicable requirements of the PCAOB and the SEC regarding the independent registered public accounting firm’s communications with the Audit Committee concerning independence, and has discussed with PricewaterhouseCoopers LLP its independence from us.</w:t>
      </w:r>
    </w:p>
    <w:p>
      <w:pPr>
        <w:spacing w:after="0" w:line="12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financial statements be included in the 2023 Annual Report for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Edwin Santos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Phillip Riese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Alex Finkelstein</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Flywire Corporation      54 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Section 16(a) of the Exchange Act requires our directors and certain of our officers and any person who beneficially owns more than 10% of our common stock to file with the SEC initial reports of beneficial ownership and reports of subsequent changes in their beneficial ownership of our common stock. Such directors, executive officers and stockholders are required by SEC regulation to furnish us with copies of all Section 16(a) forms they file. The SEC has designated specific due dates for these reports and we must identify in this proxy statement those filings that were not filed when due.</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To our knowledge, based solely on our review of copies of the reports filed with the SEC pursuant to Section 16(a) of the Exchange Act and the written representations of the reporting persons, we believe that all reporting requirements under Section 16(a) of the Exchange Act during 2023 were complied with by each of our directors and officers and each person who beneficially owned more than 10% of our common stock, except for the following:</w:t>
      </w:r>
    </w:p>
    <w:p>
      <w:pPr>
        <w:spacing w:after="0" w:line="137" w:lineRule="exact"/>
        <w:rPr>
          <w:sz w:val="20"/>
          <w:szCs w:val="20"/>
          <w:color w:val="auto"/>
        </w:rPr>
      </w:pPr>
    </w:p>
    <w:p>
      <w:pPr>
        <w:ind w:left="660" w:right="200" w:hanging="330"/>
        <w:spacing w:after="0" w:line="266"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July 7, 2023, a Form 4 for each of Messrs. Massaro, Orgel, Ellis, King and Butterfield was filed late due to an administrative error, to report sales of shares sold in non-discretionary transactions by each reporting person in order to cover tax withholding obligations upon the settlement of certain time-based restricted stock unit awards.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55 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007FC4"/>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know of no other matters to be submitted at the Annual Meeting. If any other matters properly come before the Annual Meeting, it is the intention of the persons named in the proxy card to vote the shares they represent as Flywire may recommend.</w:t>
      </w:r>
    </w:p>
    <w:p>
      <w:pPr>
        <w:spacing w:after="0" w:line="102"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22, 2024</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Flywire Corporation      56 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lvl w:ilvl="1">
      <w:lvlJc w:val="left"/>
      <w:lvlText w:val="☐"/>
      <w:numFmt w:val="bullet"/>
      <w:start w:val="1"/>
    </w:lvl>
  </w:abstractNum>
  <w:abstractNum w:abstractNumId="1">
    <w:nsid w:val="32FFF902"/>
    <w:multiLevelType w:val="hybridMultilevel"/>
    <w:lvl w:ilvl="0">
      <w:lvlJc w:val="left"/>
      <w:lvlText w:val="☒"/>
      <w:numFmt w:val="bullet"/>
      <w:start w:val="1"/>
    </w:lvl>
    <w:lvl w:ilvl="1">
      <w:lvlJc w:val="left"/>
      <w:lvlText w:val="☐"/>
      <w:numFmt w:val="bullet"/>
      <w:start w:val="1"/>
    </w:lvl>
  </w:abstractNum>
  <w:abstractNum w:abstractNumId="2">
    <w:nsid w:val="684A481A"/>
    <w:multiLevelType w:val="hybridMultilevel"/>
    <w:lvl w:ilvl="0">
      <w:lvlJc w:val="left"/>
      <w:lvlText w:val="1"/>
      <w:numFmt w:val="bullet"/>
      <w:start w:val="1"/>
    </w:lvl>
  </w:abstractNum>
  <w:abstractNum w:abstractNumId="3">
    <w:nsid w:val="579478FE"/>
    <w:multiLevelType w:val="hybridMultilevel"/>
    <w:lvl w:ilvl="0">
      <w:lvlJc w:val="left"/>
      <w:lvlText w:val="2"/>
      <w:numFmt w:val="bullet"/>
      <w:start w:val="1"/>
    </w:lvl>
  </w:abstractNum>
  <w:abstractNum w:abstractNumId="4">
    <w:nsid w:val="749ABB43"/>
    <w:multiLevelType w:val="hybridMultilevel"/>
    <w:lvl w:ilvl="0">
      <w:lvlJc w:val="left"/>
      <w:lvlText w:val="3"/>
      <w:numFmt w:val="bullet"/>
      <w:start w:val="1"/>
    </w:lvl>
  </w:abstractNum>
  <w:abstractNum w:abstractNumId="5">
    <w:nsid w:val="3DC240FB"/>
    <w:multiLevelType w:val="hybridMultilevel"/>
    <w:lvl w:ilvl="0">
      <w:lvlJc w:val="left"/>
      <w:lvlText w:val="%1:"/>
      <w:numFmt w:val="upperLetter"/>
      <w:start w:val="17"/>
    </w:lvl>
  </w:abstractNum>
  <w:abstractNum w:abstractNumId="6">
    <w:nsid w:val="1BA026FA"/>
    <w:multiLevelType w:val="hybridMultilevel"/>
    <w:lvl w:ilvl="0">
      <w:lvlJc w:val="left"/>
      <w:lvlText w:val="%1:"/>
      <w:numFmt w:val="upperLetter"/>
      <w:start w:val="1"/>
    </w:lvl>
  </w:abstractNum>
  <w:abstractNum w:abstractNumId="7">
    <w:nsid w:val="79A1DEAA"/>
    <w:multiLevelType w:val="hybridMultilevel"/>
    <w:lvl w:ilvl="0">
      <w:lvlJc w:val="left"/>
      <w:lvlText w:val="%1:"/>
      <w:numFmt w:val="upperLetter"/>
      <w:start w:val="17"/>
    </w:lvl>
  </w:abstractNum>
  <w:abstractNum w:abstractNumId="8">
    <w:nsid w:val="75C6C33A"/>
    <w:multiLevelType w:val="hybridMultilevel"/>
    <w:lvl w:ilvl="0">
      <w:lvlJc w:val="left"/>
      <w:lvlText w:val="%1:"/>
      <w:numFmt w:val="upperLetter"/>
      <w:start w:val="1"/>
    </w:lvl>
    <w:lvl w:ilvl="1">
      <w:lvlJc w:val="left"/>
      <w:lvlText w:val="•"/>
      <w:numFmt w:val="bullet"/>
      <w:start w:val="1"/>
    </w:lvl>
  </w:abstractNum>
  <w:abstractNum w:abstractNumId="9">
    <w:nsid w:val="12E685FB"/>
    <w:multiLevelType w:val="hybridMultilevel"/>
    <w:lvl w:ilvl="0">
      <w:lvlJc w:val="left"/>
      <w:lvlText w:val="%1:"/>
      <w:numFmt w:val="upperLetter"/>
      <w:start w:val="17"/>
    </w:lvl>
  </w:abstractNum>
  <w:abstractNum w:abstractNumId="10">
    <w:nsid w:val="70C6A529"/>
    <w:multiLevelType w:val="hybridMultilevel"/>
    <w:lvl w:ilvl="0">
      <w:lvlJc w:val="left"/>
      <w:lvlText w:val="%1:"/>
      <w:numFmt w:val="upperLetter"/>
      <w:start w:val="1"/>
    </w:lvl>
  </w:abstractNum>
  <w:abstractNum w:abstractNumId="11">
    <w:nsid w:val="520EEDD1"/>
    <w:multiLevelType w:val="hybridMultilevel"/>
    <w:lvl w:ilvl="0">
      <w:lvlJc w:val="left"/>
      <w:lvlText w:val="%1:"/>
      <w:numFmt w:val="upperLetter"/>
      <w:start w:val="17"/>
    </w:lvl>
  </w:abstractNum>
  <w:abstractNum w:abstractNumId="12">
    <w:nsid w:val="374A3FE6"/>
    <w:multiLevelType w:val="hybridMultilevel"/>
    <w:lvl w:ilvl="0">
      <w:lvlJc w:val="left"/>
      <w:lvlText w:val="%1:"/>
      <w:numFmt w:val="upperLetter"/>
      <w:start w:val="1"/>
    </w:lvl>
  </w:abstractNum>
  <w:abstractNum w:abstractNumId="13">
    <w:nsid w:val="4F4EF005"/>
    <w:multiLevelType w:val="hybridMultilevel"/>
    <w:lvl w:ilvl="0">
      <w:lvlJc w:val="left"/>
      <w:lvlText w:val="%1:"/>
      <w:numFmt w:val="upperLetter"/>
      <w:start w:val="17"/>
    </w:lvl>
  </w:abstractNum>
  <w:abstractNum w:abstractNumId="14">
    <w:nsid w:val="23F9C13C"/>
    <w:multiLevelType w:val="hybridMultilevel"/>
    <w:lvl w:ilvl="0">
      <w:lvlJc w:val="left"/>
      <w:lvlText w:val="%1:"/>
      <w:numFmt w:val="upperLetter"/>
      <w:start w:val="1"/>
    </w:lvl>
  </w:abstractNum>
  <w:abstractNum w:abstractNumId="15">
    <w:nsid w:val="649BB77C"/>
    <w:multiLevelType w:val="hybridMultilevel"/>
    <w:lvl w:ilvl="0">
      <w:lvlJc w:val="left"/>
      <w:lvlText w:val="%1:"/>
      <w:numFmt w:val="upperLetter"/>
      <w:start w:val="17"/>
    </w:lvl>
  </w:abstractNum>
  <w:abstractNum w:abstractNumId="16">
    <w:nsid w:val="275AC794"/>
    <w:multiLevelType w:val="hybridMultilevel"/>
    <w:lvl w:ilvl="0">
      <w:lvlJc w:val="left"/>
      <w:lvlText w:val="%1:"/>
      <w:numFmt w:val="upperLetter"/>
      <w:start w:val="1"/>
    </w:lvl>
  </w:abstractNum>
  <w:abstractNum w:abstractNumId="17">
    <w:nsid w:val="39386575"/>
    <w:multiLevelType w:val="hybridMultilevel"/>
    <w:lvl w:ilvl="0">
      <w:lvlJc w:val="left"/>
      <w:lvlText w:val="%1:"/>
      <w:numFmt w:val="upperLetter"/>
      <w:start w:val="17"/>
    </w:lvl>
  </w:abstractNum>
  <w:abstractNum w:abstractNumId="18">
    <w:nsid w:val="1CF10FD8"/>
    <w:multiLevelType w:val="hybridMultilevel"/>
    <w:lvl w:ilvl="0">
      <w:lvlJc w:val="left"/>
      <w:lvlText w:val="%1:"/>
      <w:numFmt w:val="upperLetter"/>
      <w:start w:val="1"/>
    </w:lvl>
  </w:abstractNum>
  <w:abstractNum w:abstractNumId="19">
    <w:nsid w:val="180115BE"/>
    <w:multiLevelType w:val="hybridMultilevel"/>
    <w:lvl w:ilvl="0">
      <w:lvlJc w:val="left"/>
      <w:lvlText w:val="%1:"/>
      <w:numFmt w:val="upperLetter"/>
      <w:start w:val="17"/>
    </w:lvl>
  </w:abstractNum>
  <w:abstractNum w:abstractNumId="20">
    <w:nsid w:val="235BA861"/>
    <w:multiLevelType w:val="hybridMultilevel"/>
    <w:lvl w:ilvl="0">
      <w:lvlJc w:val="left"/>
      <w:lvlText w:val="%1:"/>
      <w:numFmt w:val="upperLetter"/>
      <w:start w:val="1"/>
    </w:lvl>
  </w:abstractNum>
  <w:abstractNum w:abstractNumId="21">
    <w:nsid w:val="47398C89"/>
    <w:multiLevelType w:val="hybridMultilevel"/>
    <w:lvl w:ilvl="0">
      <w:lvlJc w:val="left"/>
      <w:lvlText w:val="%1:"/>
      <w:numFmt w:val="upperLetter"/>
      <w:start w:val="17"/>
    </w:lvl>
  </w:abstractNum>
  <w:abstractNum w:abstractNumId="22">
    <w:nsid w:val="354FE9F9"/>
    <w:multiLevelType w:val="hybridMultilevel"/>
    <w:lvl w:ilvl="0">
      <w:lvlJc w:val="left"/>
      <w:lvlText w:val="%1:"/>
      <w:numFmt w:val="upperLetter"/>
      <w:start w:val="1"/>
    </w:lvl>
  </w:abstractNum>
  <w:abstractNum w:abstractNumId="23">
    <w:nsid w:val="15B5AF5C"/>
    <w:multiLevelType w:val="hybridMultilevel"/>
    <w:lvl w:ilvl="0">
      <w:lvlJc w:val="left"/>
      <w:lvlText w:val="%1:"/>
      <w:numFmt w:val="upperLetter"/>
      <w:start w:val="17"/>
    </w:lvl>
  </w:abstractNum>
  <w:abstractNum w:abstractNumId="24">
    <w:nsid w:val="741226BB"/>
    <w:multiLevelType w:val="hybridMultilevel"/>
    <w:lvl w:ilvl="0">
      <w:lvlJc w:val="left"/>
      <w:lvlText w:val="%1:"/>
      <w:numFmt w:val="upperLetter"/>
      <w:start w:val="1"/>
    </w:lvl>
  </w:abstractNum>
  <w:abstractNum w:abstractNumId="25">
    <w:nsid w:val="D34B6A8"/>
    <w:multiLevelType w:val="hybridMultilevel"/>
    <w:lvl w:ilvl="0">
      <w:lvlJc w:val="left"/>
      <w:lvlText w:val="%1:"/>
      <w:numFmt w:val="upperLetter"/>
      <w:start w:val="17"/>
    </w:lvl>
  </w:abstractNum>
  <w:abstractNum w:abstractNumId="26">
    <w:nsid w:val="10233C99"/>
    <w:multiLevelType w:val="hybridMultilevel"/>
    <w:lvl w:ilvl="0">
      <w:lvlJc w:val="left"/>
      <w:lvlText w:val="%1:"/>
      <w:numFmt w:val="upperLetter"/>
      <w:start w:val="1"/>
    </w:lvl>
  </w:abstractNum>
  <w:abstractNum w:abstractNumId="27">
    <w:nsid w:val="3F6AB60F"/>
    <w:multiLevelType w:val="hybridMultilevel"/>
    <w:lvl w:ilvl="0">
      <w:lvlJc w:val="left"/>
      <w:lvlText w:val="%1:"/>
      <w:numFmt w:val="upperLetter"/>
      <w:start w:val="17"/>
    </w:lvl>
  </w:abstractNum>
  <w:abstractNum w:abstractNumId="28">
    <w:nsid w:val="61574095"/>
    <w:multiLevelType w:val="hybridMultilevel"/>
    <w:lvl w:ilvl="0">
      <w:lvlJc w:val="left"/>
      <w:lvlText w:val="%1:"/>
      <w:numFmt w:val="upperLetter"/>
      <w:start w:val="1"/>
    </w:lvl>
    <w:lvl w:ilvl="1">
      <w:lvlJc w:val="left"/>
      <w:lvlText w:val="•"/>
      <w:numFmt w:val="bullet"/>
      <w:start w:val="1"/>
    </w:lvl>
  </w:abstractNum>
  <w:abstractNum w:abstractNumId="29">
    <w:nsid w:val="7E0C57B1"/>
    <w:multiLevelType w:val="hybridMultilevel"/>
    <w:lvl w:ilvl="0">
      <w:lvlJc w:val="left"/>
      <w:lvlText w:val="%1:"/>
      <w:numFmt w:val="upperLetter"/>
      <w:start w:val="17"/>
    </w:lvl>
  </w:abstractNum>
  <w:abstractNum w:abstractNumId="30">
    <w:nsid w:val="77AE35EB"/>
    <w:multiLevelType w:val="hybridMultilevel"/>
    <w:lvl w:ilvl="0">
      <w:lvlJc w:val="left"/>
      <w:lvlText w:val="%1:"/>
      <w:numFmt w:val="upperLetter"/>
      <w:start w:val="1"/>
    </w:lvl>
  </w:abstractNum>
  <w:abstractNum w:abstractNumId="31">
    <w:nsid w:val="579BE4F1"/>
    <w:multiLevelType w:val="hybridMultilevel"/>
    <w:lvl w:ilvl="0">
      <w:lvlJc w:val="left"/>
      <w:lvlText w:val="1"/>
      <w:numFmt w:val="bullet"/>
      <w:start w:val="1"/>
    </w:lvl>
  </w:abstractNum>
  <w:abstractNum w:abstractNumId="32">
    <w:nsid w:val="310C50B3"/>
    <w:multiLevelType w:val="hybridMultilevel"/>
    <w:lvl w:ilvl="0">
      <w:lvlJc w:val="left"/>
      <w:lvlText w:val="2"/>
      <w:numFmt w:val="bullet"/>
      <w:start w:val="1"/>
    </w:lvl>
  </w:abstractNum>
  <w:abstractNum w:abstractNumId="33">
    <w:nsid w:val="5FF87E05"/>
    <w:multiLevelType w:val="hybridMultilevel"/>
    <w:lvl w:ilvl="0">
      <w:lvlJc w:val="left"/>
      <w:lvlText w:val="3"/>
      <w:numFmt w:val="bullet"/>
      <w:start w:val="1"/>
    </w:lvl>
  </w:abstractNum>
  <w:abstractNum w:abstractNumId="34">
    <w:nsid w:val="2F305DEF"/>
    <w:multiLevelType w:val="hybridMultilevel"/>
    <w:lvl w:ilvl="0">
      <w:lvlJc w:val="left"/>
      <w:lvlText w:val="%1:"/>
      <w:numFmt w:val="upperLetter"/>
      <w:start w:val="17"/>
    </w:lvl>
  </w:abstractNum>
  <w:abstractNum w:abstractNumId="35">
    <w:nsid w:val="25A70BF7"/>
    <w:multiLevelType w:val="hybridMultilevel"/>
    <w:lvl w:ilvl="0">
      <w:lvlJc w:val="left"/>
      <w:lvlText w:val="%1:"/>
      <w:numFmt w:val="upperLetter"/>
      <w:start w:val="1"/>
    </w:lvl>
  </w:abstractNum>
  <w:abstractNum w:abstractNumId="36">
    <w:nsid w:val="1DBABF00"/>
    <w:multiLevelType w:val="hybridMultilevel"/>
    <w:lvl w:ilvl="0">
      <w:lvlJc w:val="left"/>
      <w:lvlText w:val="%1:"/>
      <w:numFmt w:val="upperLetter"/>
      <w:start w:val="17"/>
    </w:lvl>
  </w:abstractNum>
  <w:abstractNum w:abstractNumId="37">
    <w:nsid w:val="4AD084E9"/>
    <w:multiLevelType w:val="hybridMultilevel"/>
    <w:lvl w:ilvl="0">
      <w:lvlJc w:val="left"/>
      <w:lvlText w:val="%1:"/>
      <w:numFmt w:val="upperLetter"/>
      <w:start w:val="1"/>
    </w:lvl>
  </w:abstractNum>
  <w:abstractNum w:abstractNumId="38">
    <w:nsid w:val="1F48EAA1"/>
    <w:multiLevelType w:val="hybridMultilevel"/>
    <w:lvl w:ilvl="0">
      <w:lvlJc w:val="left"/>
      <w:lvlText w:val="%1:"/>
      <w:numFmt w:val="upperLetter"/>
      <w:start w:val="17"/>
    </w:lvl>
  </w:abstractNum>
  <w:abstractNum w:abstractNumId="39">
    <w:nsid w:val="1381823A"/>
    <w:multiLevelType w:val="hybridMultilevel"/>
    <w:lvl w:ilvl="0">
      <w:lvlJc w:val="left"/>
      <w:lvlText w:val="%1:"/>
      <w:numFmt w:val="upperLetter"/>
      <w:start w:val="1"/>
    </w:lvl>
  </w:abstractNum>
  <w:abstractNum w:abstractNumId="40">
    <w:nsid w:val="5DB70AE5"/>
    <w:multiLevelType w:val="hybridMultilevel"/>
    <w:lvl w:ilvl="0">
      <w:lvlJc w:val="left"/>
      <w:lvlText w:val="%1:"/>
      <w:numFmt w:val="upperLetter"/>
      <w:start w:val="17"/>
    </w:lvl>
  </w:abstractNum>
  <w:abstractNum w:abstractNumId="41">
    <w:nsid w:val="100F8FCA"/>
    <w:multiLevelType w:val="hybridMultilevel"/>
    <w:lvl w:ilvl="0">
      <w:lvlJc w:val="left"/>
      <w:lvlText w:val="%1:"/>
      <w:numFmt w:val="upperLetter"/>
      <w:start w:val="1"/>
    </w:lvl>
  </w:abstractNum>
  <w:abstractNum w:abstractNumId="42">
    <w:nsid w:val="6590700B"/>
    <w:multiLevelType w:val="hybridMultilevel"/>
    <w:lvl w:ilvl="0">
      <w:lvlJc w:val="left"/>
      <w:lvlText w:val="%1:"/>
      <w:numFmt w:val="upperLetter"/>
      <w:start w:val="17"/>
    </w:lvl>
  </w:abstractNum>
  <w:abstractNum w:abstractNumId="43">
    <w:nsid w:val="15014ACB"/>
    <w:multiLevelType w:val="hybridMultilevel"/>
    <w:lvl w:ilvl="0">
      <w:lvlJc w:val="left"/>
      <w:lvlText w:val="%1:"/>
      <w:numFmt w:val="upperLetter"/>
      <w:start w:val="1"/>
    </w:lvl>
  </w:abstractNum>
  <w:abstractNum w:abstractNumId="44">
    <w:nsid w:val="5F5E7FD0"/>
    <w:multiLevelType w:val="hybridMultilevel"/>
    <w:lvl w:ilvl="0">
      <w:lvlJc w:val="left"/>
      <w:lvlText w:val="%1:"/>
      <w:numFmt w:val="upperLetter"/>
      <w:start w:val="17"/>
    </w:lvl>
  </w:abstractNum>
  <w:abstractNum w:abstractNumId="45">
    <w:nsid w:val="98A3148"/>
    <w:multiLevelType w:val="hybridMultilevel"/>
    <w:lvl w:ilvl="0">
      <w:lvlJc w:val="left"/>
      <w:lvlText w:val="%1:"/>
      <w:numFmt w:val="upperLetter"/>
      <w:start w:val="1"/>
    </w:lvl>
  </w:abstractNum>
  <w:abstractNum w:abstractNumId="46">
    <w:nsid w:val="799D0247"/>
    <w:multiLevelType w:val="hybridMultilevel"/>
    <w:lvl w:ilvl="0">
      <w:lvlJc w:val="left"/>
      <w:lvlText w:val="%1:"/>
      <w:numFmt w:val="upperLetter"/>
      <w:start w:val="17"/>
    </w:lvl>
  </w:abstractNum>
  <w:abstractNum w:abstractNumId="47">
    <w:nsid w:val="6B94764"/>
    <w:multiLevelType w:val="hybridMultilevel"/>
    <w:lvl w:ilvl="0">
      <w:lvlJc w:val="left"/>
      <w:lvlText w:val="%1:"/>
      <w:numFmt w:val="upperLetter"/>
      <w:start w:val="1"/>
    </w:lvl>
  </w:abstractNum>
  <w:abstractNum w:abstractNumId="48">
    <w:nsid w:val="42C296BD"/>
    <w:multiLevelType w:val="hybridMultilevel"/>
    <w:lvl w:ilvl="0">
      <w:lvlJc w:val="left"/>
      <w:lvlText w:val="%1:"/>
      <w:numFmt w:val="upperLetter"/>
      <w:start w:val="17"/>
    </w:lvl>
  </w:abstractNum>
  <w:abstractNum w:abstractNumId="49">
    <w:nsid w:val="168E121F"/>
    <w:multiLevelType w:val="hybridMultilevel"/>
    <w:lvl w:ilvl="0">
      <w:lvlJc w:val="left"/>
      <w:lvlText w:val="%1:"/>
      <w:numFmt w:val="upperLetter"/>
      <w:start w:val="1"/>
    </w:lvl>
  </w:abstractNum>
  <w:abstractNum w:abstractNumId="50">
    <w:nsid w:val="1EBA5D23"/>
    <w:multiLevelType w:val="hybridMultilevel"/>
    <w:lvl w:ilvl="0">
      <w:lvlJc w:val="left"/>
      <w:lvlText w:val="%1:"/>
      <w:numFmt w:val="upperLetter"/>
      <w:start w:val="17"/>
    </w:lvl>
  </w:abstractNum>
  <w:abstractNum w:abstractNumId="51">
    <w:nsid w:val="661E3F1E"/>
    <w:multiLevelType w:val="hybridMultilevel"/>
    <w:lvl w:ilvl="0">
      <w:lvlJc w:val="left"/>
      <w:lvlText w:val="%1:"/>
      <w:numFmt w:val="upperLetter"/>
      <w:start w:val="1"/>
    </w:lvl>
  </w:abstractNum>
  <w:abstractNum w:abstractNumId="52">
    <w:nsid w:val="5DC79EA8"/>
    <w:multiLevelType w:val="hybridMultilevel"/>
    <w:lvl w:ilvl="0">
      <w:lvlJc w:val="left"/>
      <w:lvlText w:val="%1:"/>
      <w:numFmt w:val="upperLetter"/>
      <w:start w:val="17"/>
    </w:lvl>
  </w:abstractNum>
  <w:abstractNum w:abstractNumId="53">
    <w:nsid w:val="540A471C"/>
    <w:multiLevelType w:val="hybridMultilevel"/>
    <w:lvl w:ilvl="0">
      <w:lvlJc w:val="left"/>
      <w:lvlText w:val="%1:"/>
      <w:numFmt w:val="upperLetter"/>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2"/>
    </w:lvl>
  </w:abstractNum>
  <w:abstractNum w:abstractNumId="63">
    <w:nsid w:val="3B0FD379"/>
    <w:multiLevelType w:val="hybridMultilevel"/>
    <w:lvl w:ilvl="0">
      <w:lvlJc w:val="left"/>
      <w:lvlText w:val="(%1)"/>
      <w:numFmt w:val="decimal"/>
      <w:start w:val="7"/>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lvl>
    <w:lvl w:ilvl="1">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amp;"/>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3"/>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1"/>
    </w:lvl>
    <w:lvl w:ilvl="1">
      <w:lvlJc w:val="left"/>
      <w:lvlText w:val="%2."/>
      <w:numFmt w:val="lowerLetter"/>
      <w:start w:val="1"/>
    </w:lvl>
  </w:abstractNum>
  <w:abstractNum w:abstractNumId="78">
    <w:nsid w:val="76272110"/>
    <w:multiLevelType w:val="hybridMultilevel"/>
    <w:lvl w:ilvl="0">
      <w:lvlJc w:val="left"/>
      <w:lvlText w:val="(%1)"/>
      <w:numFmt w:val="decimal"/>
      <w:start w:val="2"/>
    </w:lvl>
    <w:lvl w:ilvl="1">
      <w:lvlJc w:val="left"/>
      <w:lvlText w:val="•"/>
      <w:numFmt w:val="bullet"/>
      <w:start w:val="1"/>
    </w:lvl>
  </w:abstractNum>
  <w:abstractNum w:abstractNumId="79">
    <w:nsid w:val="4C04A8AF"/>
    <w:multiLevelType w:val="hybridMultilevel"/>
    <w:lvl w:ilvl="0">
      <w:lvlJc w:val="left"/>
      <w:lvlText w:val="(%1)"/>
      <w:numFmt w:val="lowerRoman"/>
      <w:start w:val="5"/>
    </w:lvl>
  </w:abstractNum>
  <w:abstractNum w:abstractNumId="80">
    <w:nsid w:val="1716703B"/>
    <w:multiLevelType w:val="hybridMultilevel"/>
    <w:lvl w:ilvl="0">
      <w:lvlJc w:val="left"/>
      <w:lvlText w:val="(%1)"/>
      <w:numFmt w:val="decimal"/>
      <w:start w:val="3"/>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2"/>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3"/>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8"/>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2024-04-22T15:28:49Z</dcterms:created>
  <dcterms:modified xsi:type="dcterms:W3CDTF">2024-04-22T15:28:49Z</dcterms:modified>
</cp:coreProperties>
</file>