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144780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November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149225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FLYWIRE CORPORATION</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140335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p>
      <w:pPr>
        <w:spacing w:after="0" w:line="388"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001-40430</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27-0690799</w:t>
      </w:r>
    </w:p>
    <w:p>
      <w:pPr>
        <w:spacing w:after="0" w:line="21" w:lineRule="exact"/>
        <w:rPr>
          <w:sz w:val="24"/>
          <w:szCs w:val="24"/>
          <w:color w:val="auto"/>
        </w:rPr>
      </w:pPr>
    </w:p>
    <w:p>
      <w:pPr>
        <w:sectPr>
          <w:pgSz w:w="11900" w:h="16838" w:orient="portrait"/>
          <w:cols w:equalWidth="0" w:num="3">
            <w:col w:w="3600" w:space="720"/>
            <w:col w:w="1680" w:space="720"/>
            <w:col w:w="2299"/>
          </w:cols>
          <w:pgMar w:left="1440" w:top="292" w:right="1440" w:bottom="1440" w:gutter="0" w:footer="0" w:header="0"/>
          <w:type w:val="continuous"/>
        </w:sectPr>
      </w:pPr>
    </w:p>
    <w:p>
      <w:pPr>
        <w:spacing w:after="0" w:line="21" w:lineRule="exact"/>
        <w:rPr>
          <w:sz w:val="24"/>
          <w:szCs w:val="24"/>
          <w:color w:val="auto"/>
        </w:rPr>
      </w:pPr>
    </w:p>
    <w:p>
      <w:pPr>
        <w:jc w:val="center"/>
        <w:ind w:left="56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ind w:right="1060"/>
        <w:spacing w:after="0"/>
        <w:rPr>
          <w:sz w:val="20"/>
          <w:szCs w:val="20"/>
          <w:color w:val="auto"/>
        </w:rPr>
      </w:pPr>
      <w:r>
        <w:rPr>
          <w:rFonts w:ascii="Arial" w:cs="Arial" w:eastAsia="Arial" w:hAnsi="Arial"/>
          <w:sz w:val="7"/>
          <w:szCs w:val="7"/>
          <w:b w:val="1"/>
          <w:bCs w:val="1"/>
          <w:color w:val="auto"/>
        </w:rPr>
        <w:t>(Commission</w:t>
      </w:r>
    </w:p>
    <w:p>
      <w:pPr>
        <w:spacing w:after="0" w:line="13" w:lineRule="exact"/>
        <w:rPr>
          <w:sz w:val="24"/>
          <w:szCs w:val="24"/>
          <w:color w:val="auto"/>
        </w:rPr>
      </w:pPr>
    </w:p>
    <w:p>
      <w:pPr>
        <w:jc w:val="center"/>
        <w:ind w:right="1060"/>
        <w:spacing w:after="0"/>
        <w:rPr>
          <w:sz w:val="20"/>
          <w:szCs w:val="20"/>
          <w:color w:val="auto"/>
        </w:rPr>
      </w:pPr>
      <w:r>
        <w:rPr>
          <w:rFonts w:ascii="Arial" w:cs="Arial" w:eastAsia="Arial" w:hAnsi="Arial"/>
          <w:sz w:val="10"/>
          <w:szCs w:val="10"/>
          <w:b w:val="1"/>
          <w:bCs w:val="1"/>
          <w:color w:val="auto"/>
        </w:rPr>
        <w:t>File No.)</w:t>
      </w:r>
    </w:p>
    <w:p>
      <w:pPr>
        <w:spacing w:after="0" w:line="20" w:lineRule="exact"/>
        <w:rPr>
          <w:sz w:val="24"/>
          <w:szCs w:val="24"/>
          <w:color w:val="auto"/>
        </w:rPr>
      </w:pPr>
      <w:r>
        <w:rPr>
          <w:sz w:val="24"/>
          <w:szCs w:val="24"/>
          <w:color w:val="auto"/>
        </w:rPr>
        <w:br w:type="column"/>
      </w:r>
    </w:p>
    <w:p>
      <w:pPr>
        <w:jc w:val="center"/>
        <w:ind w:right="1639"/>
        <w:spacing w:after="0"/>
        <w:rPr>
          <w:sz w:val="20"/>
          <w:szCs w:val="20"/>
          <w:color w:val="auto"/>
        </w:rPr>
      </w:pPr>
      <w:r>
        <w:rPr>
          <w:rFonts w:ascii="Arial" w:cs="Arial" w:eastAsia="Arial" w:hAnsi="Arial"/>
          <w:sz w:val="10"/>
          <w:szCs w:val="10"/>
          <w:b w:val="1"/>
          <w:bCs w:val="1"/>
          <w:color w:val="auto"/>
        </w:rPr>
        <w:t>(IRS Employer</w:t>
      </w:r>
    </w:p>
    <w:p>
      <w:pPr>
        <w:jc w:val="center"/>
        <w:ind w:right="1639"/>
        <w:spacing w:after="0"/>
        <w:rPr>
          <w:sz w:val="20"/>
          <w:szCs w:val="20"/>
          <w:color w:val="auto"/>
        </w:rPr>
      </w:pPr>
      <w:r>
        <w:rPr>
          <w:rFonts w:ascii="Arial" w:cs="Arial" w:eastAsia="Arial" w:hAnsi="Arial"/>
          <w:sz w:val="8"/>
          <w:szCs w:val="8"/>
          <w:b w:val="1"/>
          <w:bCs w:val="1"/>
          <w:color w:val="auto"/>
        </w:rPr>
        <w:t>Identification No.)</w:t>
      </w:r>
    </w:p>
    <w:p>
      <w:pPr>
        <w:spacing w:after="0" w:line="124" w:lineRule="exact"/>
        <w:rPr>
          <w:sz w:val="24"/>
          <w:szCs w:val="24"/>
          <w:color w:val="auto"/>
        </w:rPr>
      </w:pPr>
    </w:p>
    <w:p>
      <w:pPr>
        <w:sectPr>
          <w:pgSz w:w="11900" w:h="16838" w:orient="portrait"/>
          <w:cols w:equalWidth="0" w:num="3">
            <w:col w:w="3600" w:space="720"/>
            <w:col w:w="1580" w:space="720"/>
            <w:col w:w="2399"/>
          </w:cols>
          <w:pgMar w:left="1440" w:top="292" w:right="1440" w:bottom="1440" w:gutter="0" w:footer="0" w:header="0"/>
          <w:type w:val="continuous"/>
        </w:sectPr>
      </w:pPr>
    </w:p>
    <w:p>
      <w:pPr>
        <w:ind w:left="4000"/>
        <w:spacing w:after="0"/>
        <w:rPr>
          <w:sz w:val="20"/>
          <w:szCs w:val="20"/>
          <w:color w:val="auto"/>
        </w:rPr>
      </w:pPr>
      <w:r>
        <w:rPr>
          <w:rFonts w:ascii="Arial" w:cs="Arial" w:eastAsia="Arial" w:hAnsi="Arial"/>
          <w:sz w:val="12"/>
          <w:szCs w:val="12"/>
          <w:b w:val="1"/>
          <w:bCs w:val="1"/>
          <w:color w:val="auto"/>
        </w:rPr>
        <w:t>141 Tremont St #10</w:t>
      </w:r>
    </w:p>
    <w:p>
      <w:pPr>
        <w:spacing w:after="0" w:line="19" w:lineRule="exact"/>
        <w:rPr>
          <w:sz w:val="24"/>
          <w:szCs w:val="24"/>
          <w:color w:val="auto"/>
        </w:rPr>
      </w:pPr>
    </w:p>
    <w:p>
      <w:pPr>
        <w:ind w:left="4040"/>
        <w:spacing w:after="0"/>
        <w:rPr>
          <w:sz w:val="20"/>
          <w:szCs w:val="20"/>
          <w:color w:val="auto"/>
        </w:rPr>
      </w:pPr>
      <w:r>
        <w:rPr>
          <w:rFonts w:ascii="Arial" w:cs="Arial" w:eastAsia="Arial" w:hAnsi="Arial"/>
          <w:sz w:val="12"/>
          <w:szCs w:val="12"/>
          <w:b w:val="1"/>
          <w:bCs w:val="1"/>
          <w:color w:val="auto"/>
        </w:rPr>
        <w:t>Boston, MA 02111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(Address of principal executive offices and zip code)</w:t>
      </w:r>
    </w:p>
    <w:p>
      <w:pPr>
        <w:sectPr>
          <w:pgSz w:w="11900" w:h="16838" w:orient="portrait"/>
          <w:cols w:equalWidth="0" w:num="1">
            <w:col w:w="9019"/>
          </w:cols>
          <w:pgMar w:left="1440" w:top="292" w:right="1440" w:bottom="1440" w:gutter="0" w:footer="0" w:header="0"/>
          <w:type w:val="continuous"/>
        </w:sectPr>
      </w:pP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 (617) 329-4524</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Not Applicable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130810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03"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32"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2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2"/>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20"/>
        </w:trPr>
        <w:tc>
          <w:tcPr>
            <w:tcW w:w="248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0"/>
              </w:rPr>
              <w:t>Voting Common Stock, $0.0001 par value per</w:t>
            </w:r>
          </w:p>
        </w:tc>
        <w:tc>
          <w:tcPr>
            <w:tcW w:w="8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rPr>
              <w:t>FLYW</w:t>
            </w:r>
          </w:p>
        </w:tc>
        <w:tc>
          <w:tcPr>
            <w:tcW w:w="6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4"/>
              </w:rPr>
              <w:t>The Nasdaq Stock Market LLC</w:t>
            </w:r>
          </w:p>
        </w:tc>
      </w:tr>
      <w:tr>
        <w:trPr>
          <w:trHeight w:val="157"/>
        </w:trPr>
        <w:tc>
          <w:tcPr>
            <w:tcW w:w="2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share</w:t>
            </w: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2"/>
              </w:rPr>
              <w:t>(Nasdaq Global Select Market)</w:t>
            </w:r>
          </w:p>
        </w:tc>
      </w:tr>
    </w:tbl>
    <w:p>
      <w:pPr>
        <w:spacing w:after="0" w:line="117" w:lineRule="exact"/>
        <w:rPr>
          <w:sz w:val="24"/>
          <w:szCs w:val="24"/>
          <w:color w:val="auto"/>
        </w:rPr>
      </w:pPr>
    </w:p>
    <w:p>
      <w:pPr>
        <w:ind w:left="840" w:right="103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54"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2.02.</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82" w:lineRule="exact"/>
        <w:rPr>
          <w:sz w:val="20"/>
          <w:szCs w:val="20"/>
          <w:color w:val="auto"/>
        </w:rPr>
      </w:pPr>
    </w:p>
    <w:p>
      <w:pPr>
        <w:jc w:val="both"/>
        <w:ind w:left="840" w:right="879"/>
        <w:spacing w:after="0" w:line="263" w:lineRule="auto"/>
        <w:rPr>
          <w:sz w:val="20"/>
          <w:szCs w:val="20"/>
          <w:color w:val="auto"/>
        </w:rPr>
      </w:pPr>
      <w:r>
        <w:rPr>
          <w:rFonts w:ascii="Arial" w:cs="Arial" w:eastAsia="Arial" w:hAnsi="Arial"/>
          <w:sz w:val="12"/>
          <w:szCs w:val="12"/>
          <w:color w:val="auto"/>
        </w:rPr>
        <w:t>On November 9, 2021, Flywire Corporation (“Flywire” or the “Company”) issued a press release and is holding a conference call regarding its financial results for the quarter ended September 30, 2021. The press release is furnished as Exhibit 99.1 to this Current Report on Form 8-K and is incorporated by reference herein.</w:t>
      </w:r>
    </w:p>
    <w:p>
      <w:pPr>
        <w:spacing w:after="0" w:line="122" w:lineRule="exact"/>
        <w:rPr>
          <w:sz w:val="20"/>
          <w:szCs w:val="20"/>
          <w:color w:val="auto"/>
        </w:rPr>
      </w:pPr>
    </w:p>
    <w:p>
      <w:pPr>
        <w:ind w:left="840" w:right="859"/>
        <w:spacing w:after="0" w:line="275" w:lineRule="auto"/>
        <w:rPr>
          <w:sz w:val="20"/>
          <w:szCs w:val="20"/>
          <w:color w:val="auto"/>
        </w:rPr>
      </w:pPr>
      <w:r>
        <w:rPr>
          <w:rFonts w:ascii="Arial" w:cs="Arial" w:eastAsia="Arial" w:hAnsi="Arial"/>
          <w:sz w:val="11"/>
          <w:szCs w:val="11"/>
          <w:color w:val="auto"/>
        </w:rPr>
        <w:t>Various statements to be made during the conference call are “forward-looking statements” within the meaning of the Private Securities Litigation Reform Act of 1995, including, but not limited to, statements regarding Flywire’s future operating results and financial position,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Risks that may cause actual results to differ materially from these forward looking statements include, but are not limited to: political, economic, legal, social and health risks, including the COVID-19 pandemic and subsequent public health measures that may affect Flywire’s business or the global economy;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strategic partners; the effects of increased competition in Flywire’s markets and its ability to compete effectively; future acquisitions or investments in complementary companies, products, services, or technologies; Flywire’s ability to enter new client verticals, including its relatively new B2B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attract and retain qualified employees; Flywire’s ability to maintain, protect, and enhance its intellectual property; Flywire’s ability to maintain the security and availability of its solutions; the future market price of Flywire’s common stock; and other factors that are described in the “Risk Factors” and “Management’s Discussion and Analysis of Financial Condition and Results of Operations” sections of Flywire’s Prospectus dated May 25, 2021, and Quarterly Report on Form 10-Q for the quarter ended June 30, 2021, which are on file with the Securities and Exchange Commission (SEC) and available on the SEC’s website at https://www.sec.gov/. Additional factors may be described in those sections of Flywire’s Quarterly Report on Form 10-Q for the quarter ended September 30, 2021, expected to be filed with the SEC in the fourth quarter of 2021. The information conveyed on the conference call is provided only as of the date of the conference call, and Flywire undertakes no obligation to update any forward-looking statements presented on the conference call on account of new information, future events, or otherwise, except as required by law.</w:t>
      </w:r>
    </w:p>
    <w:p>
      <w:pPr>
        <w:sectPr>
          <w:pgSz w:w="11900" w:h="16838" w:orient="portrait"/>
          <w:cols w:equalWidth="0" w:num="1">
            <w:col w:w="9019"/>
          </w:cols>
          <w:pgMar w:left="1440" w:top="244" w:right="1440" w:bottom="1440" w:gutter="0" w:footer="0" w:header="0"/>
        </w:sectPr>
      </w:pPr>
    </w:p>
    <w:bookmarkStart w:id="2" w:name="page3"/>
    <w:bookmarkEnd w:id="2"/>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ind w:left="840" w:right="1019"/>
        <w:spacing w:after="0" w:line="263" w:lineRule="auto"/>
        <w:rPr>
          <w:sz w:val="20"/>
          <w:szCs w:val="20"/>
          <w:color w:val="auto"/>
        </w:rPr>
      </w:pPr>
      <w:r>
        <w:rPr>
          <w:rFonts w:ascii="Arial" w:cs="Arial" w:eastAsia="Arial" w:hAnsi="Arial"/>
          <w:sz w:val="12"/>
          <w:szCs w:val="12"/>
          <w:color w:val="auto"/>
        </w:rPr>
        <w:t>On November 9, 2021, the Company provided an investor presentation that will be made available on the investor relations section of the Company’s website at https://ir.flywire.com/. The investor presentation is furnished as Exhibit 99.2 to this Current Report on Form 8-K and is incorporated by reference herein.</w:t>
      </w:r>
    </w:p>
    <w:p>
      <w:pPr>
        <w:spacing w:after="0" w:line="217"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56" w:lineRule="exact"/>
        <w:rPr>
          <w:sz w:val="20"/>
          <w:szCs w:val="20"/>
          <w:color w:val="auto"/>
        </w:rPr>
      </w:pPr>
    </w:p>
    <w:p>
      <w:pPr>
        <w:ind w:left="840"/>
        <w:spacing w:after="0"/>
        <w:rPr>
          <w:sz w:val="20"/>
          <w:szCs w:val="20"/>
          <w:color w:val="auto"/>
        </w:rPr>
      </w:pPr>
      <w:r>
        <w:rPr>
          <w:rFonts w:ascii="Arial" w:cs="Arial" w:eastAsia="Arial" w:hAnsi="Arial"/>
          <w:sz w:val="10"/>
          <w:szCs w:val="10"/>
          <w:b w:val="1"/>
          <w:bCs w:val="1"/>
          <w:color w:val="auto"/>
        </w:rPr>
        <w:t>Exhibit</w:t>
      </w:r>
    </w:p>
    <w:p>
      <w:pPr>
        <w:ind w:left="920"/>
        <w:spacing w:after="0"/>
        <w:tabs>
          <w:tab w:leader="none" w:pos="1400" w:val="left"/>
        </w:tabs>
        <w:rPr>
          <w:sz w:val="20"/>
          <w:szCs w:val="20"/>
          <w:color w:val="auto"/>
        </w:rPr>
      </w:pPr>
      <w:r>
        <w:rPr>
          <w:rFonts w:ascii="Arial" w:cs="Arial" w:eastAsia="Arial" w:hAnsi="Arial"/>
          <w:sz w:val="10"/>
          <w:szCs w:val="10"/>
          <w:b w:val="1"/>
          <w:bCs w:val="1"/>
          <w:color w:val="auto"/>
        </w:rPr>
        <w:t>No.</w:t>
      </w:r>
      <w:r>
        <w:rPr>
          <w:sz w:val="20"/>
          <w:szCs w:val="20"/>
          <w:color w:val="auto"/>
        </w:rPr>
        <w:tab/>
      </w:r>
      <w:r>
        <w:rPr>
          <w:rFonts w:ascii="Arial" w:cs="Arial" w:eastAsia="Arial" w:hAnsi="Arial"/>
          <w:sz w:val="10"/>
          <w:szCs w:val="10"/>
          <w:b w:val="1"/>
          <w:bCs w:val="1"/>
          <w:color w:val="auto"/>
        </w:rPr>
        <w:t>Description</w:t>
      </w:r>
    </w:p>
    <w:p>
      <w:pPr>
        <w:spacing w:after="0" w:line="61" w:lineRule="exact"/>
        <w:rPr>
          <w:sz w:val="20"/>
          <w:szCs w:val="20"/>
          <w:color w:val="auto"/>
        </w:rPr>
      </w:pPr>
    </w:p>
    <w:p>
      <w:pPr>
        <w:ind w:left="840"/>
        <w:spacing w:after="0"/>
        <w:tabs>
          <w:tab w:leader="none" w:pos="140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5">
        <w:r>
          <w:rPr>
            <w:rFonts w:ascii="Arial" w:cs="Arial" w:eastAsia="Arial" w:hAnsi="Arial"/>
            <w:sz w:val="10"/>
            <w:szCs w:val="10"/>
            <w:u w:val="single" w:color="auto"/>
            <w:color w:val="0000EE"/>
          </w:rPr>
          <w:t>Flywire Corporation Press Release dated November 9, 2021.</w:t>
        </w:r>
      </w:hyperlink>
    </w:p>
    <w:p>
      <w:pPr>
        <w:spacing w:after="0" w:line="78" w:lineRule="exact"/>
        <w:rPr>
          <w:sz w:val="20"/>
          <w:szCs w:val="20"/>
          <w:color w:val="auto"/>
        </w:rPr>
      </w:pPr>
    </w:p>
    <w:p>
      <w:pPr>
        <w:ind w:left="840"/>
        <w:spacing w:after="0"/>
        <w:tabs>
          <w:tab w:leader="none" w:pos="1400" w:val="left"/>
        </w:tabs>
        <w:rPr>
          <w:rFonts w:ascii="Arial" w:cs="Arial" w:eastAsia="Arial" w:hAnsi="Arial"/>
          <w:sz w:val="10"/>
          <w:szCs w:val="10"/>
          <w:u w:val="single" w:color="auto"/>
          <w:color w:val="0000EE"/>
        </w:rPr>
      </w:pPr>
      <w:r>
        <w:rPr>
          <w:rFonts w:ascii="Arial" w:cs="Arial" w:eastAsia="Arial" w:hAnsi="Arial"/>
          <w:sz w:val="12"/>
          <w:szCs w:val="12"/>
          <w:color w:val="auto"/>
        </w:rPr>
        <w:t>99.2</w:t>
      </w:r>
      <w:r>
        <w:rPr>
          <w:sz w:val="20"/>
          <w:szCs w:val="20"/>
          <w:color w:val="auto"/>
        </w:rPr>
        <w:tab/>
      </w:r>
      <w:hyperlink w:anchor="page15">
        <w:r>
          <w:rPr>
            <w:rFonts w:ascii="Arial" w:cs="Arial" w:eastAsia="Arial" w:hAnsi="Arial"/>
            <w:sz w:val="10"/>
            <w:szCs w:val="10"/>
            <w:u w:val="single" w:color="auto"/>
            <w:color w:val="0000EE"/>
          </w:rPr>
          <w:t>Flywire Corporation Investor Presentation dated November 9, 2021.</w:t>
        </w:r>
      </w:hyperlink>
    </w:p>
    <w:p>
      <w:pPr>
        <w:spacing w:after="0" w:line="78"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Cover Page Interactive Data File (embedded within the Inline XBRL document)</w:t>
      </w:r>
    </w:p>
    <w:p>
      <w:pPr>
        <w:sectPr>
          <w:pgSz w:w="11900" w:h="16838" w:orient="portrait"/>
          <w:cols w:equalWidth="0" w:num="1">
            <w:col w:w="9019"/>
          </w:cols>
          <w:pgMar w:left="1440" w:top="244"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w:t>
      </w:r>
    </w:p>
    <w:p>
      <w:pPr>
        <w:spacing w:after="0" w:line="150"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FLYWIRE CORPORATION</w:t>
      </w:r>
    </w:p>
    <w:p>
      <w:pPr>
        <w:spacing w:after="0" w:line="150" w:lineRule="exact"/>
        <w:rPr>
          <w:sz w:val="20"/>
          <w:szCs w:val="20"/>
          <w:color w:val="auto"/>
        </w:rPr>
      </w:pPr>
    </w:p>
    <w:tbl>
      <w:tblPr>
        <w:tblLayout w:type="fixed"/>
        <w:tblInd w:w="5240" w:type="dxa"/>
        <w:tblCellMar>
          <w:top w:w="0" w:type="dxa"/>
          <w:left w:w="0" w:type="dxa"/>
          <w:bottom w:w="0" w:type="dxa"/>
          <w:right w:w="0" w:type="dxa"/>
        </w:tblCellMar>
      </w:tblPr>
      <w:tr>
        <w:trPr>
          <w:trHeight w:val="153"/>
        </w:trPr>
        <w:tc>
          <w:tcPr>
            <w:tcW w:w="380" w:type="dxa"/>
            <w:vAlign w:val="bottom"/>
          </w:tcPr>
          <w:p>
            <w:pPr>
              <w:spacing w:after="0"/>
              <w:rPr>
                <w:sz w:val="20"/>
                <w:szCs w:val="20"/>
                <w:color w:val="auto"/>
              </w:rPr>
            </w:pPr>
            <w:r>
              <w:rPr>
                <w:rFonts w:ascii="Arial" w:cs="Arial" w:eastAsia="Arial" w:hAnsi="Arial"/>
                <w:sz w:val="12"/>
                <w:szCs w:val="12"/>
                <w:color w:val="auto"/>
              </w:rPr>
              <w:t>By:</w:t>
            </w:r>
          </w:p>
        </w:tc>
        <w:tc>
          <w:tcPr>
            <w:tcW w:w="25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Michael Ellis</w:t>
            </w:r>
          </w:p>
        </w:tc>
      </w:tr>
      <w:tr>
        <w:trPr>
          <w:trHeight w:val="133"/>
        </w:trPr>
        <w:tc>
          <w:tcPr>
            <w:tcW w:w="38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2560" w:type="dxa"/>
            <w:vAlign w:val="bottom"/>
          </w:tcPr>
          <w:p>
            <w:pPr>
              <w:spacing w:after="0" w:line="133" w:lineRule="exact"/>
              <w:rPr>
                <w:sz w:val="20"/>
                <w:szCs w:val="20"/>
                <w:color w:val="auto"/>
              </w:rPr>
            </w:pPr>
            <w:r>
              <w:rPr>
                <w:rFonts w:ascii="Arial" w:cs="Arial" w:eastAsia="Arial" w:hAnsi="Arial"/>
                <w:sz w:val="12"/>
                <w:szCs w:val="12"/>
                <w:color w:val="auto"/>
              </w:rPr>
              <w:t>Michael Ellis</w:t>
            </w:r>
          </w:p>
        </w:tc>
      </w:tr>
      <w:tr>
        <w:trPr>
          <w:trHeight w:val="153"/>
        </w:trPr>
        <w:tc>
          <w:tcPr>
            <w:tcW w:w="380" w:type="dxa"/>
            <w:vAlign w:val="bottom"/>
          </w:tcPr>
          <w:p>
            <w:pPr>
              <w:spacing w:after="0"/>
              <w:rPr>
                <w:sz w:val="20"/>
                <w:szCs w:val="20"/>
                <w:color w:val="auto"/>
              </w:rPr>
            </w:pPr>
            <w:r>
              <w:rPr>
                <w:rFonts w:ascii="Arial" w:cs="Arial" w:eastAsia="Arial" w:hAnsi="Arial"/>
                <w:sz w:val="12"/>
                <w:szCs w:val="12"/>
                <w:color w:val="auto"/>
              </w:rPr>
              <w:t>Title:</w:t>
            </w:r>
          </w:p>
        </w:tc>
        <w:tc>
          <w:tcPr>
            <w:tcW w:w="2560" w:type="dxa"/>
            <w:vAlign w:val="bottom"/>
          </w:tcPr>
          <w:p>
            <w:pPr>
              <w:spacing w:after="0"/>
              <w:rPr>
                <w:sz w:val="20"/>
                <w:szCs w:val="20"/>
                <w:color w:val="auto"/>
              </w:rPr>
            </w:pPr>
            <w:r>
              <w:rPr>
                <w:rFonts w:ascii="Arial" w:cs="Arial" w:eastAsia="Arial" w:hAnsi="Arial"/>
                <w:sz w:val="12"/>
                <w:szCs w:val="12"/>
                <w:color w:val="auto"/>
              </w:rPr>
              <w:t>Chief Financial Officer</w:t>
            </w:r>
          </w:p>
        </w:tc>
      </w:tr>
    </w:tbl>
    <w:p>
      <w:pPr>
        <w:spacing w:after="0" w:line="13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Dated November 9, 2021</w:t>
      </w:r>
    </w:p>
    <w:p>
      <w:pPr>
        <w:sectPr>
          <w:pgSz w:w="11900" w:h="16838" w:orient="portrait"/>
          <w:cols w:equalWidth="0" w:num="1">
            <w:col w:w="9019"/>
          </w:cols>
          <w:pgMar w:left="1440" w:top="248" w:right="1440" w:bottom="1440" w:gutter="0" w:footer="0" w:header="0"/>
        </w:sectPr>
      </w:pPr>
    </w:p>
    <w:bookmarkStart w:id="4" w:name="page5"/>
    <w:bookmarkEnd w:id="4"/>
    <w:p>
      <w:pPr>
        <w:jc w:val="right"/>
        <w:ind w:right="839"/>
        <w:spacing w:after="0"/>
        <w:rPr>
          <w:sz w:val="20"/>
          <w:szCs w:val="20"/>
          <w:color w:val="auto"/>
        </w:rPr>
      </w:pPr>
      <w:r>
        <w:rPr>
          <w:rFonts w:ascii="Arial" w:cs="Arial" w:eastAsia="Arial" w:hAnsi="Arial"/>
          <w:sz w:val="12"/>
          <w:szCs w:val="12"/>
          <w:b w:val="1"/>
          <w:bCs w:val="1"/>
          <w:color w:val="auto"/>
        </w:rPr>
        <w:t>Exhibit 99.1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Flywire Reports Third Quarter 2021 Financial Results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Revenue Increased 61% Year-over-Year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Revenue Less Ancillary Services Increased 67% Year-over-Year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Total Payment Volume was $5.3 Billion, up 76% Year-over-Year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Company Updates Fiscal-Year 2021 Outlook</w:t>
      </w:r>
    </w:p>
    <w:p>
      <w:pPr>
        <w:spacing w:after="0" w:line="146" w:lineRule="exact"/>
        <w:rPr>
          <w:sz w:val="20"/>
          <w:szCs w:val="20"/>
          <w:color w:val="auto"/>
        </w:rPr>
      </w:pPr>
    </w:p>
    <w:p>
      <w:pPr>
        <w:ind w:left="840" w:right="1079"/>
        <w:spacing w:after="0" w:line="283" w:lineRule="auto"/>
        <w:rPr>
          <w:sz w:val="20"/>
          <w:szCs w:val="20"/>
          <w:color w:val="auto"/>
        </w:rPr>
      </w:pPr>
      <w:r>
        <w:rPr>
          <w:rFonts w:ascii="Arial" w:cs="Arial" w:eastAsia="Arial" w:hAnsi="Arial"/>
          <w:sz w:val="12"/>
          <w:szCs w:val="12"/>
          <w:b w:val="1"/>
          <w:bCs w:val="1"/>
          <w:color w:val="auto"/>
        </w:rPr>
        <w:t xml:space="preserve">Boston, MA — November 9, 2021: </w:t>
      </w:r>
      <w:r>
        <w:rPr>
          <w:rFonts w:ascii="Arial" w:cs="Arial" w:eastAsia="Arial" w:hAnsi="Arial"/>
          <w:sz w:val="12"/>
          <w:szCs w:val="12"/>
          <w:u w:val="single" w:color="auto"/>
          <w:color w:val="auto"/>
        </w:rPr>
        <w:t>Flywire Corporation</w:t>
      </w:r>
      <w:r>
        <w:rPr>
          <w:rFonts w:ascii="Arial" w:cs="Arial" w:eastAsia="Arial" w:hAnsi="Arial"/>
          <w:sz w:val="12"/>
          <w:szCs w:val="12"/>
          <w:b w:val="1"/>
          <w:bCs w:val="1"/>
          <w:color w:val="auto"/>
        </w:rPr>
        <w:t xml:space="preserve"> </w:t>
      </w:r>
      <w:r>
        <w:rPr>
          <w:rFonts w:ascii="Arial" w:cs="Arial" w:eastAsia="Arial" w:hAnsi="Arial"/>
          <w:sz w:val="12"/>
          <w:szCs w:val="12"/>
          <w:color w:val="auto"/>
        </w:rPr>
        <w:t>(Nasdaq: FLYW) (“the Company”) a global payments enablement and software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today reported financial results for its third quarter of 2021.</w:t>
      </w:r>
    </w:p>
    <w:p>
      <w:pPr>
        <w:spacing w:after="0" w:line="111" w:lineRule="exact"/>
        <w:rPr>
          <w:sz w:val="20"/>
          <w:szCs w:val="20"/>
          <w:color w:val="auto"/>
        </w:rPr>
      </w:pPr>
    </w:p>
    <w:p>
      <w:pPr>
        <w:ind w:left="840" w:right="839"/>
        <w:spacing w:after="0" w:line="259" w:lineRule="auto"/>
        <w:rPr>
          <w:sz w:val="20"/>
          <w:szCs w:val="20"/>
          <w:color w:val="auto"/>
        </w:rPr>
      </w:pPr>
      <w:r>
        <w:rPr>
          <w:rFonts w:ascii="Arial" w:cs="Arial" w:eastAsia="Arial" w:hAnsi="Arial"/>
          <w:sz w:val="12"/>
          <w:szCs w:val="12"/>
          <w:color w:val="auto"/>
        </w:rPr>
        <w:t>“We experienced another strong quarter with growth across all areas of our business, resulting in revenue less ancillary services growth of 67% compared to the third quarter of 2020,” said Mike Massaro, CEO of Flywire. “We believe the next decade will bring a wave of digitization across the education, healthcare, travel and B2B industries and that Flywire is uniquely positioned to lead this trend with our powerful combination of software and payments.”</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Third Quarter 2021 Financial Highlights:</w:t>
      </w:r>
    </w:p>
    <w:p>
      <w:pPr>
        <w:spacing w:after="0" w:line="22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GAAP Results</w:t>
      </w:r>
    </w:p>
    <w:p>
      <w:pPr>
        <w:spacing w:after="0" w:line="87" w:lineRule="exact"/>
        <w:rPr>
          <w:sz w:val="20"/>
          <w:szCs w:val="20"/>
          <w:color w:val="auto"/>
        </w:rPr>
      </w:pPr>
    </w:p>
    <w:p>
      <w:pPr>
        <w:ind w:left="1480" w:hanging="288"/>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Revenue increased 61% to $67.8 million in the third quarter of 2021, compared to $42.1 million in the third quarter of 2020.</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2"/>
        </w:numPr>
        <w:rPr>
          <w:rFonts w:ascii="Arial" w:cs="Arial" w:eastAsia="Arial" w:hAnsi="Arial"/>
          <w:sz w:val="11"/>
          <w:szCs w:val="11"/>
          <w:color w:val="auto"/>
        </w:rPr>
      </w:pPr>
      <w:r>
        <w:rPr>
          <w:rFonts w:ascii="Arial" w:cs="Arial" w:eastAsia="Arial" w:hAnsi="Arial"/>
          <w:sz w:val="11"/>
          <w:szCs w:val="11"/>
          <w:color w:val="auto"/>
        </w:rPr>
        <w:t>Gross margin increased 1.4% in absolute terms to 65.8% in the third quarter of 2021, compared to 64.4% in the third quarter of 2020.</w:t>
      </w:r>
    </w:p>
    <w:p>
      <w:pPr>
        <w:spacing w:after="0" w:line="98" w:lineRule="exact"/>
        <w:rPr>
          <w:rFonts w:ascii="Arial" w:cs="Arial" w:eastAsia="Arial" w:hAnsi="Arial"/>
          <w:sz w:val="11"/>
          <w:szCs w:val="11"/>
          <w:color w:val="auto"/>
        </w:rPr>
      </w:pPr>
    </w:p>
    <w:p>
      <w:pPr>
        <w:ind w:left="1480" w:hanging="288"/>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Net income was $10.0 million in the third quarter of 2021, compared to $5.2 million in the third quarter of 2020.</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Key Operating Metrics and Non-GAAP Results</w:t>
      </w:r>
    </w:p>
    <w:p>
      <w:pPr>
        <w:spacing w:after="0" w:line="87" w:lineRule="exact"/>
        <w:rPr>
          <w:sz w:val="20"/>
          <w:szCs w:val="20"/>
          <w:color w:val="auto"/>
        </w:rPr>
      </w:pPr>
    </w:p>
    <w:p>
      <w:pPr>
        <w:ind w:left="1480" w:hanging="288"/>
        <w:spacing w:after="0"/>
        <w:tabs>
          <w:tab w:leader="none" w:pos="14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Total Payment Volume increased 76% to $5.3 billion in the third quarter of 2021, compared to $3.0 billion in the third quarter of 2020.</w:t>
      </w:r>
    </w:p>
    <w:p>
      <w:pPr>
        <w:spacing w:after="0" w:line="98" w:lineRule="exact"/>
        <w:rPr>
          <w:rFonts w:ascii="Arial" w:cs="Arial" w:eastAsia="Arial" w:hAnsi="Arial"/>
          <w:sz w:val="11"/>
          <w:szCs w:val="11"/>
          <w:color w:val="auto"/>
        </w:rPr>
      </w:pPr>
    </w:p>
    <w:p>
      <w:pPr>
        <w:ind w:left="1480" w:right="1199" w:hanging="288"/>
        <w:spacing w:after="0" w:line="276" w:lineRule="auto"/>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Revenue Less Ancillary Services increased 67% to $62.0 million in the third quarter of 2021, compared to $37.2 million in the third quarter of 2020.</w:t>
      </w:r>
    </w:p>
    <w:p>
      <w:pPr>
        <w:spacing w:after="0" w:line="51" w:lineRule="exact"/>
        <w:rPr>
          <w:rFonts w:ascii="Arial" w:cs="Arial" w:eastAsia="Arial" w:hAnsi="Arial"/>
          <w:sz w:val="12"/>
          <w:szCs w:val="12"/>
          <w:color w:val="auto"/>
        </w:rPr>
      </w:pPr>
    </w:p>
    <w:p>
      <w:pPr>
        <w:ind w:left="1480" w:right="939" w:hanging="288"/>
        <w:spacing w:after="0" w:line="276" w:lineRule="auto"/>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Adjusted Gross Margin decreased 0.9% in absolute terms to 71.9% in the third quarter of 2021, compared to 72.8% in the third quarter of 2020.</w:t>
      </w:r>
    </w:p>
    <w:p>
      <w:pPr>
        <w:spacing w:after="0" w:line="51" w:lineRule="exact"/>
        <w:rPr>
          <w:rFonts w:ascii="Arial" w:cs="Arial" w:eastAsia="Arial" w:hAnsi="Arial"/>
          <w:sz w:val="12"/>
          <w:szCs w:val="12"/>
          <w:color w:val="auto"/>
        </w:rPr>
      </w:pPr>
    </w:p>
    <w:p>
      <w:pPr>
        <w:ind w:left="1480" w:hanging="288"/>
        <w:spacing w:after="0"/>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Adjusted EBITDA was $17.6 million in the third quarter of 2021, compared to $10.2 million in the third quarter of 2020.</w:t>
      </w:r>
    </w:p>
    <w:p>
      <w:pPr>
        <w:sectPr>
          <w:pgSz w:w="11900" w:h="16838" w:orient="portrait"/>
          <w:cols w:equalWidth="0" w:num="1">
            <w:col w:w="9019"/>
          </w:cols>
          <w:pgMar w:left="1440" w:top="127" w:right="1440" w:bottom="1440" w:gutter="0" w:footer="0" w:header="0"/>
        </w:sectPr>
      </w:pPr>
    </w:p>
    <w:bookmarkStart w:id="5" w:name="page6"/>
    <w:bookmarkEnd w:id="5"/>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Fiscal-Year 2021 Outlook:</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Based on information available as of November 9, 2021, for fiscal year 2021 Flywire expects the following:</w:t>
      </w:r>
    </w:p>
    <w:p>
      <w:pPr>
        <w:spacing w:after="0" w:line="87" w:lineRule="exact"/>
        <w:rPr>
          <w:sz w:val="20"/>
          <w:szCs w:val="20"/>
          <w:color w:val="auto"/>
        </w:rPr>
      </w:pPr>
    </w:p>
    <w:p>
      <w:pPr>
        <w:ind w:left="1480" w:hanging="288"/>
        <w:spacing w:after="0"/>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Revenue of $190 to $193 million</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Revenue Less Ancillary Services of $174 to $176 million</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Adjusted EBITDA of $22 to $24 million*</w:t>
      </w:r>
    </w:p>
    <w:p>
      <w:pPr>
        <w:spacing w:after="0" w:line="150" w:lineRule="exact"/>
        <w:rPr>
          <w:sz w:val="20"/>
          <w:szCs w:val="20"/>
          <w:color w:val="auto"/>
        </w:rPr>
      </w:pPr>
    </w:p>
    <w:p>
      <w:pPr>
        <w:ind w:left="840" w:right="899"/>
        <w:spacing w:after="0" w:line="259" w:lineRule="auto"/>
        <w:rPr>
          <w:sz w:val="20"/>
          <w:szCs w:val="20"/>
          <w:color w:val="auto"/>
        </w:rPr>
      </w:pPr>
      <w:r>
        <w:rPr>
          <w:rFonts w:ascii="Arial" w:cs="Arial" w:eastAsia="Arial" w:hAnsi="Arial"/>
          <w:sz w:val="12"/>
          <w:szCs w:val="12"/>
          <w:color w:val="auto"/>
        </w:rPr>
        <w:t>*Flywire has not provided a quantitative reconciliation of forecasted Adjusted EBITDA to forecasted GAAP net income (loss) or to forecasted GAAP income (loss) before income taxes within this earnings release because the company is unable, without making unreasonable efforts, to calculate certain reconciling items with confidence. These items include but are not limited to income taxes which are directly impacted by unpredictable fluctuations in the market price of the company’s stock.</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Conference Call</w:t>
      </w:r>
    </w:p>
    <w:p>
      <w:pPr>
        <w:spacing w:after="0" w:line="82" w:lineRule="exact"/>
        <w:rPr>
          <w:sz w:val="20"/>
          <w:szCs w:val="20"/>
          <w:color w:val="auto"/>
        </w:rPr>
      </w:pPr>
    </w:p>
    <w:p>
      <w:pPr>
        <w:ind w:left="840" w:right="859"/>
        <w:spacing w:after="0" w:line="263" w:lineRule="auto"/>
        <w:rPr>
          <w:sz w:val="20"/>
          <w:szCs w:val="20"/>
          <w:color w:val="auto"/>
        </w:rPr>
      </w:pPr>
      <w:r>
        <w:rPr>
          <w:rFonts w:ascii="Arial" w:cs="Arial" w:eastAsia="Arial" w:hAnsi="Arial"/>
          <w:sz w:val="12"/>
          <w:szCs w:val="12"/>
          <w:color w:val="auto"/>
        </w:rPr>
        <w:t xml:space="preserve">The Company will host a conference call to discuss third quarter 2021 financial results today at 5:00 pm ET. Hosting the call will be Mike Massaro, CEO, Rob Orgel, President and COO, and Mike Ellis, CFO. The conference call can be accessed live via webcast from the Company’s investor relations website at </w:t>
      </w:r>
      <w:r>
        <w:rPr>
          <w:rFonts w:ascii="Arial" w:cs="Arial" w:eastAsia="Arial" w:hAnsi="Arial"/>
          <w:sz w:val="12"/>
          <w:szCs w:val="12"/>
          <w:u w:val="single" w:color="auto"/>
          <w:color w:val="auto"/>
        </w:rPr>
        <w:t>https://ir.flywire.com/</w:t>
      </w:r>
      <w:r>
        <w:rPr>
          <w:rFonts w:ascii="Arial" w:cs="Arial" w:eastAsia="Arial" w:hAnsi="Arial"/>
          <w:sz w:val="12"/>
          <w:szCs w:val="12"/>
          <w:color w:val="auto"/>
        </w:rPr>
        <w:t>. A replay will be available on the investor relations website following the call.</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Key Operating Metrics and Non-GAAP Financial Measures table</w:t>
      </w:r>
    </w:p>
    <w:p>
      <w:pPr>
        <w:spacing w:after="0" w:line="82" w:lineRule="exact"/>
        <w:rPr>
          <w:sz w:val="20"/>
          <w:szCs w:val="20"/>
          <w:color w:val="auto"/>
        </w:rPr>
      </w:pPr>
    </w:p>
    <w:p>
      <w:pPr>
        <w:jc w:val="both"/>
        <w:ind w:left="840" w:right="1019"/>
        <w:spacing w:after="0" w:line="306" w:lineRule="auto"/>
        <w:rPr>
          <w:sz w:val="20"/>
          <w:szCs w:val="20"/>
          <w:color w:val="auto"/>
        </w:rPr>
      </w:pPr>
      <w:r>
        <w:rPr>
          <w:rFonts w:ascii="Arial" w:cs="Arial" w:eastAsia="Arial" w:hAnsi="Arial"/>
          <w:sz w:val="10"/>
          <w:szCs w:val="10"/>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w:t>
      </w:r>
    </w:p>
    <w:p>
      <w:pPr>
        <w:spacing w:after="0" w:line="1" w:lineRule="exact"/>
        <w:rPr>
          <w:sz w:val="20"/>
          <w:szCs w:val="20"/>
          <w:color w:val="auto"/>
        </w:rPr>
      </w:pPr>
    </w:p>
    <w:p>
      <w:pPr>
        <w:ind w:left="840" w:right="919"/>
        <w:spacing w:after="0" w:line="281" w:lineRule="auto"/>
        <w:rPr>
          <w:sz w:val="20"/>
          <w:szCs w:val="20"/>
          <w:color w:val="auto"/>
        </w:rPr>
      </w:pPr>
      <w:r>
        <w:rPr>
          <w:rFonts w:ascii="Arial" w:cs="Arial" w:eastAsia="Arial" w:hAnsi="Arial"/>
          <w:sz w:val="11"/>
          <w:szCs w:val="11"/>
          <w:color w:val="auto"/>
        </w:rPr>
        <w:t>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ectPr>
          <w:pgSz w:w="11900" w:h="16838" w:orient="portrait"/>
          <w:cols w:equalWidth="0" w:num="1">
            <w:col w:w="9019"/>
          </w:cols>
          <w:pgMar w:left="1440" w:top="226" w:right="1440" w:bottom="1440" w:gutter="0" w:footer="0" w:header="0"/>
        </w:sectPr>
      </w:pPr>
    </w:p>
    <w:bookmarkStart w:id="6" w:name="page7"/>
    <w:bookmarkEnd w:id="6"/>
    <w:p>
      <w:pPr>
        <w:ind w:left="840" w:right="1019"/>
        <w:spacing w:after="0" w:line="32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spacing w:after="0" w:line="29" w:lineRule="exact"/>
        <w:rPr>
          <w:sz w:val="20"/>
          <w:szCs w:val="20"/>
          <w:color w:val="auto"/>
        </w:rPr>
      </w:pPr>
    </w:p>
    <w:p>
      <w:pPr>
        <w:ind w:left="1480" w:right="999" w:hanging="288"/>
        <w:spacing w:after="0" w:line="340" w:lineRule="auto"/>
        <w:tabs>
          <w:tab w:leader="none" w:pos="1480" w:val="left"/>
        </w:tabs>
        <w:numPr>
          <w:ilvl w:val="0"/>
          <w:numId w:val="5"/>
        </w:numPr>
        <w:rPr>
          <w:rFonts w:ascii="Arial" w:cs="Arial" w:eastAsia="Arial" w:hAnsi="Arial"/>
          <w:sz w:val="10"/>
          <w:szCs w:val="10"/>
          <w:color w:val="auto"/>
        </w:rPr>
      </w:pPr>
      <w:r>
        <w:rPr>
          <w:rFonts w:ascii="Arial" w:cs="Arial" w:eastAsia="Arial" w:hAnsi="Arial"/>
          <w:sz w:val="10"/>
          <w:szCs w:val="10"/>
          <w:color w:val="auto"/>
        </w:rPr>
        <w:t>Revenue Less Ancillary Services. Revenue Less Ancillary Services represents our consolidated revenue in accordance with GAAP after excluding (i) pass-through cost for printing and mailing services and (ii) marketing fees. We exclude these amounts to arrive at this supplemental non-GAAP financial measure as we view these services as ancillary to the primary services we provide to our clients.</w:t>
      </w:r>
    </w:p>
    <w:p>
      <w:pPr>
        <w:spacing w:after="0" w:line="24" w:lineRule="exact"/>
        <w:rPr>
          <w:rFonts w:ascii="Arial" w:cs="Arial" w:eastAsia="Arial" w:hAnsi="Arial"/>
          <w:sz w:val="10"/>
          <w:szCs w:val="10"/>
          <w:color w:val="auto"/>
        </w:rPr>
      </w:pPr>
    </w:p>
    <w:p>
      <w:pPr>
        <w:ind w:left="1480" w:right="919" w:hanging="288"/>
        <w:spacing w:after="0" w:line="256" w:lineRule="auto"/>
        <w:tabs>
          <w:tab w:leader="none" w:pos="1480" w:val="left"/>
        </w:tabs>
        <w:numPr>
          <w:ilvl w:val="0"/>
          <w:numId w:val="5"/>
        </w:numPr>
        <w:rPr>
          <w:rFonts w:ascii="Arial" w:cs="Arial" w:eastAsia="Arial" w:hAnsi="Arial"/>
          <w:sz w:val="12"/>
          <w:szCs w:val="12"/>
          <w:color w:val="auto"/>
        </w:rPr>
      </w:pPr>
      <w:r>
        <w:rPr>
          <w:rFonts w:ascii="Arial" w:cs="Arial" w:eastAsia="Arial" w:hAnsi="Arial"/>
          <w:sz w:val="12"/>
          <w:szCs w:val="12"/>
          <w:color w:val="auto"/>
        </w:rPr>
        <w:t>Adjusted Gross Margin. Adjusted gross margin represents adjusted gross profit divided by Revenue Less Ancillary Services. Adjusted gross profit represents Revenue Less Ancillary Services less cost of revenue adjusted to (i) exclude pass-through cost for printing services and (ii) offset marketing fees against costs incurred. Management believes this presentation supplements the GAAP presentation of gross margin with a useful measure of the gross margin of our payment-related services, which are the primary services we provide to our clients.</w:t>
      </w:r>
    </w:p>
    <w:p>
      <w:pPr>
        <w:spacing w:after="0" w:line="65" w:lineRule="exact"/>
        <w:rPr>
          <w:rFonts w:ascii="Arial" w:cs="Arial" w:eastAsia="Arial" w:hAnsi="Arial"/>
          <w:sz w:val="12"/>
          <w:szCs w:val="12"/>
          <w:color w:val="auto"/>
        </w:rPr>
      </w:pPr>
    </w:p>
    <w:p>
      <w:pPr>
        <w:ind w:left="1480" w:right="899" w:hanging="288"/>
        <w:spacing w:after="0" w:line="320" w:lineRule="auto"/>
        <w:tabs>
          <w:tab w:leader="none" w:pos="1480" w:val="left"/>
        </w:tabs>
        <w:numPr>
          <w:ilvl w:val="0"/>
          <w:numId w:val="5"/>
        </w:numPr>
        <w:rPr>
          <w:rFonts w:ascii="Arial" w:cs="Arial" w:eastAsia="Arial" w:hAnsi="Arial"/>
          <w:sz w:val="10"/>
          <w:szCs w:val="10"/>
          <w:color w:val="auto"/>
        </w:rPr>
      </w:pPr>
      <w:r>
        <w:rPr>
          <w:rFonts w:ascii="Arial" w:cs="Arial" w:eastAsia="Arial" w:hAnsi="Arial"/>
          <w:sz w:val="10"/>
          <w:szCs w:val="10"/>
          <w:color w:val="auto"/>
        </w:rPr>
        <w:t>Adjusted EBITDA. Adjusted EBITDA represents EBITDA further adjusted by excluding (i) stock-based compensation expense, (ii) the impact from the change in fair value measurement for contingent consideration associated with acquisitions, (iii) the impact from the change in fair value measurement of our preferred stock warrants, (iv) other income (expense), net, (v) acquisition related transaction costs, and (vi) employee retention costs, such as incentive compensation, associated with acquisition activities. Management believes that the exclusion of these amounts to calculate Adjusted EBITDA provides useful measures for period-to-period comparisons of our business.</w:t>
      </w:r>
    </w:p>
    <w:p>
      <w:pPr>
        <w:spacing w:after="0" w:line="97" w:lineRule="exact"/>
        <w:rPr>
          <w:sz w:val="20"/>
          <w:szCs w:val="20"/>
          <w:color w:val="auto"/>
        </w:rPr>
      </w:pPr>
    </w:p>
    <w:p>
      <w:pPr>
        <w:ind w:left="840" w:right="939"/>
        <w:spacing w:after="0" w:line="279" w:lineRule="auto"/>
        <w:rPr>
          <w:sz w:val="20"/>
          <w:szCs w:val="20"/>
          <w:color w:val="auto"/>
        </w:rPr>
      </w:pPr>
      <w:r>
        <w:rPr>
          <w:rFonts w:ascii="Arial" w:cs="Arial" w:eastAsia="Arial" w:hAnsi="Arial"/>
          <w:sz w:val="11"/>
          <w:szCs w:val="11"/>
          <w:color w:val="auto"/>
        </w:rPr>
        <w:t>These non-GAAP financial measures are not meant to be considered as indicators of performance in isolation from or as a substitute for revenue, gross margin or net loss prepared in accordance with GAAP and should be read only in conjunction with financial information presented on a GAAP basis. Reconciliations of Revenue Less Ancillary Services, Adjusted Gross Margin and Adjusted EBITDA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 We have not provided a quantitative reconciliation of forecasted Adjusted EBITDA to forecasted GAAP net income (loss) or to forecasted GAAP income (loss) before income taxes within this earnings release because the Company is unable, without making unreasonable efforts, to calculate certain reconciling items with confidence. These items include but are not limited to income taxes which are directly impacted by unpredictable fluctuations in the market price of the Company’s stock.</w:t>
      </w:r>
    </w:p>
    <w:p>
      <w:pPr>
        <w:sectPr>
          <w:pgSz w:w="11900" w:h="16838" w:orient="portrait"/>
          <w:cols w:equalWidth="0" w:num="1">
            <w:col w:w="9019"/>
          </w:cols>
          <w:pgMar w:left="1440" w:top="230" w:right="1440" w:bottom="1440" w:gutter="0" w:footer="0" w:header="0"/>
        </w:sectPr>
      </w:pPr>
    </w:p>
    <w:bookmarkStart w:id="7" w:name="page8"/>
    <w:bookmarkEnd w:id="7"/>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About Flywire</w:t>
      </w:r>
    </w:p>
    <w:p>
      <w:pPr>
        <w:spacing w:after="0" w:line="82" w:lineRule="exact"/>
        <w:rPr>
          <w:sz w:val="20"/>
          <w:szCs w:val="20"/>
          <w:color w:val="auto"/>
        </w:rPr>
      </w:pPr>
    </w:p>
    <w:p>
      <w:pPr>
        <w:ind w:left="840" w:right="1199"/>
        <w:spacing w:after="0" w:line="263" w:lineRule="auto"/>
        <w:rPr>
          <w:sz w:val="20"/>
          <w:szCs w:val="20"/>
          <w:color w:val="auto"/>
        </w:rPr>
      </w:pPr>
      <w:r>
        <w:rPr>
          <w:rFonts w:ascii="Arial" w:cs="Arial" w:eastAsia="Arial" w:hAnsi="Arial"/>
          <w:sz w:val="12"/>
          <w:szCs w:val="12"/>
          <w:color w:val="auto"/>
        </w:rPr>
        <w:t>Flywire Corporation (Nasdaq: FLYW) is a global payments enablement and software company. Flywire combines its proprietary global payments network, next-gen payments platform and vertical-specific software to deliver the most important and complex payments for its clients and their customers.</w:t>
      </w:r>
    </w:p>
    <w:p>
      <w:pPr>
        <w:spacing w:after="0" w:line="122" w:lineRule="exact"/>
        <w:rPr>
          <w:sz w:val="20"/>
          <w:szCs w:val="20"/>
          <w:color w:val="auto"/>
        </w:rPr>
      </w:pPr>
    </w:p>
    <w:p>
      <w:pPr>
        <w:jc w:val="both"/>
        <w:ind w:left="840" w:right="979"/>
        <w:spacing w:after="0" w:line="298" w:lineRule="auto"/>
        <w:rPr>
          <w:sz w:val="20"/>
          <w:szCs w:val="20"/>
          <w:color w:val="auto"/>
        </w:rPr>
      </w:pPr>
      <w:r>
        <w:rPr>
          <w:rFonts w:ascii="Arial" w:cs="Arial" w:eastAsia="Arial" w:hAnsi="Arial"/>
          <w:sz w:val="11"/>
          <w:szCs w:val="11"/>
          <w:color w:val="auto"/>
        </w:rPr>
        <w:t>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so organizations can optimize the payment experience for their customers while eliminating operational challenges.</w:t>
      </w:r>
    </w:p>
    <w:p>
      <w:pPr>
        <w:spacing w:after="0" w:line="105" w:lineRule="exact"/>
        <w:rPr>
          <w:sz w:val="20"/>
          <w:szCs w:val="20"/>
          <w:color w:val="auto"/>
        </w:rPr>
      </w:pPr>
    </w:p>
    <w:p>
      <w:pPr>
        <w:jc w:val="both"/>
        <w:ind w:left="840" w:right="1039"/>
        <w:spacing w:after="0" w:line="263" w:lineRule="auto"/>
        <w:rPr>
          <w:sz w:val="20"/>
          <w:szCs w:val="20"/>
          <w:color w:val="auto"/>
        </w:rPr>
      </w:pPr>
      <w:r>
        <w:rPr>
          <w:rFonts w:ascii="Arial" w:cs="Arial" w:eastAsia="Arial" w:hAnsi="Arial"/>
          <w:sz w:val="12"/>
          <w:szCs w:val="12"/>
          <w:color w:val="auto"/>
        </w:rPr>
        <w:t xml:space="preserve">Flywire supports over 2,450 clients with diverse payment methods in more than 140 currencies across 240 countries and territories around the world. The company is headquartered in Boston, MA, USA with global offices. For more information, visit </w:t>
      </w:r>
      <w:r>
        <w:rPr>
          <w:rFonts w:ascii="Arial" w:cs="Arial" w:eastAsia="Arial" w:hAnsi="Arial"/>
          <w:sz w:val="12"/>
          <w:szCs w:val="12"/>
          <w:b w:val="1"/>
          <w:bCs w:val="1"/>
          <w:u w:val="single" w:color="auto"/>
          <w:color w:val="auto"/>
        </w:rPr>
        <w:t>www.flywire.com</w:t>
      </w:r>
      <w:r>
        <w:rPr>
          <w:rFonts w:ascii="Arial" w:cs="Arial" w:eastAsia="Arial" w:hAnsi="Arial"/>
          <w:sz w:val="12"/>
          <w:szCs w:val="12"/>
          <w:color w:val="auto"/>
        </w:rPr>
        <w:t xml:space="preserve">. Follow Flywire on </w:t>
      </w:r>
      <w:r>
        <w:rPr>
          <w:rFonts w:ascii="Arial" w:cs="Arial" w:eastAsia="Arial" w:hAnsi="Arial"/>
          <w:sz w:val="12"/>
          <w:szCs w:val="12"/>
          <w:b w:val="1"/>
          <w:bCs w:val="1"/>
          <w:u w:val="single" w:color="auto"/>
          <w:color w:val="auto"/>
        </w:rPr>
        <w:t>Twitter</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LinkedIn</w:t>
      </w:r>
      <w:r>
        <w:rPr>
          <w:rFonts w:ascii="Arial" w:cs="Arial" w:eastAsia="Arial" w:hAnsi="Arial"/>
          <w:sz w:val="12"/>
          <w:szCs w:val="12"/>
          <w:b w:val="1"/>
          <w:bCs w:val="1"/>
          <w:color w:val="auto"/>
        </w:rPr>
        <w:t xml:space="preserve"> </w:t>
      </w:r>
      <w:r>
        <w:rPr>
          <w:rFonts w:ascii="Arial" w:cs="Arial" w:eastAsia="Arial" w:hAnsi="Arial"/>
          <w:sz w:val="12"/>
          <w:szCs w:val="12"/>
          <w:color w:val="auto"/>
        </w:rPr>
        <w:t>and</w:t>
      </w:r>
      <w:r>
        <w:rPr>
          <w:rFonts w:ascii="Arial" w:cs="Arial" w:eastAsia="Arial" w:hAnsi="Arial"/>
          <w:sz w:val="12"/>
          <w:szCs w:val="12"/>
          <w:b w:val="1"/>
          <w:bCs w:val="1"/>
          <w:color w:val="auto"/>
        </w:rPr>
        <w:t xml:space="preserve"> </w:t>
      </w:r>
      <w:r>
        <w:rPr>
          <w:rFonts w:ascii="Arial" w:cs="Arial" w:eastAsia="Arial" w:hAnsi="Arial"/>
          <w:sz w:val="12"/>
          <w:szCs w:val="12"/>
          <w:b w:val="1"/>
          <w:bCs w:val="1"/>
          <w:u w:val="single" w:color="auto"/>
          <w:color w:val="auto"/>
        </w:rPr>
        <w:t>Facebook</w:t>
      </w:r>
      <w:r>
        <w:rPr>
          <w:rFonts w:ascii="Arial" w:cs="Arial" w:eastAsia="Arial" w:hAnsi="Arial"/>
          <w:sz w:val="12"/>
          <w:szCs w:val="12"/>
          <w:color w:val="auto"/>
        </w:rPr>
        <w:t>.</w:t>
      </w:r>
    </w:p>
    <w:p>
      <w:pPr>
        <w:spacing w:after="0" w:line="194" w:lineRule="exact"/>
        <w:rPr>
          <w:sz w:val="20"/>
          <w:szCs w:val="20"/>
          <w:color w:val="auto"/>
        </w:rPr>
      </w:pPr>
    </w:p>
    <w:p>
      <w:pPr>
        <w:ind w:left="840"/>
        <w:spacing w:after="0"/>
        <w:rPr>
          <w:sz w:val="20"/>
          <w:szCs w:val="20"/>
          <w:color w:val="auto"/>
        </w:rPr>
      </w:pPr>
      <w:r>
        <w:rPr>
          <w:rFonts w:ascii="Arial" w:cs="Arial" w:eastAsia="Arial" w:hAnsi="Arial"/>
          <w:sz w:val="12"/>
          <w:szCs w:val="12"/>
          <w:b w:val="1"/>
          <w:bCs w:val="1"/>
          <w:i w:val="1"/>
          <w:iCs w:val="1"/>
          <w:color w:val="auto"/>
        </w:rPr>
        <w:t>Safe Harbor Statement</w:t>
      </w:r>
    </w:p>
    <w:p>
      <w:pPr>
        <w:spacing w:after="0" w:line="78" w:lineRule="exact"/>
        <w:rPr>
          <w:sz w:val="20"/>
          <w:szCs w:val="20"/>
          <w:color w:val="auto"/>
        </w:rPr>
      </w:pPr>
    </w:p>
    <w:p>
      <w:pPr>
        <w:ind w:left="840" w:right="879"/>
        <w:spacing w:after="0" w:line="277" w:lineRule="auto"/>
        <w:rPr>
          <w:sz w:val="20"/>
          <w:szCs w:val="20"/>
          <w:color w:val="auto"/>
        </w:rPr>
      </w:pPr>
      <w:r>
        <w:rPr>
          <w:rFonts w:ascii="Arial" w:cs="Arial" w:eastAsia="Arial" w:hAnsi="Arial"/>
          <w:sz w:val="11"/>
          <w:szCs w:val="11"/>
          <w:color w:val="auto"/>
        </w:rPr>
        <w:t>This release contains forward-looking statements within the meaning of the Private Securities Litigation Reform Act of 1995, including, but not limited to, statements regarding our future operating results and financial position, our business strategy and plans, market growth, and our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Risks that may cause actual results to differ materially from these forward looking statements include, but are not limited to: political, economic, legal, social and health risks, including the COVID-19 pandemic and subsequent public health measures that may affect Flywire’s business or the global economy; beliefs and objectives for future operations; Flywire’s ability to develop and protect its brand; Flywire’s ability to maintain and grow the payment volume that it processes; Flywire’s ability to further</w:t>
      </w:r>
    </w:p>
    <w:p>
      <w:pPr>
        <w:sectPr>
          <w:pgSz w:w="11900" w:h="16838" w:orient="portrait"/>
          <w:cols w:equalWidth="0" w:num="1">
            <w:col w:w="9019"/>
          </w:cols>
          <w:pgMar w:left="1440" w:top="226" w:right="1440" w:bottom="1440" w:gutter="0" w:footer="0" w:header="0"/>
        </w:sectPr>
      </w:pPr>
    </w:p>
    <w:bookmarkStart w:id="8" w:name="page9"/>
    <w:bookmarkEnd w:id="8"/>
    <w:p>
      <w:pPr>
        <w:ind w:left="840" w:right="879"/>
        <w:spacing w:after="0" w:line="27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attract, retain, and expand its client base; Flywire’s ability to develop new solutions and services and bring them to market in a timely manner; Flywire’s expectations concerning relationships with third parties, including strategic partners; the effects of increased competition in Flywire’s markets and its ability to compete effectively; future acquisitions or investments in complementary companies, products, services, or technologies; Flywire’s ability to enter new client verticals, including its relatively new B2B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attract and retain qualified employees; Flywire’s ability to maintain, protect, and enhance its intellectual property; Flywire’s ability to maintain the security and availability of its solutions; the future market price of Flywire’s common stock; and other factors that are described in the “Risk Factors” and “Management’s Discussion and Analysis of Financial Condition and Results of Operations” sections of Flywire’s Prospectus dated May 25, 2021, and Quarterly Report on Form 10-Q for the quarter ended June 30, 2021, which are on file with the Securities and Exchange Commission (SEC) and available on the SEC’s website at </w:t>
      </w:r>
      <w:r>
        <w:rPr>
          <w:rFonts w:ascii="Arial" w:cs="Arial" w:eastAsia="Arial" w:hAnsi="Arial"/>
          <w:sz w:val="11"/>
          <w:szCs w:val="11"/>
          <w:u w:val="single" w:color="auto"/>
          <w:color w:val="auto"/>
        </w:rPr>
        <w:t>https://www.sec.gov/</w:t>
      </w:r>
      <w:r>
        <w:rPr>
          <w:rFonts w:ascii="Arial" w:cs="Arial" w:eastAsia="Arial" w:hAnsi="Arial"/>
          <w:sz w:val="11"/>
          <w:szCs w:val="11"/>
          <w:color w:val="auto"/>
        </w:rPr>
        <w:t>. Additional factors may be described in those sections of Flywire’s Quarterly Report on Form 10-Q for the quarter ended September 30, 2021, expected to be filed with the SEC in the fourth quarter of 2021. The information in this release is provided only as of the date of this release, and Flywire undertakes no obligation to update any forward-looking statements contained in this release on account of new information, future events, or otherwise, except as required by law.</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Contacts</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Media</w:t>
      </w:r>
      <w:r>
        <w:rPr>
          <w:rFonts w:ascii="Arial" w:cs="Arial" w:eastAsia="Arial" w:hAnsi="Arial"/>
          <w:sz w:val="12"/>
          <w:szCs w:val="12"/>
          <w:color w:val="auto"/>
        </w:rPr>
        <w:t>:</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Sarah King</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Sarah.King@Flywire.com</w:t>
      </w:r>
    </w:p>
    <w:p>
      <w:pPr>
        <w:spacing w:after="0" w:line="21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Prosek Partners</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pro-flywire@prosek.com</w:t>
      </w:r>
    </w:p>
    <w:p>
      <w:pPr>
        <w:spacing w:after="0" w:line="137"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Investor Relations</w:t>
      </w:r>
      <w:r>
        <w:rPr>
          <w:rFonts w:ascii="Arial" w:cs="Arial" w:eastAsia="Arial" w:hAnsi="Arial"/>
          <w:sz w:val="12"/>
          <w:szCs w:val="12"/>
          <w:color w:val="auto"/>
        </w:rPr>
        <w:t>:</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ICR</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flywireir@icrinc.com</w:t>
      </w:r>
    </w:p>
    <w:p>
      <w:pPr>
        <w:sectPr>
          <w:pgSz w:w="11900" w:h="16838" w:orient="portrait"/>
          <w:cols w:equalWidth="0" w:num="1">
            <w:col w:w="9019"/>
          </w:cols>
          <w:pgMar w:left="1440" w:top="230" w:right="1440" w:bottom="1440" w:gutter="0" w:footer="0" w:header="0"/>
        </w:sectPr>
      </w:pPr>
    </w:p>
    <w:bookmarkStart w:id="9" w:name="page10"/>
    <w:bookmarkEnd w:id="9"/>
    <w:p>
      <w:pPr>
        <w:ind w:left="29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Unaudited Condensed Consolidated Statement of Operations</w:t>
      </w:r>
    </w:p>
    <w:p>
      <w:pPr>
        <w:spacing w:after="0" w:line="19" w:lineRule="exact"/>
        <w:rPr>
          <w:sz w:val="20"/>
          <w:szCs w:val="20"/>
          <w:color w:val="auto"/>
        </w:rPr>
      </w:pPr>
    </w:p>
    <w:p>
      <w:pPr>
        <w:ind w:left="2940"/>
        <w:spacing w:after="0"/>
        <w:rPr>
          <w:sz w:val="20"/>
          <w:szCs w:val="20"/>
          <w:color w:val="auto"/>
        </w:rPr>
      </w:pPr>
      <w:r>
        <w:rPr>
          <w:rFonts w:ascii="Arial" w:cs="Arial" w:eastAsia="Arial" w:hAnsi="Arial"/>
          <w:sz w:val="12"/>
          <w:szCs w:val="12"/>
          <w:b w:val="1"/>
          <w:bCs w:val="1"/>
          <w:color w:val="auto"/>
        </w:rPr>
        <w:t>(Amounts in thousands, except share and per share amounts)</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3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20" w:type="dxa"/>
            <w:vAlign w:val="bottom"/>
            <w:gridSpan w:val="5"/>
          </w:tcPr>
          <w:p>
            <w:pPr>
              <w:jc w:val="right"/>
              <w:ind w:right="660"/>
              <w:spacing w:after="0"/>
              <w:rPr>
                <w:sz w:val="20"/>
                <w:szCs w:val="20"/>
                <w:color w:val="auto"/>
              </w:rPr>
            </w:pPr>
            <w:r>
              <w:rPr>
                <w:rFonts w:ascii="Arial" w:cs="Arial" w:eastAsia="Arial" w:hAnsi="Arial"/>
                <w:sz w:val="10"/>
                <w:szCs w:val="10"/>
                <w:b w:val="1"/>
                <w:bCs w:val="1"/>
                <w:color w:val="auto"/>
              </w:rPr>
              <w:t>Three Months Ended</w:t>
            </w:r>
          </w:p>
        </w:tc>
        <w:tc>
          <w:tcPr>
            <w:tcW w:w="1600" w:type="dxa"/>
            <w:vAlign w:val="bottom"/>
            <w:gridSpan w:val="5"/>
          </w:tcPr>
          <w:p>
            <w:pPr>
              <w:jc w:val="right"/>
              <w:ind w:right="420"/>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74"/>
        </w:trPr>
        <w:tc>
          <w:tcPr>
            <w:tcW w:w="386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520" w:type="dxa"/>
            <w:vAlign w:val="bottom"/>
            <w:tcBorders>
              <w:top w:val="single" w:sz="8" w:color="auto"/>
            </w:tcBorders>
            <w:gridSpan w:val="4"/>
          </w:tcPr>
          <w:p>
            <w:pPr>
              <w:jc w:val="right"/>
              <w:ind w:right="441"/>
              <w:spacing w:after="0" w:line="74" w:lineRule="exact"/>
              <w:rPr>
                <w:sz w:val="20"/>
                <w:szCs w:val="20"/>
                <w:color w:val="auto"/>
              </w:rPr>
            </w:pPr>
            <w:r>
              <w:rPr>
                <w:rFonts w:ascii="Arial" w:cs="Arial" w:eastAsia="Arial" w:hAnsi="Arial"/>
                <w:sz w:val="8"/>
                <w:szCs w:val="8"/>
                <w:b w:val="1"/>
                <w:bCs w:val="1"/>
                <w:color w:val="auto"/>
              </w:rPr>
              <w:t>September 30,</w:t>
            </w:r>
          </w:p>
        </w:tc>
        <w:tc>
          <w:tcPr>
            <w:tcW w:w="300" w:type="dxa"/>
            <w:vAlign w:val="bottom"/>
          </w:tcPr>
          <w:p>
            <w:pPr>
              <w:spacing w:after="0"/>
              <w:rPr>
                <w:sz w:val="6"/>
                <w:szCs w:val="6"/>
                <w:color w:val="auto"/>
              </w:rPr>
            </w:pPr>
          </w:p>
        </w:tc>
        <w:tc>
          <w:tcPr>
            <w:tcW w:w="1520" w:type="dxa"/>
            <w:vAlign w:val="bottom"/>
            <w:tcBorders>
              <w:top w:val="single" w:sz="8" w:color="auto"/>
            </w:tcBorders>
            <w:gridSpan w:val="4"/>
          </w:tcPr>
          <w:p>
            <w:pPr>
              <w:jc w:val="right"/>
              <w:ind w:right="401"/>
              <w:spacing w:after="0" w:line="74" w:lineRule="exact"/>
              <w:rPr>
                <w:sz w:val="20"/>
                <w:szCs w:val="20"/>
                <w:color w:val="auto"/>
              </w:rPr>
            </w:pPr>
            <w:r>
              <w:rPr>
                <w:rFonts w:ascii="Arial" w:cs="Arial" w:eastAsia="Arial" w:hAnsi="Arial"/>
                <w:sz w:val="8"/>
                <w:szCs w:val="8"/>
                <w:b w:val="1"/>
                <w:bCs w:val="1"/>
                <w:color w:val="auto"/>
              </w:rPr>
              <w:t>September 30,</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386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62"/>
              <w:spacing w:after="0" w:line="114" w:lineRule="exact"/>
              <w:rPr>
                <w:sz w:val="20"/>
                <w:szCs w:val="20"/>
                <w:color w:val="auto"/>
              </w:rPr>
            </w:pPr>
            <w:r>
              <w:rPr>
                <w:rFonts w:ascii="Arial" w:cs="Arial" w:eastAsia="Arial" w:hAnsi="Arial"/>
                <w:sz w:val="10"/>
                <w:szCs w:val="10"/>
                <w:b w:val="1"/>
                <w:bCs w:val="1"/>
                <w:color w:val="auto"/>
              </w:rPr>
              <w:t>2021</w:t>
            </w:r>
          </w:p>
        </w:tc>
        <w:tc>
          <w:tcPr>
            <w:tcW w:w="3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41"/>
              <w:spacing w:after="0" w:line="114" w:lineRule="exact"/>
              <w:rPr>
                <w:sz w:val="20"/>
                <w:szCs w:val="20"/>
                <w:color w:val="auto"/>
              </w:rPr>
            </w:pPr>
            <w:r>
              <w:rPr>
                <w:rFonts w:ascii="Arial" w:cs="Arial" w:eastAsia="Arial" w:hAnsi="Arial"/>
                <w:sz w:val="10"/>
                <w:szCs w:val="10"/>
                <w:b w:val="1"/>
                <w:bCs w:val="1"/>
                <w:color w:val="auto"/>
              </w:rPr>
              <w:t>2020</w:t>
            </w:r>
          </w:p>
        </w:tc>
        <w:tc>
          <w:tcPr>
            <w:tcW w:w="300" w:type="dxa"/>
            <w:vAlign w:val="bottom"/>
            <w:tcBorders>
              <w:bottom w:val="single" w:sz="8" w:color="CCEEFF"/>
            </w:tcBorders>
          </w:tcPr>
          <w:p>
            <w:pPr>
              <w:spacing w:after="0"/>
              <w:rPr>
                <w:sz w:val="9"/>
                <w:szCs w:val="9"/>
                <w:color w:val="auto"/>
              </w:rPr>
            </w:pPr>
          </w:p>
        </w:tc>
        <w:tc>
          <w:tcPr>
            <w:tcW w:w="600" w:type="dxa"/>
            <w:vAlign w:val="bottom"/>
            <w:tcBorders>
              <w:bottom w:val="single" w:sz="8" w:color="auto"/>
            </w:tcBorders>
          </w:tcPr>
          <w:p>
            <w:pPr>
              <w:jc w:val="right"/>
              <w:ind w:right="142"/>
              <w:spacing w:after="0" w:line="114" w:lineRule="exact"/>
              <w:rPr>
                <w:sz w:val="20"/>
                <w:szCs w:val="20"/>
                <w:color w:val="auto"/>
              </w:rPr>
            </w:pPr>
            <w:r>
              <w:rPr>
                <w:rFonts w:ascii="Arial" w:cs="Arial" w:eastAsia="Arial" w:hAnsi="Arial"/>
                <w:sz w:val="10"/>
                <w:szCs w:val="10"/>
                <w:b w:val="1"/>
                <w:bCs w:val="1"/>
                <w:color w:val="auto"/>
              </w:rPr>
              <w:t>2021</w:t>
            </w:r>
          </w:p>
        </w:tc>
        <w:tc>
          <w:tcPr>
            <w:tcW w:w="3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41"/>
              <w:spacing w:after="0" w:line="114"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8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67,788</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42,086</w:t>
            </w: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6"/>
              </w:rPr>
              <w:t>$   149,755</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98,552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860" w:type="dxa"/>
            <w:vAlign w:val="bottom"/>
          </w:tcPr>
          <w:p>
            <w:pPr>
              <w:spacing w:after="0"/>
              <w:rPr>
                <w:sz w:val="20"/>
                <w:szCs w:val="20"/>
                <w:color w:val="auto"/>
              </w:rPr>
            </w:pPr>
            <w:r>
              <w:rPr>
                <w:rFonts w:ascii="Arial" w:cs="Arial" w:eastAsia="Arial" w:hAnsi="Arial"/>
                <w:sz w:val="12"/>
                <w:szCs w:val="12"/>
                <w:color w:val="auto"/>
              </w:rPr>
              <w:t>Costs and operating expenses: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Payment processing and services costs</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21,724</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13,777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50,937</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36,254</w:t>
            </w:r>
          </w:p>
        </w:tc>
        <w:tc>
          <w:tcPr>
            <w:tcW w:w="0" w:type="dxa"/>
            <w:vAlign w:val="bottom"/>
          </w:tcPr>
          <w:p>
            <w:pPr>
              <w:spacing w:after="0"/>
              <w:rPr>
                <w:sz w:val="1"/>
                <w:szCs w:val="1"/>
                <w:color w:val="auto"/>
              </w:rPr>
            </w:pPr>
          </w:p>
        </w:tc>
      </w:tr>
      <w:tr>
        <w:trPr>
          <w:trHeight w:val="144"/>
        </w:trPr>
        <w:tc>
          <w:tcPr>
            <w:tcW w:w="3860" w:type="dxa"/>
            <w:vAlign w:val="bottom"/>
          </w:tcPr>
          <w:p>
            <w:pPr>
              <w:ind w:left="240"/>
              <w:spacing w:after="0"/>
              <w:rPr>
                <w:sz w:val="20"/>
                <w:szCs w:val="20"/>
                <w:color w:val="auto"/>
              </w:rPr>
            </w:pPr>
            <w:r>
              <w:rPr>
                <w:rFonts w:ascii="Arial" w:cs="Arial" w:eastAsia="Arial" w:hAnsi="Arial"/>
                <w:sz w:val="12"/>
                <w:szCs w:val="12"/>
                <w:color w:val="auto"/>
              </w:rPr>
              <w:t>Technology and development</w:t>
            </w:r>
          </w:p>
        </w:tc>
        <w:tc>
          <w:tcPr>
            <w:tcW w:w="6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7,752</w:t>
            </w:r>
          </w:p>
        </w:tc>
        <w:tc>
          <w:tcPr>
            <w:tcW w:w="6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6,079</w:t>
            </w: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22,203</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17,805</w:t>
            </w:r>
          </w:p>
        </w:tc>
        <w:tc>
          <w:tcPr>
            <w:tcW w:w="0" w:type="dxa"/>
            <w:vAlign w:val="bottom"/>
          </w:tcPr>
          <w:p>
            <w:pPr>
              <w:spacing w:after="0"/>
              <w:rPr>
                <w:sz w:val="1"/>
                <w:szCs w:val="1"/>
                <w:color w:val="auto"/>
              </w:rPr>
            </w:pPr>
          </w:p>
        </w:tc>
      </w:tr>
      <w:tr>
        <w:trPr>
          <w:trHeight w:val="144"/>
        </w:trPr>
        <w:tc>
          <w:tcPr>
            <w:tcW w:w="3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Selling and marketing</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12,540</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7,640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35,377</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24,342</w:t>
            </w:r>
          </w:p>
        </w:tc>
        <w:tc>
          <w:tcPr>
            <w:tcW w:w="0" w:type="dxa"/>
            <w:vAlign w:val="bottom"/>
          </w:tcPr>
          <w:p>
            <w:pPr>
              <w:spacing w:after="0"/>
              <w:rPr>
                <w:sz w:val="1"/>
                <w:szCs w:val="1"/>
                <w:color w:val="auto"/>
              </w:rPr>
            </w:pPr>
          </w:p>
        </w:tc>
      </w:tr>
      <w:tr>
        <w:trPr>
          <w:trHeight w:val="144"/>
        </w:trPr>
        <w:tc>
          <w:tcPr>
            <w:tcW w:w="3860" w:type="dxa"/>
            <w:vAlign w:val="bottom"/>
          </w:tcPr>
          <w:p>
            <w:pPr>
              <w:ind w:left="240"/>
              <w:spacing w:after="0"/>
              <w:rPr>
                <w:sz w:val="20"/>
                <w:szCs w:val="20"/>
                <w:color w:val="auto"/>
              </w:rPr>
            </w:pPr>
            <w:r>
              <w:rPr>
                <w:rFonts w:ascii="Arial" w:cs="Arial" w:eastAsia="Arial" w:hAnsi="Arial"/>
                <w:sz w:val="12"/>
                <w:szCs w:val="12"/>
                <w:color w:val="auto"/>
              </w:rPr>
              <w:t>General and administrative</w:t>
            </w:r>
          </w:p>
        </w:tc>
        <w:tc>
          <w:tcPr>
            <w:tcW w:w="6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14,676</w:t>
            </w:r>
          </w:p>
        </w:tc>
        <w:tc>
          <w:tcPr>
            <w:tcW w:w="6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9,172</w:t>
            </w: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44,167</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32,985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costs and operating expenses</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56,692</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36,668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152,684</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111,386</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2"/>
                <w:szCs w:val="12"/>
                <w:color w:val="auto"/>
              </w:rPr>
              <w:t>Income (loss) from operations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11,096</w:t>
            </w:r>
          </w:p>
        </w:tc>
        <w:tc>
          <w:tcPr>
            <w:tcW w:w="6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5,418</w:t>
            </w: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(2,929)</w:t>
            </w: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(12,834)</w:t>
            </w:r>
          </w:p>
        </w:tc>
        <w:tc>
          <w:tcPr>
            <w:tcW w:w="0" w:type="dxa"/>
            <w:vAlign w:val="bottom"/>
          </w:tcPr>
          <w:p>
            <w:pPr>
              <w:spacing w:after="0"/>
              <w:rPr>
                <w:sz w:val="1"/>
                <w:szCs w:val="1"/>
                <w:color w:val="auto"/>
              </w:rPr>
            </w:pPr>
          </w:p>
        </w:tc>
      </w:tr>
      <w:tr>
        <w:trPr>
          <w:trHeight w:val="144"/>
        </w:trPr>
        <w:tc>
          <w:tcPr>
            <w:tcW w:w="386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60" w:type="dxa"/>
            <w:vAlign w:val="bottom"/>
          </w:tcPr>
          <w:p>
            <w:pPr>
              <w:ind w:left="240"/>
              <w:spacing w:after="0"/>
              <w:rPr>
                <w:sz w:val="20"/>
                <w:szCs w:val="20"/>
                <w:color w:val="auto"/>
              </w:rPr>
            </w:pPr>
            <w:r>
              <w:rPr>
                <w:rFonts w:ascii="Arial" w:cs="Arial" w:eastAsia="Arial" w:hAnsi="Arial"/>
                <w:sz w:val="12"/>
                <w:szCs w:val="12"/>
                <w:color w:val="auto"/>
              </w:rPr>
              <w:t>Interest expense</w:t>
            </w:r>
          </w:p>
        </w:tc>
        <w:tc>
          <w:tcPr>
            <w:tcW w:w="6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(542)</w:t>
            </w:r>
          </w:p>
        </w:tc>
        <w:tc>
          <w:tcPr>
            <w:tcW w:w="6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(584)</w:t>
            </w: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(1,792)</w:t>
            </w: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(1,860)</w:t>
            </w:r>
          </w:p>
        </w:tc>
        <w:tc>
          <w:tcPr>
            <w:tcW w:w="0" w:type="dxa"/>
            <w:vAlign w:val="bottom"/>
          </w:tcPr>
          <w:p>
            <w:pPr>
              <w:spacing w:after="0"/>
              <w:rPr>
                <w:sz w:val="1"/>
                <w:szCs w:val="1"/>
                <w:color w:val="auto"/>
              </w:rPr>
            </w:pPr>
          </w:p>
        </w:tc>
      </w:tr>
      <w:tr>
        <w:trPr>
          <w:trHeight w:val="144"/>
        </w:trPr>
        <w:tc>
          <w:tcPr>
            <w:tcW w:w="3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 in fair value of preferred stock warrant liability</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(10,757)</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(245)</w:t>
            </w:r>
          </w:p>
        </w:tc>
        <w:tc>
          <w:tcPr>
            <w:tcW w:w="0" w:type="dxa"/>
            <w:vAlign w:val="bottom"/>
          </w:tcPr>
          <w:p>
            <w:pPr>
              <w:spacing w:after="0"/>
              <w:rPr>
                <w:sz w:val="1"/>
                <w:szCs w:val="1"/>
                <w:color w:val="auto"/>
              </w:rPr>
            </w:pPr>
          </w:p>
        </w:tc>
      </w:tr>
      <w:tr>
        <w:trPr>
          <w:trHeight w:val="144"/>
        </w:trPr>
        <w:tc>
          <w:tcPr>
            <w:tcW w:w="3860" w:type="dxa"/>
            <w:vAlign w:val="bottom"/>
          </w:tcPr>
          <w:p>
            <w:pPr>
              <w:ind w:left="240"/>
              <w:spacing w:after="0"/>
              <w:rPr>
                <w:sz w:val="20"/>
                <w:szCs w:val="20"/>
                <w:color w:val="auto"/>
              </w:rPr>
            </w:pPr>
            <w:r>
              <w:rPr>
                <w:rFonts w:ascii="Arial" w:cs="Arial" w:eastAsia="Arial" w:hAnsi="Arial"/>
                <w:sz w:val="12"/>
                <w:szCs w:val="12"/>
                <w:color w:val="auto"/>
              </w:rPr>
              <w:t>Other income (expense), net</w:t>
            </w:r>
          </w:p>
        </w:tc>
        <w:tc>
          <w:tcPr>
            <w:tcW w:w="6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(214)</w:t>
            </w:r>
          </w:p>
        </w:tc>
        <w:tc>
          <w:tcPr>
            <w:tcW w:w="6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(4)</w:t>
            </w: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(508)</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other expenses, net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(756)</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(579)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(13,057)</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(2,033)</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2"/>
                <w:szCs w:val="12"/>
                <w:color w:val="auto"/>
              </w:rPr>
              <w:t>Income (loss) before provision for income taxes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10,340</w:t>
            </w:r>
          </w:p>
        </w:tc>
        <w:tc>
          <w:tcPr>
            <w:tcW w:w="6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4,839</w:t>
            </w: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(15,986)</w:t>
            </w: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(14,867)</w:t>
            </w:r>
          </w:p>
        </w:tc>
        <w:tc>
          <w:tcPr>
            <w:tcW w:w="0" w:type="dxa"/>
            <w:vAlign w:val="bottom"/>
          </w:tcPr>
          <w:p>
            <w:pPr>
              <w:spacing w:after="0"/>
              <w:rPr>
                <w:sz w:val="1"/>
                <w:szCs w:val="1"/>
                <w:color w:val="auto"/>
              </w:rPr>
            </w:pPr>
          </w:p>
        </w:tc>
      </w:tr>
      <w:tr>
        <w:trPr>
          <w:trHeight w:val="144"/>
        </w:trPr>
        <w:tc>
          <w:tcPr>
            <w:tcW w:w="38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(Benefit from) provision for income taxes</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346</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(382)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818</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(7,791)</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2"/>
                <w:szCs w:val="12"/>
                <w:color w:val="auto"/>
              </w:rPr>
              <w:t>Net income (loss)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9,994</w:t>
            </w:r>
          </w:p>
        </w:tc>
        <w:tc>
          <w:tcPr>
            <w:tcW w:w="6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5,221</w:t>
            </w: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(16,804)</w:t>
            </w: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(7,076)</w:t>
            </w:r>
          </w:p>
        </w:tc>
        <w:tc>
          <w:tcPr>
            <w:tcW w:w="0" w:type="dxa"/>
            <w:vAlign w:val="bottom"/>
          </w:tcPr>
          <w:p>
            <w:pPr>
              <w:spacing w:after="0"/>
              <w:rPr>
                <w:sz w:val="1"/>
                <w:szCs w:val="1"/>
                <w:color w:val="auto"/>
              </w:rPr>
            </w:pPr>
          </w:p>
        </w:tc>
      </w:tr>
      <w:tr>
        <w:trPr>
          <w:trHeight w:val="144"/>
        </w:trPr>
        <w:tc>
          <w:tcPr>
            <w:tcW w:w="386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translation adjustment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(343)</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192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(80)</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2"/>
                <w:szCs w:val="12"/>
                <w:color w:val="auto"/>
              </w:rPr>
              <w:t>Comprehensive income (loss)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9,651</w:t>
            </w:r>
          </w:p>
        </w:tc>
        <w:tc>
          <w:tcPr>
            <w:tcW w:w="6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5,413</w:t>
            </w: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(16,884)</w:t>
            </w: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(7,157)</w:t>
            </w:r>
          </w:p>
        </w:tc>
        <w:tc>
          <w:tcPr>
            <w:tcW w:w="0" w:type="dxa"/>
            <w:vAlign w:val="bottom"/>
          </w:tcPr>
          <w:p>
            <w:pPr>
              <w:spacing w:after="0"/>
              <w:rPr>
                <w:sz w:val="1"/>
                <w:szCs w:val="1"/>
                <w:color w:val="auto"/>
              </w:rPr>
            </w:pPr>
          </w:p>
        </w:tc>
      </w:tr>
      <w:tr>
        <w:trPr>
          <w:trHeight w:val="32"/>
        </w:trPr>
        <w:tc>
          <w:tcPr>
            <w:tcW w:w="38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860" w:type="dxa"/>
            <w:vAlign w:val="bottom"/>
            <w:shd w:val="clear" w:color="auto" w:fill="CCEEFF"/>
          </w:tcPr>
          <w:p>
            <w:pPr>
              <w:spacing w:after="0"/>
              <w:rPr>
                <w:sz w:val="20"/>
                <w:szCs w:val="20"/>
                <w:color w:val="auto"/>
              </w:rPr>
            </w:pPr>
            <w:r>
              <w:rPr>
                <w:rFonts w:ascii="Arial" w:cs="Arial" w:eastAsia="Arial" w:hAnsi="Arial"/>
                <w:sz w:val="12"/>
                <w:szCs w:val="12"/>
                <w:color w:val="auto"/>
                <w:w w:val="98"/>
              </w:rPr>
              <w:t>Net income (loss) attributable to common stockholders - basic and diluted</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9,994</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1,157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(16,817)</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(7,086)</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2"/>
                <w:szCs w:val="12"/>
                <w:color w:val="auto"/>
              </w:rPr>
              <w:t>Net income (loss) per share attributable to common stockholders - basic</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0.10</w:t>
            </w:r>
          </w:p>
        </w:tc>
        <w:tc>
          <w:tcPr>
            <w:tcW w:w="6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0.06</w:t>
            </w: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(0.28)</w:t>
            </w: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(0.39)</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shd w:val="clear" w:color="auto" w:fill="CCEEFF"/>
          </w:tcPr>
          <w:p>
            <w:pPr>
              <w:spacing w:after="0"/>
              <w:rPr>
                <w:sz w:val="20"/>
                <w:szCs w:val="20"/>
                <w:color w:val="auto"/>
              </w:rPr>
            </w:pPr>
            <w:r>
              <w:rPr>
                <w:rFonts w:ascii="Arial" w:cs="Arial" w:eastAsia="Arial" w:hAnsi="Arial"/>
                <w:sz w:val="12"/>
                <w:szCs w:val="12"/>
                <w:color w:val="auto"/>
                <w:w w:val="98"/>
              </w:rPr>
              <w:t>Net income (loss) per share attributable to common stockholders - diluted</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0.08</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0.04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(0.28)</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(0.39)</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2"/>
                <w:szCs w:val="12"/>
                <w:color w:val="auto"/>
              </w:rPr>
              <w:t>Weighted average common shares outstanding - basic</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w w:val="86"/>
              </w:rPr>
              <w:t>104,486,136</w:t>
            </w:r>
          </w:p>
        </w:tc>
        <w:tc>
          <w:tcPr>
            <w:tcW w:w="6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w w:val="86"/>
              </w:rPr>
              <w:t>18,644,502</w:t>
            </w: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w w:val="96"/>
              </w:rPr>
              <w:t>59,667,434</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18,163,078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common shares outstanding - diluted</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86"/>
              </w:rPr>
              <w:t>118,445,907</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86"/>
              </w:rPr>
              <w:t>27,286,944</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96"/>
              </w:rPr>
              <w:t>59,667,434</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6"/>
              </w:rPr>
              <w:t>18,163,078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6"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Unaudited Condensed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(Amounts in thousands, except share amounts)</w:t>
      </w:r>
    </w:p>
    <w:p>
      <w:pPr>
        <w:spacing w:after="0" w:line="138"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840" w:type="dxa"/>
            <w:vAlign w:val="bottom"/>
          </w:tcPr>
          <w:p>
            <w:pPr>
              <w:spacing w:after="0"/>
              <w:rPr>
                <w:sz w:val="10"/>
                <w:szCs w:val="1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81"/>
              </w:rPr>
              <w:t>September 30,</w:t>
            </w:r>
          </w:p>
        </w:tc>
        <w:tc>
          <w:tcPr>
            <w:tcW w:w="64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82"/>
              </w:rPr>
              <w:t>December 31,</w:t>
            </w:r>
          </w:p>
        </w:tc>
        <w:tc>
          <w:tcPr>
            <w:tcW w:w="0" w:type="dxa"/>
            <w:vAlign w:val="bottom"/>
          </w:tcPr>
          <w:p>
            <w:pPr>
              <w:spacing w:after="0"/>
              <w:rPr>
                <w:sz w:val="1"/>
                <w:szCs w:val="1"/>
                <w:color w:val="auto"/>
              </w:rPr>
            </w:pPr>
          </w:p>
        </w:tc>
      </w:tr>
      <w:tr>
        <w:trPr>
          <w:trHeight w:val="113"/>
        </w:trPr>
        <w:tc>
          <w:tcPr>
            <w:tcW w:w="5840" w:type="dxa"/>
            <w:vAlign w:val="bottom"/>
            <w:tcBorders>
              <w:bottom w:val="single" w:sz="8" w:color="CCEEFF"/>
            </w:tcBorders>
          </w:tcPr>
          <w:p>
            <w:pPr>
              <w:spacing w:after="0"/>
              <w:rPr>
                <w:sz w:val="9"/>
                <w:szCs w:val="9"/>
                <w:color w:val="auto"/>
              </w:rPr>
            </w:pPr>
          </w:p>
        </w:tc>
        <w:tc>
          <w:tcPr>
            <w:tcW w:w="580" w:type="dxa"/>
            <w:vAlign w:val="bottom"/>
            <w:tcBorders>
              <w:bottom w:val="single" w:sz="8" w:color="auto"/>
            </w:tcBorders>
          </w:tcPr>
          <w:p>
            <w:pPr>
              <w:jc w:val="right"/>
              <w:ind w:right="121"/>
              <w:spacing w:after="0" w:line="114" w:lineRule="exact"/>
              <w:rPr>
                <w:sz w:val="20"/>
                <w:szCs w:val="20"/>
                <w:color w:val="auto"/>
              </w:rPr>
            </w:pPr>
            <w:r>
              <w:rPr>
                <w:rFonts w:ascii="Arial" w:cs="Arial" w:eastAsia="Arial" w:hAnsi="Arial"/>
                <w:sz w:val="10"/>
                <w:szCs w:val="10"/>
                <w:b w:val="1"/>
                <w:bCs w:val="1"/>
                <w:color w:val="auto"/>
              </w:rPr>
              <w:t>2021</w:t>
            </w:r>
          </w:p>
        </w:tc>
        <w:tc>
          <w:tcPr>
            <w:tcW w:w="28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jc w:val="right"/>
              <w:ind w:right="121"/>
              <w:spacing w:after="0" w:line="114"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584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Assets</w:t>
            </w: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840" w:type="dxa"/>
            <w:vAlign w:val="bottom"/>
          </w:tcPr>
          <w:p>
            <w:pPr>
              <w:spacing w:after="0"/>
              <w:rPr>
                <w:sz w:val="20"/>
                <w:szCs w:val="20"/>
                <w:color w:val="auto"/>
              </w:rPr>
            </w:pPr>
            <w:r>
              <w:rPr>
                <w:rFonts w:ascii="Arial" w:cs="Arial" w:eastAsia="Arial" w:hAnsi="Arial"/>
                <w:sz w:val="12"/>
                <w:szCs w:val="12"/>
                <w:color w:val="auto"/>
              </w:rPr>
              <w:t>Current assets:</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449,130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104,052</w:t>
            </w:r>
          </w:p>
        </w:tc>
        <w:tc>
          <w:tcPr>
            <w:tcW w:w="0" w:type="dxa"/>
            <w:vAlign w:val="bottom"/>
          </w:tcPr>
          <w:p>
            <w:pPr>
              <w:spacing w:after="0"/>
              <w:rPr>
                <w:sz w:val="1"/>
                <w:szCs w:val="1"/>
                <w:color w:val="auto"/>
              </w:rPr>
            </w:pPr>
          </w:p>
        </w:tc>
      </w:tr>
      <w:tr>
        <w:trPr>
          <w:trHeight w:val="144"/>
        </w:trPr>
        <w:tc>
          <w:tcPr>
            <w:tcW w:w="5840" w:type="dxa"/>
            <w:vAlign w:val="bottom"/>
          </w:tcPr>
          <w:p>
            <w:pPr>
              <w:ind w:left="240"/>
              <w:spacing w:after="0"/>
              <w:rPr>
                <w:sz w:val="20"/>
                <w:szCs w:val="20"/>
                <w:color w:val="auto"/>
              </w:rPr>
            </w:pPr>
            <w:r>
              <w:rPr>
                <w:rFonts w:ascii="Arial" w:cs="Arial" w:eastAsia="Arial" w:hAnsi="Arial"/>
                <w:sz w:val="12"/>
                <w:szCs w:val="12"/>
                <w:color w:val="auto"/>
              </w:rPr>
              <w:t>Restricted cash</w:t>
            </w: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4,000</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5,000</w:t>
            </w:r>
          </w:p>
        </w:tc>
        <w:tc>
          <w:tcPr>
            <w:tcW w:w="0" w:type="dxa"/>
            <w:vAlign w:val="bottom"/>
          </w:tcPr>
          <w:p>
            <w:pPr>
              <w:spacing w:after="0"/>
              <w:rPr>
                <w:sz w:val="1"/>
                <w:szCs w:val="1"/>
                <w:color w:val="auto"/>
              </w:rPr>
            </w:pPr>
          </w:p>
        </w:tc>
      </w:tr>
      <w:tr>
        <w:trPr>
          <w:trHeight w:val="144"/>
        </w:trPr>
        <w:tc>
          <w:tcPr>
            <w:tcW w:w="5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receivable, net of allowance for doubtful accounts of $26 and $481, respectively</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12,949</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11,573</w:t>
            </w:r>
          </w:p>
        </w:tc>
        <w:tc>
          <w:tcPr>
            <w:tcW w:w="0" w:type="dxa"/>
            <w:vAlign w:val="bottom"/>
          </w:tcPr>
          <w:p>
            <w:pPr>
              <w:spacing w:after="0"/>
              <w:rPr>
                <w:sz w:val="1"/>
                <w:szCs w:val="1"/>
                <w:color w:val="auto"/>
              </w:rPr>
            </w:pPr>
          </w:p>
        </w:tc>
      </w:tr>
      <w:tr>
        <w:trPr>
          <w:trHeight w:val="144"/>
        </w:trPr>
        <w:tc>
          <w:tcPr>
            <w:tcW w:w="5840" w:type="dxa"/>
            <w:vAlign w:val="bottom"/>
          </w:tcPr>
          <w:p>
            <w:pPr>
              <w:ind w:left="240"/>
              <w:spacing w:after="0"/>
              <w:rPr>
                <w:sz w:val="20"/>
                <w:szCs w:val="20"/>
                <w:color w:val="auto"/>
              </w:rPr>
            </w:pPr>
            <w:r>
              <w:rPr>
                <w:rFonts w:ascii="Arial" w:cs="Arial" w:eastAsia="Arial" w:hAnsi="Arial"/>
                <w:sz w:val="12"/>
                <w:szCs w:val="12"/>
                <w:color w:val="auto"/>
              </w:rPr>
              <w:t>Unbilled receivables</w:t>
            </w: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1,760</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1,698</w:t>
            </w:r>
          </w:p>
        </w:tc>
        <w:tc>
          <w:tcPr>
            <w:tcW w:w="0" w:type="dxa"/>
            <w:vAlign w:val="bottom"/>
          </w:tcPr>
          <w:p>
            <w:pPr>
              <w:spacing w:after="0"/>
              <w:rPr>
                <w:sz w:val="1"/>
                <w:szCs w:val="1"/>
                <w:color w:val="auto"/>
              </w:rPr>
            </w:pPr>
          </w:p>
        </w:tc>
      </w:tr>
      <w:tr>
        <w:trPr>
          <w:trHeight w:val="144"/>
        </w:trPr>
        <w:tc>
          <w:tcPr>
            <w:tcW w:w="5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Funds receivable from payment partners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21,896</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22,481</w:t>
            </w:r>
          </w:p>
        </w:tc>
        <w:tc>
          <w:tcPr>
            <w:tcW w:w="0" w:type="dxa"/>
            <w:vAlign w:val="bottom"/>
          </w:tcPr>
          <w:p>
            <w:pPr>
              <w:spacing w:after="0"/>
              <w:rPr>
                <w:sz w:val="1"/>
                <w:szCs w:val="1"/>
                <w:color w:val="auto"/>
              </w:rPr>
            </w:pPr>
          </w:p>
        </w:tc>
      </w:tr>
      <w:tr>
        <w:trPr>
          <w:trHeight w:val="144"/>
        </w:trPr>
        <w:tc>
          <w:tcPr>
            <w:tcW w:w="5840" w:type="dxa"/>
            <w:vAlign w:val="bottom"/>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10,208</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3,754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40" w:type="dxa"/>
            <w:vAlign w:val="bottom"/>
            <w:shd w:val="clear" w:color="auto" w:fill="CCEEFF"/>
          </w:tcPr>
          <w:p>
            <w:pPr>
              <w:ind w:left="720"/>
              <w:spacing w:after="0"/>
              <w:rPr>
                <w:sz w:val="20"/>
                <w:szCs w:val="20"/>
                <w:color w:val="auto"/>
              </w:rPr>
            </w:pPr>
            <w:r>
              <w:rPr>
                <w:rFonts w:ascii="Arial" w:cs="Arial" w:eastAsia="Arial" w:hAnsi="Arial"/>
                <w:sz w:val="12"/>
                <w:szCs w:val="12"/>
                <w:color w:val="auto"/>
              </w:rPr>
              <w:t>Total current assets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499,943</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148,558</w:t>
            </w:r>
          </w:p>
        </w:tc>
        <w:tc>
          <w:tcPr>
            <w:tcW w:w="0" w:type="dxa"/>
            <w:vAlign w:val="bottom"/>
          </w:tcPr>
          <w:p>
            <w:pPr>
              <w:spacing w:after="0"/>
              <w:rPr>
                <w:sz w:val="1"/>
                <w:szCs w:val="1"/>
                <w:color w:val="auto"/>
              </w:rPr>
            </w:pPr>
          </w:p>
        </w:tc>
      </w:tr>
      <w:tr>
        <w:trPr>
          <w:trHeight w:val="144"/>
        </w:trPr>
        <w:tc>
          <w:tcPr>
            <w:tcW w:w="584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8,690</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5,101</w:t>
            </w:r>
          </w:p>
        </w:tc>
        <w:tc>
          <w:tcPr>
            <w:tcW w:w="0" w:type="dxa"/>
            <w:vAlign w:val="bottom"/>
          </w:tcPr>
          <w:p>
            <w:pPr>
              <w:spacing w:after="0"/>
              <w:rPr>
                <w:sz w:val="1"/>
                <w:szCs w:val="1"/>
                <w:color w:val="auto"/>
              </w:rPr>
            </w:pPr>
          </w:p>
        </w:tc>
      </w:tr>
      <w:tr>
        <w:trPr>
          <w:trHeight w:val="144"/>
        </w:trPr>
        <w:tc>
          <w:tcPr>
            <w:tcW w:w="584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assets, net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63,379</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68,211</w:t>
            </w:r>
          </w:p>
        </w:tc>
        <w:tc>
          <w:tcPr>
            <w:tcW w:w="0" w:type="dxa"/>
            <w:vAlign w:val="bottom"/>
          </w:tcPr>
          <w:p>
            <w:pPr>
              <w:spacing w:after="0"/>
              <w:rPr>
                <w:sz w:val="1"/>
                <w:szCs w:val="1"/>
                <w:color w:val="auto"/>
              </w:rPr>
            </w:pPr>
          </w:p>
        </w:tc>
      </w:tr>
      <w:tr>
        <w:trPr>
          <w:trHeight w:val="144"/>
        </w:trPr>
        <w:tc>
          <w:tcPr>
            <w:tcW w:w="5840" w:type="dxa"/>
            <w:vAlign w:val="bottom"/>
          </w:tcPr>
          <w:p>
            <w:pPr>
              <w:spacing w:after="0"/>
              <w:rPr>
                <w:sz w:val="20"/>
                <w:szCs w:val="20"/>
                <w:color w:val="auto"/>
              </w:rPr>
            </w:pPr>
            <w:r>
              <w:rPr>
                <w:rFonts w:ascii="Arial" w:cs="Arial" w:eastAsia="Arial" w:hAnsi="Arial"/>
                <w:sz w:val="12"/>
                <w:szCs w:val="12"/>
                <w:color w:val="auto"/>
              </w:rPr>
              <w:t>Goodwill</w:t>
            </w: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44,632</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44,650</w:t>
            </w:r>
          </w:p>
        </w:tc>
        <w:tc>
          <w:tcPr>
            <w:tcW w:w="0" w:type="dxa"/>
            <w:vAlign w:val="bottom"/>
          </w:tcPr>
          <w:p>
            <w:pPr>
              <w:spacing w:after="0"/>
              <w:rPr>
                <w:sz w:val="1"/>
                <w:szCs w:val="1"/>
                <w:color w:val="auto"/>
              </w:rPr>
            </w:pPr>
          </w:p>
        </w:tc>
      </w:tr>
      <w:tr>
        <w:trPr>
          <w:trHeight w:val="144"/>
        </w:trPr>
        <w:tc>
          <w:tcPr>
            <w:tcW w:w="584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6,340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4,922</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720"/>
              <w:spacing w:after="0"/>
              <w:rPr>
                <w:sz w:val="20"/>
                <w:szCs w:val="20"/>
                <w:color w:val="auto"/>
              </w:rPr>
            </w:pPr>
            <w:r>
              <w:rPr>
                <w:rFonts w:ascii="Arial" w:cs="Arial" w:eastAsia="Arial" w:hAnsi="Arial"/>
                <w:sz w:val="12"/>
                <w:szCs w:val="12"/>
                <w:color w:val="auto"/>
              </w:rPr>
              <w:t>Total assets</w:t>
            </w: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840" w:type="dxa"/>
            <w:vAlign w:val="bottom"/>
            <w:vMerge w:val="continue"/>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622,984</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271,442</w:t>
            </w:r>
          </w:p>
        </w:tc>
        <w:tc>
          <w:tcPr>
            <w:tcW w:w="0" w:type="dxa"/>
            <w:vAlign w:val="bottom"/>
          </w:tcPr>
          <w:p>
            <w:pPr>
              <w:spacing w:after="0"/>
              <w:rPr>
                <w:sz w:val="1"/>
                <w:szCs w:val="1"/>
                <w:color w:val="auto"/>
              </w:rPr>
            </w:pPr>
          </w:p>
        </w:tc>
      </w:tr>
      <w:tr>
        <w:trPr>
          <w:trHeight w:val="136"/>
        </w:trPr>
        <w:tc>
          <w:tcPr>
            <w:tcW w:w="584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Liabilities, Convertible Preferred Stock, Redeemable Convertible Preferred Stock and Stockholders’</w:t>
            </w: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84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Equity (Deficit)</w:t>
            </w: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840" w:type="dxa"/>
            <w:vAlign w:val="bottom"/>
          </w:tcPr>
          <w:p>
            <w:pPr>
              <w:spacing w:after="0"/>
              <w:rPr>
                <w:sz w:val="20"/>
                <w:szCs w:val="20"/>
                <w:color w:val="auto"/>
              </w:rPr>
            </w:pPr>
            <w:r>
              <w:rPr>
                <w:rFonts w:ascii="Arial" w:cs="Arial" w:eastAsia="Arial" w:hAnsi="Arial"/>
                <w:sz w:val="12"/>
                <w:szCs w:val="12"/>
                <w:color w:val="auto"/>
              </w:rPr>
              <w:t>Current liabilities:</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12,799</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5,436</w:t>
            </w:r>
          </w:p>
        </w:tc>
        <w:tc>
          <w:tcPr>
            <w:tcW w:w="0" w:type="dxa"/>
            <w:vAlign w:val="bottom"/>
          </w:tcPr>
          <w:p>
            <w:pPr>
              <w:spacing w:after="0"/>
              <w:rPr>
                <w:sz w:val="1"/>
                <w:szCs w:val="1"/>
                <w:color w:val="auto"/>
              </w:rPr>
            </w:pPr>
          </w:p>
        </w:tc>
      </w:tr>
      <w:tr>
        <w:trPr>
          <w:trHeight w:val="144"/>
        </w:trPr>
        <w:tc>
          <w:tcPr>
            <w:tcW w:w="5840" w:type="dxa"/>
            <w:vAlign w:val="bottom"/>
          </w:tcPr>
          <w:p>
            <w:pPr>
              <w:ind w:left="240"/>
              <w:spacing w:after="0"/>
              <w:rPr>
                <w:sz w:val="20"/>
                <w:szCs w:val="20"/>
                <w:color w:val="auto"/>
              </w:rPr>
            </w:pPr>
            <w:r>
              <w:rPr>
                <w:rFonts w:ascii="Arial" w:cs="Arial" w:eastAsia="Arial" w:hAnsi="Arial"/>
                <w:sz w:val="12"/>
                <w:szCs w:val="12"/>
                <w:color w:val="auto"/>
              </w:rPr>
              <w:t>Funds payable to clients</w:t>
            </w: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66,855</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59,986</w:t>
            </w:r>
          </w:p>
        </w:tc>
        <w:tc>
          <w:tcPr>
            <w:tcW w:w="0" w:type="dxa"/>
            <w:vAlign w:val="bottom"/>
          </w:tcPr>
          <w:p>
            <w:pPr>
              <w:spacing w:after="0"/>
              <w:rPr>
                <w:sz w:val="1"/>
                <w:szCs w:val="1"/>
                <w:color w:val="auto"/>
              </w:rPr>
            </w:pPr>
          </w:p>
        </w:tc>
      </w:tr>
      <w:tr>
        <w:trPr>
          <w:trHeight w:val="144"/>
        </w:trPr>
        <w:tc>
          <w:tcPr>
            <w:tcW w:w="5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18,531</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14,991</w:t>
            </w:r>
          </w:p>
        </w:tc>
        <w:tc>
          <w:tcPr>
            <w:tcW w:w="0" w:type="dxa"/>
            <w:vAlign w:val="bottom"/>
          </w:tcPr>
          <w:p>
            <w:pPr>
              <w:spacing w:after="0"/>
              <w:rPr>
                <w:sz w:val="1"/>
                <w:szCs w:val="1"/>
                <w:color w:val="auto"/>
              </w:rPr>
            </w:pPr>
          </w:p>
        </w:tc>
      </w:tr>
      <w:tr>
        <w:trPr>
          <w:trHeight w:val="144"/>
        </w:trPr>
        <w:tc>
          <w:tcPr>
            <w:tcW w:w="5840" w:type="dxa"/>
            <w:vAlign w:val="bottom"/>
          </w:tcPr>
          <w:p>
            <w:pPr>
              <w:ind w:left="240"/>
              <w:spacing w:after="0"/>
              <w:rPr>
                <w:sz w:val="20"/>
                <w:szCs w:val="20"/>
                <w:color w:val="auto"/>
              </w:rPr>
            </w:pPr>
            <w:r>
              <w:rPr>
                <w:rFonts w:ascii="Arial" w:cs="Arial" w:eastAsia="Arial" w:hAnsi="Arial"/>
                <w:sz w:val="12"/>
                <w:szCs w:val="12"/>
                <w:color w:val="auto"/>
              </w:rPr>
              <w:t>Deferred revenue</w:t>
            </w: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1,330</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1,227</w:t>
            </w:r>
          </w:p>
        </w:tc>
        <w:tc>
          <w:tcPr>
            <w:tcW w:w="0" w:type="dxa"/>
            <w:vAlign w:val="bottom"/>
          </w:tcPr>
          <w:p>
            <w:pPr>
              <w:spacing w:after="0"/>
              <w:rPr>
                <w:sz w:val="1"/>
                <w:szCs w:val="1"/>
                <w:color w:val="auto"/>
              </w:rPr>
            </w:pPr>
          </w:p>
        </w:tc>
      </w:tr>
      <w:tr>
        <w:trPr>
          <w:trHeight w:val="144"/>
        </w:trPr>
        <w:tc>
          <w:tcPr>
            <w:tcW w:w="5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Contingent consideration</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7,580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6,740</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720"/>
              <w:spacing w:after="0"/>
              <w:rPr>
                <w:sz w:val="20"/>
                <w:szCs w:val="20"/>
                <w:color w:val="auto"/>
              </w:rPr>
            </w:pPr>
            <w:r>
              <w:rPr>
                <w:rFonts w:ascii="Arial" w:cs="Arial" w:eastAsia="Arial" w:hAnsi="Arial"/>
                <w:sz w:val="12"/>
                <w:szCs w:val="12"/>
                <w:color w:val="auto"/>
              </w:rPr>
              <w:t>Total current liabilities</w:t>
            </w: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40" w:type="dxa"/>
            <w:vAlign w:val="bottom"/>
            <w:vMerge w:val="continue"/>
          </w:tcPr>
          <w:p>
            <w:pPr>
              <w:spacing w:after="0"/>
              <w:rPr>
                <w:sz w:val="12"/>
                <w:szCs w:val="1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107,095</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88,380</w:t>
            </w:r>
          </w:p>
        </w:tc>
        <w:tc>
          <w:tcPr>
            <w:tcW w:w="0" w:type="dxa"/>
            <w:vAlign w:val="bottom"/>
          </w:tcPr>
          <w:p>
            <w:pPr>
              <w:spacing w:after="0"/>
              <w:rPr>
                <w:sz w:val="1"/>
                <w:szCs w:val="1"/>
                <w:color w:val="auto"/>
              </w:rPr>
            </w:pPr>
          </w:p>
        </w:tc>
      </w:tr>
      <w:tr>
        <w:trPr>
          <w:trHeight w:val="144"/>
        </w:trPr>
        <w:tc>
          <w:tcPr>
            <w:tcW w:w="5840" w:type="dxa"/>
            <w:vAlign w:val="bottom"/>
            <w:shd w:val="clear" w:color="auto" w:fill="CCEEFF"/>
          </w:tcPr>
          <w:p>
            <w:pPr>
              <w:spacing w:after="0"/>
              <w:rPr>
                <w:sz w:val="20"/>
                <w:szCs w:val="20"/>
                <w:color w:val="auto"/>
              </w:rPr>
            </w:pPr>
            <w:r>
              <w:rPr>
                <w:rFonts w:ascii="Arial" w:cs="Arial" w:eastAsia="Arial" w:hAnsi="Arial"/>
                <w:sz w:val="12"/>
                <w:szCs w:val="12"/>
                <w:color w:val="auto"/>
              </w:rPr>
              <w:t>Deferred tax liabilities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657</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481</w:t>
            </w:r>
          </w:p>
        </w:tc>
        <w:tc>
          <w:tcPr>
            <w:tcW w:w="0" w:type="dxa"/>
            <w:vAlign w:val="bottom"/>
          </w:tcPr>
          <w:p>
            <w:pPr>
              <w:spacing w:after="0"/>
              <w:rPr>
                <w:sz w:val="1"/>
                <w:szCs w:val="1"/>
                <w:color w:val="auto"/>
              </w:rPr>
            </w:pPr>
          </w:p>
        </w:tc>
      </w:tr>
      <w:tr>
        <w:trPr>
          <w:trHeight w:val="144"/>
        </w:trPr>
        <w:tc>
          <w:tcPr>
            <w:tcW w:w="5840" w:type="dxa"/>
            <w:vAlign w:val="bottom"/>
          </w:tcPr>
          <w:p>
            <w:pPr>
              <w:spacing w:after="0"/>
              <w:rPr>
                <w:sz w:val="20"/>
                <w:szCs w:val="20"/>
                <w:color w:val="auto"/>
              </w:rPr>
            </w:pPr>
            <w:r>
              <w:rPr>
                <w:rFonts w:ascii="Arial" w:cs="Arial" w:eastAsia="Arial" w:hAnsi="Arial"/>
                <w:sz w:val="12"/>
                <w:szCs w:val="12"/>
                <w:color w:val="auto"/>
              </w:rPr>
              <w:t>Contingent consideration, net of current portion</w:t>
            </w:r>
          </w:p>
        </w:tc>
        <w:tc>
          <w:tcPr>
            <w:tcW w:w="8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5,760</w:t>
            </w:r>
          </w:p>
        </w:tc>
        <w:tc>
          <w:tcPr>
            <w:tcW w:w="0" w:type="dxa"/>
            <w:vAlign w:val="bottom"/>
          </w:tcPr>
          <w:p>
            <w:pPr>
              <w:spacing w:after="0"/>
              <w:rPr>
                <w:sz w:val="1"/>
                <w:szCs w:val="1"/>
                <w:color w:val="auto"/>
              </w:rPr>
            </w:pPr>
          </w:p>
        </w:tc>
      </w:tr>
      <w:tr>
        <w:trPr>
          <w:trHeight w:val="144"/>
        </w:trPr>
        <w:tc>
          <w:tcPr>
            <w:tcW w:w="5840" w:type="dxa"/>
            <w:vAlign w:val="bottom"/>
            <w:shd w:val="clear" w:color="auto" w:fill="CCEEFF"/>
          </w:tcPr>
          <w:p>
            <w:pPr>
              <w:spacing w:after="0"/>
              <w:rPr>
                <w:sz w:val="20"/>
                <w:szCs w:val="20"/>
                <w:color w:val="auto"/>
              </w:rPr>
            </w:pPr>
            <w:r>
              <w:rPr>
                <w:rFonts w:ascii="Arial" w:cs="Arial" w:eastAsia="Arial" w:hAnsi="Arial"/>
                <w:sz w:val="12"/>
                <w:szCs w:val="12"/>
                <w:color w:val="auto"/>
              </w:rPr>
              <w:t>Preferred stock warrant liability</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1,932</w:t>
            </w:r>
          </w:p>
        </w:tc>
        <w:tc>
          <w:tcPr>
            <w:tcW w:w="0" w:type="dxa"/>
            <w:vAlign w:val="bottom"/>
          </w:tcPr>
          <w:p>
            <w:pPr>
              <w:spacing w:after="0"/>
              <w:rPr>
                <w:sz w:val="1"/>
                <w:szCs w:val="1"/>
                <w:color w:val="auto"/>
              </w:rPr>
            </w:pPr>
          </w:p>
        </w:tc>
      </w:tr>
      <w:tr>
        <w:trPr>
          <w:trHeight w:val="144"/>
        </w:trPr>
        <w:tc>
          <w:tcPr>
            <w:tcW w:w="5840" w:type="dxa"/>
            <w:vAlign w:val="bottom"/>
          </w:tcPr>
          <w:p>
            <w:pPr>
              <w:spacing w:after="0"/>
              <w:rPr>
                <w:sz w:val="20"/>
                <w:szCs w:val="20"/>
                <w:color w:val="auto"/>
              </w:rPr>
            </w:pPr>
            <w:r>
              <w:rPr>
                <w:rFonts w:ascii="Arial" w:cs="Arial" w:eastAsia="Arial" w:hAnsi="Arial"/>
                <w:sz w:val="12"/>
                <w:szCs w:val="12"/>
                <w:color w:val="auto"/>
              </w:rPr>
              <w:t>Long-term debt</w:t>
            </w: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25,933</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24,352</w:t>
            </w:r>
          </w:p>
        </w:tc>
        <w:tc>
          <w:tcPr>
            <w:tcW w:w="0" w:type="dxa"/>
            <w:vAlign w:val="bottom"/>
          </w:tcPr>
          <w:p>
            <w:pPr>
              <w:spacing w:after="0"/>
              <w:rPr>
                <w:sz w:val="1"/>
                <w:szCs w:val="1"/>
                <w:color w:val="auto"/>
              </w:rPr>
            </w:pPr>
          </w:p>
        </w:tc>
      </w:tr>
      <w:tr>
        <w:trPr>
          <w:trHeight w:val="144"/>
        </w:trPr>
        <w:tc>
          <w:tcPr>
            <w:tcW w:w="5840" w:type="dxa"/>
            <w:vAlign w:val="bottom"/>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1,587</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2,129</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720"/>
              <w:spacing w:after="0"/>
              <w:rPr>
                <w:sz w:val="20"/>
                <w:szCs w:val="20"/>
                <w:color w:val="auto"/>
              </w:rPr>
            </w:pPr>
            <w:r>
              <w:rPr>
                <w:rFonts w:ascii="Arial" w:cs="Arial" w:eastAsia="Arial" w:hAnsi="Arial"/>
                <w:sz w:val="12"/>
                <w:szCs w:val="12"/>
                <w:color w:val="auto"/>
              </w:rPr>
              <w:t>Total liabilities</w:t>
            </w: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40" w:type="dxa"/>
            <w:vAlign w:val="bottom"/>
            <w:vMerge w:val="continue"/>
          </w:tcPr>
          <w:p>
            <w:pPr>
              <w:spacing w:after="0"/>
              <w:rPr>
                <w:sz w:val="12"/>
                <w:szCs w:val="1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135,272</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123,034</w:t>
            </w:r>
          </w:p>
        </w:tc>
        <w:tc>
          <w:tcPr>
            <w:tcW w:w="0" w:type="dxa"/>
            <w:vAlign w:val="bottom"/>
          </w:tcPr>
          <w:p>
            <w:pPr>
              <w:spacing w:after="0"/>
              <w:rPr>
                <w:sz w:val="1"/>
                <w:szCs w:val="1"/>
                <w:color w:val="auto"/>
              </w:rPr>
            </w:pPr>
          </w:p>
        </w:tc>
      </w:tr>
      <w:tr>
        <w:trPr>
          <w:trHeight w:val="142"/>
        </w:trPr>
        <w:tc>
          <w:tcPr>
            <w:tcW w:w="5840" w:type="dxa"/>
            <w:vAlign w:val="bottom"/>
            <w:shd w:val="clear" w:color="auto" w:fill="CCEEFF"/>
          </w:tcPr>
          <w:p>
            <w:pPr>
              <w:spacing w:after="0"/>
              <w:rPr>
                <w:sz w:val="20"/>
                <w:szCs w:val="20"/>
                <w:color w:val="auto"/>
              </w:rPr>
            </w:pPr>
            <w:r>
              <w:rPr>
                <w:rFonts w:ascii="Arial" w:cs="Arial" w:eastAsia="Arial" w:hAnsi="Arial"/>
                <w:sz w:val="12"/>
                <w:szCs w:val="12"/>
                <w:color w:val="auto"/>
              </w:rPr>
              <w:t>Commitments and contingencies (Note 14)</w:t>
            </w:r>
          </w:p>
        </w:tc>
        <w:tc>
          <w:tcPr>
            <w:tcW w:w="5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840" w:type="dxa"/>
            <w:vAlign w:val="bottom"/>
          </w:tcPr>
          <w:p>
            <w:pPr>
              <w:spacing w:after="0" w:line="135" w:lineRule="exact"/>
              <w:rPr>
                <w:sz w:val="20"/>
                <w:szCs w:val="20"/>
                <w:color w:val="auto"/>
              </w:rPr>
            </w:pPr>
            <w:r>
              <w:rPr>
                <w:rFonts w:ascii="Arial" w:cs="Arial" w:eastAsia="Arial" w:hAnsi="Arial"/>
                <w:sz w:val="12"/>
                <w:szCs w:val="12"/>
                <w:color w:val="auto"/>
              </w:rPr>
              <w:t>Convertible preferred stock (Series A, B, B1, B1-NV, C and D), $0.0001 par value; 0 and 62,915,394 shares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40" w:type="dxa"/>
            <w:vAlign w:val="bottom"/>
          </w:tcPr>
          <w:p>
            <w:pPr>
              <w:ind w:left="120"/>
              <w:spacing w:after="0"/>
              <w:rPr>
                <w:sz w:val="20"/>
                <w:szCs w:val="20"/>
                <w:color w:val="auto"/>
              </w:rPr>
            </w:pPr>
            <w:r>
              <w:rPr>
                <w:rFonts w:ascii="Arial" w:cs="Arial" w:eastAsia="Arial" w:hAnsi="Arial"/>
                <w:sz w:val="12"/>
                <w:szCs w:val="12"/>
                <w:color w:val="auto"/>
                <w:w w:val="97"/>
              </w:rPr>
              <w:t>authorized at September 30, 2021 and December 31, 2020, respectively; 0 and 54,208,461 shares issued and</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40" w:type="dxa"/>
            <w:vAlign w:val="bottom"/>
          </w:tcPr>
          <w:p>
            <w:pPr>
              <w:ind w:left="120"/>
              <w:spacing w:after="0"/>
              <w:rPr>
                <w:sz w:val="20"/>
                <w:szCs w:val="20"/>
                <w:color w:val="auto"/>
              </w:rPr>
            </w:pPr>
            <w:r>
              <w:rPr>
                <w:rFonts w:ascii="Arial" w:cs="Arial" w:eastAsia="Arial" w:hAnsi="Arial"/>
                <w:sz w:val="12"/>
                <w:szCs w:val="12"/>
                <w:color w:val="auto"/>
              </w:rPr>
              <w:t>outstanding at September 30, 2021 and December 31, 2020, respectively; liquidation preference of $0 and</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40" w:type="dxa"/>
            <w:vAlign w:val="bottom"/>
          </w:tcPr>
          <w:p>
            <w:pPr>
              <w:ind w:left="120"/>
              <w:spacing w:after="0"/>
              <w:rPr>
                <w:sz w:val="20"/>
                <w:szCs w:val="20"/>
                <w:color w:val="auto"/>
              </w:rPr>
            </w:pPr>
            <w:r>
              <w:rPr>
                <w:rFonts w:ascii="Arial" w:cs="Arial" w:eastAsia="Arial" w:hAnsi="Arial"/>
                <w:sz w:val="12"/>
                <w:szCs w:val="12"/>
                <w:color w:val="auto"/>
              </w:rPr>
              <w:t>$110,716 at September 30, 2021 and December 31, 2020, respectively</w:t>
            </w:r>
          </w:p>
        </w:tc>
        <w:tc>
          <w:tcPr>
            <w:tcW w:w="8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110,401</w:t>
            </w:r>
          </w:p>
        </w:tc>
        <w:tc>
          <w:tcPr>
            <w:tcW w:w="0" w:type="dxa"/>
            <w:vAlign w:val="bottom"/>
          </w:tcPr>
          <w:p>
            <w:pPr>
              <w:spacing w:after="0"/>
              <w:rPr>
                <w:sz w:val="1"/>
                <w:szCs w:val="1"/>
                <w:color w:val="auto"/>
              </w:rPr>
            </w:pPr>
          </w:p>
        </w:tc>
      </w:tr>
      <w:tr>
        <w:trPr>
          <w:trHeight w:val="135"/>
        </w:trPr>
        <w:tc>
          <w:tcPr>
            <w:tcW w:w="5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4"/>
              </w:rPr>
              <w:t>Redeemable convertible preferred stock (Series E-1, E-2, F-1 and F-2), $0.0001 par value; 0 and 16,023,132 shares</w:t>
            </w: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4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7"/>
              </w:rPr>
              <w:t>authorized at September 30, 2021 and December 31, 2020, respectively; 0 and 11,239,920 shares issued and</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outstanding at September 30, 2021 and December 31, 2020, respectively; liquidation preference of $0 and</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$150,000, respectively at September 30, 2021 and December 31, 2020</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119,769</w:t>
            </w:r>
          </w:p>
        </w:tc>
        <w:tc>
          <w:tcPr>
            <w:tcW w:w="0" w:type="dxa"/>
            <w:vAlign w:val="bottom"/>
          </w:tcPr>
          <w:p>
            <w:pPr>
              <w:spacing w:after="0"/>
              <w:rPr>
                <w:sz w:val="1"/>
                <w:szCs w:val="1"/>
                <w:color w:val="auto"/>
              </w:rPr>
            </w:pPr>
          </w:p>
        </w:tc>
      </w:tr>
      <w:tr>
        <w:trPr>
          <w:trHeight w:val="142"/>
        </w:trPr>
        <w:tc>
          <w:tcPr>
            <w:tcW w:w="5840" w:type="dxa"/>
            <w:vAlign w:val="bottom"/>
          </w:tcPr>
          <w:p>
            <w:pPr>
              <w:spacing w:after="0"/>
              <w:rPr>
                <w:sz w:val="20"/>
                <w:szCs w:val="20"/>
                <w:color w:val="auto"/>
              </w:rPr>
            </w:pPr>
            <w:r>
              <w:rPr>
                <w:rFonts w:ascii="Arial" w:cs="Arial" w:eastAsia="Arial" w:hAnsi="Arial"/>
                <w:sz w:val="12"/>
                <w:szCs w:val="12"/>
                <w:color w:val="auto"/>
              </w:rPr>
              <w:t>Stockholders’ (deficit) equity:</w:t>
            </w:r>
          </w:p>
        </w:tc>
        <w:tc>
          <w:tcPr>
            <w:tcW w:w="5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84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Preferred stock, $0.0001 par value; 10,000,000 and 0 shares authorized as of September 30, 2021 and</w:t>
            </w: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December 31, 2020, respectively; and none issued and outstanding as of September 30, 2021 and</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December 31, 2020, respectively</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5840" w:type="dxa"/>
            <w:vAlign w:val="bottom"/>
          </w:tcPr>
          <w:p>
            <w:pPr>
              <w:ind w:left="240"/>
              <w:spacing w:after="0" w:line="135" w:lineRule="exact"/>
              <w:rPr>
                <w:sz w:val="20"/>
                <w:szCs w:val="20"/>
                <w:color w:val="auto"/>
              </w:rPr>
            </w:pPr>
            <w:r>
              <w:rPr>
                <w:rFonts w:ascii="Arial" w:cs="Arial" w:eastAsia="Arial" w:hAnsi="Arial"/>
                <w:sz w:val="12"/>
                <w:szCs w:val="12"/>
                <w:color w:val="auto"/>
              </w:rPr>
              <w:t>Voting common stock, $0.0001 par value; 2,000,000,000 and 146,898,270 shares authorized as of</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40" w:type="dxa"/>
            <w:vAlign w:val="bottom"/>
          </w:tcPr>
          <w:p>
            <w:pPr>
              <w:ind w:left="360"/>
              <w:spacing w:after="0"/>
              <w:rPr>
                <w:sz w:val="20"/>
                <w:szCs w:val="20"/>
                <w:color w:val="auto"/>
              </w:rPr>
            </w:pPr>
            <w:r>
              <w:rPr>
                <w:rFonts w:ascii="Arial" w:cs="Arial" w:eastAsia="Arial" w:hAnsi="Arial"/>
                <w:sz w:val="12"/>
                <w:szCs w:val="12"/>
                <w:color w:val="auto"/>
                <w:w w:val="92"/>
              </w:rPr>
              <w:t>September 30, 2021 and December 31, 2020, respectively, 101,201,466 shares issued and 98,883,744 shares</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40" w:type="dxa"/>
            <w:vAlign w:val="bottom"/>
          </w:tcPr>
          <w:p>
            <w:pPr>
              <w:ind w:left="360"/>
              <w:spacing w:after="0"/>
              <w:rPr>
                <w:sz w:val="20"/>
                <w:szCs w:val="20"/>
                <w:color w:val="auto"/>
              </w:rPr>
            </w:pPr>
            <w:r>
              <w:rPr>
                <w:rFonts w:ascii="Arial" w:cs="Arial" w:eastAsia="Arial" w:hAnsi="Arial"/>
                <w:sz w:val="12"/>
                <w:szCs w:val="12"/>
                <w:color w:val="auto"/>
                <w:w w:val="96"/>
              </w:rPr>
              <w:t>outstanding as of September 30, 2021; 22,240,872 shares issued and 19,923,150 shares outstanding as of</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40" w:type="dxa"/>
            <w:vAlign w:val="bottom"/>
          </w:tcPr>
          <w:p>
            <w:pPr>
              <w:ind w:left="360"/>
              <w:spacing w:after="0"/>
              <w:rPr>
                <w:sz w:val="20"/>
                <w:szCs w:val="20"/>
                <w:color w:val="auto"/>
              </w:rPr>
            </w:pPr>
            <w:r>
              <w:rPr>
                <w:rFonts w:ascii="Arial" w:cs="Arial" w:eastAsia="Arial" w:hAnsi="Arial"/>
                <w:sz w:val="12"/>
                <w:szCs w:val="12"/>
                <w:color w:val="auto"/>
              </w:rPr>
              <w:t>December 31, 2020</w:t>
            </w: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10</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5"/>
        </w:trPr>
        <w:tc>
          <w:tcPr>
            <w:tcW w:w="584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w w:val="92"/>
              </w:rPr>
              <w:t>Non-voting common stock, $0.0001 par value;10,000,000 and 0 shares authorized as of September 30, 2021 and</w:t>
            </w: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40" w:type="dxa"/>
            <w:vAlign w:val="bottom"/>
            <w:shd w:val="clear" w:color="auto" w:fill="CCEEFF"/>
          </w:tcPr>
          <w:p>
            <w:pPr>
              <w:ind w:left="360"/>
              <w:spacing w:after="0"/>
              <w:rPr>
                <w:sz w:val="20"/>
                <w:szCs w:val="20"/>
                <w:color w:val="auto"/>
              </w:rPr>
            </w:pPr>
            <w:r>
              <w:rPr>
                <w:rFonts w:ascii="Arial" w:cs="Arial" w:eastAsia="Arial" w:hAnsi="Arial"/>
                <w:sz w:val="12"/>
                <w:szCs w:val="12"/>
                <w:color w:val="auto"/>
                <w:w w:val="97"/>
              </w:rPr>
              <w:t>December 31, 2020, respectively; 5,988,378 and 0 issued and outstanding as of September 30, 2021 and</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December 31, 2020, respectively</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840" w:type="dxa"/>
            <w:vAlign w:val="bottom"/>
          </w:tcPr>
          <w:p>
            <w:pPr>
              <w:ind w:left="240"/>
              <w:spacing w:after="0"/>
              <w:rPr>
                <w:sz w:val="20"/>
                <w:szCs w:val="20"/>
                <w:color w:val="auto"/>
              </w:rPr>
            </w:pPr>
            <w:r>
              <w:rPr>
                <w:rFonts w:ascii="Arial" w:cs="Arial" w:eastAsia="Arial" w:hAnsi="Arial"/>
                <w:sz w:val="12"/>
                <w:szCs w:val="12"/>
                <w:color w:val="auto"/>
              </w:rPr>
              <w:t>Treasury Stock, 2,317,722 shares as of September 30, 2021 and December 31, 2020, held at cost</w:t>
            </w: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(748)</w:t>
            </w: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(748)</w:t>
            </w:r>
          </w:p>
        </w:tc>
        <w:tc>
          <w:tcPr>
            <w:tcW w:w="0" w:type="dxa"/>
            <w:vAlign w:val="bottom"/>
          </w:tcPr>
          <w:p>
            <w:pPr>
              <w:spacing w:after="0"/>
              <w:rPr>
                <w:sz w:val="1"/>
                <w:szCs w:val="1"/>
                <w:color w:val="auto"/>
              </w:rPr>
            </w:pPr>
          </w:p>
        </w:tc>
      </w:tr>
      <w:tr>
        <w:trPr>
          <w:trHeight w:val="144"/>
        </w:trPr>
        <w:tc>
          <w:tcPr>
            <w:tcW w:w="58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Additional paid-in capital</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603,319</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16,970</w:t>
            </w:r>
          </w:p>
        </w:tc>
        <w:tc>
          <w:tcPr>
            <w:tcW w:w="0" w:type="dxa"/>
            <w:vAlign w:val="bottom"/>
          </w:tcPr>
          <w:p>
            <w:pPr>
              <w:spacing w:after="0"/>
              <w:rPr>
                <w:sz w:val="1"/>
                <w:szCs w:val="1"/>
                <w:color w:val="auto"/>
              </w:rPr>
            </w:pPr>
          </w:p>
        </w:tc>
      </w:tr>
      <w:tr>
        <w:trPr>
          <w:trHeight w:val="144"/>
        </w:trPr>
        <w:tc>
          <w:tcPr>
            <w:tcW w:w="5840" w:type="dxa"/>
            <w:vAlign w:val="bottom"/>
          </w:tcPr>
          <w:p>
            <w:pPr>
              <w:ind w:left="480"/>
              <w:spacing w:after="0"/>
              <w:rPr>
                <w:sz w:val="20"/>
                <w:szCs w:val="20"/>
                <w:color w:val="auto"/>
              </w:rPr>
            </w:pPr>
            <w:r>
              <w:rPr>
                <w:rFonts w:ascii="Arial" w:cs="Arial" w:eastAsia="Arial" w:hAnsi="Arial"/>
                <w:sz w:val="12"/>
                <w:szCs w:val="12"/>
                <w:color w:val="auto"/>
              </w:rPr>
              <w:t>Accumulated other comprehensive loss</w:t>
            </w: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(294)</w:t>
            </w: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144"/>
        </w:trPr>
        <w:tc>
          <w:tcPr>
            <w:tcW w:w="58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Accumulated deficit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(114,576)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(97,772)</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720"/>
              <w:spacing w:after="0"/>
              <w:rPr>
                <w:sz w:val="20"/>
                <w:szCs w:val="20"/>
                <w:color w:val="auto"/>
              </w:rPr>
            </w:pPr>
            <w:r>
              <w:rPr>
                <w:rFonts w:ascii="Arial" w:cs="Arial" w:eastAsia="Arial" w:hAnsi="Arial"/>
                <w:sz w:val="12"/>
                <w:szCs w:val="12"/>
                <w:color w:val="auto"/>
              </w:rPr>
              <w:t>Total stockholders’ equity (deficit)</w:t>
            </w: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40" w:type="dxa"/>
            <w:vAlign w:val="bottom"/>
            <w:vMerge w:val="continue"/>
          </w:tcPr>
          <w:p>
            <w:pPr>
              <w:spacing w:after="0"/>
              <w:rPr>
                <w:sz w:val="12"/>
                <w:szCs w:val="1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487,712</w:t>
            </w: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(81,762)</w:t>
            </w:r>
          </w:p>
        </w:tc>
        <w:tc>
          <w:tcPr>
            <w:tcW w:w="0" w:type="dxa"/>
            <w:vAlign w:val="bottom"/>
          </w:tcPr>
          <w:p>
            <w:pPr>
              <w:spacing w:after="0"/>
              <w:rPr>
                <w:sz w:val="1"/>
                <w:szCs w:val="1"/>
                <w:color w:val="auto"/>
              </w:rPr>
            </w:pPr>
          </w:p>
        </w:tc>
      </w:tr>
      <w:tr>
        <w:trPr>
          <w:trHeight w:val="133"/>
        </w:trPr>
        <w:tc>
          <w:tcPr>
            <w:tcW w:w="5840" w:type="dxa"/>
            <w:vAlign w:val="bottom"/>
            <w:shd w:val="clear" w:color="auto" w:fill="CCEEFF"/>
          </w:tcPr>
          <w:p>
            <w:pPr>
              <w:ind w:left="720"/>
              <w:spacing w:after="0" w:line="133" w:lineRule="exact"/>
              <w:rPr>
                <w:sz w:val="20"/>
                <w:szCs w:val="20"/>
                <w:color w:val="auto"/>
              </w:rPr>
            </w:pPr>
            <w:r>
              <w:rPr>
                <w:rFonts w:ascii="Arial" w:cs="Arial" w:eastAsia="Arial" w:hAnsi="Arial"/>
                <w:sz w:val="12"/>
                <w:szCs w:val="12"/>
                <w:color w:val="auto"/>
                <w:w w:val="95"/>
              </w:rPr>
              <w:t>Total liabilities, convertible preferred stock, redeemable convertible preferred stock and stockholders’</w:t>
            </w: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840" w:type="dxa"/>
            <w:vAlign w:val="bottom"/>
            <w:shd w:val="clear" w:color="auto" w:fill="CCEEFF"/>
          </w:tcPr>
          <w:p>
            <w:pPr>
              <w:ind w:left="840"/>
              <w:spacing w:after="0"/>
              <w:rPr>
                <w:sz w:val="20"/>
                <w:szCs w:val="20"/>
                <w:color w:val="auto"/>
              </w:rPr>
            </w:pPr>
            <w:r>
              <w:rPr>
                <w:rFonts w:ascii="Arial" w:cs="Arial" w:eastAsia="Arial" w:hAnsi="Arial"/>
                <w:sz w:val="12"/>
                <w:szCs w:val="12"/>
                <w:color w:val="auto"/>
              </w:rPr>
              <w:t>(deficit) equity</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622,984</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271,442</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6" w:right="144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Unaudited Condensed Consolidated Statement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(Amounts in thousands)</w:t>
      </w:r>
    </w:p>
    <w:p>
      <w:pPr>
        <w:spacing w:after="0" w:line="138"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6140" w:type="dxa"/>
            <w:vAlign w:val="bottom"/>
          </w:tcPr>
          <w:p>
            <w:pPr>
              <w:spacing w:after="0"/>
              <w:rPr>
                <w:sz w:val="10"/>
                <w:szCs w:val="10"/>
                <w:color w:val="auto"/>
              </w:rPr>
            </w:pPr>
          </w:p>
        </w:tc>
        <w:tc>
          <w:tcPr>
            <w:tcW w:w="1200" w:type="dxa"/>
            <w:vAlign w:val="bottom"/>
            <w:gridSpan w:val="5"/>
          </w:tcPr>
          <w:p>
            <w:pPr>
              <w:jc w:val="right"/>
              <w:ind w:right="220"/>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99"/>
        </w:trPr>
        <w:tc>
          <w:tcPr>
            <w:tcW w:w="6140" w:type="dxa"/>
            <w:vAlign w:val="bottom"/>
          </w:tcPr>
          <w:p>
            <w:pPr>
              <w:spacing w:after="0"/>
              <w:rPr>
                <w:sz w:val="8"/>
                <w:szCs w:val="8"/>
                <w:color w:val="auto"/>
              </w:rPr>
            </w:pPr>
          </w:p>
        </w:tc>
        <w:tc>
          <w:tcPr>
            <w:tcW w:w="1200" w:type="dxa"/>
            <w:vAlign w:val="bottom"/>
            <w:gridSpan w:val="5"/>
          </w:tcPr>
          <w:p>
            <w:pPr>
              <w:jc w:val="right"/>
              <w:ind w:right="340"/>
              <w:spacing w:after="0" w:line="99"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13"/>
        </w:trPr>
        <w:tc>
          <w:tcPr>
            <w:tcW w:w="6140" w:type="dxa"/>
            <w:vAlign w:val="bottom"/>
          </w:tcPr>
          <w:p>
            <w:pPr>
              <w:spacing w:after="0"/>
              <w:rPr>
                <w:sz w:val="9"/>
                <w:szCs w:val="9"/>
                <w:color w:val="auto"/>
              </w:rPr>
            </w:pPr>
          </w:p>
        </w:tc>
        <w:tc>
          <w:tcPr>
            <w:tcW w:w="460" w:type="dxa"/>
            <w:vAlign w:val="bottom"/>
          </w:tcPr>
          <w:p>
            <w:pPr>
              <w:jc w:val="right"/>
              <w:ind w:right="81"/>
              <w:spacing w:after="0" w:line="114" w:lineRule="exact"/>
              <w:rPr>
                <w:sz w:val="20"/>
                <w:szCs w:val="20"/>
                <w:color w:val="auto"/>
              </w:rPr>
            </w:pPr>
            <w:r>
              <w:rPr>
                <w:rFonts w:ascii="Arial" w:cs="Arial" w:eastAsia="Arial" w:hAnsi="Arial"/>
                <w:sz w:val="10"/>
                <w:szCs w:val="10"/>
                <w:b w:val="1"/>
                <w:bCs w:val="1"/>
                <w:color w:val="auto"/>
              </w:rPr>
              <w:t>2021</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ind w:right="60"/>
              <w:spacing w:after="0" w:line="114" w:lineRule="exact"/>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40" w:type="dxa"/>
            <w:vAlign w:val="bottom"/>
          </w:tcPr>
          <w:p>
            <w:pPr>
              <w:spacing w:after="0"/>
              <w:rPr>
                <w:sz w:val="20"/>
                <w:szCs w:val="20"/>
                <w:color w:val="auto"/>
              </w:rPr>
            </w:pPr>
            <w:r>
              <w:rPr>
                <w:rFonts w:ascii="Arial" w:cs="Arial" w:eastAsia="Arial" w:hAnsi="Arial"/>
                <w:sz w:val="12"/>
                <w:szCs w:val="12"/>
                <w:color w:val="auto"/>
              </w:rPr>
              <w:t>Net loss</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w w:val="87"/>
              </w:rPr>
              <w:t>$ (16,804)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(7,076)</w:t>
            </w: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4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6,571</w:t>
            </w: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5,031</w:t>
            </w: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Stock-based compensation expense</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15,538</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2,860</w:t>
            </w:r>
          </w:p>
        </w:tc>
        <w:tc>
          <w:tcPr>
            <w:tcW w:w="0" w:type="dxa"/>
            <w:vAlign w:val="bottom"/>
          </w:tcPr>
          <w:p>
            <w:pPr>
              <w:spacing w:after="0"/>
              <w:rPr>
                <w:sz w:val="1"/>
                <w:szCs w:val="1"/>
                <w:color w:val="auto"/>
              </w:rPr>
            </w:pPr>
          </w:p>
        </w:tc>
      </w:tr>
      <w:tr>
        <w:trPr>
          <w:trHeight w:val="144"/>
        </w:trPr>
        <w:tc>
          <w:tcPr>
            <w:tcW w:w="6140" w:type="dxa"/>
            <w:vAlign w:val="bottom"/>
          </w:tcPr>
          <w:p>
            <w:pPr>
              <w:ind w:left="240"/>
              <w:spacing w:after="0"/>
              <w:rPr>
                <w:sz w:val="20"/>
                <w:szCs w:val="20"/>
                <w:color w:val="auto"/>
              </w:rPr>
            </w:pPr>
            <w:r>
              <w:rPr>
                <w:rFonts w:ascii="Arial" w:cs="Arial" w:eastAsia="Arial" w:hAnsi="Arial"/>
                <w:sz w:val="12"/>
                <w:szCs w:val="12"/>
                <w:color w:val="auto"/>
              </w:rPr>
              <w:t>Amortization of deferred contract costs</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179</w:t>
            </w: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265</w:t>
            </w: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 in fair value of preferred stock warrant liability</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10,758</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245</w:t>
            </w:r>
          </w:p>
        </w:tc>
        <w:tc>
          <w:tcPr>
            <w:tcW w:w="0" w:type="dxa"/>
            <w:vAlign w:val="bottom"/>
          </w:tcPr>
          <w:p>
            <w:pPr>
              <w:spacing w:after="0"/>
              <w:rPr>
                <w:sz w:val="1"/>
                <w:szCs w:val="1"/>
                <w:color w:val="auto"/>
              </w:rPr>
            </w:pPr>
          </w:p>
        </w:tc>
      </w:tr>
      <w:tr>
        <w:trPr>
          <w:trHeight w:val="144"/>
        </w:trPr>
        <w:tc>
          <w:tcPr>
            <w:tcW w:w="6140" w:type="dxa"/>
            <w:vAlign w:val="bottom"/>
          </w:tcPr>
          <w:p>
            <w:pPr>
              <w:ind w:left="240"/>
              <w:spacing w:after="0"/>
              <w:rPr>
                <w:sz w:val="20"/>
                <w:szCs w:val="20"/>
                <w:color w:val="auto"/>
              </w:rPr>
            </w:pPr>
            <w:r>
              <w:rPr>
                <w:rFonts w:ascii="Arial" w:cs="Arial" w:eastAsia="Arial" w:hAnsi="Arial"/>
                <w:sz w:val="12"/>
                <w:szCs w:val="12"/>
                <w:color w:val="auto"/>
              </w:rPr>
              <w:t>Change in fair value of contingent consideration</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2,072</w:t>
            </w: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4,576</w:t>
            </w: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tax provision</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137</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(8,547)</w:t>
            </w:r>
          </w:p>
        </w:tc>
        <w:tc>
          <w:tcPr>
            <w:tcW w:w="0" w:type="dxa"/>
            <w:vAlign w:val="bottom"/>
          </w:tcPr>
          <w:p>
            <w:pPr>
              <w:spacing w:after="0"/>
              <w:rPr>
                <w:sz w:val="1"/>
                <w:szCs w:val="1"/>
                <w:color w:val="auto"/>
              </w:rPr>
            </w:pPr>
          </w:p>
        </w:tc>
      </w:tr>
      <w:tr>
        <w:trPr>
          <w:trHeight w:val="144"/>
        </w:trPr>
        <w:tc>
          <w:tcPr>
            <w:tcW w:w="6140" w:type="dxa"/>
            <w:vAlign w:val="bottom"/>
          </w:tcPr>
          <w:p>
            <w:pPr>
              <w:ind w:left="240"/>
              <w:spacing w:after="0"/>
              <w:rPr>
                <w:sz w:val="20"/>
                <w:szCs w:val="20"/>
                <w:color w:val="auto"/>
              </w:rPr>
            </w:pPr>
            <w:r>
              <w:rPr>
                <w:rFonts w:ascii="Arial" w:cs="Arial" w:eastAsia="Arial" w:hAnsi="Arial"/>
                <w:sz w:val="12"/>
                <w:szCs w:val="12"/>
                <w:color w:val="auto"/>
              </w:rPr>
              <w:t>Bad debt expense</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90</w:t>
            </w: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332</w:t>
            </w: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Non-cash interest expense</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171</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196</w:t>
            </w:r>
          </w:p>
        </w:tc>
        <w:tc>
          <w:tcPr>
            <w:tcW w:w="0" w:type="dxa"/>
            <w:vAlign w:val="bottom"/>
          </w:tcPr>
          <w:p>
            <w:pPr>
              <w:spacing w:after="0"/>
              <w:rPr>
                <w:sz w:val="1"/>
                <w:szCs w:val="1"/>
                <w:color w:val="auto"/>
              </w:rPr>
            </w:pPr>
          </w:p>
        </w:tc>
      </w:tr>
      <w:tr>
        <w:trPr>
          <w:trHeight w:val="144"/>
        </w:trPr>
        <w:tc>
          <w:tcPr>
            <w:tcW w:w="6140" w:type="dxa"/>
            <w:vAlign w:val="bottom"/>
          </w:tcPr>
          <w:p>
            <w:pPr>
              <w:ind w:left="240"/>
              <w:spacing w:after="0"/>
              <w:rPr>
                <w:sz w:val="20"/>
                <w:szCs w:val="20"/>
                <w:color w:val="auto"/>
              </w:rPr>
            </w:pPr>
            <w:r>
              <w:rPr>
                <w:rFonts w:ascii="Arial" w:cs="Arial" w:eastAsia="Arial" w:hAnsi="Arial"/>
                <w:sz w:val="12"/>
                <w:szCs w:val="12"/>
                <w:color w:val="auto"/>
              </w:rPr>
              <w:t>Other</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158</w:t>
            </w:r>
          </w:p>
        </w:tc>
        <w:tc>
          <w:tcPr>
            <w:tcW w:w="6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Changes in operating assets and liabilities, net of acquisitions:</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40" w:type="dxa"/>
            <w:vAlign w:val="bottom"/>
          </w:tcPr>
          <w:p>
            <w:pPr>
              <w:ind w:left="480"/>
              <w:spacing w:after="0"/>
              <w:rPr>
                <w:sz w:val="20"/>
                <w:szCs w:val="20"/>
                <w:color w:val="auto"/>
              </w:rPr>
            </w:pPr>
            <w:r>
              <w:rPr>
                <w:rFonts w:ascii="Arial" w:cs="Arial" w:eastAsia="Arial" w:hAnsi="Arial"/>
                <w:sz w:val="12"/>
                <w:szCs w:val="12"/>
                <w:color w:val="auto"/>
              </w:rPr>
              <w:t>Accounts receivable</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(1,467)</w:t>
            </w: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(3,873)</w:t>
            </w: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Unbilled receivables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(62)</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44"/>
        </w:trPr>
        <w:tc>
          <w:tcPr>
            <w:tcW w:w="6140" w:type="dxa"/>
            <w:vAlign w:val="bottom"/>
          </w:tcPr>
          <w:p>
            <w:pPr>
              <w:ind w:left="480"/>
              <w:spacing w:after="0"/>
              <w:rPr>
                <w:sz w:val="20"/>
                <w:szCs w:val="20"/>
                <w:color w:val="auto"/>
              </w:rPr>
            </w:pPr>
            <w:r>
              <w:rPr>
                <w:rFonts w:ascii="Arial" w:cs="Arial" w:eastAsia="Arial" w:hAnsi="Arial"/>
                <w:sz w:val="12"/>
                <w:szCs w:val="12"/>
                <w:color w:val="auto"/>
              </w:rPr>
              <w:t>Funds receivable from payment partners</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585</w:t>
            </w: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5,019</w:t>
            </w: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Prepaid expenses and other assets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(7,419)</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(3,079)</w:t>
            </w:r>
          </w:p>
        </w:tc>
        <w:tc>
          <w:tcPr>
            <w:tcW w:w="0" w:type="dxa"/>
            <w:vAlign w:val="bottom"/>
          </w:tcPr>
          <w:p>
            <w:pPr>
              <w:spacing w:after="0"/>
              <w:rPr>
                <w:sz w:val="1"/>
                <w:szCs w:val="1"/>
                <w:color w:val="auto"/>
              </w:rPr>
            </w:pPr>
          </w:p>
        </w:tc>
      </w:tr>
      <w:tr>
        <w:trPr>
          <w:trHeight w:val="144"/>
        </w:trPr>
        <w:tc>
          <w:tcPr>
            <w:tcW w:w="6140" w:type="dxa"/>
            <w:vAlign w:val="bottom"/>
          </w:tcPr>
          <w:p>
            <w:pPr>
              <w:ind w:left="480"/>
              <w:spacing w:after="0"/>
              <w:rPr>
                <w:sz w:val="20"/>
                <w:szCs w:val="20"/>
                <w:color w:val="auto"/>
              </w:rPr>
            </w:pPr>
            <w:r>
              <w:rPr>
                <w:rFonts w:ascii="Arial" w:cs="Arial" w:eastAsia="Arial" w:hAnsi="Arial"/>
                <w:sz w:val="12"/>
                <w:szCs w:val="12"/>
                <w:color w:val="auto"/>
              </w:rPr>
              <w:t>Funds payable to clients</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6,869</w:t>
            </w: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(24,846)</w:t>
            </w: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Accounts payable, accrued expenses and other current liabilities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10,903</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2,543</w:t>
            </w:r>
          </w:p>
        </w:tc>
        <w:tc>
          <w:tcPr>
            <w:tcW w:w="0" w:type="dxa"/>
            <w:vAlign w:val="bottom"/>
          </w:tcPr>
          <w:p>
            <w:pPr>
              <w:spacing w:after="0"/>
              <w:rPr>
                <w:sz w:val="1"/>
                <w:szCs w:val="1"/>
                <w:color w:val="auto"/>
              </w:rPr>
            </w:pPr>
          </w:p>
        </w:tc>
      </w:tr>
      <w:tr>
        <w:trPr>
          <w:trHeight w:val="144"/>
        </w:trPr>
        <w:tc>
          <w:tcPr>
            <w:tcW w:w="6140" w:type="dxa"/>
            <w:vAlign w:val="bottom"/>
          </w:tcPr>
          <w:p>
            <w:pPr>
              <w:ind w:left="480"/>
              <w:spacing w:after="0"/>
              <w:rPr>
                <w:sz w:val="20"/>
                <w:szCs w:val="20"/>
                <w:color w:val="auto"/>
              </w:rPr>
            </w:pPr>
            <w:r>
              <w:rPr>
                <w:rFonts w:ascii="Arial" w:cs="Arial" w:eastAsia="Arial" w:hAnsi="Arial"/>
                <w:sz w:val="12"/>
                <w:szCs w:val="12"/>
                <w:color w:val="auto"/>
              </w:rPr>
              <w:t>Contingent consideration</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(3,212)</w:t>
            </w: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(693)</w:t>
            </w: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Other liabilities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(364)</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(121)</w:t>
            </w:r>
          </w:p>
        </w:tc>
        <w:tc>
          <w:tcPr>
            <w:tcW w:w="0" w:type="dxa"/>
            <w:vAlign w:val="bottom"/>
          </w:tcPr>
          <w:p>
            <w:pPr>
              <w:spacing w:after="0"/>
              <w:rPr>
                <w:sz w:val="1"/>
                <w:szCs w:val="1"/>
                <w:color w:val="auto"/>
              </w:rPr>
            </w:pPr>
          </w:p>
        </w:tc>
      </w:tr>
      <w:tr>
        <w:trPr>
          <w:trHeight w:val="144"/>
        </w:trPr>
        <w:tc>
          <w:tcPr>
            <w:tcW w:w="6140" w:type="dxa"/>
            <w:vAlign w:val="bottom"/>
          </w:tcPr>
          <w:p>
            <w:pPr>
              <w:ind w:left="480"/>
              <w:spacing w:after="0"/>
              <w:rPr>
                <w:sz w:val="20"/>
                <w:szCs w:val="20"/>
                <w:color w:val="auto"/>
              </w:rPr>
            </w:pPr>
            <w:r>
              <w:rPr>
                <w:rFonts w:ascii="Arial" w:cs="Arial" w:eastAsia="Arial" w:hAnsi="Arial"/>
                <w:sz w:val="12"/>
                <w:szCs w:val="12"/>
                <w:color w:val="auto"/>
              </w:rPr>
              <w:t>Deferred revenue</w:t>
            </w:r>
          </w:p>
        </w:tc>
        <w:tc>
          <w:tcPr>
            <w:tcW w:w="460" w:type="dxa"/>
            <w:vAlign w:val="bottom"/>
          </w:tcPr>
          <w:p>
            <w:pPr>
              <w:jc w:val="right"/>
              <w:spacing w:after="0"/>
              <w:rPr>
                <w:sz w:val="20"/>
                <w:szCs w:val="20"/>
                <w:color w:val="auto"/>
              </w:rPr>
            </w:pPr>
            <w:r>
              <w:rPr>
                <w:rFonts w:ascii="Arial" w:cs="Arial" w:eastAsia="Arial" w:hAnsi="Arial"/>
                <w:sz w:val="12"/>
                <w:szCs w:val="12"/>
                <w:color w:val="auto"/>
              </w:rPr>
              <w:t>102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(410)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40" w:type="dxa"/>
            <w:vAlign w:val="bottom"/>
            <w:shd w:val="clear" w:color="auto" w:fill="CCEEFF"/>
          </w:tcPr>
          <w:p>
            <w:pPr>
              <w:ind w:left="720"/>
              <w:spacing w:after="0"/>
              <w:rPr>
                <w:sz w:val="20"/>
                <w:szCs w:val="20"/>
                <w:color w:val="auto"/>
              </w:rPr>
            </w:pPr>
            <w:r>
              <w:rPr>
                <w:rFonts w:ascii="Arial" w:cs="Arial" w:eastAsia="Arial" w:hAnsi="Arial"/>
                <w:sz w:val="12"/>
                <w:szCs w:val="12"/>
                <w:color w:val="auto"/>
              </w:rPr>
              <w:t>Net cash provided by (used in) operating activities</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24,805</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(27,566)</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spacing w:after="0"/>
              <w:rPr>
                <w:sz w:val="20"/>
                <w:szCs w:val="20"/>
                <w:color w:val="auto"/>
              </w:rPr>
            </w:pPr>
            <w:r>
              <w:rPr>
                <w:rFonts w:ascii="Arial" w:cs="Arial" w:eastAsia="Arial" w:hAnsi="Arial"/>
                <w:sz w:val="12"/>
                <w:szCs w:val="12"/>
                <w:color w:val="auto"/>
              </w:rPr>
              <w:t>Purchases of property and equipment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(5,229)</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(1,812)</w:t>
            </w:r>
          </w:p>
        </w:tc>
        <w:tc>
          <w:tcPr>
            <w:tcW w:w="0" w:type="dxa"/>
            <w:vAlign w:val="bottom"/>
          </w:tcPr>
          <w:p>
            <w:pPr>
              <w:spacing w:after="0"/>
              <w:rPr>
                <w:sz w:val="1"/>
                <w:szCs w:val="1"/>
                <w:color w:val="auto"/>
              </w:rPr>
            </w:pPr>
          </w:p>
        </w:tc>
      </w:tr>
      <w:tr>
        <w:trPr>
          <w:trHeight w:val="144"/>
        </w:trPr>
        <w:tc>
          <w:tcPr>
            <w:tcW w:w="6140" w:type="dxa"/>
            <w:vAlign w:val="bottom"/>
          </w:tcPr>
          <w:p>
            <w:pPr>
              <w:spacing w:after="0"/>
              <w:rPr>
                <w:sz w:val="20"/>
                <w:szCs w:val="20"/>
                <w:color w:val="auto"/>
              </w:rPr>
            </w:pPr>
            <w:r>
              <w:rPr>
                <w:rFonts w:ascii="Arial" w:cs="Arial" w:eastAsia="Arial" w:hAnsi="Arial"/>
                <w:sz w:val="12"/>
                <w:szCs w:val="12"/>
                <w:color w:val="auto"/>
              </w:rPr>
              <w:t>Asset acquisition, net of cash acquired</w:t>
            </w: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(79,401)</w:t>
            </w: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spacing w:after="0"/>
              <w:rPr>
                <w:sz w:val="20"/>
                <w:szCs w:val="20"/>
                <w:color w:val="auto"/>
              </w:rPr>
            </w:pPr>
            <w:r>
              <w:rPr>
                <w:rFonts w:ascii="Arial" w:cs="Arial" w:eastAsia="Arial" w:hAnsi="Arial"/>
                <w:sz w:val="12"/>
                <w:szCs w:val="12"/>
                <w:color w:val="auto"/>
              </w:rPr>
              <w:t>Acquisition of businesses, net of cash acquired</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(119)</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720"/>
              <w:spacing w:after="0"/>
              <w:rPr>
                <w:sz w:val="20"/>
                <w:szCs w:val="20"/>
                <w:color w:val="auto"/>
              </w:rPr>
            </w:pPr>
            <w:r>
              <w:rPr>
                <w:rFonts w:ascii="Arial" w:cs="Arial" w:eastAsia="Arial" w:hAnsi="Arial"/>
                <w:sz w:val="12"/>
                <w:szCs w:val="12"/>
                <w:color w:val="auto"/>
              </w:rPr>
              <w:t>Net cash provided by (used in) investing activities</w:t>
            </w: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40" w:type="dxa"/>
            <w:vAlign w:val="bottom"/>
            <w:vMerge w:val="continue"/>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(5,348)</w:t>
            </w: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(81,213)</w:t>
            </w: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4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40" w:type="dxa"/>
            <w:vAlign w:val="bottom"/>
          </w:tcPr>
          <w:p>
            <w:pPr>
              <w:spacing w:after="0"/>
              <w:rPr>
                <w:sz w:val="20"/>
                <w:szCs w:val="20"/>
                <w:color w:val="auto"/>
              </w:rPr>
            </w:pPr>
            <w:r>
              <w:rPr>
                <w:rFonts w:ascii="Arial" w:cs="Arial" w:eastAsia="Arial" w:hAnsi="Arial"/>
                <w:sz w:val="12"/>
                <w:szCs w:val="12"/>
                <w:color w:val="auto"/>
              </w:rPr>
              <w:t>Proceeds from initial public offering, net of underwriting discounts and commissions</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268,694</w:t>
            </w:r>
          </w:p>
        </w:tc>
        <w:tc>
          <w:tcPr>
            <w:tcW w:w="6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spacing w:after="0"/>
              <w:rPr>
                <w:sz w:val="20"/>
                <w:szCs w:val="20"/>
                <w:color w:val="auto"/>
              </w:rPr>
            </w:pPr>
            <w:r>
              <w:rPr>
                <w:rFonts w:ascii="Arial" w:cs="Arial" w:eastAsia="Arial" w:hAnsi="Arial"/>
                <w:sz w:val="12"/>
                <w:szCs w:val="12"/>
                <w:color w:val="auto"/>
              </w:rPr>
              <w:t>Payment of costs related to initial public offering</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(4,860)</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140" w:type="dxa"/>
            <w:vAlign w:val="bottom"/>
          </w:tcPr>
          <w:p>
            <w:pPr>
              <w:spacing w:after="0"/>
              <w:rPr>
                <w:sz w:val="20"/>
                <w:szCs w:val="20"/>
                <w:color w:val="auto"/>
              </w:rPr>
            </w:pPr>
            <w:r>
              <w:rPr>
                <w:rFonts w:ascii="Arial" w:cs="Arial" w:eastAsia="Arial" w:hAnsi="Arial"/>
                <w:sz w:val="12"/>
                <w:szCs w:val="12"/>
                <w:color w:val="auto"/>
              </w:rPr>
              <w:t>Proceeds from issuance of long-term debt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25,933</w:t>
            </w: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4,167</w:t>
            </w: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spacing w:after="0"/>
              <w:rPr>
                <w:sz w:val="20"/>
                <w:szCs w:val="20"/>
                <w:color w:val="auto"/>
              </w:rPr>
            </w:pPr>
            <w:r>
              <w:rPr>
                <w:rFonts w:ascii="Arial" w:cs="Arial" w:eastAsia="Arial" w:hAnsi="Arial"/>
                <w:sz w:val="12"/>
                <w:szCs w:val="12"/>
                <w:color w:val="auto"/>
              </w:rPr>
              <w:t>Payment of long-term debt issuance costs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(418)</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(172)</w:t>
            </w:r>
          </w:p>
        </w:tc>
        <w:tc>
          <w:tcPr>
            <w:tcW w:w="0" w:type="dxa"/>
            <w:vAlign w:val="bottom"/>
          </w:tcPr>
          <w:p>
            <w:pPr>
              <w:spacing w:after="0"/>
              <w:rPr>
                <w:sz w:val="1"/>
                <w:szCs w:val="1"/>
                <w:color w:val="auto"/>
              </w:rPr>
            </w:pPr>
          </w:p>
        </w:tc>
      </w:tr>
      <w:tr>
        <w:trPr>
          <w:trHeight w:val="144"/>
        </w:trPr>
        <w:tc>
          <w:tcPr>
            <w:tcW w:w="6140" w:type="dxa"/>
            <w:vAlign w:val="bottom"/>
          </w:tcPr>
          <w:p>
            <w:pPr>
              <w:spacing w:after="0"/>
              <w:rPr>
                <w:sz w:val="20"/>
                <w:szCs w:val="20"/>
                <w:color w:val="auto"/>
              </w:rPr>
            </w:pPr>
            <w:r>
              <w:rPr>
                <w:rFonts w:ascii="Arial" w:cs="Arial" w:eastAsia="Arial" w:hAnsi="Arial"/>
                <w:sz w:val="12"/>
                <w:szCs w:val="12"/>
                <w:color w:val="auto"/>
              </w:rPr>
              <w:t>Repayment of long-term debt</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(25,000)</w:t>
            </w: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(4,167)</w:t>
            </w: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spacing w:after="0"/>
              <w:rPr>
                <w:sz w:val="20"/>
                <w:szCs w:val="20"/>
                <w:color w:val="auto"/>
              </w:rPr>
            </w:pPr>
            <w:r>
              <w:rPr>
                <w:rFonts w:ascii="Arial" w:cs="Arial" w:eastAsia="Arial" w:hAnsi="Arial"/>
                <w:sz w:val="12"/>
                <w:szCs w:val="12"/>
                <w:color w:val="auto"/>
              </w:rPr>
              <w:t>Proceeds from issuance of redeemable convertible preferred stock, net of issuance costs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59,735</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2"/>
              </w:rPr>
              <w:t>119,755</w:t>
            </w:r>
          </w:p>
        </w:tc>
        <w:tc>
          <w:tcPr>
            <w:tcW w:w="0" w:type="dxa"/>
            <w:vAlign w:val="bottom"/>
          </w:tcPr>
          <w:p>
            <w:pPr>
              <w:spacing w:after="0"/>
              <w:rPr>
                <w:sz w:val="1"/>
                <w:szCs w:val="1"/>
                <w:color w:val="auto"/>
              </w:rPr>
            </w:pPr>
          </w:p>
        </w:tc>
      </w:tr>
      <w:tr>
        <w:trPr>
          <w:trHeight w:val="144"/>
        </w:trPr>
        <w:tc>
          <w:tcPr>
            <w:tcW w:w="6140" w:type="dxa"/>
            <w:vAlign w:val="bottom"/>
          </w:tcPr>
          <w:p>
            <w:pPr>
              <w:spacing w:after="0"/>
              <w:rPr>
                <w:sz w:val="20"/>
                <w:szCs w:val="20"/>
                <w:color w:val="auto"/>
              </w:rPr>
            </w:pPr>
            <w:r>
              <w:rPr>
                <w:rFonts w:ascii="Arial" w:cs="Arial" w:eastAsia="Arial" w:hAnsi="Arial"/>
                <w:sz w:val="12"/>
                <w:szCs w:val="12"/>
                <w:color w:val="auto"/>
              </w:rPr>
              <w:t>Proceeds from exercise of warrants</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294</w:t>
            </w:r>
          </w:p>
        </w:tc>
        <w:tc>
          <w:tcPr>
            <w:tcW w:w="6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spacing w:after="0"/>
              <w:rPr>
                <w:sz w:val="20"/>
                <w:szCs w:val="20"/>
                <w:color w:val="auto"/>
              </w:rPr>
            </w:pPr>
            <w:r>
              <w:rPr>
                <w:rFonts w:ascii="Arial" w:cs="Arial" w:eastAsia="Arial" w:hAnsi="Arial"/>
                <w:sz w:val="12"/>
                <w:szCs w:val="12"/>
                <w:color w:val="auto"/>
              </w:rPr>
              <w:t>Contingent consideration paid for acquisitions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(3,800)</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(1,307)</w:t>
            </w:r>
          </w:p>
        </w:tc>
        <w:tc>
          <w:tcPr>
            <w:tcW w:w="0" w:type="dxa"/>
            <w:vAlign w:val="bottom"/>
          </w:tcPr>
          <w:p>
            <w:pPr>
              <w:spacing w:after="0"/>
              <w:rPr>
                <w:sz w:val="1"/>
                <w:szCs w:val="1"/>
                <w:color w:val="auto"/>
              </w:rPr>
            </w:pPr>
          </w:p>
        </w:tc>
      </w:tr>
      <w:tr>
        <w:trPr>
          <w:trHeight w:val="144"/>
        </w:trPr>
        <w:tc>
          <w:tcPr>
            <w:tcW w:w="6140" w:type="dxa"/>
            <w:vAlign w:val="bottom"/>
          </w:tcPr>
          <w:p>
            <w:pPr>
              <w:spacing w:after="0"/>
              <w:rPr>
                <w:sz w:val="20"/>
                <w:szCs w:val="20"/>
                <w:color w:val="auto"/>
              </w:rPr>
            </w:pPr>
            <w:r>
              <w:rPr>
                <w:rFonts w:ascii="Arial" w:cs="Arial" w:eastAsia="Arial" w:hAnsi="Arial"/>
                <w:sz w:val="12"/>
                <w:szCs w:val="12"/>
                <w:color w:val="auto"/>
              </w:rPr>
              <w:t>Proceeds from exercise of stock options</w:t>
            </w:r>
          </w:p>
        </w:tc>
        <w:tc>
          <w:tcPr>
            <w:tcW w:w="460" w:type="dxa"/>
            <w:vAlign w:val="bottom"/>
          </w:tcPr>
          <w:p>
            <w:pPr>
              <w:jc w:val="right"/>
              <w:spacing w:after="0"/>
              <w:rPr>
                <w:sz w:val="20"/>
                <w:szCs w:val="20"/>
                <w:color w:val="auto"/>
              </w:rPr>
            </w:pPr>
            <w:r>
              <w:rPr>
                <w:rFonts w:ascii="Arial" w:cs="Arial" w:eastAsia="Arial" w:hAnsi="Arial"/>
                <w:sz w:val="12"/>
                <w:szCs w:val="12"/>
                <w:color w:val="auto"/>
              </w:rPr>
              <w:t>4,098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606</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40" w:type="dxa"/>
            <w:vAlign w:val="bottom"/>
            <w:shd w:val="clear" w:color="auto" w:fill="CCEEFF"/>
          </w:tcPr>
          <w:p>
            <w:pPr>
              <w:ind w:left="720"/>
              <w:spacing w:after="0"/>
              <w:rPr>
                <w:sz w:val="20"/>
                <w:szCs w:val="20"/>
                <w:color w:val="auto"/>
              </w:rPr>
            </w:pPr>
            <w:r>
              <w:rPr>
                <w:rFonts w:ascii="Arial" w:cs="Arial" w:eastAsia="Arial" w:hAnsi="Arial"/>
                <w:sz w:val="12"/>
                <w:szCs w:val="12"/>
                <w:color w:val="auto"/>
              </w:rPr>
              <w:t>Net cash provided by (used in) financing activities</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324,676</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2"/>
              </w:rPr>
              <w:t>118,882</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2"/>
                <w:szCs w:val="12"/>
                <w:color w:val="auto"/>
              </w:rPr>
              <w:t>Effect of exchange rates changes on cash and cash equivalents</w:t>
            </w: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40" w:type="dxa"/>
            <w:vAlign w:val="bottom"/>
            <w:vMerge w:val="continue"/>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(55)</w:t>
            </w: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(148)</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(decrease) increase in cash, cash equivalents and restricted cash</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344,078</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9,955</w:t>
            </w:r>
          </w:p>
        </w:tc>
        <w:tc>
          <w:tcPr>
            <w:tcW w:w="0" w:type="dxa"/>
            <w:vAlign w:val="bottom"/>
          </w:tcPr>
          <w:p>
            <w:pPr>
              <w:spacing w:after="0"/>
              <w:rPr>
                <w:sz w:val="1"/>
                <w:szCs w:val="1"/>
                <w:color w:val="auto"/>
              </w:rPr>
            </w:pPr>
          </w:p>
        </w:tc>
      </w:tr>
      <w:tr>
        <w:trPr>
          <w:trHeight w:val="144"/>
        </w:trPr>
        <w:tc>
          <w:tcPr>
            <w:tcW w:w="6140" w:type="dxa"/>
            <w:vAlign w:val="bottom"/>
          </w:tcPr>
          <w:p>
            <w:pPr>
              <w:spacing w:after="0"/>
              <w:rPr>
                <w:sz w:val="20"/>
                <w:szCs w:val="20"/>
                <w:color w:val="auto"/>
              </w:rPr>
            </w:pPr>
            <w:r>
              <w:rPr>
                <w:rFonts w:ascii="Arial" w:cs="Arial" w:eastAsia="Arial" w:hAnsi="Arial"/>
                <w:sz w:val="12"/>
                <w:szCs w:val="12"/>
                <w:b w:val="1"/>
                <w:bCs w:val="1"/>
                <w:color w:val="auto"/>
              </w:rPr>
              <w:t>Cash, cash equivalents and restricted cash, beginning of period</w:t>
            </w:r>
          </w:p>
        </w:tc>
        <w:tc>
          <w:tcPr>
            <w:tcW w:w="460" w:type="dxa"/>
            <w:vAlign w:val="bottom"/>
          </w:tcPr>
          <w:p>
            <w:pPr>
              <w:jc w:val="right"/>
              <w:spacing w:after="0"/>
              <w:rPr>
                <w:sz w:val="20"/>
                <w:szCs w:val="20"/>
                <w:color w:val="auto"/>
              </w:rPr>
            </w:pPr>
            <w:r>
              <w:rPr>
                <w:rFonts w:ascii="Arial" w:cs="Arial" w:eastAsia="Arial" w:hAnsi="Arial"/>
                <w:sz w:val="12"/>
                <w:szCs w:val="12"/>
                <w:color w:val="auto"/>
              </w:rPr>
              <w:t>109,052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86,027</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cash equivalents and restricted cash, end of period</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u w:val="single" w:color="auto"/>
                <w:color w:val="auto"/>
                <w:w w:val="87"/>
              </w:rPr>
              <w:t>$</w:t>
            </w:r>
            <w:r>
              <w:rPr>
                <w:rFonts w:ascii="Arial" w:cs="Arial" w:eastAsia="Arial" w:hAnsi="Arial"/>
                <w:sz w:val="12"/>
                <w:szCs w:val="12"/>
                <w:color w:val="auto"/>
                <w:w w:val="87"/>
              </w:rPr>
              <w:t>453,130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95,982</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6" w:right="1440"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Reconciliation of Non-GAAP Financial Measures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(Amounts in millions)</w:t>
      </w:r>
    </w:p>
    <w:p>
      <w:pPr>
        <w:spacing w:after="0" w:line="138"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060" w:type="dxa"/>
            <w:vAlign w:val="bottom"/>
          </w:tcPr>
          <w:p>
            <w:pPr>
              <w:spacing w:after="0"/>
              <w:rPr>
                <w:sz w:val="10"/>
                <w:szCs w:val="10"/>
                <w:color w:val="auto"/>
              </w:rPr>
            </w:pPr>
          </w:p>
        </w:tc>
        <w:tc>
          <w:tcPr>
            <w:tcW w:w="1220" w:type="dxa"/>
            <w:vAlign w:val="bottom"/>
            <w:gridSpan w:val="5"/>
          </w:tcPr>
          <w:p>
            <w:pPr>
              <w:ind w:left="40"/>
              <w:spacing w:after="0"/>
              <w:rPr>
                <w:sz w:val="20"/>
                <w:szCs w:val="20"/>
                <w:color w:val="auto"/>
              </w:rPr>
            </w:pPr>
            <w:r>
              <w:rPr>
                <w:rFonts w:ascii="Arial" w:cs="Arial" w:eastAsia="Arial" w:hAnsi="Arial"/>
                <w:sz w:val="10"/>
                <w:szCs w:val="10"/>
                <w:b w:val="1"/>
                <w:bCs w:val="1"/>
                <w:color w:val="auto"/>
              </w:rPr>
              <w:t>Three Months Ended</w:t>
            </w:r>
          </w:p>
        </w:tc>
        <w:tc>
          <w:tcPr>
            <w:tcW w:w="1060" w:type="dxa"/>
            <w:vAlign w:val="bottom"/>
            <w:gridSpan w:val="4"/>
          </w:tcPr>
          <w:p>
            <w:pPr>
              <w:jc w:val="right"/>
              <w:ind w:right="180"/>
              <w:spacing w:after="0"/>
              <w:rPr>
                <w:sz w:val="20"/>
                <w:szCs w:val="20"/>
                <w:color w:val="auto"/>
              </w:rPr>
            </w:pPr>
            <w:r>
              <w:rPr>
                <w:rFonts w:ascii="Arial" w:cs="Arial" w:eastAsia="Arial" w:hAnsi="Arial"/>
                <w:sz w:val="10"/>
                <w:szCs w:val="10"/>
                <w:b w:val="1"/>
                <w:bCs w:val="1"/>
                <w:color w:val="auto"/>
                <w:w w:val="92"/>
              </w:rPr>
              <w:t>Nine Months Ended</w:t>
            </w:r>
          </w:p>
        </w:tc>
        <w:tc>
          <w:tcPr>
            <w:tcW w:w="0" w:type="dxa"/>
            <w:vAlign w:val="bottom"/>
          </w:tcPr>
          <w:p>
            <w:pPr>
              <w:spacing w:after="0"/>
              <w:rPr>
                <w:sz w:val="1"/>
                <w:szCs w:val="1"/>
                <w:color w:val="auto"/>
              </w:rPr>
            </w:pPr>
          </w:p>
        </w:tc>
      </w:tr>
      <w:tr>
        <w:trPr>
          <w:trHeight w:val="113"/>
        </w:trPr>
        <w:tc>
          <w:tcPr>
            <w:tcW w:w="5060" w:type="dxa"/>
            <w:vAlign w:val="bottom"/>
          </w:tcPr>
          <w:p>
            <w:pPr>
              <w:spacing w:after="0"/>
              <w:rPr>
                <w:sz w:val="9"/>
                <w:szCs w:val="9"/>
                <w:color w:val="auto"/>
              </w:rPr>
            </w:pPr>
          </w:p>
        </w:tc>
        <w:tc>
          <w:tcPr>
            <w:tcW w:w="1220" w:type="dxa"/>
            <w:vAlign w:val="bottom"/>
            <w:gridSpan w:val="5"/>
          </w:tcPr>
          <w:p>
            <w:pPr>
              <w:jc w:val="right"/>
              <w:ind w:right="440"/>
              <w:spacing w:after="0" w:line="114" w:lineRule="exact"/>
              <w:rPr>
                <w:sz w:val="20"/>
                <w:szCs w:val="20"/>
                <w:color w:val="auto"/>
              </w:rPr>
            </w:pPr>
            <w:r>
              <w:rPr>
                <w:rFonts w:ascii="Arial" w:cs="Arial" w:eastAsia="Arial" w:hAnsi="Arial"/>
                <w:sz w:val="10"/>
                <w:szCs w:val="10"/>
                <w:b w:val="1"/>
                <w:bCs w:val="1"/>
                <w:color w:val="auto"/>
              </w:rPr>
              <w:t>September 30,</w:t>
            </w:r>
          </w:p>
        </w:tc>
        <w:tc>
          <w:tcPr>
            <w:tcW w:w="1060" w:type="dxa"/>
            <w:vAlign w:val="bottom"/>
            <w:gridSpan w:val="4"/>
          </w:tcPr>
          <w:p>
            <w:pPr>
              <w:jc w:val="right"/>
              <w:ind w:right="300"/>
              <w:spacing w:after="0" w:line="114"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88"/>
        </w:trPr>
        <w:tc>
          <w:tcPr>
            <w:tcW w:w="5060" w:type="dxa"/>
            <w:vAlign w:val="bottom"/>
            <w:tcBorders>
              <w:bottom w:val="single" w:sz="8" w:color="CCEEFF"/>
            </w:tcBorders>
          </w:tcPr>
          <w:p>
            <w:pPr>
              <w:spacing w:after="0"/>
              <w:rPr>
                <w:sz w:val="7"/>
                <w:szCs w:val="7"/>
                <w:color w:val="auto"/>
              </w:rPr>
            </w:pPr>
          </w:p>
        </w:tc>
        <w:tc>
          <w:tcPr>
            <w:tcW w:w="320" w:type="dxa"/>
            <w:vAlign w:val="bottom"/>
            <w:tcBorders>
              <w:top w:val="single" w:sz="8" w:color="auto"/>
              <w:bottom w:val="single" w:sz="8" w:color="auto"/>
            </w:tcBorders>
          </w:tcPr>
          <w:p>
            <w:pPr>
              <w:jc w:val="right"/>
              <w:ind w:right="2"/>
              <w:spacing w:after="0" w:line="88" w:lineRule="exact"/>
              <w:rPr>
                <w:sz w:val="20"/>
                <w:szCs w:val="20"/>
                <w:color w:val="auto"/>
              </w:rPr>
            </w:pPr>
            <w:r>
              <w:rPr>
                <w:rFonts w:ascii="Arial" w:cs="Arial" w:eastAsia="Arial" w:hAnsi="Arial"/>
                <w:sz w:val="10"/>
                <w:szCs w:val="10"/>
                <w:b w:val="1"/>
                <w:bCs w:val="1"/>
                <w:color w:val="auto"/>
              </w:rPr>
              <w:t>2021</w:t>
            </w:r>
          </w:p>
        </w:tc>
        <w:tc>
          <w:tcPr>
            <w:tcW w:w="30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280" w:type="dxa"/>
            <w:vAlign w:val="bottom"/>
            <w:tcBorders>
              <w:top w:val="single" w:sz="8" w:color="auto"/>
              <w:bottom w:val="single" w:sz="8" w:color="auto"/>
            </w:tcBorders>
          </w:tcPr>
          <w:p>
            <w:pPr>
              <w:jc w:val="right"/>
              <w:ind w:right="20"/>
              <w:spacing w:after="0" w:line="88" w:lineRule="exact"/>
              <w:rPr>
                <w:sz w:val="20"/>
                <w:szCs w:val="20"/>
                <w:color w:val="auto"/>
              </w:rPr>
            </w:pPr>
            <w:r>
              <w:rPr>
                <w:rFonts w:ascii="Arial" w:cs="Arial" w:eastAsia="Arial" w:hAnsi="Arial"/>
                <w:sz w:val="10"/>
                <w:szCs w:val="10"/>
                <w:b w:val="1"/>
                <w:bCs w:val="1"/>
                <w:color w:val="auto"/>
                <w:w w:val="80"/>
              </w:rPr>
              <w:t>2020</w:t>
            </w:r>
          </w:p>
        </w:tc>
        <w:tc>
          <w:tcPr>
            <w:tcW w:w="260" w:type="dxa"/>
            <w:vAlign w:val="bottom"/>
            <w:tcBorders>
              <w:bottom w:val="single" w:sz="8" w:color="CCEEFF"/>
            </w:tcBorders>
          </w:tcPr>
          <w:p>
            <w:pPr>
              <w:spacing w:after="0"/>
              <w:rPr>
                <w:sz w:val="7"/>
                <w:szCs w:val="7"/>
                <w:color w:val="auto"/>
              </w:rPr>
            </w:pPr>
          </w:p>
        </w:tc>
        <w:tc>
          <w:tcPr>
            <w:tcW w:w="340" w:type="dxa"/>
            <w:vAlign w:val="bottom"/>
            <w:tcBorders>
              <w:top w:val="single" w:sz="8" w:color="auto"/>
              <w:bottom w:val="single" w:sz="8" w:color="auto"/>
            </w:tcBorders>
          </w:tcPr>
          <w:p>
            <w:pPr>
              <w:ind w:left="80"/>
              <w:spacing w:after="0" w:line="88" w:lineRule="exact"/>
              <w:rPr>
                <w:sz w:val="20"/>
                <w:szCs w:val="20"/>
                <w:color w:val="auto"/>
              </w:rPr>
            </w:pPr>
            <w:r>
              <w:rPr>
                <w:rFonts w:ascii="Arial" w:cs="Arial" w:eastAsia="Arial" w:hAnsi="Arial"/>
                <w:sz w:val="10"/>
                <w:szCs w:val="10"/>
                <w:b w:val="1"/>
                <w:bCs w:val="1"/>
                <w:color w:val="auto"/>
                <w:w w:val="98"/>
              </w:rPr>
              <w:t>2021</w:t>
            </w:r>
          </w:p>
        </w:tc>
        <w:tc>
          <w:tcPr>
            <w:tcW w:w="320" w:type="dxa"/>
            <w:vAlign w:val="bottom"/>
            <w:tcBorders>
              <w:top w:val="single" w:sz="8" w:color="auto"/>
              <w:bottom w:val="single" w:sz="8" w:color="CCEEFF"/>
            </w:tcBorders>
          </w:tcPr>
          <w:p>
            <w:pPr>
              <w:spacing w:after="0"/>
              <w:rPr>
                <w:sz w:val="7"/>
                <w:szCs w:val="7"/>
                <w:color w:val="auto"/>
              </w:rPr>
            </w:pPr>
          </w:p>
        </w:tc>
        <w:tc>
          <w:tcPr>
            <w:tcW w:w="260" w:type="dxa"/>
            <w:vAlign w:val="bottom"/>
            <w:tcBorders>
              <w:top w:val="single" w:sz="8" w:color="auto"/>
              <w:bottom w:val="single" w:sz="8" w:color="auto"/>
            </w:tcBorders>
          </w:tcPr>
          <w:p>
            <w:pPr>
              <w:jc w:val="right"/>
              <w:ind w:right="1"/>
              <w:spacing w:after="0" w:line="88" w:lineRule="exact"/>
              <w:rPr>
                <w:sz w:val="20"/>
                <w:szCs w:val="20"/>
                <w:color w:val="auto"/>
              </w:rPr>
            </w:pPr>
            <w:r>
              <w:rPr>
                <w:rFonts w:ascii="Arial" w:cs="Arial" w:eastAsia="Arial" w:hAnsi="Arial"/>
                <w:sz w:val="10"/>
                <w:szCs w:val="10"/>
                <w:b w:val="1"/>
                <w:bCs w:val="1"/>
                <w:color w:val="auto"/>
                <w:w w:val="80"/>
              </w:rPr>
              <w:t>2020</w:t>
            </w:r>
          </w:p>
        </w:tc>
        <w:tc>
          <w:tcPr>
            <w:tcW w:w="14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5060" w:type="dxa"/>
            <w:vAlign w:val="bottom"/>
            <w:tcBorders>
              <w:right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$ 67.8</w:t>
            </w:r>
          </w:p>
        </w:tc>
        <w:tc>
          <w:tcPr>
            <w:tcW w:w="300" w:type="dxa"/>
            <w:vAlign w:val="bottom"/>
            <w:tcBorders>
              <w:left w:val="single" w:sz="8" w:color="CCEEFF"/>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42.1</w:t>
            </w:r>
          </w:p>
        </w:tc>
        <w:tc>
          <w:tcPr>
            <w:tcW w:w="260" w:type="dxa"/>
            <w:vAlign w:val="bottom"/>
            <w:tcBorders>
              <w:lef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7"/>
              </w:rPr>
              <w:t>$149.8</w:t>
            </w:r>
          </w:p>
        </w:tc>
        <w:tc>
          <w:tcPr>
            <w:tcW w:w="320" w:type="dxa"/>
            <w:vAlign w:val="bottom"/>
            <w:tcBorders>
              <w:left w:val="single" w:sz="8" w:color="CCEEFF"/>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71"/>
              </w:rPr>
              <w:t>$ 98.6</w:t>
            </w:r>
          </w:p>
        </w:tc>
        <w:tc>
          <w:tcPr>
            <w:tcW w:w="14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060" w:type="dxa"/>
            <w:vAlign w:val="bottom"/>
          </w:tcPr>
          <w:p>
            <w:pPr>
              <w:spacing w:after="0"/>
              <w:rPr>
                <w:sz w:val="20"/>
                <w:szCs w:val="20"/>
                <w:color w:val="auto"/>
              </w:rPr>
            </w:pPr>
            <w:r>
              <w:rPr>
                <w:rFonts w:ascii="Arial" w:cs="Arial" w:eastAsia="Arial" w:hAnsi="Arial"/>
                <w:sz w:val="12"/>
                <w:szCs w:val="12"/>
                <w:color w:val="auto"/>
              </w:rPr>
              <w:t>Adjusted to exclude gross up for:</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Pass through cost for printing and mailing</w:t>
            </w:r>
          </w:p>
        </w:tc>
        <w:tc>
          <w:tcPr>
            <w:tcW w:w="6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(5.0)</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(4.0)</w:t>
            </w:r>
          </w:p>
        </w:tc>
        <w:tc>
          <w:tcPr>
            <w:tcW w:w="6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(13.4)</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(12.1)</w:t>
            </w:r>
          </w:p>
        </w:tc>
        <w:tc>
          <w:tcPr>
            <w:tcW w:w="14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60" w:type="dxa"/>
            <w:vAlign w:val="bottom"/>
          </w:tcPr>
          <w:p>
            <w:pPr>
              <w:ind w:left="240"/>
              <w:spacing w:after="0"/>
              <w:rPr>
                <w:sz w:val="20"/>
                <w:szCs w:val="20"/>
                <w:color w:val="auto"/>
              </w:rPr>
            </w:pPr>
            <w:r>
              <w:rPr>
                <w:rFonts w:ascii="Arial" w:cs="Arial" w:eastAsia="Arial" w:hAnsi="Arial"/>
                <w:sz w:val="12"/>
                <w:szCs w:val="12"/>
                <w:color w:val="auto"/>
              </w:rPr>
              <w:t>Marketing fees</w:t>
            </w:r>
          </w:p>
        </w:tc>
        <w:tc>
          <w:tcPr>
            <w:tcW w:w="620" w:type="dxa"/>
            <w:vAlign w:val="bottom"/>
            <w:gridSpan w:val="2"/>
          </w:tcPr>
          <w:p>
            <w:pPr>
              <w:jc w:val="right"/>
              <w:ind w:right="260"/>
              <w:spacing w:after="0"/>
              <w:rPr>
                <w:sz w:val="20"/>
                <w:szCs w:val="20"/>
                <w:color w:val="auto"/>
              </w:rPr>
            </w:pPr>
            <w:r>
              <w:rPr>
                <w:rFonts w:ascii="Arial" w:cs="Arial" w:eastAsia="Arial" w:hAnsi="Arial"/>
                <w:sz w:val="12"/>
                <w:szCs w:val="12"/>
                <w:color w:val="auto"/>
              </w:rPr>
              <w:t>(0.8)</w:t>
            </w:r>
          </w:p>
        </w:tc>
        <w:tc>
          <w:tcPr>
            <w:tcW w:w="6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rPr>
              <w:t>(0.9)</w:t>
            </w: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(1.2)</w:t>
            </w:r>
          </w:p>
        </w:tc>
        <w:tc>
          <w:tcPr>
            <w:tcW w:w="260" w:type="dxa"/>
            <w:vAlign w:val="bottom"/>
          </w:tcPr>
          <w:p>
            <w:pPr>
              <w:jc w:val="right"/>
              <w:spacing w:after="0"/>
              <w:rPr>
                <w:sz w:val="20"/>
                <w:szCs w:val="20"/>
                <w:color w:val="auto"/>
              </w:rPr>
            </w:pPr>
            <w:r>
              <w:rPr>
                <w:rFonts w:ascii="Arial" w:cs="Arial" w:eastAsia="Arial" w:hAnsi="Arial"/>
                <w:sz w:val="12"/>
                <w:szCs w:val="12"/>
                <w:color w:val="auto"/>
              </w:rPr>
              <w:t>(1.3)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Revenue Less Ancillary Services</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$ 62.0</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37.2</w:t>
            </w:r>
          </w:p>
        </w:tc>
        <w:tc>
          <w:tcPr>
            <w:tcW w:w="26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u w:val="single" w:color="auto"/>
                <w:color w:val="auto"/>
                <w:w w:val="87"/>
              </w:rPr>
              <w:t>$</w:t>
            </w:r>
            <w:r>
              <w:rPr>
                <w:rFonts w:ascii="Arial" w:cs="Arial" w:eastAsia="Arial" w:hAnsi="Arial"/>
                <w:sz w:val="12"/>
                <w:szCs w:val="12"/>
                <w:color w:val="auto"/>
                <w:w w:val="87"/>
              </w:rPr>
              <w:t>135.2</w:t>
            </w:r>
          </w:p>
        </w:tc>
        <w:tc>
          <w:tcPr>
            <w:tcW w:w="320" w:type="dxa"/>
            <w:vAlign w:val="bottom"/>
            <w:tcBorders>
              <w:left w:val="single" w:sz="8" w:color="CCEEFF"/>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1"/>
              </w:rPr>
              <w:t>$ 85.2</w:t>
            </w:r>
          </w:p>
        </w:tc>
        <w:tc>
          <w:tcPr>
            <w:tcW w:w="14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2"/>
                <w:szCs w:val="12"/>
                <w:color w:val="auto"/>
              </w:rPr>
              <w:t>Payment processing services Costs</w:t>
            </w: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60" w:type="dxa"/>
            <w:vAlign w:val="bottom"/>
            <w:vMerge w:val="continue"/>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21.7</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13.8</w:t>
            </w:r>
          </w:p>
        </w:tc>
        <w:tc>
          <w:tcPr>
            <w:tcW w:w="2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50.9</w:t>
            </w:r>
          </w:p>
        </w:tc>
        <w:tc>
          <w:tcPr>
            <w:tcW w:w="3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36.3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60" w:type="dxa"/>
            <w:vAlign w:val="bottom"/>
            <w:tcBorders>
              <w:right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Hosting and amortization costs within technology and development</w:t>
            </w:r>
          </w:p>
        </w:tc>
        <w:tc>
          <w:tcPr>
            <w:tcW w:w="320" w:type="dxa"/>
            <w:vAlign w:val="bottom"/>
            <w:shd w:val="clear" w:color="auto" w:fill="CCEEFF"/>
          </w:tcPr>
          <w:p>
            <w:pPr>
              <w:spacing w:after="0"/>
              <w:rPr>
                <w:sz w:val="11"/>
                <w:szCs w:val="11"/>
                <w:color w:val="auto"/>
              </w:rPr>
            </w:pPr>
          </w:p>
        </w:tc>
        <w:tc>
          <w:tcPr>
            <w:tcW w:w="300" w:type="dxa"/>
            <w:vAlign w:val="bottom"/>
            <w:tcBorders>
              <w:left w:val="single" w:sz="8" w:color="CCEEFF"/>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tcBorders>
              <w:lef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tcBorders>
              <w:left w:val="single" w:sz="8" w:color="CCEEFF"/>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expenses</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30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1.2</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32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060" w:type="dxa"/>
            <w:vAlign w:val="bottom"/>
          </w:tcPr>
          <w:p>
            <w:pPr>
              <w:spacing w:after="0"/>
              <w:rPr>
                <w:sz w:val="20"/>
                <w:szCs w:val="20"/>
                <w:color w:val="auto"/>
              </w:rPr>
            </w:pPr>
            <w:r>
              <w:rPr>
                <w:rFonts w:ascii="Arial" w:cs="Arial" w:eastAsia="Arial" w:hAnsi="Arial"/>
                <w:sz w:val="12"/>
                <w:szCs w:val="12"/>
                <w:color w:val="auto"/>
              </w:rPr>
              <w:t>Adjusted to:</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Exclude printing and mailing costs</w:t>
            </w:r>
          </w:p>
        </w:tc>
        <w:tc>
          <w:tcPr>
            <w:tcW w:w="6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(5.0)</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(4.0)</w:t>
            </w:r>
          </w:p>
        </w:tc>
        <w:tc>
          <w:tcPr>
            <w:tcW w:w="6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(13.4)</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(12.1)</w:t>
            </w:r>
          </w:p>
        </w:tc>
        <w:tc>
          <w:tcPr>
            <w:tcW w:w="14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60" w:type="dxa"/>
            <w:vAlign w:val="bottom"/>
          </w:tcPr>
          <w:p>
            <w:pPr>
              <w:ind w:left="240"/>
              <w:spacing w:after="0"/>
              <w:rPr>
                <w:sz w:val="20"/>
                <w:szCs w:val="20"/>
                <w:color w:val="auto"/>
              </w:rPr>
            </w:pPr>
            <w:r>
              <w:rPr>
                <w:rFonts w:ascii="Arial" w:cs="Arial" w:eastAsia="Arial" w:hAnsi="Arial"/>
                <w:sz w:val="12"/>
                <w:szCs w:val="12"/>
                <w:color w:val="auto"/>
              </w:rPr>
              <w:t>Offset marketing fees against related costs</w:t>
            </w:r>
          </w:p>
        </w:tc>
        <w:tc>
          <w:tcPr>
            <w:tcW w:w="620" w:type="dxa"/>
            <w:vAlign w:val="bottom"/>
            <w:gridSpan w:val="2"/>
          </w:tcPr>
          <w:p>
            <w:pPr>
              <w:jc w:val="right"/>
              <w:ind w:right="260"/>
              <w:spacing w:after="0"/>
              <w:rPr>
                <w:sz w:val="20"/>
                <w:szCs w:val="20"/>
                <w:color w:val="auto"/>
              </w:rPr>
            </w:pPr>
            <w:r>
              <w:rPr>
                <w:rFonts w:ascii="Arial" w:cs="Arial" w:eastAsia="Arial" w:hAnsi="Arial"/>
                <w:sz w:val="12"/>
                <w:szCs w:val="12"/>
                <w:color w:val="auto"/>
              </w:rPr>
              <w:t>(0.8)</w:t>
            </w:r>
          </w:p>
        </w:tc>
        <w:tc>
          <w:tcPr>
            <w:tcW w:w="6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rPr>
              <w:t>(0.9)</w:t>
            </w: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(1.2)</w:t>
            </w:r>
          </w:p>
        </w:tc>
        <w:tc>
          <w:tcPr>
            <w:tcW w:w="260" w:type="dxa"/>
            <w:vAlign w:val="bottom"/>
          </w:tcPr>
          <w:p>
            <w:pPr>
              <w:jc w:val="right"/>
              <w:spacing w:after="0"/>
              <w:rPr>
                <w:sz w:val="20"/>
                <w:szCs w:val="20"/>
                <w:color w:val="auto"/>
              </w:rPr>
            </w:pPr>
            <w:r>
              <w:rPr>
                <w:rFonts w:ascii="Arial" w:cs="Arial" w:eastAsia="Arial" w:hAnsi="Arial"/>
                <w:sz w:val="12"/>
                <w:szCs w:val="12"/>
                <w:color w:val="auto"/>
              </w:rPr>
              <w:t>(1.3)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Costs of revenue less ancillary services</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26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w:t>
            </w:r>
          </w:p>
        </w:tc>
        <w:tc>
          <w:tcPr>
            <w:tcW w:w="320" w:type="dxa"/>
            <w:vAlign w:val="bottom"/>
            <w:tcBorders>
              <w:left w:val="single" w:sz="8" w:color="CCEEFF"/>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w:t>
            </w:r>
          </w:p>
        </w:tc>
        <w:tc>
          <w:tcPr>
            <w:tcW w:w="14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2"/>
                <w:szCs w:val="12"/>
                <w:color w:val="auto"/>
              </w:rPr>
              <w:t>Gross Profit</w:t>
            </w: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60" w:type="dxa"/>
            <w:vAlign w:val="bottom"/>
            <w:vMerge w:val="continue"/>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44.6</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27.1</w:t>
            </w:r>
          </w:p>
        </w:tc>
        <w:tc>
          <w:tcPr>
            <w:tcW w:w="2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94.7</w:t>
            </w:r>
          </w:p>
        </w:tc>
        <w:tc>
          <w:tcPr>
            <w:tcW w:w="3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58.9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Gross Margin</w:t>
            </w:r>
          </w:p>
        </w:tc>
        <w:tc>
          <w:tcPr>
            <w:tcW w:w="6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65.8%</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64.4%</w:t>
            </w:r>
          </w:p>
        </w:tc>
        <w:tc>
          <w:tcPr>
            <w:tcW w:w="6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63.2%</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59.7%</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2"/>
                <w:szCs w:val="12"/>
                <w:color w:val="auto"/>
              </w:rPr>
              <w:t>Adjusted Gross Profit</w:t>
            </w: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60" w:type="dxa"/>
            <w:vAlign w:val="bottom"/>
            <w:vMerge w:val="continue"/>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44.6</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27.1</w:t>
            </w:r>
          </w:p>
        </w:tc>
        <w:tc>
          <w:tcPr>
            <w:tcW w:w="2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94.7</w:t>
            </w:r>
          </w:p>
        </w:tc>
        <w:tc>
          <w:tcPr>
            <w:tcW w:w="3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58.9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Adjusted Gross Margin</w:t>
            </w:r>
          </w:p>
        </w:tc>
        <w:tc>
          <w:tcPr>
            <w:tcW w:w="6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71.9%</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72.8%</w:t>
            </w:r>
          </w:p>
        </w:tc>
        <w:tc>
          <w:tcPr>
            <w:tcW w:w="6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69.1%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060" w:type="dxa"/>
            <w:vAlign w:val="bottom"/>
          </w:tcPr>
          <w:p>
            <w:pPr>
              <w:spacing w:after="0"/>
              <w:rPr>
                <w:sz w:val="21"/>
                <w:szCs w:val="21"/>
                <w:color w:val="auto"/>
              </w:rPr>
            </w:pPr>
          </w:p>
        </w:tc>
        <w:tc>
          <w:tcPr>
            <w:tcW w:w="122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w w:val="88"/>
              </w:rPr>
              <w:t>Three Months Ended</w:t>
            </w:r>
          </w:p>
        </w:tc>
        <w:tc>
          <w:tcPr>
            <w:tcW w:w="1060" w:type="dxa"/>
            <w:vAlign w:val="bottom"/>
            <w:gridSpan w:val="4"/>
          </w:tcPr>
          <w:p>
            <w:pPr>
              <w:ind w:left="80"/>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113"/>
        </w:trPr>
        <w:tc>
          <w:tcPr>
            <w:tcW w:w="5060" w:type="dxa"/>
            <w:vAlign w:val="bottom"/>
          </w:tcPr>
          <w:p>
            <w:pPr>
              <w:spacing w:after="0"/>
              <w:rPr>
                <w:sz w:val="9"/>
                <w:szCs w:val="9"/>
                <w:color w:val="auto"/>
              </w:rPr>
            </w:pPr>
          </w:p>
        </w:tc>
        <w:tc>
          <w:tcPr>
            <w:tcW w:w="1220" w:type="dxa"/>
            <w:vAlign w:val="bottom"/>
            <w:gridSpan w:val="5"/>
          </w:tcPr>
          <w:p>
            <w:pPr>
              <w:jc w:val="right"/>
              <w:ind w:right="460"/>
              <w:spacing w:after="0" w:line="114" w:lineRule="exact"/>
              <w:rPr>
                <w:sz w:val="20"/>
                <w:szCs w:val="20"/>
                <w:color w:val="auto"/>
              </w:rPr>
            </w:pPr>
            <w:r>
              <w:rPr>
                <w:rFonts w:ascii="Arial" w:cs="Arial" w:eastAsia="Arial" w:hAnsi="Arial"/>
                <w:sz w:val="10"/>
                <w:szCs w:val="10"/>
                <w:b w:val="1"/>
                <w:bCs w:val="1"/>
                <w:color w:val="auto"/>
              </w:rPr>
              <w:t>September 30,</w:t>
            </w:r>
          </w:p>
        </w:tc>
        <w:tc>
          <w:tcPr>
            <w:tcW w:w="1060" w:type="dxa"/>
            <w:vAlign w:val="bottom"/>
            <w:gridSpan w:val="4"/>
          </w:tcPr>
          <w:p>
            <w:pPr>
              <w:jc w:val="right"/>
              <w:ind w:right="280"/>
              <w:spacing w:after="0" w:line="114"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88"/>
        </w:trPr>
        <w:tc>
          <w:tcPr>
            <w:tcW w:w="5060" w:type="dxa"/>
            <w:vAlign w:val="bottom"/>
            <w:tcBorders>
              <w:bottom w:val="single" w:sz="8" w:color="CCEEFF"/>
            </w:tcBorders>
          </w:tcPr>
          <w:p>
            <w:pPr>
              <w:spacing w:after="0"/>
              <w:rPr>
                <w:sz w:val="7"/>
                <w:szCs w:val="7"/>
                <w:color w:val="auto"/>
              </w:rPr>
            </w:pPr>
          </w:p>
        </w:tc>
        <w:tc>
          <w:tcPr>
            <w:tcW w:w="320" w:type="dxa"/>
            <w:vAlign w:val="bottom"/>
            <w:tcBorders>
              <w:top w:val="single" w:sz="8" w:color="auto"/>
              <w:bottom w:val="single" w:sz="8" w:color="auto"/>
            </w:tcBorders>
          </w:tcPr>
          <w:p>
            <w:pPr>
              <w:ind w:left="40"/>
              <w:spacing w:after="0" w:line="88" w:lineRule="exact"/>
              <w:rPr>
                <w:sz w:val="20"/>
                <w:szCs w:val="20"/>
                <w:color w:val="auto"/>
              </w:rPr>
            </w:pPr>
            <w:r>
              <w:rPr>
                <w:rFonts w:ascii="Arial" w:cs="Arial" w:eastAsia="Arial" w:hAnsi="Arial"/>
                <w:sz w:val="10"/>
                <w:szCs w:val="10"/>
                <w:b w:val="1"/>
                <w:bCs w:val="1"/>
                <w:color w:val="auto"/>
              </w:rPr>
              <w:t>2021</w:t>
            </w:r>
          </w:p>
        </w:tc>
        <w:tc>
          <w:tcPr>
            <w:tcW w:w="300" w:type="dxa"/>
            <w:vAlign w:val="bottom"/>
            <w:tcBorders>
              <w:top w:val="single" w:sz="8" w:color="auto"/>
              <w:bottom w:val="single" w:sz="8" w:color="CCEEFF"/>
            </w:tcBorders>
          </w:tcPr>
          <w:p>
            <w:pPr>
              <w:spacing w:after="0"/>
              <w:rPr>
                <w:sz w:val="7"/>
                <w:szCs w:val="7"/>
                <w:color w:val="auto"/>
              </w:rPr>
            </w:pPr>
          </w:p>
        </w:tc>
        <w:tc>
          <w:tcPr>
            <w:tcW w:w="340" w:type="dxa"/>
            <w:vAlign w:val="bottom"/>
            <w:tcBorders>
              <w:top w:val="single" w:sz="8" w:color="auto"/>
              <w:bottom w:val="single" w:sz="8" w:color="auto"/>
            </w:tcBorders>
            <w:gridSpan w:val="2"/>
          </w:tcPr>
          <w:p>
            <w:pPr>
              <w:jc w:val="right"/>
              <w:ind w:right="40"/>
              <w:spacing w:after="0" w:line="88" w:lineRule="exact"/>
              <w:rPr>
                <w:sz w:val="20"/>
                <w:szCs w:val="20"/>
                <w:color w:val="auto"/>
              </w:rPr>
            </w:pPr>
            <w:r>
              <w:rPr>
                <w:rFonts w:ascii="Arial" w:cs="Arial" w:eastAsia="Arial" w:hAnsi="Arial"/>
                <w:sz w:val="10"/>
                <w:szCs w:val="10"/>
                <w:b w:val="1"/>
                <w:bCs w:val="1"/>
                <w:color w:val="auto"/>
                <w:w w:val="98"/>
              </w:rPr>
              <w:t>2020</w:t>
            </w:r>
          </w:p>
        </w:tc>
        <w:tc>
          <w:tcPr>
            <w:tcW w:w="260" w:type="dxa"/>
            <w:vAlign w:val="bottom"/>
            <w:tcBorders>
              <w:bottom w:val="single" w:sz="8" w:color="CCEEFF"/>
            </w:tcBorders>
          </w:tcPr>
          <w:p>
            <w:pPr>
              <w:spacing w:after="0"/>
              <w:rPr>
                <w:sz w:val="7"/>
                <w:szCs w:val="7"/>
                <w:color w:val="auto"/>
              </w:rPr>
            </w:pPr>
          </w:p>
        </w:tc>
        <w:tc>
          <w:tcPr>
            <w:tcW w:w="340" w:type="dxa"/>
            <w:vAlign w:val="bottom"/>
            <w:tcBorders>
              <w:top w:val="single" w:sz="8" w:color="auto"/>
              <w:bottom w:val="single" w:sz="8" w:color="auto"/>
            </w:tcBorders>
          </w:tcPr>
          <w:p>
            <w:pPr>
              <w:ind w:left="100"/>
              <w:spacing w:after="0" w:line="88" w:lineRule="exact"/>
              <w:rPr>
                <w:sz w:val="20"/>
                <w:szCs w:val="20"/>
                <w:color w:val="auto"/>
              </w:rPr>
            </w:pPr>
            <w:r>
              <w:rPr>
                <w:rFonts w:ascii="Arial" w:cs="Arial" w:eastAsia="Arial" w:hAnsi="Arial"/>
                <w:sz w:val="10"/>
                <w:szCs w:val="10"/>
                <w:b w:val="1"/>
                <w:bCs w:val="1"/>
                <w:color w:val="auto"/>
                <w:w w:val="89"/>
              </w:rPr>
              <w:t>2021</w:t>
            </w:r>
          </w:p>
        </w:tc>
        <w:tc>
          <w:tcPr>
            <w:tcW w:w="320" w:type="dxa"/>
            <w:vAlign w:val="bottom"/>
            <w:tcBorders>
              <w:top w:val="single" w:sz="8" w:color="auto"/>
              <w:bottom w:val="single" w:sz="8" w:color="CCEEFF"/>
            </w:tcBorders>
          </w:tcPr>
          <w:p>
            <w:pPr>
              <w:spacing w:after="0"/>
              <w:rPr>
                <w:sz w:val="7"/>
                <w:szCs w:val="7"/>
                <w:color w:val="auto"/>
              </w:rPr>
            </w:pPr>
          </w:p>
        </w:tc>
        <w:tc>
          <w:tcPr>
            <w:tcW w:w="2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5060" w:type="dxa"/>
            <w:vAlign w:val="bottom"/>
            <w:tcBorders>
              <w:right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Net income (loss)</w:t>
            </w: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10.0</w:t>
            </w:r>
          </w:p>
        </w:tc>
        <w:tc>
          <w:tcPr>
            <w:tcW w:w="300" w:type="dxa"/>
            <w:vAlign w:val="bottom"/>
            <w:tcBorders>
              <w:left w:val="single" w:sz="8" w:color="CCEEFF"/>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5.2</w:t>
            </w:r>
          </w:p>
        </w:tc>
        <w:tc>
          <w:tcPr>
            <w:tcW w:w="260" w:type="dxa"/>
            <w:vAlign w:val="bottom"/>
            <w:tcBorders>
              <w:lef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(16.8)</w:t>
            </w:r>
          </w:p>
        </w:tc>
        <w:tc>
          <w:tcPr>
            <w:tcW w:w="4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(7.1)</w:t>
            </w:r>
          </w:p>
        </w:tc>
        <w:tc>
          <w:tcPr>
            <w:tcW w:w="0" w:type="dxa"/>
            <w:vAlign w:val="bottom"/>
          </w:tcPr>
          <w:p>
            <w:pPr>
              <w:spacing w:after="0"/>
              <w:rPr>
                <w:sz w:val="1"/>
                <w:szCs w:val="1"/>
                <w:color w:val="auto"/>
              </w:rPr>
            </w:pPr>
          </w:p>
        </w:tc>
      </w:tr>
      <w:tr>
        <w:trPr>
          <w:trHeight w:val="144"/>
        </w:trPr>
        <w:tc>
          <w:tcPr>
            <w:tcW w:w="5060" w:type="dxa"/>
            <w:vAlign w:val="bottom"/>
          </w:tcPr>
          <w:p>
            <w:pPr>
              <w:spacing w:after="0"/>
              <w:rPr>
                <w:sz w:val="20"/>
                <w:szCs w:val="20"/>
                <w:color w:val="auto"/>
              </w:rPr>
            </w:pPr>
            <w:r>
              <w:rPr>
                <w:rFonts w:ascii="Arial" w:cs="Arial" w:eastAsia="Arial" w:hAnsi="Arial"/>
                <w:sz w:val="12"/>
                <w:szCs w:val="12"/>
                <w:color w:val="auto"/>
              </w:rPr>
              <w:t>Interest expense</w:t>
            </w:r>
          </w:p>
        </w:tc>
        <w:tc>
          <w:tcPr>
            <w:tcW w:w="320" w:type="dxa"/>
            <w:vAlign w:val="bottom"/>
          </w:tcPr>
          <w:p>
            <w:pPr>
              <w:jc w:val="right"/>
              <w:spacing w:after="0"/>
              <w:rPr>
                <w:sz w:val="20"/>
                <w:szCs w:val="20"/>
                <w:color w:val="auto"/>
              </w:rPr>
            </w:pPr>
            <w:r>
              <w:rPr>
                <w:rFonts w:ascii="Arial" w:cs="Arial" w:eastAsia="Arial" w:hAnsi="Arial"/>
                <w:sz w:val="12"/>
                <w:szCs w:val="12"/>
                <w:color w:val="auto"/>
              </w:rPr>
              <w:t>0.5</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0.6</w:t>
            </w:r>
          </w:p>
        </w:tc>
        <w:tc>
          <w:tcPr>
            <w:tcW w:w="26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1.8</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4"/>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Provision for income taxes</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(0.4)</w:t>
            </w:r>
          </w:p>
        </w:tc>
        <w:tc>
          <w:tcPr>
            <w:tcW w:w="6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0.8</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(7.8)</w:t>
            </w:r>
          </w:p>
        </w:tc>
        <w:tc>
          <w:tcPr>
            <w:tcW w:w="0" w:type="dxa"/>
            <w:vAlign w:val="bottom"/>
          </w:tcPr>
          <w:p>
            <w:pPr>
              <w:spacing w:after="0"/>
              <w:rPr>
                <w:sz w:val="1"/>
                <w:szCs w:val="1"/>
                <w:color w:val="auto"/>
              </w:rPr>
            </w:pPr>
          </w:p>
        </w:tc>
      </w:tr>
      <w:tr>
        <w:trPr>
          <w:trHeight w:val="144"/>
        </w:trPr>
        <w:tc>
          <w:tcPr>
            <w:tcW w:w="506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320" w:type="dxa"/>
            <w:vAlign w:val="bottom"/>
          </w:tcPr>
          <w:p>
            <w:pPr>
              <w:jc w:val="right"/>
              <w:spacing w:after="0"/>
              <w:rPr>
                <w:sz w:val="20"/>
                <w:szCs w:val="20"/>
                <w:color w:val="auto"/>
              </w:rPr>
            </w:pPr>
            <w:r>
              <w:rPr>
                <w:rFonts w:ascii="Arial" w:cs="Arial" w:eastAsia="Arial" w:hAnsi="Arial"/>
                <w:sz w:val="12"/>
                <w:szCs w:val="12"/>
                <w:color w:val="auto"/>
              </w:rPr>
              <w:t>2.3</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1.8</w:t>
            </w:r>
          </w:p>
        </w:tc>
        <w:tc>
          <w:tcPr>
            <w:tcW w:w="2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6.6</w:t>
            </w:r>
          </w:p>
        </w:tc>
        <w:tc>
          <w:tcPr>
            <w:tcW w:w="32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20"/>
        </w:trPr>
        <w:tc>
          <w:tcPr>
            <w:tcW w:w="50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EBITDA</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w:t>
            </w:r>
          </w:p>
        </w:tc>
        <w:tc>
          <w:tcPr>
            <w:tcW w:w="260" w:type="dxa"/>
            <w:vAlign w:val="bottom"/>
            <w:tcBorders>
              <w:lef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(7.6)</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44"/>
        </w:trPr>
        <w:tc>
          <w:tcPr>
            <w:tcW w:w="5060" w:type="dxa"/>
            <w:vAlign w:val="bottom"/>
          </w:tcPr>
          <w:p>
            <w:pPr>
              <w:spacing w:after="0"/>
              <w:rPr>
                <w:sz w:val="20"/>
                <w:szCs w:val="20"/>
                <w:color w:val="auto"/>
              </w:rPr>
            </w:pPr>
            <w:r>
              <w:rPr>
                <w:rFonts w:ascii="Arial" w:cs="Arial" w:eastAsia="Arial" w:hAnsi="Arial"/>
                <w:sz w:val="12"/>
                <w:szCs w:val="12"/>
                <w:color w:val="auto"/>
              </w:rPr>
              <w:t>Stock-based compensation expense</w:t>
            </w:r>
          </w:p>
        </w:tc>
        <w:tc>
          <w:tcPr>
            <w:tcW w:w="320" w:type="dxa"/>
            <w:vAlign w:val="bottom"/>
          </w:tcPr>
          <w:p>
            <w:pPr>
              <w:jc w:val="right"/>
              <w:spacing w:after="0"/>
              <w:rPr>
                <w:sz w:val="20"/>
                <w:szCs w:val="20"/>
                <w:color w:val="auto"/>
              </w:rPr>
            </w:pPr>
            <w:r>
              <w:rPr>
                <w:rFonts w:ascii="Arial" w:cs="Arial" w:eastAsia="Arial" w:hAnsi="Arial"/>
                <w:sz w:val="12"/>
                <w:szCs w:val="12"/>
                <w:color w:val="auto"/>
              </w:rPr>
              <w:t>2.8</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1.0</w:t>
            </w:r>
          </w:p>
        </w:tc>
        <w:tc>
          <w:tcPr>
            <w:tcW w:w="26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15.6</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44"/>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Change in fair value of contingent consideration</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w:t>
            </w:r>
          </w:p>
        </w:tc>
        <w:tc>
          <w:tcPr>
            <w:tcW w:w="260" w:type="dxa"/>
            <w:vAlign w:val="bottom"/>
            <w:tcBorders>
              <w:lef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2.1</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44"/>
        </w:trPr>
        <w:tc>
          <w:tcPr>
            <w:tcW w:w="5060" w:type="dxa"/>
            <w:vAlign w:val="bottom"/>
          </w:tcPr>
          <w:p>
            <w:pPr>
              <w:spacing w:after="0"/>
              <w:rPr>
                <w:sz w:val="20"/>
                <w:szCs w:val="20"/>
                <w:color w:val="auto"/>
              </w:rPr>
            </w:pPr>
            <w:r>
              <w:rPr>
                <w:rFonts w:ascii="Arial" w:cs="Arial" w:eastAsia="Arial" w:hAnsi="Arial"/>
                <w:sz w:val="12"/>
                <w:szCs w:val="12"/>
                <w:color w:val="auto"/>
              </w:rPr>
              <w:t>Change in fair value of preferred stock warrant liability</w:t>
            </w:r>
          </w:p>
        </w:tc>
        <w:tc>
          <w:tcPr>
            <w:tcW w:w="62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10.8</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44"/>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Other income (expense), net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6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0.6</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44"/>
        </w:trPr>
        <w:tc>
          <w:tcPr>
            <w:tcW w:w="5060" w:type="dxa"/>
            <w:vAlign w:val="bottom"/>
          </w:tcPr>
          <w:p>
            <w:pPr>
              <w:spacing w:after="0"/>
              <w:rPr>
                <w:sz w:val="20"/>
                <w:szCs w:val="20"/>
                <w:color w:val="auto"/>
              </w:rPr>
            </w:pPr>
            <w:r>
              <w:rPr>
                <w:rFonts w:ascii="Arial" w:cs="Arial" w:eastAsia="Arial" w:hAnsi="Arial"/>
                <w:sz w:val="12"/>
                <w:szCs w:val="12"/>
                <w:color w:val="auto"/>
              </w:rPr>
              <w:t>Acquisition related transaction costs</w:t>
            </w:r>
          </w:p>
        </w:tc>
        <w:tc>
          <w:tcPr>
            <w:tcW w:w="62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44"/>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Acquisition related employee retention costs</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26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320" w:type="dxa"/>
            <w:vAlign w:val="bottom"/>
            <w:tcBorders>
              <w:left w:val="single" w:sz="8" w:color="CCEEFF"/>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20"/>
        </w:trPr>
        <w:tc>
          <w:tcPr>
            <w:tcW w:w="50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60" w:type="dxa"/>
            <w:vAlign w:val="bottom"/>
          </w:tcPr>
          <w:p>
            <w:pPr>
              <w:spacing w:after="0"/>
              <w:rPr>
                <w:sz w:val="20"/>
                <w:szCs w:val="20"/>
                <w:color w:val="auto"/>
              </w:rPr>
            </w:pPr>
            <w:r>
              <w:rPr>
                <w:rFonts w:ascii="Arial" w:cs="Arial" w:eastAsia="Arial" w:hAnsi="Arial"/>
                <w:sz w:val="12"/>
                <w:szCs w:val="12"/>
                <w:color w:val="auto"/>
              </w:rPr>
              <w:t>Adjusted EBITDA</w:t>
            </w:r>
          </w:p>
        </w:tc>
        <w:tc>
          <w:tcPr>
            <w:tcW w:w="320" w:type="dxa"/>
            <w:vAlign w:val="bottom"/>
          </w:tcPr>
          <w:p>
            <w:pPr>
              <w:jc w:val="right"/>
              <w:spacing w:after="0"/>
              <w:rPr>
                <w:sz w:val="20"/>
                <w:szCs w:val="20"/>
                <w:color w:val="auto"/>
              </w:rPr>
            </w:pPr>
            <w:r>
              <w:rPr>
                <w:rFonts w:ascii="Arial" w:cs="Arial" w:eastAsia="Arial" w:hAnsi="Arial"/>
                <w:sz w:val="12"/>
                <w:szCs w:val="12"/>
                <w:color w:val="auto"/>
              </w:rPr>
              <w:t>17.6</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10.2</w:t>
            </w:r>
          </w:p>
        </w:tc>
        <w:tc>
          <w:tcPr>
            <w:tcW w:w="2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24.6</w:t>
            </w:r>
          </w:p>
        </w:tc>
        <w:tc>
          <w:tcPr>
            <w:tcW w:w="32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27"/>
        </w:trPr>
        <w:tc>
          <w:tcPr>
            <w:tcW w:w="50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Borders>
              <w:left w:val="single" w:sz="8" w:color="auto"/>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6" w:right="1440"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tbl>
      <w:tblPr>
        <w:tblLayout w:type="fixed"/>
        <w:tblInd w:w="840" w:type="dxa"/>
        <w:tblCellMar>
          <w:top w:w="0" w:type="dxa"/>
          <w:left w:w="0" w:type="dxa"/>
          <w:bottom w:w="0" w:type="dxa"/>
          <w:right w:w="0" w:type="dxa"/>
        </w:tblCellMar>
      </w:tblPr>
      <w:tr>
        <w:trPr>
          <w:trHeight w:val="115"/>
        </w:trPr>
        <w:tc>
          <w:tcPr>
            <w:tcW w:w="3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9"/>
          </w:tcPr>
          <w:p>
            <w:pPr>
              <w:ind w:left="180"/>
              <w:spacing w:after="0"/>
              <w:rPr>
                <w:sz w:val="20"/>
                <w:szCs w:val="20"/>
                <w:color w:val="auto"/>
              </w:rPr>
            </w:pPr>
            <w:r>
              <w:rPr>
                <w:rFonts w:ascii="Arial" w:cs="Arial" w:eastAsia="Arial" w:hAnsi="Arial"/>
                <w:sz w:val="10"/>
                <w:szCs w:val="10"/>
                <w:b w:val="1"/>
                <w:bCs w:val="1"/>
                <w:color w:val="auto"/>
                <w:w w:val="96"/>
              </w:rPr>
              <w:t>Nine Months Ended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gridSpan w:val="8"/>
          </w:tcPr>
          <w:p>
            <w:pPr>
              <w:jc w:val="right"/>
              <w:ind w:right="100"/>
              <w:spacing w:after="0"/>
              <w:rPr>
                <w:sz w:val="20"/>
                <w:szCs w:val="20"/>
                <w:color w:val="auto"/>
              </w:rPr>
            </w:pPr>
            <w:r>
              <w:rPr>
                <w:rFonts w:ascii="Arial" w:cs="Arial" w:eastAsia="Arial" w:hAnsi="Arial"/>
                <w:sz w:val="10"/>
                <w:szCs w:val="10"/>
                <w:b w:val="1"/>
                <w:bCs w:val="1"/>
                <w:color w:val="auto"/>
                <w:w w:val="89"/>
              </w:rPr>
              <w:t>Nine Months Ended</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9"/>
          </w:tcPr>
          <w:p>
            <w:pPr>
              <w:ind w:left="200"/>
              <w:spacing w:after="0" w:line="114" w:lineRule="exact"/>
              <w:rPr>
                <w:sz w:val="20"/>
                <w:szCs w:val="20"/>
                <w:color w:val="auto"/>
              </w:rPr>
            </w:pPr>
            <w:r>
              <w:rPr>
                <w:rFonts w:ascii="Arial" w:cs="Arial" w:eastAsia="Arial" w:hAnsi="Arial"/>
                <w:sz w:val="10"/>
                <w:szCs w:val="10"/>
                <w:b w:val="1"/>
                <w:bCs w:val="1"/>
                <w:color w:val="auto"/>
                <w:w w:val="94"/>
              </w:rPr>
              <w:t>September 30, 2021</w:t>
            </w: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gridSpan w:val="8"/>
          </w:tcPr>
          <w:p>
            <w:pPr>
              <w:jc w:val="right"/>
              <w:ind w:right="100"/>
              <w:spacing w:after="0" w:line="114" w:lineRule="exact"/>
              <w:rPr>
                <w:sz w:val="20"/>
                <w:szCs w:val="20"/>
                <w:color w:val="auto"/>
              </w:rPr>
            </w:pPr>
            <w:r>
              <w:rPr>
                <w:rFonts w:ascii="Arial" w:cs="Arial" w:eastAsia="Arial" w:hAnsi="Arial"/>
                <w:sz w:val="10"/>
                <w:szCs w:val="10"/>
                <w:b w:val="1"/>
                <w:bCs w:val="1"/>
                <w:color w:val="auto"/>
                <w:w w:val="89"/>
              </w:rPr>
              <w:t>September 30, 2020</w:t>
            </w: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3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gridSpan w:val="4"/>
          </w:tcPr>
          <w:p>
            <w:pPr>
              <w:spacing w:after="0" w:line="74" w:lineRule="exact"/>
              <w:rPr>
                <w:sz w:val="20"/>
                <w:szCs w:val="20"/>
                <w:color w:val="auto"/>
              </w:rPr>
            </w:pPr>
            <w:r>
              <w:rPr>
                <w:rFonts w:ascii="Arial" w:cs="Arial" w:eastAsia="Arial" w:hAnsi="Arial"/>
                <w:sz w:val="8"/>
                <w:szCs w:val="8"/>
                <w:b w:val="1"/>
                <w:bCs w:val="1"/>
                <w:color w:val="auto"/>
              </w:rPr>
              <w:t>Platform</w:t>
            </w: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gridSpan w:val="5"/>
          </w:tcPr>
          <w:p>
            <w:pPr>
              <w:jc w:val="center"/>
              <w:ind w:right="260"/>
              <w:spacing w:after="0" w:line="74" w:lineRule="exact"/>
              <w:rPr>
                <w:sz w:val="20"/>
                <w:szCs w:val="20"/>
                <w:color w:val="auto"/>
              </w:rPr>
            </w:pPr>
            <w:r>
              <w:rPr>
                <w:rFonts w:ascii="Arial" w:cs="Arial" w:eastAsia="Arial" w:hAnsi="Arial"/>
                <w:sz w:val="8"/>
                <w:szCs w:val="8"/>
                <w:b w:val="1"/>
                <w:bCs w:val="1"/>
                <w:color w:val="auto"/>
              </w:rPr>
              <w:t>Platform</w:t>
            </w: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3"/>
          </w:tcPr>
          <w:p>
            <w:pPr>
              <w:jc w:val="center"/>
              <w:ind w:right="220"/>
              <w:spacing w:after="0" w:line="99" w:lineRule="exact"/>
              <w:rPr>
                <w:sz w:val="20"/>
                <w:szCs w:val="20"/>
                <w:color w:val="auto"/>
              </w:rPr>
            </w:pPr>
            <w:r>
              <w:rPr>
                <w:rFonts w:ascii="Arial" w:cs="Arial" w:eastAsia="Arial" w:hAnsi="Arial"/>
                <w:sz w:val="10"/>
                <w:szCs w:val="10"/>
                <w:b w:val="1"/>
                <w:bCs w:val="1"/>
                <w:color w:val="auto"/>
                <w:w w:val="89"/>
              </w:rPr>
              <w:t>and</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4"/>
          </w:tcPr>
          <w:p>
            <w:pPr>
              <w:jc w:val="center"/>
              <w:ind w:right="320"/>
              <w:spacing w:after="0" w:line="99" w:lineRule="exact"/>
              <w:rPr>
                <w:sz w:val="20"/>
                <w:szCs w:val="20"/>
                <w:color w:val="auto"/>
              </w:rPr>
            </w:pPr>
            <w:r>
              <w:rPr>
                <w:rFonts w:ascii="Arial" w:cs="Arial" w:eastAsia="Arial" w:hAnsi="Arial"/>
                <w:sz w:val="10"/>
                <w:szCs w:val="10"/>
                <w:b w:val="1"/>
                <w:bCs w:val="1"/>
                <w:color w:val="auto"/>
                <w:w w:val="89"/>
              </w:rPr>
              <w:t>and</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gridSpan w:val="4"/>
          </w:tcPr>
          <w:p>
            <w:pPr>
              <w:jc w:val="center"/>
              <w:ind w:right="120"/>
              <w:spacing w:after="0" w:line="99" w:lineRule="exact"/>
              <w:rPr>
                <w:sz w:val="20"/>
                <w:szCs w:val="20"/>
                <w:color w:val="auto"/>
              </w:rPr>
            </w:pPr>
            <w:r>
              <w:rPr>
                <w:rFonts w:ascii="Arial" w:cs="Arial" w:eastAsia="Arial" w:hAnsi="Arial"/>
                <w:sz w:val="10"/>
                <w:szCs w:val="10"/>
                <w:b w:val="1"/>
                <w:bCs w:val="1"/>
                <w:color w:val="auto"/>
                <w:w w:val="83"/>
              </w:rPr>
              <w:t>Usage-</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5"/>
          </w:tcPr>
          <w:p>
            <w:pPr>
              <w:jc w:val="center"/>
              <w:ind w:right="260"/>
              <w:spacing w:after="0" w:line="99" w:lineRule="exact"/>
              <w:rPr>
                <w:sz w:val="20"/>
                <w:szCs w:val="20"/>
                <w:color w:val="auto"/>
              </w:rPr>
            </w:pPr>
            <w:r>
              <w:rPr>
                <w:rFonts w:ascii="Arial" w:cs="Arial" w:eastAsia="Arial" w:hAnsi="Arial"/>
                <w:sz w:val="10"/>
                <w:szCs w:val="10"/>
                <w:b w:val="1"/>
                <w:bCs w:val="1"/>
                <w:color w:val="auto"/>
                <w:w w:val="83"/>
              </w:rPr>
              <w:t>Usage-</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gridSpan w:val="4"/>
          </w:tcPr>
          <w:p>
            <w:pPr>
              <w:jc w:val="center"/>
              <w:ind w:right="120"/>
              <w:spacing w:after="0" w:line="99" w:lineRule="exact"/>
              <w:rPr>
                <w:sz w:val="20"/>
                <w:szCs w:val="20"/>
                <w:color w:val="auto"/>
              </w:rPr>
            </w:pPr>
            <w:r>
              <w:rPr>
                <w:rFonts w:ascii="Arial" w:cs="Arial" w:eastAsia="Arial" w:hAnsi="Arial"/>
                <w:sz w:val="10"/>
                <w:szCs w:val="10"/>
                <w:b w:val="1"/>
                <w:bCs w:val="1"/>
                <w:color w:val="auto"/>
                <w:w w:val="79"/>
              </w:rPr>
              <w:t>Based</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4"/>
          </w:tcPr>
          <w:p>
            <w:pPr>
              <w:jc w:val="center"/>
              <w:ind w:right="320"/>
              <w:spacing w:after="0" w:line="99" w:lineRule="exact"/>
              <w:rPr>
                <w:sz w:val="20"/>
                <w:szCs w:val="20"/>
                <w:color w:val="auto"/>
              </w:rPr>
            </w:pPr>
            <w:r>
              <w:rPr>
                <w:rFonts w:ascii="Arial" w:cs="Arial" w:eastAsia="Arial" w:hAnsi="Arial"/>
                <w:sz w:val="10"/>
                <w:szCs w:val="10"/>
                <w:b w:val="1"/>
                <w:bCs w:val="1"/>
                <w:color w:val="auto"/>
                <w:w w:val="79"/>
              </w:rPr>
              <w:t>Based</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260" w:type="dxa"/>
            <w:vAlign w:val="bottom"/>
          </w:tcPr>
          <w:p>
            <w:pPr>
              <w:spacing w:after="0" w:line="114" w:lineRule="exact"/>
              <w:rPr>
                <w:sz w:val="20"/>
                <w:szCs w:val="20"/>
                <w:color w:val="auto"/>
              </w:rPr>
            </w:pPr>
            <w:r>
              <w:rPr>
                <w:rFonts w:ascii="Arial" w:cs="Arial" w:eastAsia="Arial" w:hAnsi="Arial"/>
                <w:sz w:val="10"/>
                <w:szCs w:val="10"/>
                <w:b w:val="1"/>
                <w:bCs w:val="1"/>
                <w:color w:val="auto"/>
              </w:rPr>
              <w:t>(In Millions)</w:t>
            </w:r>
          </w:p>
        </w:tc>
        <w:tc>
          <w:tcPr>
            <w:tcW w:w="240" w:type="dxa"/>
            <w:vAlign w:val="bottom"/>
          </w:tcPr>
          <w:p>
            <w:pPr>
              <w:spacing w:after="0"/>
              <w:rPr>
                <w:sz w:val="9"/>
                <w:szCs w:val="9"/>
                <w:color w:val="auto"/>
              </w:rPr>
            </w:pPr>
          </w:p>
        </w:tc>
        <w:tc>
          <w:tcPr>
            <w:tcW w:w="560" w:type="dxa"/>
            <w:vAlign w:val="bottom"/>
            <w:gridSpan w:val="4"/>
          </w:tcPr>
          <w:p>
            <w:pPr>
              <w:jc w:val="right"/>
              <w:ind w:right="80"/>
              <w:spacing w:after="0" w:line="114" w:lineRule="exact"/>
              <w:rPr>
                <w:sz w:val="20"/>
                <w:szCs w:val="20"/>
                <w:color w:val="auto"/>
              </w:rPr>
            </w:pPr>
            <w:r>
              <w:rPr>
                <w:rFonts w:ascii="Arial" w:cs="Arial" w:eastAsia="Arial" w:hAnsi="Arial"/>
                <w:sz w:val="10"/>
                <w:szCs w:val="10"/>
                <w:b w:val="1"/>
                <w:bCs w:val="1"/>
                <w:color w:val="auto"/>
                <w:w w:val="81"/>
              </w:rPr>
              <w:t>Transaction</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gridSpan w:val="3"/>
          </w:tcPr>
          <w:p>
            <w:pPr>
              <w:jc w:val="center"/>
              <w:ind w:right="200"/>
              <w:spacing w:after="0" w:line="114" w:lineRule="exact"/>
              <w:rPr>
                <w:sz w:val="20"/>
                <w:szCs w:val="20"/>
                <w:color w:val="auto"/>
              </w:rPr>
            </w:pPr>
            <w:r>
              <w:rPr>
                <w:rFonts w:ascii="Arial" w:cs="Arial" w:eastAsia="Arial" w:hAnsi="Arial"/>
                <w:sz w:val="10"/>
                <w:szCs w:val="10"/>
                <w:b w:val="1"/>
                <w:bCs w:val="1"/>
                <w:color w:val="auto"/>
                <w:w w:val="80"/>
              </w:rPr>
              <w:t>Fee</w:t>
            </w:r>
          </w:p>
        </w:tc>
        <w:tc>
          <w:tcPr>
            <w:tcW w:w="140" w:type="dxa"/>
            <w:vAlign w:val="bottom"/>
          </w:tcPr>
          <w:p>
            <w:pPr>
              <w:spacing w:after="0"/>
              <w:rPr>
                <w:sz w:val="9"/>
                <w:szCs w:val="9"/>
                <w:color w:val="auto"/>
              </w:rPr>
            </w:pPr>
          </w:p>
        </w:tc>
        <w:tc>
          <w:tcPr>
            <w:tcW w:w="52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Revenue</w:t>
            </w:r>
          </w:p>
        </w:tc>
        <w:tc>
          <w:tcPr>
            <w:tcW w:w="100" w:type="dxa"/>
            <w:vAlign w:val="bottom"/>
          </w:tcPr>
          <w:p>
            <w:pPr>
              <w:spacing w:after="0"/>
              <w:rPr>
                <w:sz w:val="9"/>
                <w:szCs w:val="9"/>
                <w:color w:val="auto"/>
              </w:rPr>
            </w:pPr>
          </w:p>
        </w:tc>
        <w:tc>
          <w:tcPr>
            <w:tcW w:w="700" w:type="dxa"/>
            <w:vAlign w:val="bottom"/>
            <w:gridSpan w:val="4"/>
          </w:tcPr>
          <w:p>
            <w:pPr>
              <w:jc w:val="right"/>
              <w:ind w:right="220"/>
              <w:spacing w:after="0" w:line="114" w:lineRule="exact"/>
              <w:rPr>
                <w:sz w:val="20"/>
                <w:szCs w:val="20"/>
                <w:color w:val="auto"/>
              </w:rPr>
            </w:pPr>
            <w:r>
              <w:rPr>
                <w:rFonts w:ascii="Arial" w:cs="Arial" w:eastAsia="Arial" w:hAnsi="Arial"/>
                <w:sz w:val="10"/>
                <w:szCs w:val="10"/>
                <w:b w:val="1"/>
                <w:bCs w:val="1"/>
                <w:color w:val="auto"/>
                <w:w w:val="81"/>
              </w:rPr>
              <w:t>Transaction</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4"/>
          </w:tcPr>
          <w:p>
            <w:pPr>
              <w:jc w:val="center"/>
              <w:ind w:right="300"/>
              <w:spacing w:after="0" w:line="114" w:lineRule="exact"/>
              <w:rPr>
                <w:sz w:val="20"/>
                <w:szCs w:val="20"/>
                <w:color w:val="auto"/>
              </w:rPr>
            </w:pPr>
            <w:r>
              <w:rPr>
                <w:rFonts w:ascii="Arial" w:cs="Arial" w:eastAsia="Arial" w:hAnsi="Arial"/>
                <w:sz w:val="10"/>
                <w:szCs w:val="10"/>
                <w:b w:val="1"/>
                <w:bCs w:val="1"/>
                <w:color w:val="auto"/>
                <w:w w:val="80"/>
              </w:rPr>
              <w:t>Fee</w:t>
            </w:r>
          </w:p>
        </w:tc>
        <w:tc>
          <w:tcPr>
            <w:tcW w:w="50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Revenue</w:t>
            </w:r>
          </w:p>
        </w:tc>
        <w:tc>
          <w:tcPr>
            <w:tcW w:w="0" w:type="dxa"/>
            <w:vAlign w:val="bottom"/>
          </w:tcPr>
          <w:p>
            <w:pPr>
              <w:spacing w:after="0"/>
              <w:rPr>
                <w:sz w:val="1"/>
                <w:szCs w:val="1"/>
                <w:color w:val="auto"/>
              </w:rPr>
            </w:pPr>
          </w:p>
        </w:tc>
      </w:tr>
      <w:tr>
        <w:trPr>
          <w:trHeight w:val="133"/>
        </w:trPr>
        <w:tc>
          <w:tcPr>
            <w:tcW w:w="32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109.7</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6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40.1</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w w:val="84"/>
              </w:rPr>
              <w:t>$ 149.8</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67.1</w:t>
            </w:r>
          </w:p>
        </w:tc>
        <w:tc>
          <w:tcPr>
            <w:tcW w:w="2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31.5</w:t>
            </w:r>
          </w:p>
        </w:tc>
        <w:tc>
          <w:tcPr>
            <w:tcW w:w="22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98.6</w:t>
            </w:r>
          </w:p>
        </w:tc>
        <w:tc>
          <w:tcPr>
            <w:tcW w:w="140" w:type="dxa"/>
            <w:vAlign w:val="bottom"/>
            <w:tcBorders>
              <w:top w:val="single" w:sz="8" w:color="CCEEFF"/>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60" w:type="dxa"/>
            <w:vAlign w:val="bottom"/>
          </w:tcPr>
          <w:p>
            <w:pPr>
              <w:spacing w:after="0"/>
              <w:rPr>
                <w:sz w:val="20"/>
                <w:szCs w:val="20"/>
                <w:color w:val="auto"/>
              </w:rPr>
            </w:pPr>
            <w:r>
              <w:rPr>
                <w:rFonts w:ascii="Arial" w:cs="Arial" w:eastAsia="Arial" w:hAnsi="Arial"/>
                <w:sz w:val="12"/>
                <w:szCs w:val="12"/>
                <w:color w:val="auto"/>
              </w:rPr>
              <w:t>Adjusted to exclude gross up for:</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Pass-through cost for printing and mailing</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w w:val="89"/>
              </w:rPr>
              <w:t>(13.4)</w:t>
            </w:r>
          </w:p>
        </w:tc>
        <w:tc>
          <w:tcPr>
            <w:tcW w:w="14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(13.4)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(12.1)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(12.1)</w:t>
            </w:r>
          </w:p>
        </w:tc>
        <w:tc>
          <w:tcPr>
            <w:tcW w:w="14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40"/>
              <w:spacing w:after="0"/>
              <w:rPr>
                <w:sz w:val="20"/>
                <w:szCs w:val="20"/>
                <w:color w:val="auto"/>
              </w:rPr>
            </w:pPr>
            <w:r>
              <w:rPr>
                <w:rFonts w:ascii="Arial" w:cs="Arial" w:eastAsia="Arial" w:hAnsi="Arial"/>
                <w:sz w:val="12"/>
                <w:szCs w:val="12"/>
                <w:color w:val="auto"/>
              </w:rPr>
              <w:t>Marketing fees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2"/>
                <w:szCs w:val="12"/>
                <w:color w:val="auto"/>
              </w:rPr>
              <w:t>(1.2)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2"/>
                <w:szCs w:val="12"/>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2"/>
                <w:szCs w:val="12"/>
                <w:color w:val="auto"/>
              </w:rPr>
              <w:t>(1.3)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4"/>
          </w:tcPr>
          <w:p>
            <w:pPr>
              <w:jc w:val="right"/>
              <w:ind w:right="3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Revenue Less Ancillary Services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108.5</w:t>
            </w:r>
          </w:p>
        </w:tc>
        <w:tc>
          <w:tcPr>
            <w:tcW w:w="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26.7</w:t>
            </w:r>
          </w:p>
        </w:tc>
        <w:tc>
          <w:tcPr>
            <w:tcW w:w="14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w w:val="84"/>
              </w:rPr>
              <w:t>$ 135.2</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5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65.8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85.2</w:t>
            </w:r>
          </w:p>
        </w:tc>
        <w:tc>
          <w:tcPr>
            <w:tcW w:w="14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260" w:type="dxa"/>
            <w:vAlign w:val="bottom"/>
            <w:vMerge w:val="restart"/>
          </w:tcPr>
          <w:p>
            <w:pPr>
              <w:spacing w:after="0"/>
              <w:rPr>
                <w:sz w:val="20"/>
                <w:szCs w:val="20"/>
                <w:color w:val="auto"/>
              </w:rPr>
            </w:pPr>
            <w:r>
              <w:rPr>
                <w:rFonts w:ascii="Arial" w:cs="Arial" w:eastAsia="Arial" w:hAnsi="Arial"/>
                <w:sz w:val="12"/>
                <w:szCs w:val="12"/>
                <w:color w:val="auto"/>
              </w:rPr>
              <w:t>Percentage of Revenue</w:t>
            </w: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4"/>
          </w:tcPr>
          <w:p>
            <w:pPr>
              <w:jc w:val="right"/>
              <w:spacing w:after="0"/>
              <w:rPr>
                <w:sz w:val="20"/>
                <w:szCs w:val="20"/>
                <w:color w:val="auto"/>
              </w:rPr>
            </w:pPr>
            <w:r>
              <w:rPr>
                <w:rFonts w:ascii="Arial" w:cs="Arial" w:eastAsia="Arial" w:hAnsi="Arial"/>
                <w:sz w:val="12"/>
                <w:szCs w:val="12"/>
                <w:color w:val="auto"/>
              </w:rPr>
              <w:t>73.2%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2"/>
                <w:szCs w:val="12"/>
                <w:color w:val="auto"/>
                <w:w w:val="99"/>
              </w:rPr>
              <w:t>26.8%</w:t>
            </w:r>
          </w:p>
        </w:tc>
        <w:tc>
          <w:tcPr>
            <w:tcW w:w="140" w:type="dxa"/>
            <w:vAlign w:val="bottom"/>
          </w:tcPr>
          <w:p>
            <w:pPr>
              <w:spacing w:after="0"/>
              <w:rPr>
                <w:sz w:val="13"/>
                <w:szCs w:val="13"/>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2"/>
                <w:szCs w:val="12"/>
                <w:color w:val="auto"/>
              </w:rPr>
              <w:t>68.1%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2"/>
                <w:szCs w:val="12"/>
                <w:color w:val="auto"/>
              </w:rPr>
              <w:t>31.9%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Percentage of Revenue less Ancillary Services</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80.3%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w w:val="99"/>
              </w:rPr>
              <w:t>19.7%</w:t>
            </w:r>
          </w:p>
        </w:tc>
        <w:tc>
          <w:tcPr>
            <w:tcW w:w="14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77.2%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22.8%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247"/>
        </w:trPr>
        <w:tc>
          <w:tcPr>
            <w:tcW w:w="3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gridSpan w:val="9"/>
          </w:tcPr>
          <w:p>
            <w:pPr>
              <w:jc w:val="right"/>
              <w:ind w:right="100"/>
              <w:spacing w:after="0"/>
              <w:rPr>
                <w:sz w:val="20"/>
                <w:szCs w:val="20"/>
                <w:color w:val="auto"/>
              </w:rPr>
            </w:pPr>
            <w:r>
              <w:rPr>
                <w:rFonts w:ascii="Arial" w:cs="Arial" w:eastAsia="Arial" w:hAnsi="Arial"/>
                <w:sz w:val="10"/>
                <w:szCs w:val="10"/>
                <w:b w:val="1"/>
                <w:bCs w:val="1"/>
                <w:color w:val="auto"/>
              </w:rPr>
              <w:t>Three Months Ended</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9"/>
          </w:tcPr>
          <w:p>
            <w:pPr>
              <w:jc w:val="right"/>
              <w:ind w:right="120"/>
              <w:spacing w:after="0"/>
              <w:rPr>
                <w:sz w:val="20"/>
                <w:szCs w:val="20"/>
                <w:color w:val="auto"/>
              </w:rPr>
            </w:pPr>
            <w:r>
              <w:rPr>
                <w:rFonts w:ascii="Arial" w:cs="Arial" w:eastAsia="Arial" w:hAnsi="Arial"/>
                <w:sz w:val="10"/>
                <w:szCs w:val="10"/>
                <w:b w:val="1"/>
                <w:bCs w:val="1"/>
                <w:color w:val="auto"/>
              </w:rPr>
              <w:t>Three Months Ended</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3"/>
        </w:trPr>
        <w:tc>
          <w:tcPr>
            <w:tcW w:w="3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gridSpan w:val="8"/>
          </w:tcPr>
          <w:p>
            <w:pPr>
              <w:jc w:val="right"/>
              <w:ind w:right="140"/>
              <w:spacing w:after="0" w:line="114" w:lineRule="exact"/>
              <w:rPr>
                <w:sz w:val="20"/>
                <w:szCs w:val="20"/>
                <w:color w:val="auto"/>
              </w:rPr>
            </w:pPr>
            <w:r>
              <w:rPr>
                <w:rFonts w:ascii="Arial" w:cs="Arial" w:eastAsia="Arial" w:hAnsi="Arial"/>
                <w:sz w:val="10"/>
                <w:szCs w:val="10"/>
                <w:b w:val="1"/>
                <w:bCs w:val="1"/>
                <w:color w:val="auto"/>
                <w:w w:val="85"/>
              </w:rPr>
              <w:t>September 30, 2021</w:t>
            </w: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gridSpan w:val="8"/>
          </w:tcPr>
          <w:p>
            <w:pPr>
              <w:jc w:val="right"/>
              <w:ind w:right="140"/>
              <w:spacing w:after="0" w:line="114" w:lineRule="exact"/>
              <w:rPr>
                <w:sz w:val="20"/>
                <w:szCs w:val="20"/>
                <w:color w:val="auto"/>
              </w:rPr>
            </w:pPr>
            <w:r>
              <w:rPr>
                <w:rFonts w:ascii="Arial" w:cs="Arial" w:eastAsia="Arial" w:hAnsi="Arial"/>
                <w:sz w:val="10"/>
                <w:szCs w:val="10"/>
                <w:b w:val="1"/>
                <w:bCs w:val="1"/>
                <w:color w:val="auto"/>
                <w:w w:val="85"/>
              </w:rPr>
              <w:t>September 30, 2020</w:t>
            </w: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3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gridSpan w:val="6"/>
          </w:tcPr>
          <w:p>
            <w:pPr>
              <w:jc w:val="center"/>
              <w:ind w:right="300"/>
              <w:spacing w:after="0" w:line="74" w:lineRule="exact"/>
              <w:rPr>
                <w:sz w:val="20"/>
                <w:szCs w:val="20"/>
                <w:color w:val="auto"/>
              </w:rPr>
            </w:pPr>
            <w:r>
              <w:rPr>
                <w:rFonts w:ascii="Arial" w:cs="Arial" w:eastAsia="Arial" w:hAnsi="Arial"/>
                <w:sz w:val="8"/>
                <w:szCs w:val="8"/>
                <w:b w:val="1"/>
                <w:bCs w:val="1"/>
                <w:color w:val="auto"/>
              </w:rPr>
              <w:t>Platform</w:t>
            </w: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gridSpan w:val="6"/>
          </w:tcPr>
          <w:p>
            <w:pPr>
              <w:jc w:val="center"/>
              <w:ind w:right="300"/>
              <w:spacing w:after="0" w:line="74" w:lineRule="exact"/>
              <w:rPr>
                <w:sz w:val="20"/>
                <w:szCs w:val="20"/>
                <w:color w:val="auto"/>
              </w:rPr>
            </w:pPr>
            <w:r>
              <w:rPr>
                <w:rFonts w:ascii="Arial" w:cs="Arial" w:eastAsia="Arial" w:hAnsi="Arial"/>
                <w:sz w:val="8"/>
                <w:szCs w:val="8"/>
                <w:b w:val="1"/>
                <w:bCs w:val="1"/>
                <w:color w:val="auto"/>
              </w:rPr>
              <w:t>Platform</w:t>
            </w: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gridSpan w:val="2"/>
          </w:tcPr>
          <w:p>
            <w:pPr>
              <w:jc w:val="center"/>
              <w:spacing w:after="0" w:line="99" w:lineRule="exact"/>
              <w:rPr>
                <w:sz w:val="20"/>
                <w:szCs w:val="20"/>
                <w:color w:val="auto"/>
              </w:rPr>
            </w:pPr>
            <w:r>
              <w:rPr>
                <w:rFonts w:ascii="Arial" w:cs="Arial" w:eastAsia="Arial" w:hAnsi="Arial"/>
                <w:sz w:val="10"/>
                <w:szCs w:val="10"/>
                <w:b w:val="1"/>
                <w:bCs w:val="1"/>
                <w:color w:val="auto"/>
                <w:w w:val="89"/>
              </w:rPr>
              <w:t>and</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4"/>
          </w:tcPr>
          <w:p>
            <w:pPr>
              <w:jc w:val="center"/>
              <w:ind w:right="400"/>
              <w:spacing w:after="0" w:line="99" w:lineRule="exact"/>
              <w:rPr>
                <w:sz w:val="20"/>
                <w:szCs w:val="20"/>
                <w:color w:val="auto"/>
              </w:rPr>
            </w:pPr>
            <w:r>
              <w:rPr>
                <w:rFonts w:ascii="Arial" w:cs="Arial" w:eastAsia="Arial" w:hAnsi="Arial"/>
                <w:sz w:val="10"/>
                <w:szCs w:val="10"/>
                <w:b w:val="1"/>
                <w:bCs w:val="1"/>
                <w:color w:val="auto"/>
                <w:w w:val="89"/>
              </w:rPr>
              <w:t>and</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6"/>
          </w:tcPr>
          <w:p>
            <w:pPr>
              <w:jc w:val="center"/>
              <w:ind w:right="300"/>
              <w:spacing w:after="0" w:line="99" w:lineRule="exact"/>
              <w:rPr>
                <w:sz w:val="20"/>
                <w:szCs w:val="20"/>
                <w:color w:val="auto"/>
              </w:rPr>
            </w:pPr>
            <w:r>
              <w:rPr>
                <w:rFonts w:ascii="Arial" w:cs="Arial" w:eastAsia="Arial" w:hAnsi="Arial"/>
                <w:sz w:val="10"/>
                <w:szCs w:val="10"/>
                <w:b w:val="1"/>
                <w:bCs w:val="1"/>
                <w:color w:val="auto"/>
                <w:w w:val="83"/>
              </w:rPr>
              <w:t>Usage-</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5"/>
          </w:tcPr>
          <w:p>
            <w:pPr>
              <w:jc w:val="center"/>
              <w:ind w:right="340"/>
              <w:spacing w:after="0" w:line="99" w:lineRule="exact"/>
              <w:rPr>
                <w:sz w:val="20"/>
                <w:szCs w:val="20"/>
                <w:color w:val="auto"/>
              </w:rPr>
            </w:pPr>
            <w:r>
              <w:rPr>
                <w:rFonts w:ascii="Arial" w:cs="Arial" w:eastAsia="Arial" w:hAnsi="Arial"/>
                <w:sz w:val="10"/>
                <w:szCs w:val="10"/>
                <w:b w:val="1"/>
                <w:bCs w:val="1"/>
                <w:color w:val="auto"/>
                <w:w w:val="83"/>
              </w:rPr>
              <w:t>Usage-</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5"/>
          </w:tcPr>
          <w:p>
            <w:pPr>
              <w:jc w:val="center"/>
              <w:ind w:right="360"/>
              <w:spacing w:after="0" w:line="99" w:lineRule="exact"/>
              <w:rPr>
                <w:sz w:val="20"/>
                <w:szCs w:val="20"/>
                <w:color w:val="auto"/>
              </w:rPr>
            </w:pPr>
            <w:r>
              <w:rPr>
                <w:rFonts w:ascii="Arial" w:cs="Arial" w:eastAsia="Arial" w:hAnsi="Arial"/>
                <w:sz w:val="10"/>
                <w:szCs w:val="10"/>
                <w:b w:val="1"/>
                <w:bCs w:val="1"/>
                <w:color w:val="auto"/>
                <w:w w:val="79"/>
              </w:rPr>
              <w:t>Based</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5"/>
          </w:tcPr>
          <w:p>
            <w:pPr>
              <w:jc w:val="center"/>
              <w:ind w:right="340"/>
              <w:spacing w:after="0" w:line="99" w:lineRule="exact"/>
              <w:rPr>
                <w:sz w:val="20"/>
                <w:szCs w:val="20"/>
                <w:color w:val="auto"/>
              </w:rPr>
            </w:pPr>
            <w:r>
              <w:rPr>
                <w:rFonts w:ascii="Arial" w:cs="Arial" w:eastAsia="Arial" w:hAnsi="Arial"/>
                <w:sz w:val="10"/>
                <w:szCs w:val="10"/>
                <w:b w:val="1"/>
                <w:bCs w:val="1"/>
                <w:color w:val="auto"/>
                <w:w w:val="79"/>
              </w:rPr>
              <w:t>Based</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260" w:type="dxa"/>
            <w:vAlign w:val="bottom"/>
          </w:tcPr>
          <w:p>
            <w:pPr>
              <w:spacing w:after="0" w:line="114" w:lineRule="exact"/>
              <w:rPr>
                <w:sz w:val="20"/>
                <w:szCs w:val="20"/>
                <w:color w:val="auto"/>
              </w:rPr>
            </w:pPr>
            <w:r>
              <w:rPr>
                <w:rFonts w:ascii="Arial" w:cs="Arial" w:eastAsia="Arial" w:hAnsi="Arial"/>
                <w:sz w:val="10"/>
                <w:szCs w:val="10"/>
                <w:b w:val="1"/>
                <w:bCs w:val="1"/>
                <w:color w:val="auto"/>
              </w:rPr>
              <w:t>(In Millions)</w:t>
            </w:r>
          </w:p>
        </w:tc>
        <w:tc>
          <w:tcPr>
            <w:tcW w:w="800" w:type="dxa"/>
            <w:vAlign w:val="bottom"/>
            <w:gridSpan w:val="5"/>
          </w:tcPr>
          <w:p>
            <w:pPr>
              <w:ind w:left="20"/>
              <w:spacing w:after="0" w:line="114" w:lineRule="exact"/>
              <w:rPr>
                <w:sz w:val="20"/>
                <w:szCs w:val="20"/>
                <w:color w:val="auto"/>
              </w:rPr>
            </w:pPr>
            <w:r>
              <w:rPr>
                <w:rFonts w:ascii="Arial" w:cs="Arial" w:eastAsia="Arial" w:hAnsi="Arial"/>
                <w:sz w:val="10"/>
                <w:szCs w:val="10"/>
                <w:b w:val="1"/>
                <w:bCs w:val="1"/>
                <w:color w:val="auto"/>
              </w:rPr>
              <w:t>Transaction</w:t>
            </w:r>
          </w:p>
        </w:tc>
        <w:tc>
          <w:tcPr>
            <w:tcW w:w="60" w:type="dxa"/>
            <w:vAlign w:val="bottom"/>
          </w:tcPr>
          <w:p>
            <w:pPr>
              <w:spacing w:after="0"/>
              <w:rPr>
                <w:sz w:val="9"/>
                <w:szCs w:val="9"/>
                <w:color w:val="auto"/>
              </w:rPr>
            </w:pPr>
          </w:p>
        </w:tc>
        <w:tc>
          <w:tcPr>
            <w:tcW w:w="220" w:type="dxa"/>
            <w:vAlign w:val="bottom"/>
            <w:gridSpan w:val="2"/>
          </w:tcPr>
          <w:p>
            <w:pPr>
              <w:jc w:val="center"/>
              <w:spacing w:after="0" w:line="114" w:lineRule="exact"/>
              <w:rPr>
                <w:sz w:val="20"/>
                <w:szCs w:val="20"/>
                <w:color w:val="auto"/>
              </w:rPr>
            </w:pPr>
            <w:r>
              <w:rPr>
                <w:rFonts w:ascii="Arial" w:cs="Arial" w:eastAsia="Arial" w:hAnsi="Arial"/>
                <w:sz w:val="10"/>
                <w:szCs w:val="10"/>
                <w:b w:val="1"/>
                <w:bCs w:val="1"/>
                <w:color w:val="auto"/>
                <w:w w:val="80"/>
              </w:rPr>
              <w:t>Fee</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4"/>
          </w:tcPr>
          <w:p>
            <w:pPr>
              <w:ind w:left="20"/>
              <w:spacing w:after="0" w:line="114" w:lineRule="exact"/>
              <w:rPr>
                <w:sz w:val="20"/>
                <w:szCs w:val="20"/>
                <w:color w:val="auto"/>
              </w:rPr>
            </w:pPr>
            <w:r>
              <w:rPr>
                <w:rFonts w:ascii="Arial" w:cs="Arial" w:eastAsia="Arial" w:hAnsi="Arial"/>
                <w:sz w:val="10"/>
                <w:szCs w:val="10"/>
                <w:b w:val="1"/>
                <w:bCs w:val="1"/>
                <w:color w:val="auto"/>
              </w:rPr>
              <w:t>Revenue</w:t>
            </w:r>
          </w:p>
        </w:tc>
        <w:tc>
          <w:tcPr>
            <w:tcW w:w="800" w:type="dxa"/>
            <w:vAlign w:val="bottom"/>
            <w:gridSpan w:val="5"/>
          </w:tcPr>
          <w:p>
            <w:pPr>
              <w:spacing w:after="0" w:line="114" w:lineRule="exact"/>
              <w:rPr>
                <w:sz w:val="20"/>
                <w:szCs w:val="20"/>
                <w:color w:val="auto"/>
              </w:rPr>
            </w:pPr>
            <w:r>
              <w:rPr>
                <w:rFonts w:ascii="Arial" w:cs="Arial" w:eastAsia="Arial" w:hAnsi="Arial"/>
                <w:sz w:val="10"/>
                <w:szCs w:val="10"/>
                <w:b w:val="1"/>
                <w:bCs w:val="1"/>
                <w:color w:val="auto"/>
              </w:rPr>
              <w:t>Transaction</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4"/>
          </w:tcPr>
          <w:p>
            <w:pPr>
              <w:jc w:val="center"/>
              <w:ind w:right="400"/>
              <w:spacing w:after="0" w:line="114" w:lineRule="exact"/>
              <w:rPr>
                <w:sz w:val="20"/>
                <w:szCs w:val="20"/>
                <w:color w:val="auto"/>
              </w:rPr>
            </w:pPr>
            <w:r>
              <w:rPr>
                <w:rFonts w:ascii="Arial" w:cs="Arial" w:eastAsia="Arial" w:hAnsi="Arial"/>
                <w:sz w:val="10"/>
                <w:szCs w:val="10"/>
                <w:b w:val="1"/>
                <w:bCs w:val="1"/>
                <w:color w:val="auto"/>
                <w:w w:val="92"/>
              </w:rPr>
              <w:t>Fee</w:t>
            </w:r>
          </w:p>
        </w:tc>
        <w:tc>
          <w:tcPr>
            <w:tcW w:w="50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Revenue</w:t>
            </w:r>
          </w:p>
        </w:tc>
        <w:tc>
          <w:tcPr>
            <w:tcW w:w="0" w:type="dxa"/>
            <w:vAlign w:val="bottom"/>
          </w:tcPr>
          <w:p>
            <w:pPr>
              <w:spacing w:after="0"/>
              <w:rPr>
                <w:sz w:val="1"/>
                <w:szCs w:val="1"/>
                <w:color w:val="auto"/>
              </w:rPr>
            </w:pPr>
          </w:p>
        </w:tc>
      </w:tr>
      <w:tr>
        <w:trPr>
          <w:trHeight w:val="133"/>
        </w:trPr>
        <w:tc>
          <w:tcPr>
            <w:tcW w:w="32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24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76"/>
              </w:rPr>
              <w:t>53.0</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14.8</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auto"/>
            </w:tcBorders>
            <w:shd w:val="clear" w:color="auto" w:fill="CCEEFF"/>
          </w:tcPr>
          <w:p>
            <w:pPr>
              <w:ind w:left="20"/>
              <w:spacing w:after="0" w:line="133" w:lineRule="exact"/>
              <w:rPr>
                <w:sz w:val="20"/>
                <w:szCs w:val="20"/>
                <w:color w:val="auto"/>
              </w:rPr>
            </w:pPr>
            <w:r>
              <w:rPr>
                <w:rFonts w:ascii="Arial" w:cs="Arial" w:eastAsia="Arial" w:hAnsi="Arial"/>
                <w:sz w:val="12"/>
                <w:szCs w:val="12"/>
                <w:color w:val="auto"/>
                <w:w w:val="76"/>
              </w:rPr>
              <w:t>67.8</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30.7</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11.4</w:t>
            </w:r>
          </w:p>
        </w:tc>
        <w:tc>
          <w:tcPr>
            <w:tcW w:w="22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42.1</w:t>
            </w:r>
          </w:p>
        </w:tc>
        <w:tc>
          <w:tcPr>
            <w:tcW w:w="140" w:type="dxa"/>
            <w:vAlign w:val="bottom"/>
            <w:tcBorders>
              <w:top w:val="single" w:sz="8" w:color="CCEEFF"/>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60" w:type="dxa"/>
            <w:vAlign w:val="bottom"/>
          </w:tcPr>
          <w:p>
            <w:pPr>
              <w:spacing w:after="0"/>
              <w:rPr>
                <w:sz w:val="20"/>
                <w:szCs w:val="20"/>
                <w:color w:val="auto"/>
              </w:rPr>
            </w:pPr>
            <w:r>
              <w:rPr>
                <w:rFonts w:ascii="Arial" w:cs="Arial" w:eastAsia="Arial" w:hAnsi="Arial"/>
                <w:sz w:val="12"/>
                <w:szCs w:val="12"/>
                <w:color w:val="auto"/>
              </w:rPr>
              <w:t>Adjusted to exclude gross up for:</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Pass-through cost for printing and mailing</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2"/>
                <w:szCs w:val="12"/>
                <w:color w:val="auto"/>
              </w:rPr>
            </w:pPr>
          </w:p>
        </w:tc>
        <w:tc>
          <w:tcPr>
            <w:tcW w:w="48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(5.0)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(5.0)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14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40"/>
              <w:spacing w:after="0"/>
              <w:rPr>
                <w:sz w:val="20"/>
                <w:szCs w:val="20"/>
                <w:color w:val="auto"/>
              </w:rPr>
            </w:pPr>
            <w:r>
              <w:rPr>
                <w:rFonts w:ascii="Arial" w:cs="Arial" w:eastAsia="Arial" w:hAnsi="Arial"/>
                <w:sz w:val="12"/>
                <w:szCs w:val="12"/>
                <w:color w:val="auto"/>
              </w:rPr>
              <w:t>Marketing fees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129"/>
              <w:spacing w:after="0"/>
              <w:rPr>
                <w:sz w:val="20"/>
                <w:szCs w:val="20"/>
                <w:color w:val="auto"/>
              </w:rPr>
            </w:pPr>
            <w:r>
              <w:rPr>
                <w:rFonts w:ascii="Arial" w:cs="Arial" w:eastAsia="Arial" w:hAnsi="Arial"/>
                <w:sz w:val="12"/>
                <w:szCs w:val="12"/>
                <w:color w:val="auto"/>
                <w:w w:val="88"/>
              </w:rPr>
              <w:t>(0.8)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4"/>
          </w:tcPr>
          <w:p>
            <w:pPr>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(0.8)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(0.9)</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4"/>
          </w:tcPr>
          <w:p>
            <w:pPr>
              <w:jc w:val="right"/>
              <w:ind w:righ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Revenue Less Ancillary Services</w:t>
            </w:r>
          </w:p>
        </w:tc>
        <w:tc>
          <w:tcPr>
            <w:tcW w:w="2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9"/>
              <w:spacing w:after="0"/>
              <w:rPr>
                <w:sz w:val="20"/>
                <w:szCs w:val="20"/>
                <w:color w:val="auto"/>
              </w:rPr>
            </w:pPr>
            <w:r>
              <w:rPr>
                <w:rFonts w:ascii="Arial" w:cs="Arial" w:eastAsia="Arial" w:hAnsi="Arial"/>
                <w:sz w:val="12"/>
                <w:szCs w:val="12"/>
                <w:color w:val="auto"/>
                <w:w w:val="76"/>
              </w:rPr>
              <w:t>52.2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color w:val="auto"/>
              </w:rPr>
              <w:t>9.8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5"/>
              </w:rPr>
              <w:t>62.0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29.8</w:t>
            </w:r>
          </w:p>
        </w:tc>
        <w:tc>
          <w:tcPr>
            <w:tcW w:w="2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37.2</w:t>
            </w:r>
          </w:p>
        </w:tc>
        <w:tc>
          <w:tcPr>
            <w:tcW w:w="14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260" w:type="dxa"/>
            <w:vAlign w:val="bottom"/>
            <w:vMerge w:val="restart"/>
          </w:tcPr>
          <w:p>
            <w:pPr>
              <w:spacing w:after="0"/>
              <w:rPr>
                <w:sz w:val="20"/>
                <w:szCs w:val="20"/>
                <w:color w:val="auto"/>
              </w:rPr>
            </w:pPr>
            <w:r>
              <w:rPr>
                <w:rFonts w:ascii="Arial" w:cs="Arial" w:eastAsia="Arial" w:hAnsi="Arial"/>
                <w:sz w:val="12"/>
                <w:szCs w:val="12"/>
                <w:color w:val="auto"/>
              </w:rPr>
              <w:t>Percentage of Revenue</w:t>
            </w:r>
          </w:p>
        </w:tc>
        <w:tc>
          <w:tcPr>
            <w:tcW w:w="2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gridSpan w:val="3"/>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gridSpan w:val="2"/>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jc w:val="right"/>
              <w:ind w:right="69"/>
              <w:spacing w:after="0"/>
              <w:rPr>
                <w:sz w:val="20"/>
                <w:szCs w:val="20"/>
                <w:color w:val="auto"/>
              </w:rPr>
            </w:pPr>
            <w:r>
              <w:rPr>
                <w:rFonts w:ascii="Arial" w:cs="Arial" w:eastAsia="Arial" w:hAnsi="Arial"/>
                <w:sz w:val="12"/>
                <w:szCs w:val="12"/>
                <w:color w:val="auto"/>
                <w:w w:val="82"/>
              </w:rPr>
              <w:t>78.2%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2"/>
                <w:szCs w:val="12"/>
                <w:color w:val="auto"/>
              </w:rPr>
              <w:t>21.8%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100%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2"/>
                <w:szCs w:val="12"/>
                <w:color w:val="auto"/>
              </w:rPr>
              <w:t>72.9%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2"/>
                <w:szCs w:val="12"/>
                <w:color w:val="auto"/>
                <w:w w:val="99"/>
              </w:rPr>
              <w:t>27.1%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Percentage of Revenue less Ancillary Services</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9"/>
              <w:spacing w:after="0"/>
              <w:rPr>
                <w:sz w:val="20"/>
                <w:szCs w:val="20"/>
                <w:color w:val="auto"/>
              </w:rPr>
            </w:pPr>
            <w:r>
              <w:rPr>
                <w:rFonts w:ascii="Arial" w:cs="Arial" w:eastAsia="Arial" w:hAnsi="Arial"/>
                <w:sz w:val="12"/>
                <w:szCs w:val="12"/>
                <w:color w:val="auto"/>
                <w:w w:val="82"/>
              </w:rPr>
              <w:t>84.2%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color w:val="auto"/>
              </w:rPr>
              <w:t>15.8%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100%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80.1%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w w:val="99"/>
              </w:rPr>
              <w:t>19.9%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261"/>
        </w:trPr>
        <w:tc>
          <w:tcPr>
            <w:tcW w:w="3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6"/>
          </w:tcPr>
          <w:p>
            <w:pPr>
              <w:jc w:val="right"/>
              <w:ind w:right="100"/>
              <w:spacing w:after="0"/>
              <w:rPr>
                <w:sz w:val="20"/>
                <w:szCs w:val="20"/>
                <w:color w:val="auto"/>
              </w:rPr>
            </w:pPr>
            <w:r>
              <w:rPr>
                <w:rFonts w:ascii="Arial" w:cs="Arial" w:eastAsia="Arial" w:hAnsi="Arial"/>
                <w:sz w:val="10"/>
                <w:szCs w:val="10"/>
                <w:b w:val="1"/>
                <w:bCs w:val="1"/>
                <w:color w:val="auto"/>
                <w:w w:val="88"/>
              </w:rPr>
              <w:t>Full Year Guidance</w:t>
            </w:r>
          </w:p>
        </w:tc>
        <w:tc>
          <w:tcPr>
            <w:tcW w:w="0" w:type="dxa"/>
            <w:vAlign w:val="bottom"/>
          </w:tcPr>
          <w:p>
            <w:pPr>
              <w:spacing w:after="0"/>
              <w:rPr>
                <w:sz w:val="1"/>
                <w:szCs w:val="1"/>
                <w:color w:val="auto"/>
              </w:rPr>
            </w:pPr>
          </w:p>
        </w:tc>
      </w:tr>
      <w:tr>
        <w:trPr>
          <w:trHeight w:val="88"/>
        </w:trPr>
        <w:tc>
          <w:tcPr>
            <w:tcW w:w="3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Borders>
              <w:top w:val="single" w:sz="8" w:color="auto"/>
            </w:tcBorders>
            <w:gridSpan w:val="3"/>
          </w:tcPr>
          <w:p>
            <w:pPr>
              <w:jc w:val="right"/>
              <w:ind w:right="160"/>
              <w:spacing w:after="0" w:line="88" w:lineRule="exact"/>
              <w:rPr>
                <w:sz w:val="20"/>
                <w:szCs w:val="20"/>
                <w:color w:val="auto"/>
              </w:rPr>
            </w:pPr>
            <w:r>
              <w:rPr>
                <w:rFonts w:ascii="Arial" w:cs="Arial" w:eastAsia="Arial" w:hAnsi="Arial"/>
                <w:sz w:val="10"/>
                <w:szCs w:val="10"/>
                <w:b w:val="1"/>
                <w:bCs w:val="1"/>
                <w:color w:val="auto"/>
              </w:rPr>
              <w:t>Low</w:t>
            </w:r>
          </w:p>
        </w:tc>
        <w:tc>
          <w:tcPr>
            <w:tcW w:w="8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High</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2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w w:val="87"/>
              </w:rPr>
              <w:t>$190.0</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79"/>
              </w:rPr>
              <w:t>$ 193.0</w:t>
            </w:r>
          </w:p>
        </w:tc>
        <w:tc>
          <w:tcPr>
            <w:tcW w:w="140" w:type="dxa"/>
            <w:vAlign w:val="bottom"/>
            <w:tcBorders>
              <w:top w:val="single" w:sz="8" w:color="CCEEFF"/>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60" w:type="dxa"/>
            <w:vAlign w:val="bottom"/>
          </w:tcPr>
          <w:p>
            <w:pPr>
              <w:spacing w:after="0"/>
              <w:rPr>
                <w:sz w:val="20"/>
                <w:szCs w:val="20"/>
                <w:color w:val="auto"/>
              </w:rPr>
            </w:pPr>
            <w:r>
              <w:rPr>
                <w:rFonts w:ascii="Arial" w:cs="Arial" w:eastAsia="Arial" w:hAnsi="Arial"/>
                <w:sz w:val="12"/>
                <w:szCs w:val="12"/>
                <w:color w:val="auto"/>
              </w:rPr>
              <w:t>Adjusted to exclude gross up for:</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Pass through cost for printing and mailing</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2"/>
                <w:szCs w:val="12"/>
                <w:color w:val="auto"/>
              </w:rPr>
              <w:t>(15.0)</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(16.0)</w:t>
            </w:r>
          </w:p>
        </w:tc>
        <w:tc>
          <w:tcPr>
            <w:tcW w:w="0" w:type="dxa"/>
            <w:vAlign w:val="bottom"/>
          </w:tcPr>
          <w:p>
            <w:pPr>
              <w:spacing w:after="0"/>
              <w:rPr>
                <w:sz w:val="1"/>
                <w:szCs w:val="1"/>
                <w:color w:val="auto"/>
              </w:rPr>
            </w:pPr>
          </w:p>
        </w:tc>
      </w:tr>
      <w:tr>
        <w:trPr>
          <w:trHeight w:val="144"/>
        </w:trPr>
        <w:tc>
          <w:tcPr>
            <w:tcW w:w="3260" w:type="dxa"/>
            <w:vAlign w:val="bottom"/>
          </w:tcPr>
          <w:p>
            <w:pPr>
              <w:ind w:left="240"/>
              <w:spacing w:after="0"/>
              <w:rPr>
                <w:sz w:val="20"/>
                <w:szCs w:val="20"/>
                <w:color w:val="auto"/>
              </w:rPr>
            </w:pPr>
            <w:r>
              <w:rPr>
                <w:rFonts w:ascii="Arial" w:cs="Arial" w:eastAsia="Arial" w:hAnsi="Arial"/>
                <w:sz w:val="12"/>
                <w:szCs w:val="12"/>
                <w:color w:val="auto"/>
              </w:rPr>
              <w:t>Marketing fees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Revenue Less Ancillary Services</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u w:val="single" w:color="auto"/>
                <w:color w:val="auto"/>
                <w:w w:val="87"/>
              </w:rPr>
              <w:t>$</w:t>
            </w:r>
            <w:r>
              <w:rPr>
                <w:rFonts w:ascii="Arial" w:cs="Arial" w:eastAsia="Arial" w:hAnsi="Arial"/>
                <w:sz w:val="12"/>
                <w:szCs w:val="12"/>
                <w:color w:val="auto"/>
                <w:w w:val="87"/>
              </w:rPr>
              <w:t>174.0</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79"/>
              </w:rPr>
              <w:t>$ 176.0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08" w:right="1440"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2021-11-09T15:40:08Z</dcterms:created>
  <dcterms:modified xsi:type="dcterms:W3CDTF">2021-11-09T15:40:08Z</dcterms:modified>
</cp:coreProperties>
</file>