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Pitigoi Cosmin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20"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03/13/2025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800" w:type="dxa"/>
            <w:vAlign w:val="bottom"/>
            <w:gridSpan w:val="7"/>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tcPr>
          <w:p>
            <w:pPr>
              <w:ind w:left="16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03/13/2025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334,928</w:t>
            </w:r>
            <w:r>
              <w:rPr>
                <w:rFonts w:ascii="Times New Roman" w:cs="Times New Roman" w:eastAsia="Times New Roman" w:hAnsi="Times New Roman"/>
                <w:sz w:val="22"/>
                <w:szCs w:val="22"/>
                <w:color w:val="008000"/>
                <w:vertAlign w:val="superscript"/>
              </w:rPr>
              <w:t>(1)</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40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679,561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underlying a time-based restricted stock unit award (RSU). The RSU vests with respect to 25% of the shares on March 1, 2026, with the remainder vesting in equal quarterly installments over the following three years, provided that the Reporting Person has provided continuous service to the Issuer through the applicable vesting date.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Cosmin Pitigoi</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03/17/2025</w:t>
            </w:r>
          </w:p>
        </w:tc>
      </w:tr>
      <w:tr>
        <w:trPr>
          <w:trHeight w:val="20"/>
        </w:trPr>
        <w:tc>
          <w:tcPr>
            <w:tcW w:w="12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13285"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2025-03-17T15:39:04Z</dcterms:created>
  <dcterms:modified xsi:type="dcterms:W3CDTF">2025-03-17T15:39:04Z</dcterms:modified>
</cp:coreProperties>
</file>