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224790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June 7, 2024 (June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226695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FLYWIRE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27-0690799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ind w:left="4764"/>
        <w:spacing w:after="0"/>
        <w:rPr>
          <w:sz w:val="20"/>
          <w:szCs w:val="20"/>
          <w:color w:val="auto"/>
        </w:rPr>
      </w:pPr>
      <w:r>
        <w:rPr>
          <w:rFonts w:ascii="Times New Roman" w:cs="Times New Roman" w:eastAsia="Times New Roman" w:hAnsi="Times New Roman"/>
          <w:sz w:val="18"/>
          <w:szCs w:val="18"/>
          <w:b w:val="1"/>
          <w:bCs w:val="1"/>
          <w:color w:val="auto"/>
        </w:rPr>
        <w:t>141 Tremont St #10</w:t>
      </w:r>
    </w:p>
    <w:p>
      <w:pPr>
        <w:spacing w:after="0" w:line="31" w:lineRule="exact"/>
        <w:rPr>
          <w:sz w:val="24"/>
          <w:szCs w:val="24"/>
          <w:color w:val="auto"/>
        </w:rPr>
      </w:pPr>
    </w:p>
    <w:p>
      <w:pPr>
        <w:ind w:left="4804"/>
        <w:spacing w:after="0"/>
        <w:rPr>
          <w:sz w:val="20"/>
          <w:szCs w:val="20"/>
          <w:color w:val="auto"/>
        </w:rPr>
      </w:pPr>
      <w:r>
        <w:rPr>
          <w:rFonts w:ascii="Times New Roman" w:cs="Times New Roman" w:eastAsia="Times New Roman" w:hAnsi="Times New Roman"/>
          <w:sz w:val="18"/>
          <w:szCs w:val="18"/>
          <w:b w:val="1"/>
          <w:bCs w:val="1"/>
          <w:color w:val="auto"/>
        </w:rPr>
        <w:t>Boston, MA 02111</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3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(617) 329-4524</w:t>
      </w:r>
    </w:p>
    <w:p>
      <w:pPr>
        <w:spacing w:after="0" w:line="18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Voting 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4"/>
              </w:rPr>
              <w:t>FLYW</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At the 2024 annual meeting of stockholders (the “Annual Meeting”) of Flywire Corporation (the “Company”) held on June 4, 2024, the following proposals were submitted to the stockholders of the Company:</w:t>
      </w:r>
    </w:p>
    <w:p>
      <w:pPr>
        <w:spacing w:after="0" w:line="189" w:lineRule="exact"/>
        <w:rPr>
          <w:sz w:val="20"/>
          <w:szCs w:val="20"/>
          <w:color w:val="auto"/>
        </w:rPr>
      </w:pPr>
    </w:p>
    <w:p>
      <w:pPr>
        <w:ind w:left="1000" w:right="58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Proposal 1:</w:t>
        <w:tab/>
        <w:t>The election of two directors to serve as Class III directors until the Company’s 2027 annual meeting of stockholders or until their successors are duly elected and qualified.</w:t>
      </w:r>
    </w:p>
    <w:p>
      <w:pPr>
        <w:spacing w:after="0" w:line="162" w:lineRule="exact"/>
        <w:rPr>
          <w:sz w:val="20"/>
          <w:szCs w:val="20"/>
          <w:color w:val="auto"/>
        </w:rPr>
      </w:pPr>
    </w:p>
    <w:p>
      <w:pPr>
        <w:ind w:left="1000" w:right="100" w:hanging="998"/>
        <w:spacing w:after="0" w:line="282" w:lineRule="auto"/>
        <w:tabs>
          <w:tab w:leader="none" w:pos="980" w:val="left"/>
        </w:tabs>
        <w:rPr>
          <w:sz w:val="20"/>
          <w:szCs w:val="20"/>
          <w:color w:val="auto"/>
        </w:rPr>
      </w:pPr>
      <w:r>
        <w:rPr>
          <w:rFonts w:ascii="Times New Roman" w:cs="Times New Roman" w:eastAsia="Times New Roman" w:hAnsi="Times New Roman"/>
          <w:sz w:val="18"/>
          <w:szCs w:val="18"/>
          <w:color w:val="auto"/>
        </w:rPr>
        <w:t>Proposal 2:</w:t>
        <w:tab/>
        <w:t>The ratification of the appointment of PricewaterhouseCoopers LLP as the Company’s independent registered public accounting firm for the fiscal year ending December 31, 2024.</w:t>
      </w:r>
    </w:p>
    <w:p>
      <w:pPr>
        <w:spacing w:after="0" w:line="162"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Proposal 3:</w:t>
      </w:r>
      <w:r>
        <w:rPr>
          <w:sz w:val="20"/>
          <w:szCs w:val="20"/>
          <w:color w:val="auto"/>
        </w:rPr>
        <w:tab/>
      </w:r>
      <w:r>
        <w:rPr>
          <w:rFonts w:ascii="Times New Roman" w:cs="Times New Roman" w:eastAsia="Times New Roman" w:hAnsi="Times New Roman"/>
          <w:sz w:val="17"/>
          <w:szCs w:val="17"/>
          <w:color w:val="auto"/>
        </w:rPr>
        <w:t>The approval, on a non-binding, advisory basis, of the compensation of the Company’s named executive officers.</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For more information about the foregoing proposals, see the Company’s definitive proxy statement on Schedule 14A filed with the United States Securities and Exchange Commission on April 22, 2024 (the “Proxy Statement”). Of the 122,262,045 shares of the Company’s voting common stock entitled to vote at the Annual Meeting, 113,586,728 shares, or approximately 93%, were represented at the meeting in person or by proxy, constituting a quorum. The number of votes cast for, against or withheld, as well as abstentions and broker non-votes, if applicable, in respect of each such proposal is set forth below:</w:t>
      </w:r>
    </w:p>
    <w:p>
      <w:pPr>
        <w:spacing w:after="0" w:line="33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color w:val="auto"/>
        </w:rPr>
        <w:t>Proposal 1:</w:t>
      </w:r>
      <w:r>
        <w:rPr>
          <w:sz w:val="20"/>
          <w:szCs w:val="20"/>
          <w:color w:val="auto"/>
        </w:rPr>
        <w:tab/>
      </w:r>
      <w:r>
        <w:rPr>
          <w:rFonts w:ascii="Times New Roman" w:cs="Times New Roman" w:eastAsia="Times New Roman" w:hAnsi="Times New Roman"/>
          <w:sz w:val="18"/>
          <w:szCs w:val="18"/>
          <w:color w:val="auto"/>
        </w:rPr>
        <w:t>Election of Directors.</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the following directors to serve as Class III directors until the 2027 annual meeting of stockholders or until their successors are duly elected and qualified. The votes regarding the election of the directors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40" w:type="dxa"/>
            <w:vAlign w:val="bottom"/>
          </w:tcPr>
          <w:p>
            <w:pPr>
              <w:spacing w:after="0"/>
              <w:rPr>
                <w:sz w:val="15"/>
                <w:szCs w:val="15"/>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44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1300" w:type="dxa"/>
            <w:vAlign w:val="bottom"/>
            <w:gridSpan w:val="2"/>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Votes Withheld</w:t>
            </w:r>
          </w:p>
        </w:tc>
        <w:tc>
          <w:tcPr>
            <w:tcW w:w="1480" w:type="dxa"/>
            <w:vAlign w:val="bottom"/>
            <w:gridSpan w:val="2"/>
          </w:tcPr>
          <w:p>
            <w:pPr>
              <w:jc w:val="center"/>
              <w:ind w:left="2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191"/>
        </w:trPr>
        <w:tc>
          <w:tcPr>
            <w:tcW w:w="840" w:type="dxa"/>
            <w:vAlign w:val="bottom"/>
          </w:tcPr>
          <w:p>
            <w:pPr>
              <w:spacing w:after="0"/>
              <w:rPr>
                <w:sz w:val="16"/>
                <w:szCs w:val="16"/>
                <w:color w:val="auto"/>
              </w:rPr>
            </w:pPr>
          </w:p>
        </w:tc>
        <w:tc>
          <w:tcPr>
            <w:tcW w:w="526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Phillip Riese</w:t>
            </w:r>
          </w:p>
        </w:tc>
        <w:tc>
          <w:tcPr>
            <w:tcW w:w="440" w:type="dxa"/>
            <w:vAlign w:val="bottom"/>
          </w:tcPr>
          <w:p>
            <w:pPr>
              <w:spacing w:after="0"/>
              <w:rPr>
                <w:sz w:val="16"/>
                <w:szCs w:val="16"/>
                <w:color w:val="auto"/>
              </w:rPr>
            </w:pPr>
          </w:p>
        </w:tc>
        <w:tc>
          <w:tcPr>
            <w:tcW w:w="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71,790,522</w:t>
            </w:r>
          </w:p>
        </w:tc>
        <w:tc>
          <w:tcPr>
            <w:tcW w:w="360" w:type="dxa"/>
            <w:vAlign w:val="bottom"/>
          </w:tcPr>
          <w:p>
            <w:pPr>
              <w:spacing w:after="0"/>
              <w:rPr>
                <w:sz w:val="16"/>
                <w:szCs w:val="16"/>
                <w:color w:val="auto"/>
              </w:rPr>
            </w:pPr>
          </w:p>
        </w:tc>
        <w:tc>
          <w:tcPr>
            <w:tcW w:w="9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32,042,777</w:t>
            </w:r>
          </w:p>
        </w:tc>
        <w:tc>
          <w:tcPr>
            <w:tcW w:w="36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9,753,429</w:t>
            </w:r>
          </w:p>
        </w:tc>
      </w:tr>
      <w:tr>
        <w:trPr>
          <w:trHeight w:val="234"/>
        </w:trPr>
        <w:tc>
          <w:tcPr>
            <w:tcW w:w="840" w:type="dxa"/>
            <w:vAlign w:val="bottom"/>
          </w:tcPr>
          <w:p>
            <w:pPr>
              <w:spacing w:after="0"/>
              <w:rPr>
                <w:sz w:val="20"/>
                <w:szCs w:val="20"/>
                <w:color w:val="auto"/>
              </w:rPr>
            </w:pPr>
          </w:p>
        </w:tc>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Edwin Santos</w:t>
            </w:r>
          </w:p>
        </w:tc>
        <w:tc>
          <w:tcPr>
            <w:tcW w:w="12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w w:val="98"/>
              </w:rPr>
              <w:t>76,124,107</w:t>
            </w:r>
          </w:p>
        </w:tc>
        <w:tc>
          <w:tcPr>
            <w:tcW w:w="1300" w:type="dxa"/>
            <w:vAlign w:val="bottom"/>
            <w:gridSpan w:val="2"/>
          </w:tcPr>
          <w:p>
            <w:pPr>
              <w:jc w:val="center"/>
              <w:ind w:left="259"/>
              <w:spacing w:after="0"/>
              <w:rPr>
                <w:sz w:val="20"/>
                <w:szCs w:val="20"/>
                <w:color w:val="auto"/>
              </w:rPr>
            </w:pPr>
            <w:r>
              <w:rPr>
                <w:rFonts w:ascii="Times New Roman" w:cs="Times New Roman" w:eastAsia="Times New Roman" w:hAnsi="Times New Roman"/>
                <w:sz w:val="18"/>
                <w:szCs w:val="18"/>
                <w:color w:val="auto"/>
                <w:w w:val="98"/>
              </w:rPr>
              <w:t>27,709,192</w:t>
            </w:r>
          </w:p>
        </w:tc>
        <w:tc>
          <w:tcPr>
            <w:tcW w:w="1480" w:type="dxa"/>
            <w:vAlign w:val="bottom"/>
            <w:gridSpan w:val="2"/>
          </w:tcPr>
          <w:p>
            <w:pPr>
              <w:jc w:val="center"/>
              <w:ind w:left="279"/>
              <w:spacing w:after="0"/>
              <w:rPr>
                <w:sz w:val="20"/>
                <w:szCs w:val="20"/>
                <w:color w:val="auto"/>
              </w:rPr>
            </w:pPr>
            <w:r>
              <w:rPr>
                <w:rFonts w:ascii="Times New Roman" w:cs="Times New Roman" w:eastAsia="Times New Roman" w:hAnsi="Times New Roman"/>
                <w:sz w:val="18"/>
                <w:szCs w:val="18"/>
                <w:color w:val="auto"/>
                <w:w w:val="99"/>
              </w:rPr>
              <w:t>9,753,429</w:t>
            </w:r>
          </w:p>
        </w:tc>
      </w:tr>
      <w:tr>
        <w:trPr>
          <w:trHeight w:val="580"/>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Proposal 2:</w:t>
            </w:r>
          </w:p>
        </w:tc>
        <w:tc>
          <w:tcPr>
            <w:tcW w:w="5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Ratification of Appointment of PricewaterhouseCoopers LLP.</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PricewaterhouseCoopers LLP as the Company’s independent registered public accounting firm for the fiscal year ending December 31, 2024. The votes regarding this proposal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Votes Against</w:t>
            </w:r>
          </w:p>
        </w:tc>
        <w:tc>
          <w:tcPr>
            <w:tcW w:w="3140" w:type="dxa"/>
            <w:vAlign w:val="bottom"/>
            <w:gridSpan w:val="3"/>
          </w:tcPr>
          <w:p>
            <w:pPr>
              <w:jc w:val="center"/>
              <w:ind w:left="2008"/>
              <w:spacing w:after="0"/>
              <w:rPr>
                <w:sz w:val="20"/>
                <w:szCs w:val="20"/>
                <w:color w:val="auto"/>
              </w:rPr>
            </w:pPr>
            <w:r>
              <w:rPr>
                <w:rFonts w:ascii="Times New Roman" w:cs="Times New Roman" w:eastAsia="Times New Roman" w:hAnsi="Times New Roman"/>
                <w:sz w:val="14"/>
                <w:szCs w:val="14"/>
                <w:b w:val="1"/>
                <w:bCs w:val="1"/>
                <w:color w:val="auto"/>
                <w:w w:val="99"/>
              </w:rPr>
              <w:t>Votes Abstaining</w:t>
            </w:r>
          </w:p>
        </w:tc>
      </w:tr>
      <w:tr>
        <w:trPr>
          <w:trHeight w:val="228"/>
        </w:trPr>
        <w:tc>
          <w:tcPr>
            <w:tcW w:w="1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5"/>
                <w:szCs w:val="15"/>
                <w:color w:val="auto"/>
                <w:w w:val="74"/>
              </w:rPr>
              <w:t>113,529,941</w:t>
            </w:r>
          </w:p>
        </w:tc>
        <w:tc>
          <w:tcPr>
            <w:tcW w:w="2460" w:type="dxa"/>
            <w:vAlign w:val="bottom"/>
          </w:tcPr>
          <w:p>
            <w:pPr>
              <w:spacing w:after="0"/>
              <w:rPr>
                <w:sz w:val="19"/>
                <w:szCs w:val="19"/>
                <w:color w:val="auto"/>
              </w:rPr>
            </w:pPr>
          </w:p>
        </w:tc>
        <w:tc>
          <w:tcPr>
            <w:tcW w:w="8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23,870</w:t>
            </w:r>
          </w:p>
        </w:tc>
        <w:tc>
          <w:tcPr>
            <w:tcW w:w="2100" w:type="dxa"/>
            <w:vAlign w:val="bottom"/>
          </w:tcPr>
          <w:p>
            <w:pPr>
              <w:spacing w:after="0"/>
              <w:rPr>
                <w:sz w:val="19"/>
                <w:szCs w:val="19"/>
                <w:color w:val="auto"/>
              </w:rPr>
            </w:pPr>
          </w:p>
        </w:tc>
        <w:tc>
          <w:tcPr>
            <w:tcW w:w="102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32,917</w:t>
            </w:r>
          </w:p>
        </w:tc>
        <w:tc>
          <w:tcPr>
            <w:tcW w:w="20" w:type="dxa"/>
            <w:vAlign w:val="bottom"/>
          </w:tcPr>
          <w:p>
            <w:pPr>
              <w:spacing w:after="0"/>
              <w:rPr>
                <w:sz w:val="19"/>
                <w:szCs w:val="19"/>
                <w:color w:val="auto"/>
              </w:rPr>
            </w:pPr>
          </w:p>
        </w:tc>
      </w:tr>
      <w:tr>
        <w:trPr>
          <w:trHeight w:val="562"/>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Proposal 3:</w:t>
            </w:r>
          </w:p>
        </w:tc>
        <w:tc>
          <w:tcPr>
            <w:tcW w:w="42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Advisory Vote on Executive Compensation.</w:t>
            </w:r>
          </w:p>
        </w:tc>
        <w:tc>
          <w:tcPr>
            <w:tcW w:w="8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9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of the Company’s named executive officers as described in the Proxy Statement. The votes regarding this proposal were as follows:</w:t>
      </w:r>
    </w:p>
    <w:p>
      <w:pPr>
        <w:spacing w:after="0" w:line="182" w:lineRule="exact"/>
        <w:rPr>
          <w:sz w:val="20"/>
          <w:szCs w:val="20"/>
          <w:color w:val="auto"/>
        </w:rPr>
      </w:pPr>
    </w:p>
    <w:tbl>
      <w:tblPr>
        <w:tblLayout w:type="fixed"/>
        <w:tblInd w:w="1580" w:type="dxa"/>
        <w:tblCellMar>
          <w:top w:w="0" w:type="dxa"/>
          <w:left w:w="0" w:type="dxa"/>
          <w:bottom w:w="0" w:type="dxa"/>
          <w:right w:w="0" w:type="dxa"/>
        </w:tblCellMar>
      </w:tblPr>
      <w:tr>
        <w:trPr>
          <w:trHeight w:val="173"/>
        </w:trPr>
        <w:tc>
          <w:tcPr>
            <w:tcW w:w="120" w:type="dxa"/>
            <w:vAlign w:val="bottom"/>
          </w:tcPr>
          <w:p>
            <w:pPr>
              <w:spacing w:after="0"/>
              <w:rPr>
                <w:sz w:val="15"/>
                <w:szCs w:val="15"/>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Votes For</w:t>
            </w:r>
          </w:p>
        </w:tc>
        <w:tc>
          <w:tcPr>
            <w:tcW w:w="2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Against</w:t>
            </w:r>
          </w:p>
        </w:tc>
        <w:tc>
          <w:tcPr>
            <w:tcW w:w="23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Votes Abstaining</w:t>
            </w:r>
          </w:p>
        </w:tc>
        <w:tc>
          <w:tcPr>
            <w:tcW w:w="1740" w:type="dxa"/>
            <w:vAlign w:val="bottom"/>
            <w:gridSpan w:val="3"/>
          </w:tcPr>
          <w:p>
            <w:pPr>
              <w:jc w:val="center"/>
              <w:ind w:left="548"/>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28"/>
        </w:trPr>
        <w:tc>
          <w:tcPr>
            <w:tcW w:w="120" w:type="dxa"/>
            <w:vAlign w:val="bottom"/>
          </w:tcPr>
          <w:p>
            <w:pPr>
              <w:spacing w:after="0"/>
              <w:rPr>
                <w:sz w:val="19"/>
                <w:szCs w:val="19"/>
                <w:color w:val="auto"/>
              </w:rPr>
            </w:pPr>
          </w:p>
        </w:tc>
        <w:tc>
          <w:tcPr>
            <w:tcW w:w="5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w w:val="73"/>
              </w:rPr>
              <w:t>96,109,899</w:t>
            </w:r>
          </w:p>
        </w:tc>
        <w:tc>
          <w:tcPr>
            <w:tcW w:w="8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7,656,614</w:t>
            </w: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66,786</w:t>
            </w:r>
          </w:p>
        </w:tc>
        <w:tc>
          <w:tcPr>
            <w:tcW w:w="6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9,753,429</w:t>
            </w:r>
          </w:p>
        </w:tc>
        <w:tc>
          <w:tcPr>
            <w:tcW w:w="20" w:type="dxa"/>
            <w:vAlign w:val="bottom"/>
          </w:tcPr>
          <w:p>
            <w:pPr>
              <w:spacing w:after="0"/>
              <w:rPr>
                <w:sz w:val="19"/>
                <w:szCs w:val="19"/>
                <w:color w:val="auto"/>
              </w:rPr>
            </w:pPr>
          </w:p>
        </w:tc>
      </w:tr>
    </w:tbl>
    <w:p>
      <w:pPr>
        <w:sectPr>
          <w:pgSz w:w="11900" w:h="16838" w:orient="portrait"/>
          <w:cols w:equalWidth="0" w:num="1">
            <w:col w:w="10940"/>
          </w:cols>
          <w:pgMar w:left="440" w:top="293" w:right="519" w:bottom="1440" w:gutter="0" w:footer="0" w:header="0"/>
        </w:sectPr>
      </w:pPr>
    </w:p>
    <w:bookmarkStart w:id="2" w:name="page3"/>
    <w:bookmarkEnd w:id="2"/>
    <w:p>
      <w:pPr>
        <w:ind w:left="50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FLYWIRE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Cosmin Pitigoi</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Cosmin Pitigoi</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7, 2024</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2024-06-07T15:49:12Z</dcterms:created>
  <dcterms:modified xsi:type="dcterms:W3CDTF">2024-06-07T15:49:12Z</dcterms:modified>
</cp:coreProperties>
</file>