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011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0119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Finkelstein Alex</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Flywire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FLYW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480" w:type="dxa"/>
            <w:vAlign w:val="bottom"/>
            <w:gridSpan w:val="3"/>
            <w:vMerge w:val="restart"/>
          </w:tcPr>
          <w:p>
            <w:pPr>
              <w:ind w:left="260"/>
              <w:spacing w:after="0"/>
              <w:rPr>
                <w:sz w:val="20"/>
                <w:szCs w:val="20"/>
                <w:color w:val="auto"/>
              </w:rPr>
            </w:pPr>
            <w:r>
              <w:rPr>
                <w:rFonts w:ascii="Arial" w:cs="Arial" w:eastAsia="Arial" w:hAnsi="Arial"/>
                <w:sz w:val="13"/>
                <w:szCs w:val="13"/>
                <w:color w:val="auto"/>
              </w:rPr>
              <w:t>Officer (give title</w:t>
            </w: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tcPr>
          <w:p>
            <w:pPr>
              <w:ind w:left="26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3"/>
                <w:szCs w:val="13"/>
                <w:color w:val="auto"/>
              </w:rPr>
            </w:pPr>
          </w:p>
        </w:tc>
        <w:tc>
          <w:tcPr>
            <w:tcW w:w="90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FLYWIRE CORPORATION</w:t>
            </w:r>
          </w:p>
        </w:tc>
        <w:tc>
          <w:tcPr>
            <w:tcW w:w="1300" w:type="dxa"/>
            <w:vAlign w:val="bottom"/>
            <w:gridSpan w:val="6"/>
          </w:tcPr>
          <w:p>
            <w:pPr>
              <w:ind w:left="160"/>
              <w:spacing w:after="0"/>
              <w:rPr>
                <w:sz w:val="20"/>
                <w:szCs w:val="20"/>
                <w:color w:val="auto"/>
              </w:rPr>
            </w:pPr>
            <w:r>
              <w:rPr>
                <w:rFonts w:ascii="Arial" w:cs="Arial" w:eastAsia="Arial" w:hAnsi="Arial"/>
                <w:sz w:val="17"/>
                <w:szCs w:val="17"/>
                <w:color w:val="0000FF"/>
              </w:rPr>
              <w:t>05/12/2022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141 TREMONT STREET, SUITE 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MA</w:t>
            </w:r>
          </w:p>
        </w:tc>
        <w:tc>
          <w:tcPr>
            <w:tcW w:w="1340" w:type="dxa"/>
            <w:vAlign w:val="bottom"/>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8"/>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ind w:left="260"/>
              <w:spacing w:after="0" w:line="134"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42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05/12/2022</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jc w:val="center"/>
              <w:ind w:right="40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5,974,393</w:t>
            </w:r>
          </w:p>
        </w:tc>
        <w:tc>
          <w:tcPr>
            <w:tcW w:w="440" w:type="dxa"/>
            <w:vAlign w:val="bottom"/>
            <w:vMerge w:val="restart"/>
          </w:tcPr>
          <w:p>
            <w:pPr>
              <w:jc w:val="right"/>
              <w:ind w:right="45"/>
              <w:spacing w:after="0"/>
              <w:rPr>
                <w:sz w:val="20"/>
                <w:szCs w:val="20"/>
                <w:color w:val="auto"/>
              </w:rPr>
            </w:pPr>
            <w:r>
              <w:rPr>
                <w:rFonts w:ascii="Arial" w:cs="Arial" w:eastAsia="Arial" w:hAnsi="Arial"/>
                <w:sz w:val="17"/>
                <w:szCs w:val="17"/>
                <w:color w:val="0000FF"/>
              </w:rPr>
              <w:t>D</w:t>
            </w:r>
          </w:p>
        </w:tc>
        <w:tc>
          <w:tcPr>
            <w:tcW w:w="62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5,974,393</w:t>
            </w:r>
          </w:p>
        </w:tc>
        <w:tc>
          <w:tcPr>
            <w:tcW w:w="280" w:type="dxa"/>
            <w:vAlign w:val="bottom"/>
          </w:tcPr>
          <w:p>
            <w:pPr>
              <w:spacing w:after="0"/>
              <w:rPr>
                <w:sz w:val="22"/>
                <w:szCs w:val="22"/>
                <w:color w:val="auto"/>
              </w:rPr>
            </w:pPr>
          </w:p>
        </w:tc>
        <w:tc>
          <w:tcPr>
            <w:tcW w:w="580" w:type="dxa"/>
            <w:vAlign w:val="bottom"/>
            <w:vMerge w:val="restart"/>
          </w:tcPr>
          <w:p>
            <w:pPr>
              <w:jc w:val="center"/>
              <w:ind w:right="282"/>
              <w:spacing w:after="0"/>
              <w:rPr>
                <w:sz w:val="20"/>
                <w:szCs w:val="20"/>
                <w:color w:val="auto"/>
              </w:rPr>
            </w:pPr>
            <w:r>
              <w:rPr>
                <w:rFonts w:ascii="Arial" w:cs="Arial" w:eastAsia="Arial" w:hAnsi="Arial"/>
                <w:sz w:val="17"/>
                <w:szCs w:val="17"/>
                <w:color w:val="0000FF"/>
              </w:rPr>
              <w:t>I</w:t>
            </w:r>
          </w:p>
        </w:tc>
        <w:tc>
          <w:tcPr>
            <w:tcW w:w="320" w:type="dxa"/>
            <w:vAlign w:val="bottom"/>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tcBorders>
              <w:top w:val="single" w:sz="8" w:color="2C2C2C"/>
            </w:tcBorders>
            <w:gridSpan w:val="5"/>
            <w:vMerge w:val="restart"/>
          </w:tcPr>
          <w:p>
            <w:pPr>
              <w:jc w:val="right"/>
              <w:ind w:right="155"/>
              <w:spacing w:after="0"/>
              <w:rPr>
                <w:sz w:val="20"/>
                <w:szCs w:val="20"/>
                <w:color w:val="auto"/>
              </w:rPr>
            </w:pPr>
            <w:r>
              <w:rPr>
                <w:rFonts w:ascii="Arial" w:cs="Arial" w:eastAsia="Arial" w:hAnsi="Arial"/>
                <w:sz w:val="17"/>
                <w:szCs w:val="17"/>
                <w:color w:val="0000FF"/>
              </w:rPr>
              <w:t>05/12/2022</w:t>
            </w:r>
          </w:p>
        </w:tc>
        <w:tc>
          <w:tcPr>
            <w:tcW w:w="4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40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(3)</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1,537,962</w:t>
            </w:r>
          </w:p>
        </w:tc>
        <w:tc>
          <w:tcPr>
            <w:tcW w:w="440" w:type="dxa"/>
            <w:vAlign w:val="bottom"/>
            <w:tcBorders>
              <w:top w:val="single" w:sz="8" w:color="2C2C2C"/>
            </w:tcBorders>
            <w:vMerge w:val="restart"/>
          </w:tcPr>
          <w:p>
            <w:pPr>
              <w:jc w:val="right"/>
              <w:ind w:right="45"/>
              <w:spacing w:after="0"/>
              <w:rPr>
                <w:sz w:val="20"/>
                <w:szCs w:val="20"/>
                <w:color w:val="auto"/>
              </w:rPr>
            </w:pPr>
            <w:r>
              <w:rPr>
                <w:rFonts w:ascii="Arial" w:cs="Arial" w:eastAsia="Arial" w:hAnsi="Arial"/>
                <w:sz w:val="17"/>
                <w:szCs w:val="17"/>
                <w:color w:val="0000FF"/>
              </w:rPr>
              <w:t>A</w:t>
            </w:r>
          </w:p>
        </w:tc>
        <w:tc>
          <w:tcPr>
            <w:tcW w:w="620" w:type="dxa"/>
            <w:vAlign w:val="bottom"/>
            <w:tcBorders>
              <w:top w:val="single" w:sz="8" w:color="2C2C2C"/>
            </w:tcBorders>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2"/>
              </w:rPr>
              <w:t>1,537,962</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2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tcBorders>
              <w:top w:val="single" w:sz="8" w:color="2C2C2C"/>
            </w:tcBorders>
            <w:gridSpan w:val="5"/>
            <w:vMerge w:val="restart"/>
          </w:tcPr>
          <w:p>
            <w:pPr>
              <w:jc w:val="right"/>
              <w:ind w:right="155"/>
              <w:spacing w:after="0"/>
              <w:rPr>
                <w:sz w:val="20"/>
                <w:szCs w:val="20"/>
                <w:color w:val="auto"/>
              </w:rPr>
            </w:pPr>
            <w:r>
              <w:rPr>
                <w:rFonts w:ascii="Arial" w:cs="Arial" w:eastAsia="Arial" w:hAnsi="Arial"/>
                <w:sz w:val="17"/>
                <w:szCs w:val="17"/>
                <w:color w:val="0000FF"/>
              </w:rPr>
              <w:t>05/12/2022</w:t>
            </w:r>
          </w:p>
        </w:tc>
        <w:tc>
          <w:tcPr>
            <w:tcW w:w="4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40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(5)</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1,537,962</w:t>
            </w:r>
          </w:p>
        </w:tc>
        <w:tc>
          <w:tcPr>
            <w:tcW w:w="440" w:type="dxa"/>
            <w:vAlign w:val="bottom"/>
            <w:tcBorders>
              <w:top w:val="single" w:sz="8" w:color="2C2C2C"/>
            </w:tcBorders>
            <w:vMerge w:val="restart"/>
          </w:tcPr>
          <w:p>
            <w:pPr>
              <w:jc w:val="right"/>
              <w:ind w:right="45"/>
              <w:spacing w:after="0"/>
              <w:rPr>
                <w:sz w:val="20"/>
                <w:szCs w:val="20"/>
                <w:color w:val="auto"/>
              </w:rPr>
            </w:pPr>
            <w:r>
              <w:rPr>
                <w:rFonts w:ascii="Arial" w:cs="Arial" w:eastAsia="Arial" w:hAnsi="Arial"/>
                <w:sz w:val="17"/>
                <w:szCs w:val="17"/>
                <w:color w:val="0000FF"/>
              </w:rPr>
              <w:t>D</w:t>
            </w:r>
          </w:p>
        </w:tc>
        <w:tc>
          <w:tcPr>
            <w:tcW w:w="620" w:type="dxa"/>
            <w:vAlign w:val="bottom"/>
            <w:tcBorders>
              <w:top w:val="single" w:sz="8" w:color="2C2C2C"/>
            </w:tcBorders>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700" w:type="dxa"/>
            <w:vAlign w:val="bottom"/>
            <w:tcBorders>
              <w:top w:val="single" w:sz="8" w:color="2C2C2C"/>
            </w:tcBorders>
            <w:gridSpan w:val="2"/>
            <w:vMerge w:val="restart"/>
          </w:tcPr>
          <w:p>
            <w:pPr>
              <w:jc w:val="center"/>
              <w:ind w:left="479"/>
              <w:spacing w:after="0"/>
              <w:rPr>
                <w:sz w:val="20"/>
                <w:szCs w:val="20"/>
                <w:color w:val="auto"/>
              </w:rPr>
            </w:pPr>
            <w:r>
              <w:rPr>
                <w:rFonts w:ascii="Arial" w:cs="Arial" w:eastAsia="Arial" w:hAnsi="Arial"/>
                <w:sz w:val="17"/>
                <w:szCs w:val="17"/>
                <w:color w:val="0000FF"/>
              </w:rPr>
              <w:t>0</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2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tcBorders>
              <w:top w:val="single" w:sz="8" w:color="2C2C2C"/>
            </w:tcBorders>
            <w:gridSpan w:val="5"/>
            <w:vMerge w:val="restart"/>
          </w:tcPr>
          <w:p>
            <w:pPr>
              <w:jc w:val="right"/>
              <w:ind w:right="155"/>
              <w:spacing w:after="0"/>
              <w:rPr>
                <w:sz w:val="20"/>
                <w:szCs w:val="20"/>
                <w:color w:val="auto"/>
              </w:rPr>
            </w:pPr>
            <w:r>
              <w:rPr>
                <w:rFonts w:ascii="Arial" w:cs="Arial" w:eastAsia="Arial" w:hAnsi="Arial"/>
                <w:sz w:val="17"/>
                <w:szCs w:val="17"/>
                <w:color w:val="0000FF"/>
              </w:rPr>
              <w:t>05/12/2022</w:t>
            </w:r>
          </w:p>
        </w:tc>
        <w:tc>
          <w:tcPr>
            <w:tcW w:w="4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40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(6)</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39,083</w:t>
            </w:r>
          </w:p>
        </w:tc>
        <w:tc>
          <w:tcPr>
            <w:tcW w:w="440" w:type="dxa"/>
            <w:vAlign w:val="bottom"/>
            <w:tcBorders>
              <w:top w:val="single" w:sz="8" w:color="2C2C2C"/>
            </w:tcBorders>
            <w:vMerge w:val="restart"/>
          </w:tcPr>
          <w:p>
            <w:pPr>
              <w:jc w:val="right"/>
              <w:ind w:right="45"/>
              <w:spacing w:after="0"/>
              <w:rPr>
                <w:sz w:val="20"/>
                <w:szCs w:val="20"/>
                <w:color w:val="auto"/>
              </w:rPr>
            </w:pPr>
            <w:r>
              <w:rPr>
                <w:rFonts w:ascii="Arial" w:cs="Arial" w:eastAsia="Arial" w:hAnsi="Arial"/>
                <w:sz w:val="17"/>
                <w:szCs w:val="17"/>
                <w:color w:val="0000FF"/>
              </w:rPr>
              <w:t>D</w:t>
            </w:r>
          </w:p>
        </w:tc>
        <w:tc>
          <w:tcPr>
            <w:tcW w:w="620" w:type="dxa"/>
            <w:vAlign w:val="bottom"/>
            <w:tcBorders>
              <w:top w:val="single" w:sz="8" w:color="2C2C2C"/>
            </w:tcBorders>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8"/>
              </w:rPr>
              <w:t>39,083</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2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tcBorders>
              <w:top w:val="single" w:sz="8" w:color="2C2C2C"/>
            </w:tcBorders>
            <w:gridSpan w:val="5"/>
            <w:vMerge w:val="restart"/>
          </w:tcPr>
          <w:p>
            <w:pPr>
              <w:jc w:val="right"/>
              <w:ind w:right="155"/>
              <w:spacing w:after="0"/>
              <w:rPr>
                <w:sz w:val="20"/>
                <w:szCs w:val="20"/>
                <w:color w:val="auto"/>
              </w:rPr>
            </w:pPr>
            <w:r>
              <w:rPr>
                <w:rFonts w:ascii="Arial" w:cs="Arial" w:eastAsia="Arial" w:hAnsi="Arial"/>
                <w:sz w:val="17"/>
                <w:szCs w:val="17"/>
                <w:color w:val="0000FF"/>
              </w:rPr>
              <w:t>05/12/2022</w:t>
            </w:r>
          </w:p>
        </w:tc>
        <w:tc>
          <w:tcPr>
            <w:tcW w:w="4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403"/>
              <w:spacing w:after="0"/>
              <w:rPr>
                <w:sz w:val="20"/>
                <w:szCs w:val="20"/>
                <w:color w:val="auto"/>
              </w:rPr>
            </w:pPr>
            <w:r>
              <w:rPr>
                <w:rFonts w:ascii="Arial" w:cs="Arial" w:eastAsia="Arial" w:hAnsi="Arial"/>
                <w:sz w:val="26"/>
                <w:szCs w:val="26"/>
                <w:color w:val="0000FF"/>
                <w:w w:val="81"/>
                <w:vertAlign w:val="subscript"/>
              </w:rPr>
              <w:t>J</w:t>
            </w:r>
            <w:r>
              <w:rPr>
                <w:rFonts w:ascii="Arial" w:cs="Arial" w:eastAsia="Arial" w:hAnsi="Arial"/>
                <w:sz w:val="11"/>
                <w:szCs w:val="11"/>
                <w:color w:val="008000"/>
                <w:w w:val="81"/>
              </w:rPr>
              <w:t>(8)</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10,257</w:t>
            </w:r>
          </w:p>
        </w:tc>
        <w:tc>
          <w:tcPr>
            <w:tcW w:w="440" w:type="dxa"/>
            <w:vAlign w:val="bottom"/>
            <w:tcBorders>
              <w:top w:val="single" w:sz="8" w:color="2C2C2C"/>
            </w:tcBorders>
            <w:vMerge w:val="restart"/>
          </w:tcPr>
          <w:p>
            <w:pPr>
              <w:jc w:val="right"/>
              <w:ind w:right="45"/>
              <w:spacing w:after="0"/>
              <w:rPr>
                <w:sz w:val="20"/>
                <w:szCs w:val="20"/>
                <w:color w:val="auto"/>
              </w:rPr>
            </w:pPr>
            <w:r>
              <w:rPr>
                <w:rFonts w:ascii="Arial" w:cs="Arial" w:eastAsia="Arial" w:hAnsi="Arial"/>
                <w:sz w:val="17"/>
                <w:szCs w:val="17"/>
                <w:color w:val="0000FF"/>
              </w:rPr>
              <w:t>D</w:t>
            </w:r>
          </w:p>
        </w:tc>
        <w:tc>
          <w:tcPr>
            <w:tcW w:w="620" w:type="dxa"/>
            <w:vAlign w:val="bottom"/>
            <w:tcBorders>
              <w:top w:val="single" w:sz="8" w:color="2C2C2C"/>
            </w:tcBorders>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700" w:type="dxa"/>
            <w:vAlign w:val="bottom"/>
            <w:tcBorders>
              <w:top w:val="single" w:sz="8" w:color="2C2C2C"/>
            </w:tcBorders>
            <w:gridSpan w:val="2"/>
            <w:vMerge w:val="restart"/>
          </w:tcPr>
          <w:p>
            <w:pPr>
              <w:jc w:val="center"/>
              <w:ind w:left="479"/>
              <w:spacing w:after="0"/>
              <w:rPr>
                <w:sz w:val="20"/>
                <w:szCs w:val="20"/>
                <w:color w:val="auto"/>
              </w:rPr>
            </w:pPr>
            <w:r>
              <w:rPr>
                <w:rFonts w:ascii="Arial" w:cs="Arial" w:eastAsia="Arial" w:hAnsi="Arial"/>
                <w:sz w:val="17"/>
                <w:szCs w:val="17"/>
                <w:color w:val="0000FF"/>
              </w:rPr>
              <w:t>0</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2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tcBorders>
              <w:top w:val="single" w:sz="8" w:color="2C2C2C"/>
            </w:tcBorders>
            <w:gridSpan w:val="5"/>
            <w:vMerge w:val="restart"/>
          </w:tcPr>
          <w:p>
            <w:pPr>
              <w:jc w:val="right"/>
              <w:ind w:right="155"/>
              <w:spacing w:after="0"/>
              <w:rPr>
                <w:sz w:val="20"/>
                <w:szCs w:val="20"/>
                <w:color w:val="auto"/>
              </w:rPr>
            </w:pPr>
            <w:r>
              <w:rPr>
                <w:rFonts w:ascii="Arial" w:cs="Arial" w:eastAsia="Arial" w:hAnsi="Arial"/>
                <w:sz w:val="17"/>
                <w:szCs w:val="17"/>
                <w:color w:val="0000FF"/>
              </w:rPr>
              <w:t>05/12/2022</w:t>
            </w:r>
          </w:p>
        </w:tc>
        <w:tc>
          <w:tcPr>
            <w:tcW w:w="4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38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(10)</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9"/>
              </w:rPr>
              <w:t>1,036,509</w:t>
            </w:r>
          </w:p>
        </w:tc>
        <w:tc>
          <w:tcPr>
            <w:tcW w:w="440" w:type="dxa"/>
            <w:vAlign w:val="bottom"/>
            <w:tcBorders>
              <w:top w:val="single" w:sz="8" w:color="2C2C2C"/>
            </w:tcBorders>
            <w:vMerge w:val="restart"/>
          </w:tcPr>
          <w:p>
            <w:pPr>
              <w:jc w:val="right"/>
              <w:ind w:right="45"/>
              <w:spacing w:after="0"/>
              <w:rPr>
                <w:sz w:val="20"/>
                <w:szCs w:val="20"/>
                <w:color w:val="auto"/>
              </w:rPr>
            </w:pPr>
            <w:r>
              <w:rPr>
                <w:rFonts w:ascii="Arial" w:cs="Arial" w:eastAsia="Arial" w:hAnsi="Arial"/>
                <w:sz w:val="17"/>
                <w:szCs w:val="17"/>
                <w:color w:val="0000FF"/>
              </w:rPr>
              <w:t>D</w:t>
            </w:r>
          </w:p>
        </w:tc>
        <w:tc>
          <w:tcPr>
            <w:tcW w:w="620" w:type="dxa"/>
            <w:vAlign w:val="bottom"/>
            <w:tcBorders>
              <w:top w:val="single" w:sz="8" w:color="2C2C2C"/>
            </w:tcBorders>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700" w:type="dxa"/>
            <w:vAlign w:val="bottom"/>
            <w:tcBorders>
              <w:top w:val="single" w:sz="8" w:color="2C2C2C"/>
            </w:tcBorders>
            <w:gridSpan w:val="2"/>
            <w:vMerge w:val="restart"/>
          </w:tcPr>
          <w:p>
            <w:pPr>
              <w:jc w:val="center"/>
              <w:ind w:left="479"/>
              <w:spacing w:after="0"/>
              <w:rPr>
                <w:sz w:val="20"/>
                <w:szCs w:val="20"/>
                <w:color w:val="auto"/>
              </w:rPr>
            </w:pPr>
            <w:r>
              <w:rPr>
                <w:rFonts w:ascii="Arial" w:cs="Arial" w:eastAsia="Arial" w:hAnsi="Arial"/>
                <w:sz w:val="17"/>
                <w:szCs w:val="17"/>
                <w:color w:val="0000FF"/>
              </w:rPr>
              <w:t>0</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2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tcBorders>
              <w:top w:val="single" w:sz="8" w:color="2C2C2C"/>
            </w:tcBorders>
            <w:gridSpan w:val="5"/>
            <w:vMerge w:val="restart"/>
          </w:tcPr>
          <w:p>
            <w:pPr>
              <w:jc w:val="right"/>
              <w:ind w:right="155"/>
              <w:spacing w:after="0"/>
              <w:rPr>
                <w:sz w:val="20"/>
                <w:szCs w:val="20"/>
                <w:color w:val="auto"/>
              </w:rPr>
            </w:pPr>
            <w:r>
              <w:rPr>
                <w:rFonts w:ascii="Arial" w:cs="Arial" w:eastAsia="Arial" w:hAnsi="Arial"/>
                <w:sz w:val="17"/>
                <w:szCs w:val="17"/>
                <w:color w:val="0000FF"/>
              </w:rPr>
              <w:t>05/12/2022</w:t>
            </w:r>
          </w:p>
        </w:tc>
        <w:tc>
          <w:tcPr>
            <w:tcW w:w="4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38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(19)</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9,571</w:t>
            </w:r>
          </w:p>
        </w:tc>
        <w:tc>
          <w:tcPr>
            <w:tcW w:w="440" w:type="dxa"/>
            <w:vAlign w:val="bottom"/>
            <w:tcBorders>
              <w:top w:val="single" w:sz="8" w:color="2C2C2C"/>
            </w:tcBorders>
            <w:vMerge w:val="restart"/>
          </w:tcPr>
          <w:p>
            <w:pPr>
              <w:jc w:val="right"/>
              <w:ind w:right="45"/>
              <w:spacing w:after="0"/>
              <w:rPr>
                <w:sz w:val="20"/>
                <w:szCs w:val="20"/>
                <w:color w:val="auto"/>
              </w:rPr>
            </w:pPr>
            <w:r>
              <w:rPr>
                <w:rFonts w:ascii="Arial" w:cs="Arial" w:eastAsia="Arial" w:hAnsi="Arial"/>
                <w:sz w:val="17"/>
                <w:szCs w:val="17"/>
                <w:color w:val="0000FF"/>
              </w:rPr>
              <w:t>A</w:t>
            </w:r>
          </w:p>
        </w:tc>
        <w:tc>
          <w:tcPr>
            <w:tcW w:w="620" w:type="dxa"/>
            <w:vAlign w:val="bottom"/>
            <w:tcBorders>
              <w:top w:val="single" w:sz="8" w:color="2C2C2C"/>
            </w:tcBorders>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9"/>
              </w:rPr>
              <w:t>9,571</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2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tcBorders>
              <w:top w:val="single" w:sz="8" w:color="2C2C2C"/>
            </w:tcBorders>
            <w:gridSpan w:val="5"/>
            <w:vMerge w:val="restart"/>
          </w:tcPr>
          <w:p>
            <w:pPr>
              <w:jc w:val="right"/>
              <w:ind w:right="155"/>
              <w:spacing w:after="0"/>
              <w:rPr>
                <w:sz w:val="20"/>
                <w:szCs w:val="20"/>
                <w:color w:val="auto"/>
              </w:rPr>
            </w:pPr>
            <w:r>
              <w:rPr>
                <w:rFonts w:ascii="Arial" w:cs="Arial" w:eastAsia="Arial" w:hAnsi="Arial"/>
                <w:sz w:val="17"/>
                <w:szCs w:val="17"/>
                <w:color w:val="0000FF"/>
              </w:rPr>
              <w:t>05/12/2022</w:t>
            </w:r>
          </w:p>
        </w:tc>
        <w:tc>
          <w:tcPr>
            <w:tcW w:w="4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38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(14)</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9,571</w:t>
            </w:r>
          </w:p>
        </w:tc>
        <w:tc>
          <w:tcPr>
            <w:tcW w:w="440" w:type="dxa"/>
            <w:vAlign w:val="bottom"/>
            <w:tcBorders>
              <w:top w:val="single" w:sz="8" w:color="2C2C2C"/>
            </w:tcBorders>
            <w:vMerge w:val="restart"/>
          </w:tcPr>
          <w:p>
            <w:pPr>
              <w:jc w:val="right"/>
              <w:ind w:right="45"/>
              <w:spacing w:after="0"/>
              <w:rPr>
                <w:sz w:val="20"/>
                <w:szCs w:val="20"/>
                <w:color w:val="auto"/>
              </w:rPr>
            </w:pPr>
            <w:r>
              <w:rPr>
                <w:rFonts w:ascii="Arial" w:cs="Arial" w:eastAsia="Arial" w:hAnsi="Arial"/>
                <w:sz w:val="17"/>
                <w:szCs w:val="17"/>
                <w:color w:val="0000FF"/>
              </w:rPr>
              <w:t>D</w:t>
            </w:r>
          </w:p>
        </w:tc>
        <w:tc>
          <w:tcPr>
            <w:tcW w:w="620" w:type="dxa"/>
            <w:vAlign w:val="bottom"/>
            <w:tcBorders>
              <w:top w:val="single" w:sz="8" w:color="2C2C2C"/>
            </w:tcBorders>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700" w:type="dxa"/>
            <w:vAlign w:val="bottom"/>
            <w:tcBorders>
              <w:top w:val="single" w:sz="8" w:color="2C2C2C"/>
            </w:tcBorders>
            <w:gridSpan w:val="2"/>
            <w:vMerge w:val="restart"/>
          </w:tcPr>
          <w:p>
            <w:pPr>
              <w:jc w:val="center"/>
              <w:ind w:left="479"/>
              <w:spacing w:after="0"/>
              <w:rPr>
                <w:sz w:val="20"/>
                <w:szCs w:val="20"/>
                <w:color w:val="auto"/>
              </w:rPr>
            </w:pPr>
            <w:r>
              <w:rPr>
                <w:rFonts w:ascii="Arial" w:cs="Arial" w:eastAsia="Arial" w:hAnsi="Arial"/>
                <w:sz w:val="17"/>
                <w:szCs w:val="17"/>
                <w:color w:val="0000FF"/>
              </w:rPr>
              <w:t>0</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2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tcBorders>
              <w:top w:val="single" w:sz="8" w:color="2C2C2C"/>
            </w:tcBorders>
            <w:gridSpan w:val="5"/>
            <w:vMerge w:val="restart"/>
          </w:tcPr>
          <w:p>
            <w:pPr>
              <w:jc w:val="right"/>
              <w:ind w:right="155"/>
              <w:spacing w:after="0"/>
              <w:rPr>
                <w:sz w:val="20"/>
                <w:szCs w:val="20"/>
                <w:color w:val="auto"/>
              </w:rPr>
            </w:pPr>
            <w:r>
              <w:rPr>
                <w:rFonts w:ascii="Arial" w:cs="Arial" w:eastAsia="Arial" w:hAnsi="Arial"/>
                <w:sz w:val="17"/>
                <w:szCs w:val="17"/>
                <w:color w:val="0000FF"/>
              </w:rPr>
              <w:t>05/12/2022</w:t>
            </w:r>
          </w:p>
        </w:tc>
        <w:tc>
          <w:tcPr>
            <w:tcW w:w="4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38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(12)</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406,660</w:t>
            </w:r>
          </w:p>
        </w:tc>
        <w:tc>
          <w:tcPr>
            <w:tcW w:w="440" w:type="dxa"/>
            <w:vAlign w:val="bottom"/>
            <w:tcBorders>
              <w:top w:val="single" w:sz="8" w:color="2C2C2C"/>
            </w:tcBorders>
            <w:vMerge w:val="restart"/>
          </w:tcPr>
          <w:p>
            <w:pPr>
              <w:jc w:val="right"/>
              <w:ind w:right="45"/>
              <w:spacing w:after="0"/>
              <w:rPr>
                <w:sz w:val="20"/>
                <w:szCs w:val="20"/>
                <w:color w:val="auto"/>
              </w:rPr>
            </w:pPr>
            <w:r>
              <w:rPr>
                <w:rFonts w:ascii="Arial" w:cs="Arial" w:eastAsia="Arial" w:hAnsi="Arial"/>
                <w:sz w:val="17"/>
                <w:szCs w:val="17"/>
                <w:color w:val="0000FF"/>
              </w:rPr>
              <w:t>A</w:t>
            </w:r>
          </w:p>
        </w:tc>
        <w:tc>
          <w:tcPr>
            <w:tcW w:w="620" w:type="dxa"/>
            <w:vAlign w:val="bottom"/>
            <w:tcBorders>
              <w:top w:val="single" w:sz="8" w:color="2C2C2C"/>
            </w:tcBorders>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91"/>
              </w:rPr>
              <w:t>406,660</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2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tcBorders>
              <w:top w:val="single" w:sz="8" w:color="2C2C2C"/>
            </w:tcBorders>
            <w:gridSpan w:val="5"/>
            <w:vMerge w:val="restart"/>
          </w:tcPr>
          <w:p>
            <w:pPr>
              <w:jc w:val="right"/>
              <w:ind w:right="155"/>
              <w:spacing w:after="0"/>
              <w:rPr>
                <w:sz w:val="20"/>
                <w:szCs w:val="20"/>
                <w:color w:val="auto"/>
              </w:rPr>
            </w:pPr>
            <w:r>
              <w:rPr>
                <w:rFonts w:ascii="Arial" w:cs="Arial" w:eastAsia="Arial" w:hAnsi="Arial"/>
                <w:sz w:val="17"/>
                <w:szCs w:val="17"/>
                <w:color w:val="0000FF"/>
              </w:rPr>
              <w:t>05/12/2022</w:t>
            </w:r>
          </w:p>
        </w:tc>
        <w:tc>
          <w:tcPr>
            <w:tcW w:w="4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38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(14)</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406,660</w:t>
            </w:r>
          </w:p>
        </w:tc>
        <w:tc>
          <w:tcPr>
            <w:tcW w:w="440" w:type="dxa"/>
            <w:vAlign w:val="bottom"/>
            <w:tcBorders>
              <w:top w:val="single" w:sz="8" w:color="2C2C2C"/>
            </w:tcBorders>
            <w:vMerge w:val="restart"/>
          </w:tcPr>
          <w:p>
            <w:pPr>
              <w:jc w:val="right"/>
              <w:ind w:right="45"/>
              <w:spacing w:after="0"/>
              <w:rPr>
                <w:sz w:val="20"/>
                <w:szCs w:val="20"/>
                <w:color w:val="auto"/>
              </w:rPr>
            </w:pPr>
            <w:r>
              <w:rPr>
                <w:rFonts w:ascii="Arial" w:cs="Arial" w:eastAsia="Arial" w:hAnsi="Arial"/>
                <w:sz w:val="17"/>
                <w:szCs w:val="17"/>
                <w:color w:val="0000FF"/>
              </w:rPr>
              <w:t>D</w:t>
            </w:r>
          </w:p>
        </w:tc>
        <w:tc>
          <w:tcPr>
            <w:tcW w:w="620" w:type="dxa"/>
            <w:vAlign w:val="bottom"/>
            <w:tcBorders>
              <w:top w:val="single" w:sz="8" w:color="2C2C2C"/>
            </w:tcBorders>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700" w:type="dxa"/>
            <w:vAlign w:val="bottom"/>
            <w:tcBorders>
              <w:top w:val="single" w:sz="8" w:color="2C2C2C"/>
            </w:tcBorders>
            <w:gridSpan w:val="2"/>
            <w:vMerge w:val="restart"/>
          </w:tcPr>
          <w:p>
            <w:pPr>
              <w:jc w:val="center"/>
              <w:ind w:left="479"/>
              <w:spacing w:after="0"/>
              <w:rPr>
                <w:sz w:val="20"/>
                <w:szCs w:val="20"/>
                <w:color w:val="auto"/>
              </w:rPr>
            </w:pPr>
            <w:r>
              <w:rPr>
                <w:rFonts w:ascii="Arial" w:cs="Arial" w:eastAsia="Arial" w:hAnsi="Arial"/>
                <w:sz w:val="17"/>
                <w:szCs w:val="17"/>
                <w:color w:val="0000FF"/>
              </w:rPr>
              <w:t>0</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2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tcBorders>
              <w:top w:val="single" w:sz="8" w:color="2C2C2C"/>
            </w:tcBorders>
            <w:gridSpan w:val="5"/>
            <w:vMerge w:val="restart"/>
          </w:tcPr>
          <w:p>
            <w:pPr>
              <w:jc w:val="right"/>
              <w:ind w:right="155"/>
              <w:spacing w:after="0"/>
              <w:rPr>
                <w:sz w:val="20"/>
                <w:szCs w:val="20"/>
                <w:color w:val="auto"/>
              </w:rPr>
            </w:pPr>
            <w:r>
              <w:rPr>
                <w:rFonts w:ascii="Arial" w:cs="Arial" w:eastAsia="Arial" w:hAnsi="Arial"/>
                <w:sz w:val="17"/>
                <w:szCs w:val="17"/>
                <w:color w:val="0000FF"/>
              </w:rPr>
              <w:t>05/12/2022</w:t>
            </w:r>
          </w:p>
        </w:tc>
        <w:tc>
          <w:tcPr>
            <w:tcW w:w="4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38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(15)</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9,996</w:t>
            </w:r>
          </w:p>
        </w:tc>
        <w:tc>
          <w:tcPr>
            <w:tcW w:w="440" w:type="dxa"/>
            <w:vAlign w:val="bottom"/>
            <w:tcBorders>
              <w:top w:val="single" w:sz="8" w:color="2C2C2C"/>
            </w:tcBorders>
            <w:vMerge w:val="restart"/>
          </w:tcPr>
          <w:p>
            <w:pPr>
              <w:jc w:val="right"/>
              <w:ind w:right="45"/>
              <w:spacing w:after="0"/>
              <w:rPr>
                <w:sz w:val="20"/>
                <w:szCs w:val="20"/>
                <w:color w:val="auto"/>
              </w:rPr>
            </w:pPr>
            <w:r>
              <w:rPr>
                <w:rFonts w:ascii="Arial" w:cs="Arial" w:eastAsia="Arial" w:hAnsi="Arial"/>
                <w:sz w:val="17"/>
                <w:szCs w:val="17"/>
                <w:color w:val="0000FF"/>
              </w:rPr>
              <w:t>A</w:t>
            </w:r>
          </w:p>
        </w:tc>
        <w:tc>
          <w:tcPr>
            <w:tcW w:w="620" w:type="dxa"/>
            <w:vAlign w:val="bottom"/>
            <w:tcBorders>
              <w:top w:val="single" w:sz="8" w:color="2C2C2C"/>
            </w:tcBorders>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8"/>
              </w:rPr>
              <w:t>14,934</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2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tcBorders>
              <w:top w:val="single" w:sz="8" w:color="2C2C2C"/>
            </w:tcBorders>
            <w:gridSpan w:val="5"/>
            <w:vMerge w:val="restart"/>
          </w:tcPr>
          <w:p>
            <w:pPr>
              <w:jc w:val="right"/>
              <w:ind w:right="155"/>
              <w:spacing w:after="0"/>
              <w:rPr>
                <w:sz w:val="20"/>
                <w:szCs w:val="20"/>
                <w:color w:val="auto"/>
              </w:rPr>
            </w:pPr>
            <w:r>
              <w:rPr>
                <w:rFonts w:ascii="Arial" w:cs="Arial" w:eastAsia="Arial" w:hAnsi="Arial"/>
                <w:sz w:val="17"/>
                <w:szCs w:val="17"/>
                <w:color w:val="0000FF"/>
              </w:rPr>
              <w:t>05/12/2022</w:t>
            </w:r>
          </w:p>
        </w:tc>
        <w:tc>
          <w:tcPr>
            <w:tcW w:w="4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vMerge w:val="restart"/>
          </w:tcPr>
          <w:p>
            <w:pPr>
              <w:jc w:val="center"/>
              <w:ind w:right="38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(16)</w:t>
            </w:r>
          </w:p>
        </w:tc>
        <w:tc>
          <w:tcPr>
            <w:tcW w:w="8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2,682</w:t>
            </w:r>
          </w:p>
        </w:tc>
        <w:tc>
          <w:tcPr>
            <w:tcW w:w="440" w:type="dxa"/>
            <w:vAlign w:val="bottom"/>
            <w:tcBorders>
              <w:top w:val="single" w:sz="8" w:color="2C2C2C"/>
            </w:tcBorders>
            <w:vMerge w:val="restart"/>
          </w:tcPr>
          <w:p>
            <w:pPr>
              <w:jc w:val="right"/>
              <w:ind w:right="45"/>
              <w:spacing w:after="0"/>
              <w:rPr>
                <w:sz w:val="20"/>
                <w:szCs w:val="20"/>
                <w:color w:val="auto"/>
              </w:rPr>
            </w:pPr>
            <w:r>
              <w:rPr>
                <w:rFonts w:ascii="Arial" w:cs="Arial" w:eastAsia="Arial" w:hAnsi="Arial"/>
                <w:sz w:val="17"/>
                <w:szCs w:val="17"/>
                <w:color w:val="0000FF"/>
              </w:rPr>
              <w:t>A</w:t>
            </w:r>
          </w:p>
        </w:tc>
        <w:tc>
          <w:tcPr>
            <w:tcW w:w="620" w:type="dxa"/>
            <w:vAlign w:val="bottom"/>
            <w:tcBorders>
              <w:top w:val="single" w:sz="8" w:color="2C2C2C"/>
            </w:tcBorders>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7"/>
                <w:szCs w:val="17"/>
                <w:color w:val="0000FF"/>
                <w:w w:val="88"/>
              </w:rPr>
              <w:t>17,616</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2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6"/>
            <w:vMerge w:val="continue"/>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top w:val="single" w:sz="8" w:color="2C2C2C"/>
              <w:bottom w:val="single" w:sz="8" w:color="2C2C2C"/>
            </w:tcBorders>
            <w:gridSpan w:val="6"/>
          </w:tcPr>
          <w:p>
            <w:pPr>
              <w:ind w:left="60"/>
              <w:spacing w:after="0"/>
              <w:rPr>
                <w:sz w:val="20"/>
                <w:szCs w:val="20"/>
                <w:color w:val="auto"/>
              </w:rPr>
            </w:pPr>
            <w:r>
              <w:rPr>
                <w:rFonts w:ascii="Arial" w:cs="Arial" w:eastAsia="Arial" w:hAnsi="Arial"/>
                <w:sz w:val="17"/>
                <w:szCs w:val="17"/>
                <w:color w:val="0000FF"/>
              </w:rPr>
              <w:t>Voting Common Stock</w:t>
            </w:r>
          </w:p>
        </w:tc>
        <w:tc>
          <w:tcPr>
            <w:tcW w:w="1740" w:type="dxa"/>
            <w:vAlign w:val="bottom"/>
            <w:tcBorders>
              <w:top w:val="single" w:sz="8" w:color="2C2C2C"/>
              <w:bottom w:val="single" w:sz="8" w:color="2C2C2C"/>
            </w:tcBorders>
            <w:gridSpan w:val="5"/>
          </w:tcPr>
          <w:p>
            <w:pPr>
              <w:jc w:val="right"/>
              <w:ind w:right="155"/>
              <w:spacing w:after="0"/>
              <w:rPr>
                <w:sz w:val="20"/>
                <w:szCs w:val="20"/>
                <w:color w:val="auto"/>
              </w:rPr>
            </w:pPr>
            <w:r>
              <w:rPr>
                <w:rFonts w:ascii="Arial" w:cs="Arial" w:eastAsia="Arial" w:hAnsi="Arial"/>
                <w:sz w:val="17"/>
                <w:szCs w:val="17"/>
                <w:color w:val="0000FF"/>
              </w:rPr>
              <w:t>05/12/2022</w:t>
            </w:r>
          </w:p>
        </w:tc>
        <w:tc>
          <w:tcPr>
            <w:tcW w:w="44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jc w:val="center"/>
              <w:ind w:right="383"/>
              <w:spacing w:after="0"/>
              <w:rPr>
                <w:sz w:val="20"/>
                <w:szCs w:val="20"/>
                <w:color w:val="auto"/>
              </w:rPr>
            </w:pPr>
            <w:r>
              <w:rPr>
                <w:rFonts w:ascii="Arial" w:cs="Arial" w:eastAsia="Arial" w:hAnsi="Arial"/>
                <w:sz w:val="26"/>
                <w:szCs w:val="26"/>
                <w:color w:val="0000FF"/>
                <w:w w:val="84"/>
                <w:vertAlign w:val="subscript"/>
              </w:rPr>
              <w:t>J</w:t>
            </w:r>
            <w:r>
              <w:rPr>
                <w:rFonts w:ascii="Arial" w:cs="Arial" w:eastAsia="Arial" w:hAnsi="Arial"/>
                <w:sz w:val="11"/>
                <w:szCs w:val="11"/>
                <w:color w:val="008000"/>
                <w:w w:val="84"/>
              </w:rPr>
              <w:t>(18)</w:t>
            </w:r>
          </w:p>
        </w:tc>
        <w:tc>
          <w:tcPr>
            <w:tcW w:w="8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91"/>
              </w:rPr>
              <w:t>125,354</w:t>
            </w:r>
          </w:p>
        </w:tc>
        <w:tc>
          <w:tcPr>
            <w:tcW w:w="440" w:type="dxa"/>
            <w:vAlign w:val="bottom"/>
            <w:tcBorders>
              <w:top w:val="single" w:sz="8" w:color="2C2C2C"/>
              <w:bottom w:val="single" w:sz="8" w:color="2C2C2C"/>
            </w:tcBorders>
          </w:tcPr>
          <w:p>
            <w:pPr>
              <w:jc w:val="right"/>
              <w:ind w:right="45"/>
              <w:spacing w:after="0"/>
              <w:rPr>
                <w:sz w:val="20"/>
                <w:szCs w:val="20"/>
                <w:color w:val="auto"/>
              </w:rPr>
            </w:pPr>
            <w:r>
              <w:rPr>
                <w:rFonts w:ascii="Arial" w:cs="Arial" w:eastAsia="Arial" w:hAnsi="Arial"/>
                <w:sz w:val="17"/>
                <w:szCs w:val="17"/>
                <w:color w:val="0000FF"/>
              </w:rPr>
              <w:t>A</w:t>
            </w:r>
          </w:p>
        </w:tc>
        <w:tc>
          <w:tcPr>
            <w:tcW w:w="620" w:type="dxa"/>
            <w:vAlign w:val="bottom"/>
            <w:tcBorders>
              <w:top w:val="single" w:sz="8" w:color="2C2C2C"/>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26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182,337</w:t>
            </w:r>
          </w:p>
        </w:tc>
        <w:tc>
          <w:tcPr>
            <w:tcW w:w="28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jc w:val="center"/>
              <w:ind w:right="262"/>
              <w:spacing w:after="0"/>
              <w:rPr>
                <w:sz w:val="20"/>
                <w:szCs w:val="20"/>
                <w:color w:val="auto"/>
              </w:rPr>
            </w:pPr>
            <w:r>
              <w:rPr>
                <w:rFonts w:ascii="Arial" w:cs="Arial" w:eastAsia="Arial" w:hAnsi="Arial"/>
                <w:sz w:val="17"/>
                <w:szCs w:val="17"/>
                <w:color w:val="0000FF"/>
                <w:w w:val="97"/>
              </w:rPr>
              <w:t>D</w:t>
            </w:r>
          </w:p>
        </w:tc>
        <w:tc>
          <w:tcPr>
            <w:tcW w:w="3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jc w:val="right"/>
              <w:ind w:right="45"/>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Represents a pro-rata distribution, and not a purchase or sale, without additional consideration by Spark Capital II, L.P. ("Spark Capital II") to its partners.</w:t>
      </w:r>
    </w:p>
    <w:p>
      <w:pPr>
        <w:sectPr>
          <w:pgSz w:w="11900" w:h="16838" w:orient="portrait"/>
          <w:cols w:equalWidth="0" w:num="1">
            <w:col w:w="11080"/>
          </w:cols>
          <w:pgMar w:left="460" w:top="225" w:right="359" w:bottom="0" w:gutter="0" w:footer="0" w:header="0"/>
          <w:type w:val="continuous"/>
        </w:sectPr>
      </w:pPr>
    </w:p>
    <w:bookmarkStart w:id="1" w:name="page2"/>
    <w:bookmarkEnd w:id="1"/>
    <w:p>
      <w:pPr>
        <w:ind w:right="120"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of record by Spark Capital II. Spark Management Partners II, LLC ("SMP II") is the general partner of Spark Capital II. The Reporting Person is a managing member of SMP II. The Reporting Person may be deemed to share investment, voting and dispositive power over these shares. Each of SMP II and the Reporting Person disclaims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change in the form of ownership of SMP II by virtue of the receipt of shares in the pro-rata in-kind distribution of voting common stock of the Issuer for no consideration by Spark Capital</w:t>
      </w:r>
    </w:p>
    <w:p>
      <w:pPr>
        <w:spacing w:after="0" w:line="18" w:lineRule="exact"/>
        <w:rPr>
          <w:rFonts w:ascii="Arial" w:cs="Arial" w:eastAsia="Arial" w:hAnsi="Arial"/>
          <w:sz w:val="12"/>
          <w:szCs w:val="12"/>
          <w:color w:val="008000"/>
        </w:rPr>
      </w:pPr>
    </w:p>
    <w:p>
      <w:pPr>
        <w:spacing w:after="0"/>
        <w:rPr>
          <w:rFonts w:ascii="Arial" w:cs="Arial" w:eastAsia="Arial" w:hAnsi="Arial"/>
          <w:sz w:val="12"/>
          <w:szCs w:val="12"/>
          <w:color w:val="008000"/>
        </w:rPr>
      </w:pPr>
      <w:r>
        <w:rPr>
          <w:rFonts w:ascii="Arial" w:cs="Arial" w:eastAsia="Arial" w:hAnsi="Arial"/>
          <w:sz w:val="13"/>
          <w:szCs w:val="13"/>
          <w:color w:val="008000"/>
        </w:rPr>
        <w:t>II.</w:t>
      </w:r>
    </w:p>
    <w:p>
      <w:pPr>
        <w:spacing w:after="0" w:line="40" w:lineRule="exact"/>
        <w:rPr>
          <w:rFonts w:ascii="Arial" w:cs="Arial" w:eastAsia="Arial" w:hAnsi="Arial"/>
          <w:sz w:val="12"/>
          <w:szCs w:val="12"/>
          <w:color w:val="008000"/>
        </w:rPr>
      </w:pPr>
    </w:p>
    <w:p>
      <w:pPr>
        <w:ind w:right="8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SMP II. The Reporting Person is a managing member of SMP II. The Reporting Person may be deemed to share investment, voting and dispositive power over these shares. The Reporting Person disclaims beneficial ownership of these shares and this report shall not be deemed an admission that he is the beneficial owner of such securities for purposes of Section 16 or for any other purpose, except to the extent of his pecuniary interest therein.</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SMP II to its members.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Spark Capital Founders' Fund II, L.P. ("Spark Capital FF II") to its partners.</w:t>
      </w:r>
    </w:p>
    <w:p>
      <w:pPr>
        <w:spacing w:after="0" w:line="50" w:lineRule="exact"/>
        <w:rPr>
          <w:rFonts w:ascii="Arial" w:cs="Arial" w:eastAsia="Arial" w:hAnsi="Arial"/>
          <w:sz w:val="13"/>
          <w:szCs w:val="13"/>
          <w:color w:val="008000"/>
        </w:rPr>
      </w:pPr>
    </w:p>
    <w:p>
      <w:pPr>
        <w:ind w:firstLine="7"/>
        <w:spacing w:after="0" w:line="281"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of record by Spark Capital FF II. SMP II is the general partner of Spark Capital FF II. The Reporting Person is a managing member of SMP II. The Reporting Person may be deemed to share investment, voting and dispositive power over these shares. Each of SMP II and the Reporting Person disclaims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8" w:lineRule="exact"/>
        <w:rPr>
          <w:rFonts w:ascii="Arial" w:cs="Arial" w:eastAsia="Arial" w:hAnsi="Arial"/>
          <w:sz w:val="12"/>
          <w:szCs w:val="12"/>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Spark Capital Growth Founders' Fund, L.P. ("Spark Capital Growth FF") to its partners.</w:t>
      </w:r>
    </w:p>
    <w:p>
      <w:pPr>
        <w:spacing w:after="0" w:line="50" w:lineRule="exact"/>
        <w:rPr>
          <w:rFonts w:ascii="Arial" w:cs="Arial" w:eastAsia="Arial" w:hAnsi="Arial"/>
          <w:sz w:val="13"/>
          <w:szCs w:val="13"/>
          <w:color w:val="008000"/>
        </w:rPr>
      </w:pPr>
    </w:p>
    <w:p>
      <w:pPr>
        <w:ind w:right="20"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of record by Spark Capital Growth FF. Spark Growth Management Partners, LLC ("SGMP") is the general partner of Spark Capital Growth FF. The Reporting Person holds an interest in SGMP and may be deemed to share investment, voting and dispositive power over these shares. Each of SGMP and the Reporting Person disclaims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29" w:lineRule="exact"/>
        <w:rPr>
          <w:rFonts w:ascii="Arial" w:cs="Arial" w:eastAsia="Arial" w:hAnsi="Arial"/>
          <w:sz w:val="13"/>
          <w:szCs w:val="13"/>
          <w:color w:val="008000"/>
        </w:rPr>
      </w:pPr>
    </w:p>
    <w:p>
      <w:pPr>
        <w:ind w:left="200" w:hanging="193"/>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Spark Capital Growth Fund, L.P. ("Spark Capital Growth") to its partners.</w:t>
      </w:r>
    </w:p>
    <w:p>
      <w:pPr>
        <w:spacing w:after="0" w:line="50" w:lineRule="exact"/>
        <w:rPr>
          <w:rFonts w:ascii="Arial" w:cs="Arial" w:eastAsia="Arial" w:hAnsi="Arial"/>
          <w:sz w:val="13"/>
          <w:szCs w:val="13"/>
          <w:color w:val="008000"/>
        </w:rPr>
      </w:pPr>
    </w:p>
    <w:p>
      <w:pPr>
        <w:ind w:right="120" w:firstLine="7"/>
        <w:spacing w:after="0" w:line="281" w:lineRule="auto"/>
        <w:tabs>
          <w:tab w:leader="none" w:pos="19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of record by Spark Capital Growth. SGMP is the general partner of Spark Capital Growth. The Reporting Person holds an interest in SGMP and may be deemed to share investment, voting and dispositive power over these shares. Each of SGMP and the Reporting Person disclaims beneficial ownership of these shares and this report shall not be deemed an admission that any one of them is the beneficial owner of such securities for purposes of Section 16 or for any other purpose, except to the extent of their respective pecuniary interests therein.</w:t>
      </w:r>
    </w:p>
    <w:p>
      <w:pPr>
        <w:spacing w:after="0" w:line="8" w:lineRule="exact"/>
        <w:rPr>
          <w:rFonts w:ascii="Arial" w:cs="Arial" w:eastAsia="Arial" w:hAnsi="Arial"/>
          <w:sz w:val="12"/>
          <w:szCs w:val="12"/>
          <w:color w:val="008000"/>
        </w:rPr>
      </w:pPr>
    </w:p>
    <w:p>
      <w:pPr>
        <w:ind w:right="20" w:firstLine="7"/>
        <w:spacing w:after="0" w:line="266" w:lineRule="auto"/>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SGMP by virtue of the receipt of shares in the pro-rata in-kind distribution of voting common stock of the Issuer for no consideration by Spark Capital Growth.</w:t>
      </w:r>
    </w:p>
    <w:p>
      <w:pPr>
        <w:spacing w:after="0" w:line="15" w:lineRule="exact"/>
        <w:rPr>
          <w:rFonts w:ascii="Arial" w:cs="Arial" w:eastAsia="Arial" w:hAnsi="Arial"/>
          <w:sz w:val="13"/>
          <w:szCs w:val="13"/>
          <w:color w:val="008000"/>
        </w:rPr>
      </w:pPr>
    </w:p>
    <w:p>
      <w:pPr>
        <w:ind w:firstLine="7"/>
        <w:spacing w:after="0" w:line="250" w:lineRule="auto"/>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by SGMP. The Reporting Person holds an interest in SGMP and may be deemed to share investment, voting and dispositive power over these shares. The Reporting Person disclaims beneficial ownership of these shares and this report shall not be deemed an admission that he is the beneficial owner of such securities for purposes of Section 16 or for any other purpose, except to the extent of his pecuniary interest therein.</w:t>
      </w:r>
    </w:p>
    <w:p>
      <w:pPr>
        <w:spacing w:after="0" w:line="25" w:lineRule="exact"/>
        <w:rPr>
          <w:rFonts w:ascii="Arial" w:cs="Arial" w:eastAsia="Arial" w:hAnsi="Arial"/>
          <w:sz w:val="13"/>
          <w:szCs w:val="13"/>
          <w:color w:val="008000"/>
        </w:rPr>
      </w:pPr>
    </w:p>
    <w:p>
      <w:pPr>
        <w:ind w:left="200" w:hanging="193"/>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pro-rata distribution, and not a purchase or sale, without additional consideration by SGMP to its members.</w:t>
      </w:r>
    </w:p>
    <w:p>
      <w:pPr>
        <w:spacing w:after="0" w:line="50" w:lineRule="exact"/>
        <w:rPr>
          <w:rFonts w:ascii="Arial" w:cs="Arial" w:eastAsia="Arial" w:hAnsi="Arial"/>
          <w:sz w:val="13"/>
          <w:szCs w:val="13"/>
          <w:color w:val="008000"/>
        </w:rPr>
      </w:pPr>
    </w:p>
    <w:p>
      <w:pPr>
        <w:ind w:right="80" w:firstLine="7"/>
        <w:spacing w:after="0" w:line="266" w:lineRule="auto"/>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Spark Capital Partners, LLC ("SCP") by virtue of the receipt of shares in the pro-rata in-kind distribution of voting common stock of the Issuer for no consideration by SMP II.</w:t>
      </w:r>
    </w:p>
    <w:p>
      <w:pPr>
        <w:spacing w:after="0" w:line="15" w:lineRule="exact"/>
        <w:rPr>
          <w:rFonts w:ascii="Arial" w:cs="Arial" w:eastAsia="Arial" w:hAnsi="Arial"/>
          <w:sz w:val="13"/>
          <w:szCs w:val="13"/>
          <w:color w:val="008000"/>
        </w:rPr>
      </w:pPr>
    </w:p>
    <w:p>
      <w:pPr>
        <w:ind w:left="200" w:hanging="193"/>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a change in the form of ownership of SCP by virtue of the receipt of shares in the pro-rata in-kind distribution of voting common stock of the Issuer for no consideration by SGMP.</w:t>
      </w:r>
    </w:p>
    <w:p>
      <w:pPr>
        <w:spacing w:after="0" w:line="61" w:lineRule="exact"/>
        <w:rPr>
          <w:rFonts w:ascii="Arial" w:cs="Arial" w:eastAsia="Arial" w:hAnsi="Arial"/>
          <w:sz w:val="12"/>
          <w:szCs w:val="12"/>
          <w:color w:val="008000"/>
        </w:rPr>
      </w:pPr>
    </w:p>
    <w:p>
      <w:pPr>
        <w:ind w:firstLine="7"/>
        <w:spacing w:after="0" w:line="250" w:lineRule="auto"/>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by SCP. The Reporting Person is a managing member of SCP and may be deemed to share investment, voting and dispositive power over these shares. The Reporting Person disclaims beneficial ownership of these shares and this report shall not be deemed an admission that he is the beneficial owner of such securities for purposes of Section 16 or for any other purpose, except to the extent of his pecuniary interest therein, if any.</w:t>
      </w:r>
    </w:p>
    <w:p>
      <w:pPr>
        <w:spacing w:after="0" w:line="25" w:lineRule="exact"/>
        <w:rPr>
          <w:rFonts w:ascii="Arial" w:cs="Arial" w:eastAsia="Arial" w:hAnsi="Arial"/>
          <w:sz w:val="13"/>
          <w:szCs w:val="13"/>
          <w:color w:val="008000"/>
        </w:rPr>
      </w:pPr>
    </w:p>
    <w:p>
      <w:pPr>
        <w:ind w:right="120" w:firstLine="7"/>
        <w:spacing w:after="0" w:line="266" w:lineRule="auto"/>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the Reporting Person by virtue of the receipt of shares in the pro-rata in-kind distributions of voting common stock of the Issuer for no consideration by SMP II and SGMP.</w:t>
      </w:r>
    </w:p>
    <w:p>
      <w:pPr>
        <w:spacing w:after="0" w:line="15" w:lineRule="exact"/>
        <w:rPr>
          <w:rFonts w:ascii="Arial" w:cs="Arial" w:eastAsia="Arial" w:hAnsi="Arial"/>
          <w:sz w:val="13"/>
          <w:szCs w:val="13"/>
          <w:color w:val="008000"/>
        </w:rPr>
      </w:pPr>
    </w:p>
    <w:p>
      <w:pPr>
        <w:ind w:right="20" w:firstLine="7"/>
        <w:spacing w:after="0" w:line="266" w:lineRule="auto"/>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change in the form of ownership of SGMP by virtue of the receipt of shares in the pro-rata in-kind distribution of voting common stock of the Issuer for no consideration by Spark Capital Growth FF.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Alex Finkelstein</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05/16/2022</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015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2022-05-16T16:39:54Z</dcterms:created>
  <dcterms:modified xsi:type="dcterms:W3CDTF">2022-05-16T16:39:54Z</dcterms:modified>
</cp:coreProperties>
</file>