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5"/>
          <w:szCs w:val="5"/>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z</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61595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80645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(Mark One)</w:t>
      </w:r>
    </w:p>
    <w:p>
      <w:pPr>
        <w:spacing w:after="0" w:line="1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55"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6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56" w:lineRule="exact"/>
        <w:rPr>
          <w:sz w:val="24"/>
          <w:szCs w:val="24"/>
          <w:color w:val="auto"/>
        </w:rPr>
      </w:pPr>
    </w:p>
    <w:p>
      <w:pPr>
        <w:ind w:left="480"/>
        <w:spacing w:after="0"/>
        <w:tabs>
          <w:tab w:leader="none" w:pos="39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001-40430</w:t>
      </w:r>
    </w:p>
    <w:p>
      <w:pPr>
        <w:spacing w:after="0" w:line="76" w:lineRule="exact"/>
        <w:rPr>
          <w:sz w:val="24"/>
          <w:szCs w:val="24"/>
          <w:color w:val="auto"/>
        </w:rPr>
      </w:pPr>
    </w:p>
    <w:p>
      <w:pPr>
        <w:jc w:val="center"/>
        <w:ind w:right="40"/>
        <w:spacing w:after="0"/>
        <w:rPr>
          <w:sz w:val="20"/>
          <w:szCs w:val="20"/>
          <w:color w:val="auto"/>
        </w:rPr>
      </w:pPr>
      <w:r>
        <w:rPr>
          <w:rFonts w:ascii="Arial" w:cs="Arial" w:eastAsia="Arial" w:hAnsi="Arial"/>
          <w:sz w:val="36"/>
          <w:szCs w:val="36"/>
          <w:b w:val="1"/>
          <w:bCs w:val="1"/>
          <w:color w:val="auto"/>
        </w:rPr>
        <w:t>FLYWIRE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-247015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p>
      <w:pPr>
        <w:spacing w:after="0" w:line="4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57150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1"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18"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141 Tremont St #10</w:t>
      </w:r>
    </w:p>
    <w:p>
      <w:pPr>
        <w:spacing w:after="0" w:line="21"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27-0690799</w:t>
      </w:r>
    </w:p>
    <w:p>
      <w:pPr>
        <w:spacing w:after="0" w:line="39"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218" w:lineRule="exact"/>
        <w:rPr>
          <w:sz w:val="24"/>
          <w:szCs w:val="24"/>
          <w:color w:val="auto"/>
        </w:rPr>
      </w:pPr>
    </w:p>
    <w:p>
      <w:pPr>
        <w:ind w:left="320"/>
        <w:spacing w:after="0"/>
        <w:rPr>
          <w:sz w:val="20"/>
          <w:szCs w:val="20"/>
          <w:color w:val="auto"/>
        </w:rPr>
      </w:pPr>
      <w:r>
        <w:rPr>
          <w:rFonts w:ascii="Arial" w:cs="Arial" w:eastAsia="Arial" w:hAnsi="Arial"/>
          <w:sz w:val="16"/>
          <w:szCs w:val="16"/>
          <w:b w:val="1"/>
          <w:bCs w:val="1"/>
          <w:color w:val="auto"/>
        </w:rPr>
        <w:t>02111</w:t>
      </w:r>
    </w:p>
    <w:p>
      <w:pPr>
        <w:spacing w:after="0" w:line="38" w:lineRule="exact"/>
        <w:rPr>
          <w:sz w:val="24"/>
          <w:szCs w:val="24"/>
          <w:color w:val="auto"/>
        </w:rPr>
      </w:pPr>
    </w:p>
    <w:p>
      <w:pPr>
        <w:sectPr>
          <w:pgSz w:w="11900" w:h="16838" w:orient="portrait"/>
          <w:cols w:equalWidth="0" w:num="2">
            <w:col w:w="7440" w:space="460"/>
            <w:col w:w="3340"/>
          </w:cols>
          <w:pgMar w:left="320" w:top="518" w:right="339" w:bottom="1440" w:gutter="0" w:footer="0" w:header="0"/>
          <w:type w:val="continuous"/>
        </w:sectPr>
      </w:pPr>
    </w:p>
    <w:p>
      <w:pPr>
        <w:ind w:left="162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(617) 329-4524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66040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7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2780" w:type="dxa"/>
            <w:vAlign w:val="bottom"/>
          </w:tcPr>
          <w:p>
            <w:pPr>
              <w:jc w:val="center"/>
              <w:ind w:right="788"/>
              <w:spacing w:after="0"/>
              <w:rPr>
                <w:sz w:val="20"/>
                <w:szCs w:val="20"/>
                <w:color w:val="auto"/>
              </w:rPr>
            </w:pPr>
            <w:r>
              <w:rPr>
                <w:rFonts w:ascii="Arial" w:cs="Arial" w:eastAsia="Arial" w:hAnsi="Arial"/>
                <w:sz w:val="14"/>
                <w:szCs w:val="14"/>
                <w:b w:val="1"/>
                <w:bCs w:val="1"/>
                <w:color w:val="auto"/>
              </w:rPr>
              <w:t>Trading</w:t>
            </w: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278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Symbol(s)</w:t>
            </w:r>
          </w:p>
        </w:tc>
        <w:tc>
          <w:tcPr>
            <w:tcW w:w="4180" w:type="dxa"/>
            <w:vAlign w:val="bottom"/>
            <w:tcBorders>
              <w:bottom w:val="single" w:sz="8" w:color="auto"/>
            </w:tcBorders>
          </w:tcPr>
          <w:p>
            <w:pPr>
              <w:jc w:val="center"/>
              <w:ind w:right="79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Voting common stock, $0.0001 par value per share</w:t>
            </w:r>
          </w:p>
        </w:tc>
        <w:tc>
          <w:tcPr>
            <w:tcW w:w="2780" w:type="dxa"/>
            <w:vAlign w:val="bottom"/>
          </w:tcPr>
          <w:p>
            <w:pPr>
              <w:jc w:val="center"/>
              <w:ind w:right="788"/>
              <w:spacing w:after="0"/>
              <w:rPr>
                <w:sz w:val="20"/>
                <w:szCs w:val="20"/>
                <w:color w:val="auto"/>
              </w:rPr>
            </w:pPr>
            <w:r>
              <w:rPr>
                <w:rFonts w:ascii="Arial" w:cs="Arial" w:eastAsia="Arial" w:hAnsi="Arial"/>
                <w:sz w:val="14"/>
                <w:szCs w:val="14"/>
                <w:b w:val="1"/>
                <w:bCs w:val="1"/>
                <w:color w:val="auto"/>
              </w:rPr>
              <w:t>FLYW</w:t>
            </w:r>
          </w:p>
        </w:tc>
        <w:tc>
          <w:tcPr>
            <w:tcW w:w="4180" w:type="dxa"/>
            <w:vAlign w:val="bottom"/>
          </w:tcPr>
          <w:p>
            <w:pPr>
              <w:jc w:val="center"/>
              <w:ind w:right="790"/>
              <w:spacing w:after="0"/>
              <w:rPr>
                <w:sz w:val="20"/>
                <w:szCs w:val="20"/>
                <w:color w:val="auto"/>
              </w:rPr>
            </w:pPr>
            <w:r>
              <w:rPr>
                <w:rFonts w:ascii="Arial" w:cs="Arial" w:eastAsia="Arial" w:hAnsi="Arial"/>
                <w:sz w:val="14"/>
                <w:szCs w:val="14"/>
                <w:b w:val="1"/>
                <w:bCs w:val="1"/>
                <w:color w:val="auto"/>
              </w:rPr>
              <w:t>The Nasdaq Stock Market LLC</w:t>
            </w:r>
          </w:p>
        </w:tc>
        <w:tc>
          <w:tcPr>
            <w:tcW w:w="0" w:type="dxa"/>
            <w:vAlign w:val="bottom"/>
          </w:tcPr>
          <w:p>
            <w:pPr>
              <w:spacing w:after="0"/>
              <w:rPr>
                <w:sz w:val="1"/>
                <w:szCs w:val="1"/>
                <w:color w:val="auto"/>
              </w:rPr>
            </w:pPr>
          </w:p>
        </w:tc>
      </w:tr>
      <w:tr>
        <w:trPr>
          <w:trHeight w:val="196"/>
        </w:trPr>
        <w:tc>
          <w:tcPr>
            <w:tcW w:w="4280" w:type="dxa"/>
            <w:vAlign w:val="bottom"/>
            <w:vMerge w:val="restart"/>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2780" w:type="dxa"/>
            <w:vAlign w:val="bottom"/>
          </w:tcPr>
          <w:p>
            <w:pPr>
              <w:spacing w:after="0"/>
              <w:rPr>
                <w:sz w:val="17"/>
                <w:szCs w:val="17"/>
                <w:color w:val="auto"/>
              </w:rPr>
            </w:pPr>
          </w:p>
        </w:tc>
        <w:tc>
          <w:tcPr>
            <w:tcW w:w="4180" w:type="dxa"/>
            <w:vAlign w:val="bottom"/>
          </w:tcPr>
          <w:p>
            <w:pPr>
              <w:jc w:val="center"/>
              <w:ind w:right="790"/>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27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7060" w:type="dxa"/>
            <w:vAlign w:val="bottom"/>
            <w:gridSpan w:val="2"/>
          </w:tcPr>
          <w:p>
            <w:pPr>
              <w:spacing w:after="0" w:line="150" w:lineRule="exact"/>
              <w:rPr>
                <w:sz w:val="20"/>
                <w:szCs w:val="20"/>
                <w:color w:val="auto"/>
              </w:rPr>
            </w:pPr>
            <w:r>
              <w:rPr>
                <w:rFonts w:ascii="Arial" w:cs="Arial" w:eastAsia="Arial" w:hAnsi="Arial"/>
                <w:sz w:val="13"/>
                <w:szCs w:val="13"/>
                <w:color w:val="auto"/>
                <w:w w:val="98"/>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8"/>
              </w:rPr>
              <w:t>☒</w:t>
            </w:r>
          </w:p>
        </w:tc>
        <w:tc>
          <w:tcPr>
            <w:tcW w:w="4180" w:type="dxa"/>
            <w:vAlign w:val="bottom"/>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02"/>
        </w:trPr>
        <w:tc>
          <w:tcPr>
            <w:tcW w:w="7060" w:type="dxa"/>
            <w:vAlign w:val="bottom"/>
            <w:gridSpan w:val="2"/>
          </w:tcPr>
          <w:p>
            <w:pPr>
              <w:spacing w:after="0" w:line="150" w:lineRule="exact"/>
              <w:rPr>
                <w:sz w:val="20"/>
                <w:szCs w:val="20"/>
                <w:color w:val="auto"/>
              </w:rPr>
            </w:pPr>
            <w:r>
              <w:rPr>
                <w:rFonts w:ascii="Arial" w:cs="Arial" w:eastAsia="Arial" w:hAnsi="Arial"/>
                <w:sz w:val="13"/>
                <w:szCs w:val="13"/>
                <w:color w:val="auto"/>
                <w:w w:val="98"/>
              </w:rPr>
              <w:t xml:space="preserve">Indicate by check mark if the registrant is not required to file reports pursuant to Section 13 or 15(d) of the Act. Yes </w:t>
            </w:r>
            <w:r>
              <w:rPr>
                <w:rFonts w:ascii="MS PGothic" w:cs="MS PGothic" w:eastAsia="MS PGothic" w:hAnsi="MS PGothic"/>
                <w:sz w:val="13"/>
                <w:szCs w:val="13"/>
                <w:color w:val="auto"/>
                <w:w w:val="98"/>
              </w:rPr>
              <w:t>☐</w:t>
            </w:r>
            <w:r>
              <w:rPr>
                <w:rFonts w:ascii="Arial" w:cs="Arial" w:eastAsia="Arial" w:hAnsi="Arial"/>
                <w:sz w:val="13"/>
                <w:szCs w:val="13"/>
                <w:color w:val="auto"/>
                <w:w w:val="98"/>
              </w:rPr>
              <w:t xml:space="preserve">  No </w:t>
            </w:r>
            <w:r>
              <w:rPr>
                <w:rFonts w:ascii="MS PGothic" w:cs="MS PGothic" w:eastAsia="MS PGothic" w:hAnsi="MS PGothic"/>
                <w:sz w:val="13"/>
                <w:szCs w:val="13"/>
                <w:color w:val="auto"/>
                <w:w w:val="98"/>
              </w:rPr>
              <w:t>☒</w:t>
            </w:r>
          </w:p>
        </w:tc>
        <w:tc>
          <w:tcPr>
            <w:tcW w:w="4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4"/>
          <w:szCs w:val="24"/>
          <w:color w:val="auto"/>
        </w:rPr>
      </w:pPr>
    </w:p>
    <w:p>
      <w:pPr>
        <w:ind w:right="360"/>
        <w:spacing w:after="0" w:line="16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 w:lineRule="exact"/>
        <w:rPr>
          <w:sz w:val="24"/>
          <w:szCs w:val="24"/>
          <w:color w:val="auto"/>
        </w:rPr>
      </w:pPr>
    </w:p>
    <w:p>
      <w:pPr>
        <w:ind w:right="160"/>
        <w:spacing w:after="0" w:line="163"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 w:lineRule="exact"/>
        <w:rPr>
          <w:sz w:val="24"/>
          <w:szCs w:val="24"/>
          <w:color w:val="auto"/>
        </w:rPr>
      </w:pPr>
    </w:p>
    <w:p>
      <w:pPr>
        <w:ind w:right="14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7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2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431"/>
        </w:trPr>
        <w:tc>
          <w:tcPr>
            <w:tcW w:w="1760" w:type="dxa"/>
            <w:vAlign w:val="bottom"/>
          </w:tcPr>
          <w:p>
            <w:pPr>
              <w:spacing w:after="0"/>
              <w:rPr>
                <w:sz w:val="20"/>
                <w:szCs w:val="20"/>
                <w:color w:val="auto"/>
              </w:rPr>
            </w:pPr>
            <w:r>
              <w:rPr>
                <w:rFonts w:ascii="Arial" w:cs="Arial" w:eastAsia="Arial" w:hAnsi="Arial"/>
                <w:sz w:val="13"/>
                <w:szCs w:val="13"/>
                <w:color w:val="auto"/>
              </w:rPr>
              <w:t>Non-accelerated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20"/>
              <w:spacing w:after="0"/>
              <w:rPr>
                <w:sz w:val="20"/>
                <w:szCs w:val="20"/>
                <w:color w:val="auto"/>
              </w:rPr>
            </w:pPr>
            <w:r>
              <w:rPr>
                <w:rFonts w:ascii="Arial" w:cs="Arial" w:eastAsia="Arial" w:hAnsi="Arial"/>
                <w:sz w:val="13"/>
                <w:szCs w:val="13"/>
                <w:color w:val="auto"/>
              </w:rPr>
              <w:t>Smaller reporting company</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431"/>
        </w:trPr>
        <w:tc>
          <w:tcPr>
            <w:tcW w:w="17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60" w:type="dxa"/>
            <w:vAlign w:val="bottom"/>
          </w:tcPr>
          <w:p>
            <w:pPr>
              <w:ind w:left="3120"/>
              <w:spacing w:after="0"/>
              <w:rPr>
                <w:sz w:val="20"/>
                <w:szCs w:val="20"/>
                <w:color w:val="auto"/>
              </w:rPr>
            </w:pPr>
            <w:r>
              <w:rPr>
                <w:rFonts w:ascii="Arial" w:cs="Arial" w:eastAsia="Arial" w:hAnsi="Arial"/>
                <w:sz w:val="13"/>
                <w:szCs w:val="13"/>
                <w:color w:val="auto"/>
              </w:rPr>
              <w:t>Emerging growth company</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24" w:lineRule="exact"/>
        <w:rPr>
          <w:sz w:val="24"/>
          <w:szCs w:val="24"/>
          <w:color w:val="auto"/>
        </w:rPr>
      </w:pPr>
    </w:p>
    <w:p>
      <w:pPr>
        <w:ind w:right="440"/>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2" w:lineRule="exact"/>
        <w:rPr>
          <w:sz w:val="24"/>
          <w:szCs w:val="24"/>
          <w:color w:val="auto"/>
        </w:rPr>
      </w:pPr>
    </w:p>
    <w:p>
      <w:pPr>
        <w:ind w:right="20"/>
        <w:spacing w:after="0" w:line="163"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2" w:lineRule="exact"/>
        <w:rPr>
          <w:sz w:val="24"/>
          <w:szCs w:val="24"/>
          <w:color w:val="auto"/>
        </w:rPr>
      </w:pPr>
    </w:p>
    <w:p>
      <w:pPr>
        <w:spacing w:after="0" w:line="163"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2" w:lineRule="exact"/>
        <w:rPr>
          <w:sz w:val="24"/>
          <w:szCs w:val="24"/>
          <w:color w:val="auto"/>
        </w:rPr>
      </w:pPr>
    </w:p>
    <w:p>
      <w:pPr>
        <w:ind w:right="160"/>
        <w:spacing w:after="0" w:line="163"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5" w:lineRule="exact"/>
        <w:rPr>
          <w:sz w:val="24"/>
          <w:szCs w:val="24"/>
          <w:color w:val="auto"/>
        </w:rPr>
      </w:pPr>
    </w:p>
    <w:p>
      <w:pPr>
        <w:spacing w:after="0" w:line="150" w:lineRule="exact"/>
        <w:tabs>
          <w:tab w:leader="none" w:pos="686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60" w:lineRule="exact"/>
        <w:rPr>
          <w:sz w:val="24"/>
          <w:szCs w:val="24"/>
          <w:color w:val="auto"/>
        </w:rPr>
      </w:pPr>
    </w:p>
    <w:p>
      <w:pPr>
        <w:ind w:right="280"/>
        <w:spacing w:after="0" w:line="228" w:lineRule="auto"/>
        <w:rPr>
          <w:sz w:val="20"/>
          <w:szCs w:val="20"/>
          <w:color w:val="auto"/>
        </w:rPr>
      </w:pPr>
      <w:r>
        <w:rPr>
          <w:rFonts w:ascii="Arial" w:cs="Arial" w:eastAsia="Arial" w:hAnsi="Arial"/>
          <w:sz w:val="13"/>
          <w:szCs w:val="13"/>
          <w:color w:val="auto"/>
        </w:rPr>
        <w:t>As of June 30, 2022, the last business day of the registrant’s mostly recently completed second fiscal quarter, the aggregate market value of the voting and non-voting common stock held by non-affiliates of the registrant was $1,078,544,798 based upon the closing sale price of our voting common stock of $17.63 per share on that date. The voting and non-voting common stock held by each officer and director and by each person known to own in excess of 5% of aggregate outstanding shares of our voting and non-voting common stock has been excluded in that such persons may be deemed to be affiliates. The determination of affiliate status is not necessarily a conclusive determination for other purposes.</w:t>
      </w:r>
    </w:p>
    <w:p>
      <w:pPr>
        <w:spacing w:after="0" w:line="25" w:lineRule="exact"/>
        <w:rPr>
          <w:sz w:val="24"/>
          <w:szCs w:val="24"/>
          <w:color w:val="auto"/>
        </w:rPr>
      </w:pPr>
    </w:p>
    <w:p>
      <w:pPr>
        <w:ind w:right="80"/>
        <w:spacing w:after="0" w:line="242" w:lineRule="auto"/>
        <w:rPr>
          <w:sz w:val="20"/>
          <w:szCs w:val="20"/>
          <w:color w:val="auto"/>
        </w:rPr>
      </w:pPr>
      <w:r>
        <w:rPr>
          <w:rFonts w:ascii="Arial" w:cs="Arial" w:eastAsia="Arial" w:hAnsi="Arial"/>
          <w:sz w:val="13"/>
          <w:szCs w:val="13"/>
          <w:color w:val="auto"/>
        </w:rPr>
        <w:t>As of March 6, 2023, the registrant had 108,144,702 shares of voting common stock, $0.0001 par value per share, outstanding and 1,873,320 shares of non-voting common stock $0.0001 par value per share, outstanding.</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39"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Portions of the registrant’s proxy statement for the 2023 annual meeting of stockholders to be filed pursuant to Regulation 14A within 120 days after the registrant’s fiscal year ended December 31, 2022,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398145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920" w:type="dxa"/>
            <w:vAlign w:val="bottom"/>
            <w:gridSpan w:val="11"/>
          </w:tcPr>
          <w:p>
            <w:pPr>
              <w:ind w:left="42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1240" w:type="dxa"/>
            <w:vAlign w:val="bottom"/>
          </w:tcPr>
          <w:p>
            <w:pPr>
              <w:spacing w:after="0"/>
              <w:rPr>
                <w:sz w:val="24"/>
                <w:szCs w:val="24"/>
                <w:color w:val="auto"/>
              </w:rPr>
            </w:pPr>
          </w:p>
        </w:tc>
        <w:tc>
          <w:tcPr>
            <w:tcW w:w="9120" w:type="dxa"/>
            <w:vAlign w:val="bottom"/>
            <w:gridSpan w:val="23"/>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8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120" w:type="dxa"/>
            <w:vAlign w:val="bottom"/>
            <w:gridSpan w:val="23"/>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1.</w:t>
            </w: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Business</w:t>
            </w:r>
          </w:p>
        </w:tc>
        <w:tc>
          <w:tcPr>
            <w:tcW w:w="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1A.</w:t>
            </w:r>
          </w:p>
        </w:tc>
        <w:tc>
          <w:tcPr>
            <w:tcW w:w="7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Risk Factors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1B.</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Unresolved Staff Comments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2.</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Properties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3.</w:t>
            </w:r>
          </w:p>
        </w:tc>
        <w:tc>
          <w:tcPr>
            <w:tcW w:w="8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Legal Proceedings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4.</w:t>
            </w:r>
          </w:p>
        </w:tc>
        <w:tc>
          <w:tcPr>
            <w:tcW w:w="9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Mine Safety Disclosures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5.</w:t>
            </w: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6.</w:t>
            </w:r>
          </w:p>
        </w:tc>
        <w:tc>
          <w:tcPr>
            <w:tcW w:w="9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[Reserved]</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7.</w:t>
            </w:r>
          </w:p>
        </w:tc>
        <w:tc>
          <w:tcPr>
            <w:tcW w:w="90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7A.</w:t>
            </w:r>
          </w:p>
        </w:tc>
        <w:tc>
          <w:tcPr>
            <w:tcW w:w="14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8.</w:t>
            </w:r>
          </w:p>
        </w:tc>
        <w:tc>
          <w:tcPr>
            <w:tcW w:w="14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9.</w:t>
            </w:r>
          </w:p>
        </w:tc>
        <w:tc>
          <w:tcPr>
            <w:tcW w:w="14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9A.</w:t>
            </w:r>
          </w:p>
        </w:tc>
        <w:tc>
          <w:tcPr>
            <w:tcW w:w="14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Controls and Procedures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9B.</w:t>
            </w:r>
          </w:p>
        </w:tc>
        <w:tc>
          <w:tcPr>
            <w:tcW w:w="14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Other Information</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9C.</w:t>
            </w:r>
          </w:p>
        </w:tc>
        <w:tc>
          <w:tcPr>
            <w:tcW w:w="142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10.</w:t>
            </w: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11.</w:t>
            </w:r>
          </w:p>
        </w:tc>
        <w:tc>
          <w:tcPr>
            <w:tcW w:w="168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Executive Compensation</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12.</w:t>
            </w:r>
          </w:p>
        </w:tc>
        <w:tc>
          <w:tcPr>
            <w:tcW w:w="168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13.</w:t>
            </w:r>
          </w:p>
        </w:tc>
        <w:tc>
          <w:tcPr>
            <w:tcW w:w="168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14.</w:t>
            </w:r>
          </w:p>
        </w:tc>
        <w:tc>
          <w:tcPr>
            <w:tcW w:w="168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Principal Accounting Fees and Services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15.</w:t>
            </w: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Exhibits, Financial Statement Schedules</w:t>
            </w:r>
          </w:p>
        </w:tc>
        <w:tc>
          <w:tcPr>
            <w:tcW w:w="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16.</w:t>
            </w:r>
          </w:p>
        </w:tc>
        <w:tc>
          <w:tcPr>
            <w:tcW w:w="168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Form 10-K Summary</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6"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This Annual Report on Form 10-K,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77" w:lineRule="exact"/>
        <w:rPr>
          <w:sz w:val="20"/>
          <w:szCs w:val="20"/>
          <w:color w:val="auto"/>
        </w:rPr>
      </w:pPr>
    </w:p>
    <w:p>
      <w:pPr>
        <w:ind w:left="1020" w:right="42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plan and our ability to effectively manage our growth;</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cross-border expansion plans and ability to expand internationally;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cash and cash equivalents to meet our liquidity needs;</w:t>
      </w:r>
    </w:p>
    <w:p>
      <w:pPr>
        <w:spacing w:after="0" w:line="115" w:lineRule="exact"/>
        <w:rPr>
          <w:rFonts w:ascii="Times New Roman" w:cs="Times New Roman" w:eastAsia="Times New Roman" w:hAnsi="Times New Roman"/>
          <w:sz w:val="18"/>
          <w:szCs w:val="18"/>
          <w:color w:val="auto"/>
        </w:rPr>
      </w:pPr>
    </w:p>
    <w:p>
      <w:pPr>
        <w:ind w:left="1020" w:right="16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economic, foreign currency exchange rate, inflation, legal, social and health risks, including the ongoing effects of the COVID-19 pandemic and subsequent public health measures that may affect our business or the global economy;</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beliefs and objectives for future operations;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and protect our brand;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grow the payment volume that we process;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client base;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concerning relationships with third parties, including strategic partners;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enter new client verticals, including our relatively new business-to-business sector;</w:t>
      </w:r>
    </w:p>
    <w:p>
      <w:pPr>
        <w:spacing w:after="0" w:line="115" w:lineRule="exact"/>
        <w:rPr>
          <w:rFonts w:ascii="Times New Roman" w:cs="Times New Roman" w:eastAsia="Times New Roman" w:hAnsi="Times New Roman"/>
          <w:sz w:val="18"/>
          <w:szCs w:val="18"/>
          <w:color w:val="auto"/>
        </w:rPr>
      </w:pPr>
    </w:p>
    <w:p>
      <w:pPr>
        <w:ind w:left="1020" w:right="70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litigation and legal and regulatory matters;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15" w:lineRule="exact"/>
        <w:rPr>
          <w:rFonts w:ascii="Times New Roman" w:cs="Times New Roman" w:eastAsia="Times New Roman" w:hAnsi="Times New Roman"/>
          <w:sz w:val="18"/>
          <w:szCs w:val="18"/>
          <w:color w:val="auto"/>
        </w:rPr>
      </w:pPr>
    </w:p>
    <w:p>
      <w:pPr>
        <w:ind w:left="1020" w:right="14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financial services, taxation, privacy and data protection;</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and industry trends, projected growth, or trend analysis;</w:t>
      </w:r>
    </w:p>
    <w:p>
      <w:pPr>
        <w:spacing w:after="0" w:line="115" w:lineRule="exact"/>
        <w:rPr>
          <w:rFonts w:ascii="Times New Roman" w:cs="Times New Roman" w:eastAsia="Times New Roman" w:hAnsi="Times New Roman"/>
          <w:sz w:val="18"/>
          <w:szCs w:val="18"/>
          <w:color w:val="auto"/>
        </w:rPr>
      </w:pPr>
    </w:p>
    <w:p>
      <w:pPr>
        <w:ind w:left="1020" w:right="28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changes in U.S. federal income or other tax laws or the interpretation of tax laws, including the recently enacted Inflation Reduction Act of 2022;</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qualified employees;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protect, and enhance our intellectual property;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security and availability of our solutions;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increased expenses associated with being a public company;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market price of our common stock.</w:t>
      </w:r>
    </w:p>
    <w:p>
      <w:pPr>
        <w:spacing w:after="0" w:line="18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Annual Report on Form 10-K. Other sections of this Annual Report on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5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Annual Report on Form 10-K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4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Unless otherwise noted or unless the context provides otherwise, all references in this Annual Report on Form 10-K to our “common stock” refer to our voting common stock.</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mission is to deliver the most important and complex payments. In an increasingly digital world, getting paid means Flywire.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8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42"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There have been substantial strides made in payments technology in the retail and e-commerce industries; however, massive sectors of our global economy—including education, healthcare, travel, and business to business (B2B) payments—are still in the early stages of digital transformation. We estimate the annual addressable volume for these sectors alone to be approximately $11.7 trillion, as more fully described in “Our Market Opportunity”. We believe Flywire is well-positioned to capture a meaningful share of this global payment volume given our ability to provide deeply-integrated digital solutions that address both domestic and cross-border payments.</w:t>
      </w:r>
    </w:p>
    <w:p>
      <w:pPr>
        <w:spacing w:after="0" w:line="13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56"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Flywire was founded to solve these challenges. We aim to power the transformation of our clients’ accounts receivable functions by automating paper and check-based business processes in addition to creating interactive, digital payment experiences for their customers. As a result, clients who implement our cross-border and in-country domestic payments and software solutions can experience improved accounts receivable, higher enrollment in payment plans, and a reduction in customer support inquiries. We help our clients turn their accounts receivable functions into strategic, value-enhancing areas of their organizations.</w:t>
      </w:r>
    </w:p>
    <w:p>
      <w:pPr>
        <w:spacing w:after="0" w:line="13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short message service (sms), chat, email, text, or phone) to enhance our clients’ ability to engage with their customers through a digital-first user experience. The result of these investments is our </w:t>
      </w:r>
      <w:r>
        <w:rPr>
          <w:rFonts w:ascii="Arial" w:cs="Arial" w:eastAsia="Arial" w:hAnsi="Arial"/>
          <w:sz w:val="18"/>
          <w:szCs w:val="18"/>
          <w:i w:val="1"/>
          <w:iCs w:val="1"/>
          <w:color w:val="auto"/>
        </w:rPr>
        <w:t>Flywire Advantage</w:t>
      </w:r>
      <w:r>
        <w:rPr>
          <w:rFonts w:ascii="Arial" w:cs="Arial" w:eastAsia="Arial" w:hAnsi="Arial"/>
          <w:sz w:val="18"/>
          <w:szCs w:val="18"/>
          <w:color w:val="auto"/>
        </w:rPr>
        <w:t>.</w:t>
      </w:r>
    </w:p>
    <w:p>
      <w:pPr>
        <w:spacing w:after="0" w:line="142"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402580" cy="402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2580" cy="402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20" w:right="160" w:hanging="504"/>
        <w:spacing w:after="0" w:line="239"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Next-Gen Payments Platform. </w:t>
      </w:r>
      <w:r>
        <w:rPr>
          <w:rFonts w:ascii="Arial" w:cs="Arial" w:eastAsia="Arial" w:hAnsi="Arial"/>
          <w:sz w:val="18"/>
          <w:szCs w:val="18"/>
          <w:color w:val="auto"/>
        </w:rPr>
        <w:t>Our platform improves the legacy accounts receivable value chain by facilitating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flows across multiple currencies, payment types, and payment options. We do not simply collect payments and track money flows. Rather, our clients 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57" w:lineRule="exact"/>
        <w:rPr>
          <w:rFonts w:ascii="Times New Roman" w:cs="Times New Roman" w:eastAsia="Times New Roman" w:hAnsi="Times New Roman"/>
          <w:sz w:val="18"/>
          <w:szCs w:val="18"/>
          <w:color w:val="auto"/>
        </w:rPr>
      </w:pPr>
    </w:p>
    <w:p>
      <w:pPr>
        <w:ind w:left="1020" w:right="160" w:hanging="504"/>
        <w:spacing w:after="0" w:line="255"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Proprietary Global Payment Network. </w:t>
      </w:r>
      <w:r>
        <w:rPr>
          <w:rFonts w:ascii="Arial" w:cs="Arial" w:eastAsia="Arial" w:hAnsi="Arial"/>
          <w:sz w:val="17"/>
          <w:szCs w:val="17"/>
          <w:color w:val="auto"/>
        </w:rPr>
        <w:t>At the core of our business is our network of global, regional and local banking</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which we have been strategically expanding for over a decade. With a single connection to Flywire, our clients have access to a unique set of payment methods including banks, third-party payment providers, payment networks and digital wallets—making it possible to accept and settle payments in over 240 countries and territories and in over 140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31" w:lineRule="exact"/>
        <w:rPr>
          <w:rFonts w:ascii="Times New Roman" w:cs="Times New Roman" w:eastAsia="Times New Roman" w:hAnsi="Times New Roman"/>
          <w:sz w:val="17"/>
          <w:szCs w:val="17"/>
          <w:color w:val="auto"/>
        </w:rPr>
      </w:pPr>
    </w:p>
    <w:p>
      <w:pPr>
        <w:ind w:left="1020" w:hanging="504"/>
        <w:spacing w:after="0" w:line="257"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Vertical-Specific Software Backed by Deep Industry Expertise</w:t>
      </w:r>
      <w:r>
        <w:rPr>
          <w:rFonts w:ascii="Arial" w:cs="Arial" w:eastAsia="Arial" w:hAnsi="Arial"/>
          <w:sz w:val="17"/>
          <w:szCs w:val="17"/>
          <w:color w:val="auto"/>
        </w:rPr>
        <w:t>. We go beyond payments by offering seamless 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8,000 client payment portals, each built on our shared payments platform and global payment network but tailored to our clients’ brands and needs. In addition, our software solutions include interactive dashboards to manage payments, reporting tools to streamline reconciliation and customer communication tools to personalize and digitize engagement. This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enables us to be a hub of omni-channel connectivity, augmenting the relationship between our clients and their customers.</w:t>
      </w:r>
    </w:p>
    <w:p>
      <w:pPr>
        <w:spacing w:after="0" w:line="18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 As shown in the illustration below, as the number of clients using our next-gen payments platform grows, we are able to continue to enhance our end-to-end solutions, tailor our vertical-specific software and expand our global payment network to support more local payment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111125</wp:posOffset>
            </wp:positionV>
            <wp:extent cx="4358005" cy="393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58005" cy="393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The benefits of our flywheel are visible in the significant scale we have achieved to date. As of December 31, 2022, we serve over 3,100 clients around the world. In education, we serve more than 2,300 institutions. In healthcare, we serve more than 80 healthcare systems, including four of the top 10 healthcare systems in the United States ranked by hospital size. In our newer payment verticals of travel and B2B, we have a growing portfolio of more than 600 clients.</w:t>
      </w:r>
    </w:p>
    <w:p>
      <w:pPr>
        <w:spacing w:after="0" w:line="149" w:lineRule="exact"/>
        <w:rPr>
          <w:sz w:val="20"/>
          <w:szCs w:val="20"/>
          <w:color w:val="auto"/>
        </w:rPr>
      </w:pPr>
    </w:p>
    <w:p>
      <w:pPr>
        <w:jc w:val="both"/>
        <w:ind w:right="140" w:firstLine="509"/>
        <w:spacing w:after="0" w:line="252" w:lineRule="auto"/>
        <w:rPr>
          <w:sz w:val="20"/>
          <w:szCs w:val="20"/>
          <w:color w:val="auto"/>
        </w:rPr>
      </w:pPr>
      <w:r>
        <w:rPr>
          <w:rFonts w:ascii="Arial" w:cs="Arial" w:eastAsia="Arial" w:hAnsi="Arial"/>
          <w:sz w:val="18"/>
          <w:szCs w:val="18"/>
          <w:color w:val="auto"/>
        </w:rPr>
        <w:t>Our business model is designed to encourage rapid, widespread utilization of our solutions. We enable our clients to scale the use of Flywire to an unlimited number of customers with favorable unit economics. For the years ended December 31, 2022 and 2021, we enabled approximately $18.1 billion and $13.2 billion, respectively, of total payment volume across more than 140 currencies.</w:t>
      </w:r>
    </w:p>
    <w:p>
      <w:pPr>
        <w:spacing w:after="0" w:line="130"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 xml:space="preserve">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 form channel partnerships with us. Our channel partners include financial institutions such as Bank of America Corporation; payment providers such as China UnionPay Co. Ltd. and Adyen N.V.; and software companies that serve as the core systems in our verticals such as Ellucian Company, L.P. in education and Cerner Corporation in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healthcare. These partnerships promote organic referral and lead generation opportunities and enhance our indirect sales strategy.</w:t>
      </w:r>
    </w:p>
    <w:p>
      <w:pPr>
        <w:spacing w:after="0" w:line="18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also reach clients through our direct channel. Our domain -experienced sales and relationship management teams bring vertical expertise and regional and local reach that drives high dollar-based net retention. For the year ended December 31, 2022, our annual net dollar-based retention rate was approximately 124%. For the year ended December 31, 2021, our annual net dollar-based retention rate was approximately 140%. For the year ended December 31, 2020, despite the impact of the COVID-19 pandemic on our clients and the industries we serve, our annual net dollar-based retention rate was approximately 100%. In addition, our client and customer service combines high-tech and high-touch functions backed by 24x7 multilingual customer support, resulting in high client and customer satisfaction. For the year ended December 31, 2022, we had a net promoter score (NPS) of 62, which exceeds the average NPS of traditional financial institutions.</w:t>
      </w:r>
    </w:p>
    <w:p>
      <w:pPr>
        <w:spacing w:after="0" w:line="12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grown rapidly since our founding. We generated revenue of $289.4 million, $201.1 million and $131.8 million for the years ended December 31, 2022, 2021 and 2020, respectively, and incurred net losses of $39.3 million, $28.1 million and $11.1 million, respectively for those same years. In July 2022, we acquired Cohort Solutions Pty Ltd. (Cohort Go), an Australian-based education payments provider that simplifies the student recruitment process by bringing together students, agents and essential student services such as health insurance into one platform. In December 2021, we acquired WPM Group Ltd. (WPM), a leading software provider that enables seamless and secure payment experiences for universities and colleges across the U.K. In February 2020, we acquired Simplificare Inc. (Simplee), a provider of healthcare payment and collections software.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the Flywire Advantage to Our Clients and Their Customers</w:t>
      </w:r>
    </w:p>
    <w:p>
      <w:pPr>
        <w:spacing w:after="0" w:line="184" w:lineRule="exact"/>
        <w:rPr>
          <w:sz w:val="20"/>
          <w:szCs w:val="20"/>
          <w:color w:val="auto"/>
        </w:rPr>
      </w:pPr>
    </w:p>
    <w:p>
      <w:pPr>
        <w:jc w:val="both"/>
        <w:ind w:right="60" w:firstLine="509"/>
        <w:spacing w:after="0" w:line="274" w:lineRule="auto"/>
        <w:rPr>
          <w:sz w:val="20"/>
          <w:szCs w:val="20"/>
          <w:color w:val="auto"/>
        </w:rPr>
      </w:pPr>
      <w:r>
        <w:rPr>
          <w:rFonts w:ascii="Arial" w:cs="Arial" w:eastAsia="Arial" w:hAnsi="Arial"/>
          <w:sz w:val="17"/>
          <w:szCs w:val="17"/>
          <w:color w:val="auto"/>
        </w:rPr>
        <w:t>Flywire sits in between our clients, which include educational institutions, hospitals, travel providers,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the Flywire Advantage to Our Clients</w:t>
      </w:r>
    </w:p>
    <w:p>
      <w:pPr>
        <w:spacing w:after="0" w:line="169"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44" w:lineRule="exact"/>
        <w:rPr>
          <w:sz w:val="20"/>
          <w:szCs w:val="20"/>
          <w:color w:val="auto"/>
        </w:rPr>
      </w:pPr>
    </w:p>
    <w:p>
      <w:pPr>
        <w:ind w:left="900" w:right="100" w:hanging="263"/>
        <w:spacing w:after="0" w:line="243"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Modern customer-focused payment experience. </w:t>
      </w:r>
      <w:r>
        <w:rPr>
          <w:rFonts w:ascii="Arial" w:cs="Arial" w:eastAsia="Arial" w:hAnsi="Arial"/>
          <w:sz w:val="18"/>
          <w:szCs w:val="18"/>
          <w:color w:val="auto"/>
        </w:rPr>
        <w:t>We enable a convenient and secure online payment experience which can</w:t>
      </w:r>
      <w:r>
        <w:rPr>
          <w:rFonts w:ascii="Arial" w:cs="Arial" w:eastAsia="Arial" w:hAnsi="Arial"/>
          <w:sz w:val="18"/>
          <w:szCs w:val="18"/>
          <w:b w:val="1"/>
          <w:bCs w:val="1"/>
          <w:color w:val="auto"/>
        </w:rPr>
        <w:t xml:space="preserve"> </w:t>
      </w:r>
      <w:r>
        <w:rPr>
          <w:rFonts w:ascii="Arial" w:cs="Arial" w:eastAsia="Arial" w:hAnsi="Arial"/>
          <w:sz w:val="18"/>
          <w:szCs w:val="18"/>
          <w:color w:val="auto"/>
        </w:rPr>
        <w:t>be configured by country, currency, client, and vertical. Our personalization engine leverages our data and applies artificial intelligence (AI) and machine learning (ML) to match the payment preferences of our clients’ customers with the right payment options. By streamlining a previously cumbersome and highly-manual process, our clients have the ability to extend transparency to their customers and proactively engage them through their preferred communication methods.</w:t>
      </w:r>
    </w:p>
    <w:p>
      <w:pPr>
        <w:spacing w:after="0" w:line="137" w:lineRule="exact"/>
        <w:rPr>
          <w:rFonts w:ascii="Times New Roman" w:cs="Times New Roman" w:eastAsia="Times New Roman" w:hAnsi="Times New Roman"/>
          <w:sz w:val="18"/>
          <w:szCs w:val="18"/>
          <w:color w:val="auto"/>
        </w:rPr>
      </w:pPr>
    </w:p>
    <w:p>
      <w:pPr>
        <w:jc w:val="both"/>
        <w:ind w:left="900" w:right="240" w:hanging="263"/>
        <w:spacing w:after="0" w:line="246"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Simplify payments complexity. </w:t>
      </w:r>
      <w:r>
        <w:rPr>
          <w:rFonts w:ascii="Arial" w:cs="Arial" w:eastAsia="Arial" w:hAnsi="Arial"/>
          <w:sz w:val="18"/>
          <w:szCs w:val="18"/>
          <w:color w:val="auto"/>
        </w:rPr>
        <w:t>We address complexity in payments by providing our clients with a “one-stop shop”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134" w:lineRule="exact"/>
        <w:rPr>
          <w:rFonts w:ascii="Times New Roman" w:cs="Times New Roman" w:eastAsia="Times New Roman" w:hAnsi="Times New Roman"/>
          <w:sz w:val="18"/>
          <w:szCs w:val="18"/>
          <w:color w:val="auto"/>
        </w:rPr>
      </w:pPr>
    </w:p>
    <w:p>
      <w:pPr>
        <w:ind w:left="900" w:right="180" w:hanging="263"/>
        <w:spacing w:after="0" w:line="241"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Processing cost savings and enhanced payments yield. </w:t>
      </w:r>
      <w:r>
        <w:rPr>
          <w:rFonts w:ascii="Arial" w:cs="Arial" w:eastAsia="Arial" w:hAnsi="Arial"/>
          <w:sz w:val="18"/>
          <w:szCs w:val="18"/>
          <w:color w:val="auto"/>
        </w:rPr>
        <w:t>We leverage our significant global volume and in-house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 We believe this results in our clients getting paid more quickly and consistently.</w:t>
      </w:r>
    </w:p>
    <w:p>
      <w:pPr>
        <w:spacing w:after="0" w:line="154" w:lineRule="exact"/>
        <w:rPr>
          <w:rFonts w:ascii="Times New Roman" w:cs="Times New Roman" w:eastAsia="Times New Roman" w:hAnsi="Times New Roman"/>
          <w:sz w:val="18"/>
          <w:szCs w:val="18"/>
          <w:color w:val="auto"/>
        </w:rPr>
      </w:pPr>
    </w:p>
    <w:p>
      <w:pPr>
        <w:ind w:left="900" w:right="20" w:hanging="263"/>
        <w:spacing w:after="0" w:line="246"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Ease of integration. </w:t>
      </w:r>
      <w:r>
        <w:rPr>
          <w:rFonts w:ascii="Arial" w:cs="Arial" w:eastAsia="Arial" w:hAnsi="Arial"/>
          <w:sz w:val="18"/>
          <w:szCs w:val="18"/>
          <w:color w:val="auto"/>
        </w:rPr>
        <w:t>Built on open architecture, Flywire integrates with existing systems and technology, allowing clients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900" w:right="40" w:hanging="263"/>
        <w:spacing w:after="0" w:line="241" w:lineRule="auto"/>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Trusted expertise and a trusted brand. </w:t>
      </w:r>
      <w:r>
        <w:rPr>
          <w:rFonts w:ascii="Arial" w:cs="Arial" w:eastAsia="Arial" w:hAnsi="Arial"/>
          <w:sz w:val="18"/>
          <w:szCs w:val="18"/>
          <w:color w:val="auto"/>
        </w:rPr>
        <w:t>Our clients and their customers view Flywire as a trusted technology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deep roots in each industry we serve, our thought leadership, guidance, and innovation in our solutions, have built confidence and advocacy in Flywire throughout our clients and their customers around the world. We believe we bring a new level of transparency, efficiency, and value to industries that are traditionally characterized by complex operations and held back by services of legacy providers. Additionally, we believe the strength of our information security and compliance that underpins our solutions is a core differentiator that drives client trust.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the Flywire Advantage to Our Clients’ Customers</w:t>
      </w:r>
    </w:p>
    <w:p>
      <w:pPr>
        <w:spacing w:after="0" w:line="169"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Our digital-first customer experience is designed to make the process of paying invoices simple. For our clients’ customers, key benefits of our solutions include:</w:t>
      </w:r>
    </w:p>
    <w:p>
      <w:pPr>
        <w:spacing w:after="0" w:line="112" w:lineRule="exact"/>
        <w:rPr>
          <w:sz w:val="20"/>
          <w:szCs w:val="20"/>
          <w:color w:val="auto"/>
        </w:rPr>
      </w:pPr>
    </w:p>
    <w:p>
      <w:pPr>
        <w:ind w:left="900" w:hanging="263"/>
        <w:spacing w:after="0" w:line="243"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Superior and simple payment experiences. </w:t>
      </w:r>
      <w:r>
        <w:rPr>
          <w:rFonts w:ascii="Arial" w:cs="Arial" w:eastAsia="Arial" w:hAnsi="Arial"/>
          <w:sz w:val="18"/>
          <w:szCs w:val="18"/>
          <w:color w:val="auto"/>
        </w:rPr>
        <w:t>Our customer value proposition is simple: we provide a fast and nearly frictionless</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51" w:lineRule="exact"/>
        <w:rPr>
          <w:rFonts w:ascii="Times New Roman" w:cs="Times New Roman" w:eastAsia="Times New Roman" w:hAnsi="Times New Roman"/>
          <w:sz w:val="18"/>
          <w:szCs w:val="18"/>
          <w:color w:val="auto"/>
        </w:rPr>
      </w:pPr>
    </w:p>
    <w:p>
      <w:pPr>
        <w:ind w:left="900" w:right="120" w:hanging="263"/>
        <w:spacing w:after="0" w:line="246"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Customer preference. </w:t>
      </w:r>
      <w:r>
        <w:rPr>
          <w:rFonts w:ascii="Arial" w:cs="Arial" w:eastAsia="Arial" w:hAnsi="Arial"/>
          <w:sz w:val="18"/>
          <w:szCs w:val="18"/>
          <w:color w:val="auto"/>
        </w:rPr>
        <w:t>Using Flywire, our clients’ customers can choose their preferred payment method, currency,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 such as sms, chat, email, text, or phone. We make it possible to accept and settle payments in over 240 countries and territories and in more than 140 currencies, so our clients’ customers can choose the way they pay using local payment methods that they are most comfortable using.</w:t>
      </w:r>
    </w:p>
    <w:p>
      <w:pPr>
        <w:spacing w:after="0" w:line="134" w:lineRule="exact"/>
        <w:rPr>
          <w:rFonts w:ascii="Times New Roman" w:cs="Times New Roman" w:eastAsia="Times New Roman" w:hAnsi="Times New Roman"/>
          <w:sz w:val="18"/>
          <w:szCs w:val="18"/>
          <w:color w:val="auto"/>
        </w:rPr>
      </w:pPr>
    </w:p>
    <w:p>
      <w:pPr>
        <w:ind w:left="900" w:right="120" w:hanging="263"/>
        <w:spacing w:after="0" w:line="246"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Flexible on-demand payment options. </w:t>
      </w:r>
      <w:r>
        <w:rPr>
          <w:rFonts w:ascii="Arial" w:cs="Arial" w:eastAsia="Arial" w:hAnsi="Arial"/>
          <w:sz w:val="18"/>
          <w:szCs w:val="18"/>
          <w:color w:val="auto"/>
        </w:rPr>
        <w:t>We believe we provide favorable and transparent payment plans that can lead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34" w:lineRule="exact"/>
        <w:rPr>
          <w:rFonts w:ascii="Times New Roman" w:cs="Times New Roman" w:eastAsia="Times New Roman" w:hAnsi="Times New Roman"/>
          <w:sz w:val="18"/>
          <w:szCs w:val="18"/>
          <w:color w:val="auto"/>
        </w:rPr>
      </w:pPr>
    </w:p>
    <w:p>
      <w:pPr>
        <w:ind w:left="900" w:right="640" w:hanging="263"/>
        <w:spacing w:after="0" w:line="252"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Customer confidence. </w:t>
      </w:r>
      <w:r>
        <w:rPr>
          <w:rFonts w:ascii="Arial" w:cs="Arial" w:eastAsia="Arial" w:hAnsi="Arial"/>
          <w:sz w:val="18"/>
          <w:szCs w:val="18"/>
          <w:color w:val="auto"/>
        </w:rPr>
        <w:t>Navigating the world of complex cross-border payments can be overwhelming for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With our superior customer experience including around the clock multilingual support, we believe that we give customers the confidence that their payments are delivered securely, accurately, and on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Our Flywire Advantage Works</w:t>
      </w:r>
    </w:p>
    <w:p>
      <w:pPr>
        <w:spacing w:after="0" w:line="171"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Our clients’ needs extend beyond simple payment processing. Enabling our clients to use enhanced payment functionality to drive business value as well as streamlining and automating their domestic and cross-border payment operations, requires a specialized approach that combines a secure, reliable, and robust suite of payments and software solutions with a seamless customer experience.</w:t>
      </w:r>
    </w:p>
    <w:p>
      <w:pPr>
        <w:spacing w:after="0" w:line="130"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 xml:space="preserve">To achieve this, 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and its three core elements: (i) our next-gen payments platform; (ii) our proprietary global payment network; and (iii) our vertical-specific software backed by our deep industry expertise.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Next-Gen Payments Platform</w:t>
      </w:r>
    </w:p>
    <w:p>
      <w:pPr>
        <w:spacing w:after="0" w:line="169" w:lineRule="exact"/>
        <w:rPr>
          <w:sz w:val="20"/>
          <w:szCs w:val="20"/>
          <w:color w:val="auto"/>
        </w:rPr>
      </w:pPr>
    </w:p>
    <w:p>
      <w:pPr>
        <w:ind w:right="520" w:firstLine="509"/>
        <w:spacing w:after="0" w:line="252" w:lineRule="auto"/>
        <w:rPr>
          <w:sz w:val="20"/>
          <w:szCs w:val="20"/>
          <w:color w:val="auto"/>
        </w:rPr>
      </w:pPr>
      <w:r>
        <w:rPr>
          <w:rFonts w:ascii="Arial" w:cs="Arial" w:eastAsia="Arial" w:hAnsi="Arial"/>
          <w:sz w:val="18"/>
          <w:szCs w:val="18"/>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30"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For the years ended December 31, 2022 and 2021, we enabled approximately $18.1 billion and $13.2 billion, respectively, in total payment volume across multiple payment types, including local bank transfer, credit, debit and other alternative payment methods such as Alipay, Boleto, PayPal / Venmo, and Trustly. The majority of our payment volume is not card related and is completed over our global payment network. This reflects the myriad of payment options enabled by our global payment network that are critical for the larger, more complex payments that we handle.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designed our next-gen payments platform to be:</w:t>
      </w:r>
    </w:p>
    <w:p>
      <w:pPr>
        <w:spacing w:after="0" w:line="184" w:lineRule="exact"/>
        <w:rPr>
          <w:sz w:val="20"/>
          <w:szCs w:val="20"/>
          <w:color w:val="auto"/>
        </w:rPr>
      </w:pPr>
    </w:p>
    <w:p>
      <w:pPr>
        <w:ind w:left="900" w:right="180" w:hanging="26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Integrated</w:t>
      </w:r>
      <w:r>
        <w:rPr>
          <w:rFonts w:ascii="Arial" w:cs="Arial" w:eastAsia="Arial" w:hAnsi="Arial"/>
          <w:sz w:val="18"/>
          <w:szCs w:val="18"/>
          <w:color w:val="auto"/>
        </w:rPr>
        <w:t>. Fully unified and seamlessly connected to a broad range of core operating systems, facilitating easy data capture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compatibility across a broad range of solutions;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Flexible</w:t>
      </w:r>
      <w:r>
        <w:rPr>
          <w:rFonts w:ascii="Arial" w:cs="Arial" w:eastAsia="Arial" w:hAnsi="Arial"/>
          <w:sz w:val="18"/>
          <w:szCs w:val="18"/>
          <w:color w:val="auto"/>
        </w:rPr>
        <w:t>.  Supports complex workflows and payment experiences for both in-country domestic and cross-border payments; and</w:t>
      </w:r>
    </w:p>
    <w:p>
      <w:pPr>
        <w:spacing w:after="0" w:line="183" w:lineRule="exact"/>
        <w:rPr>
          <w:rFonts w:ascii="Times New Roman" w:cs="Times New Roman" w:eastAsia="Times New Roman" w:hAnsi="Times New Roman"/>
          <w:sz w:val="18"/>
          <w:szCs w:val="18"/>
          <w:color w:val="auto"/>
        </w:rPr>
      </w:pPr>
    </w:p>
    <w:p>
      <w:pPr>
        <w:ind w:left="900" w:right="660" w:hanging="26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Secure</w:t>
      </w:r>
      <w:r>
        <w:rPr>
          <w:rFonts w:ascii="Arial" w:cs="Arial" w:eastAsia="Arial" w:hAnsi="Arial"/>
          <w:sz w:val="18"/>
          <w:szCs w:val="18"/>
          <w:color w:val="auto"/>
        </w:rPr>
        <w:t>. Leverages Payment Card Industry-validated Point-to-Point Encryption tokenization and other best-in-class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regulatory-compliant security measures.</w:t>
      </w:r>
    </w:p>
    <w:p>
      <w:pPr>
        <w:spacing w:after="0" w:line="127" w:lineRule="exact"/>
        <w:rPr>
          <w:sz w:val="20"/>
          <w:szCs w:val="20"/>
          <w:color w:val="auto"/>
        </w:rPr>
      </w:pPr>
    </w:p>
    <w:p>
      <w:pPr>
        <w:ind w:firstLine="509"/>
        <w:spacing w:after="0" w:line="274" w:lineRule="auto"/>
        <w:rPr>
          <w:sz w:val="20"/>
          <w:szCs w:val="20"/>
          <w:color w:val="auto"/>
        </w:rPr>
      </w:pPr>
      <w:r>
        <w:rPr>
          <w:rFonts w:ascii="Arial" w:cs="Arial" w:eastAsia="Arial" w:hAnsi="Arial"/>
          <w:sz w:val="17"/>
          <w:szCs w:val="17"/>
          <w:color w:val="auto"/>
        </w:rPr>
        <w:t>By utilizing predictive analytics, ML and AI, we handle the complexities of money movement across borders while providing fast, compliant, and transparent receipt of payments. Our AI and ML enabled fraud detection risk engine has trained against millions of automated clearing house (ACH), check, card, and wire transactions. As a result, the enhanced power of our risk engine enables us to mitigate fraud.</w:t>
      </w:r>
    </w:p>
    <w:p>
      <w:pPr>
        <w:spacing w:after="0" w:line="113" w:lineRule="exact"/>
        <w:rPr>
          <w:sz w:val="20"/>
          <w:szCs w:val="20"/>
          <w:color w:val="auto"/>
        </w:rPr>
      </w:pPr>
    </w:p>
    <w:p>
      <w:pPr>
        <w:ind w:right="400" w:firstLine="509"/>
        <w:spacing w:after="0" w:line="252" w:lineRule="auto"/>
        <w:rPr>
          <w:sz w:val="20"/>
          <w:szCs w:val="20"/>
          <w:color w:val="auto"/>
        </w:rPr>
      </w:pPr>
      <w:r>
        <w:rPr>
          <w:rFonts w:ascii="Arial" w:cs="Arial" w:eastAsia="Arial" w:hAnsi="Arial"/>
          <w:sz w:val="18"/>
          <w:szCs w:val="18"/>
          <w:color w:val="auto"/>
        </w:rPr>
        <w:t>Our comprehensive payments offering enables our clients to provide their customers a choice of cost-effective payment methods, currencies, and terms while enjoying a seamless digital experience. Our offering, supported by Flywire’s security, risk, and compliance monitoring tools, includes:</w:t>
      </w:r>
    </w:p>
    <w:p>
      <w:pPr>
        <w:spacing w:after="0" w:line="130" w:lineRule="exact"/>
        <w:rPr>
          <w:sz w:val="20"/>
          <w:szCs w:val="20"/>
          <w:color w:val="auto"/>
        </w:rPr>
      </w:pPr>
    </w:p>
    <w:p>
      <w:pPr>
        <w:ind w:left="900" w:right="100" w:hanging="263"/>
        <w:spacing w:after="0" w:line="270"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enhanced invoicing, settlement and reconciliation tools that simplify billing and customer payments and better manage cash flow and revenue;</w:t>
      </w:r>
    </w:p>
    <w:p>
      <w:pPr>
        <w:spacing w:after="0" w:line="126" w:lineRule="exact"/>
        <w:rPr>
          <w:rFonts w:ascii="Times New Roman" w:cs="Times New Roman" w:eastAsia="Times New Roman" w:hAnsi="Times New Roman"/>
          <w:sz w:val="18"/>
          <w:szCs w:val="18"/>
          <w:color w:val="auto"/>
        </w:rPr>
      </w:pPr>
    </w:p>
    <w:p>
      <w:pPr>
        <w:ind w:left="900" w:right="3500" w:hanging="263"/>
        <w:spacing w:after="0" w:line="470" w:lineRule="auto"/>
        <w:tabs>
          <w:tab w:leader="none" w:pos="896"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end-to-end processing, from authorization to clearing to settlement and reconciliation; turnkey solution for enhanced and secure single sign-on and checkout;</w:t>
      </w:r>
    </w:p>
    <w:p>
      <w:pPr>
        <w:spacing w:after="0" w:line="1" w:lineRule="exact"/>
        <w:rPr>
          <w:rFonts w:ascii="Times New Roman" w:cs="Times New Roman" w:eastAsia="Times New Roman" w:hAnsi="Times New Roman"/>
          <w:sz w:val="17"/>
          <w:szCs w:val="17"/>
          <w:color w:val="auto"/>
        </w:rPr>
      </w:pPr>
    </w:p>
    <w:p>
      <w:pPr>
        <w:ind w:left="900" w:right="560" w:hanging="263"/>
        <w:spacing w:after="0" w:line="270"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recurring, split and flexible payment options, including robust payment plan logic that can be tailored in our vertical-specific implementations; and</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unified reporting and analytics tools through direct integrations to client back-end infrastructure.</w:t>
      </w:r>
    </w:p>
    <w:p>
      <w:pPr>
        <w:spacing w:after="0" w:line="183"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Below is a sample funds flow for a traveler from Australia taking a ski vacation in Japan paying in their local currency and with their preferred method of payment, such as a bank transfer of Australian Dollars to Japanese Yen, without incurring hidden fees, and with exchange rate protection. The illustration shows how our next-gen payments platform can be configured and activated at the client level, and deliver a seamless experience from any country of payment or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106680</wp:posOffset>
            </wp:positionV>
            <wp:extent cx="5711190" cy="2996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1190" cy="299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to international expansion, we are accelerating the growth of our in-country domestic accounts receivable business, both by selling new solutions to existing clients and gaining new clients. Many of our clients who successfully use our payments platform to process cross-border payments require a similar solution for in-country domestic payments, which have similar challenges: they are reliant on home-grown or legacy solutions with limited or inflexible capabilities and often require time consuming manual updates. With our payments platform, clients are able to streamline payment processes and offer their customers flexible payment options, without the expense of building their own systems—for both in-country domestic and cross-border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Global Payment Network</w:t>
      </w:r>
    </w:p>
    <w:p>
      <w:pPr>
        <w:spacing w:after="0" w:line="169"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36"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With Flywire’s network, our clients can take advantage of our “local-in / local-out strategy”—providing access to pay-in options, such as local bank transfers, card-based payments, and alternative payment methods, while enabling pay-out capabilities in our clients’ preferred local payment methods.</w:t>
      </w:r>
    </w:p>
    <w:p>
      <w:pPr>
        <w:spacing w:after="0" w:line="144"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We believe our receive-side network sets us apart. Flywire clients, no matter the vertical or market they are in, can receive a single daily payment in their preferred currency that aggregates and reconciles all their customer payments made via Flywire from around the globe —across approximately 4,000 geographic corridors for 2022 representing transaction flows between payers and payees.</w:t>
      </w:r>
    </w:p>
    <w:p>
      <w:pPr>
        <w:spacing w:after="0" w:line="130"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Once our clients are connected to our global payment network, they can leverage an extended range of services and capabilities, including:</w:t>
      </w:r>
    </w:p>
    <w:p>
      <w:pPr>
        <w:spacing w:after="0" w:line="112" w:lineRule="exact"/>
        <w:rPr>
          <w:sz w:val="20"/>
          <w:szCs w:val="20"/>
          <w:color w:val="auto"/>
        </w:rPr>
      </w:pPr>
    </w:p>
    <w:p>
      <w:pPr>
        <w:ind w:left="900" w:right="20" w:hanging="263"/>
        <w:spacing w:after="0" w:line="246"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Transaction routing optimized for cost, risk and compliance management</w:t>
      </w:r>
      <w:r>
        <w:rPr>
          <w:rFonts w:ascii="Arial" w:cs="Arial" w:eastAsia="Arial" w:hAnsi="Arial"/>
          <w:sz w:val="18"/>
          <w:szCs w:val="18"/>
          <w:color w:val="auto"/>
        </w:rPr>
        <w:t>. We leverage the “plug and play” configuration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our global payment network and our proprietary payment-routing engine to analyze costs, currency exchange rates and payment acceptance data. Based on our analytics, we can configure optimal transaction routing that increases authorization rates in a secure and compliant manner, while reducing our processing costs and the costs to our clients’ customers.</w:t>
      </w:r>
    </w:p>
    <w:p>
      <w:pPr>
        <w:spacing w:after="0" w:line="148" w:lineRule="exact"/>
        <w:rPr>
          <w:rFonts w:ascii="Times New Roman" w:cs="Times New Roman" w:eastAsia="Times New Roman" w:hAnsi="Times New Roman"/>
          <w:sz w:val="18"/>
          <w:szCs w:val="18"/>
          <w:color w:val="auto"/>
        </w:rPr>
      </w:pPr>
    </w:p>
    <w:p>
      <w:pPr>
        <w:ind w:left="900" w:right="140" w:hanging="263"/>
        <w:spacing w:after="0" w:line="243"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Local clearing capabilities</w:t>
      </w:r>
      <w:r>
        <w:rPr>
          <w:rFonts w:ascii="Arial" w:cs="Arial" w:eastAsia="Arial" w:hAnsi="Arial"/>
          <w:sz w:val="18"/>
          <w:szCs w:val="18"/>
          <w:color w:val="auto"/>
        </w:rPr>
        <w:t>. Our clients’ customers have the ability to authorize and clear transactions in over 240 countries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territories through our connectivity to banks and major payment networks. Payments are made through direct connections to global, regional and local banks or through relationships with our payments partners including Citigroup Inc. These connections and relationships help us create local clearing hubs which enable our clients and their customers to have a local payments experience.</w:t>
      </w:r>
    </w:p>
    <w:p>
      <w:pPr>
        <w:spacing w:after="0" w:line="137" w:lineRule="exact"/>
        <w:rPr>
          <w:rFonts w:ascii="Times New Roman" w:cs="Times New Roman" w:eastAsia="Times New Roman" w:hAnsi="Times New Roman"/>
          <w:sz w:val="18"/>
          <w:szCs w:val="18"/>
          <w:color w:val="auto"/>
        </w:rPr>
      </w:pPr>
    </w:p>
    <w:p>
      <w:pPr>
        <w:ind w:left="900" w:right="220" w:hanging="263"/>
        <w:spacing w:after="0" w:line="252"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Ecosystem of alternative payment methods</w:t>
      </w:r>
      <w:r>
        <w:rPr>
          <w:rFonts w:ascii="Arial" w:cs="Arial" w:eastAsia="Arial" w:hAnsi="Arial"/>
          <w:sz w:val="18"/>
          <w:szCs w:val="18"/>
          <w:color w:val="auto"/>
        </w:rPr>
        <w:t>. We offer a myriad of alternative payment methods, such as Alipay, Boleto,</w:t>
      </w:r>
      <w:r>
        <w:rPr>
          <w:rFonts w:ascii="Arial" w:cs="Arial" w:eastAsia="Arial" w:hAnsi="Arial"/>
          <w:sz w:val="18"/>
          <w:szCs w:val="18"/>
          <w:b w:val="1"/>
          <w:bCs w:val="1"/>
          <w:color w:val="auto"/>
        </w:rPr>
        <w:t xml:space="preserve"> </w:t>
      </w:r>
      <w:r>
        <w:rPr>
          <w:rFonts w:ascii="Arial" w:cs="Arial" w:eastAsia="Arial" w:hAnsi="Arial"/>
          <w:sz w:val="18"/>
          <w:szCs w:val="18"/>
          <w:color w:val="auto"/>
        </w:rPr>
        <w:t>PayPal / Venmo, and Trustly, to allow customers to choose how they pay. We believe this helps promote greater adoption of our payments platform, higher levels of engagement and satisfaction, and increased value across our ecosystem.</w:t>
      </w:r>
    </w:p>
    <w:p>
      <w:pPr>
        <w:spacing w:after="0" w:line="129" w:lineRule="exact"/>
        <w:rPr>
          <w:rFonts w:ascii="Times New Roman" w:cs="Times New Roman" w:eastAsia="Times New Roman" w:hAnsi="Times New Roman"/>
          <w:sz w:val="18"/>
          <w:szCs w:val="18"/>
          <w:color w:val="auto"/>
        </w:rPr>
      </w:pPr>
    </w:p>
    <w:p>
      <w:pPr>
        <w:ind w:left="900" w:right="40" w:hanging="263"/>
        <w:spacing w:after="0" w:line="252"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Global pay-out</w:t>
      </w:r>
      <w:r>
        <w:rPr>
          <w:rFonts w:ascii="Arial" w:cs="Arial" w:eastAsia="Arial" w:hAnsi="Arial"/>
          <w:sz w:val="18"/>
          <w:szCs w:val="18"/>
          <w:color w:val="auto"/>
        </w:rPr>
        <w:t>. We enable our clients to automate disbursements and seamlessly settle in over 140 currencies via pay-out</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including local currency bank deposits. We believe we are able to settle pay-out more quickly given our end-to-end control and visibility of the transaction process.</w:t>
      </w:r>
    </w:p>
    <w:p>
      <w:pPr>
        <w:spacing w:after="0" w:line="142" w:lineRule="exact"/>
        <w:rPr>
          <w:rFonts w:ascii="Times New Roman" w:cs="Times New Roman" w:eastAsia="Times New Roman" w:hAnsi="Times New Roman"/>
          <w:sz w:val="18"/>
          <w:szCs w:val="18"/>
          <w:color w:val="auto"/>
        </w:rPr>
      </w:pPr>
    </w:p>
    <w:p>
      <w:pPr>
        <w:ind w:left="900" w:right="220" w:hanging="263"/>
        <w:spacing w:after="0" w:line="243"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Tailored and scalable regulatory and compliance infrastructure</w:t>
      </w:r>
      <w:r>
        <w:rPr>
          <w:rFonts w:ascii="Arial" w:cs="Arial" w:eastAsia="Arial" w:hAnsi="Arial"/>
          <w:sz w:val="18"/>
          <w:szCs w:val="18"/>
          <w:color w:val="auto"/>
        </w:rPr>
        <w:t>. This foundational element underpins our global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We have fraud and transaction monitoring tools designed to accommodate multiple industry verticals. We combine this with the application of know-your customer (KYC) and anti-money laundering (AML) standards that are tailored to meet the applicable requirements of the jurisdictions where our clients operate. In addition, we leverage our in-depth knowledge of the markets in which we operate to execute tactically while complying with local licensing and regulatory requirements.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Vertical-Specific Software Backed by Deep Industry Expertise</w:t>
      </w:r>
    </w:p>
    <w:p>
      <w:pPr>
        <w:spacing w:after="0" w:line="182"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130"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We offer deep integration within our clients’ existing apps and workflows for seamless payment acceptance and reconciliation. Our integrations, supported by our application programming interfaces (APIs), include some of the largest and most recognized accounting and enterprise resource planning (ERP) systems, such as Ellucian Company, L.P. in education, Epic Systems Corporation in healthcare, Rezdy Pty Ltd in travel, and Oracle Corporation in B2B payments. Through these integrations, our clients are able to reduce the number of banks and technology and payment providers on which they rely, while achieving faster settlements and lower wire and transaction fees.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 features of our vertical-specific software include:</w:t>
      </w:r>
    </w:p>
    <w:p>
      <w:pPr>
        <w:spacing w:after="0" w:line="184" w:lineRule="exact"/>
        <w:rPr>
          <w:sz w:val="20"/>
          <w:szCs w:val="20"/>
          <w:color w:val="auto"/>
        </w:rPr>
      </w:pPr>
    </w:p>
    <w:p>
      <w:pPr>
        <w:ind w:left="900" w:right="120" w:hanging="263"/>
        <w:spacing w:after="0" w:line="241"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Vertical-specific digital workflows</w:t>
      </w:r>
      <w:r>
        <w:rPr>
          <w:rFonts w:ascii="Arial" w:cs="Arial" w:eastAsia="Arial" w:hAnsi="Arial"/>
          <w:sz w:val="18"/>
          <w:szCs w:val="18"/>
          <w:color w:val="auto"/>
        </w:rPr>
        <w:t>. We help our clients automate the accounts receivable process from creation of an invoice</w:t>
      </w:r>
      <w:r>
        <w:rPr>
          <w:rFonts w:ascii="Arial" w:cs="Arial" w:eastAsia="Arial" w:hAnsi="Arial"/>
          <w:sz w:val="18"/>
          <w:szCs w:val="18"/>
          <w:b w:val="1"/>
          <w:bCs w:val="1"/>
          <w:color w:val="auto"/>
        </w:rPr>
        <w:t xml:space="preserve"> </w:t>
      </w:r>
      <w:r>
        <w:rPr>
          <w:rFonts w:ascii="Arial" w:cs="Arial" w:eastAsia="Arial" w:hAnsi="Arial"/>
          <w:sz w:val="18"/>
          <w:szCs w:val="18"/>
          <w:color w:val="auto"/>
        </w:rPr>
        <w:t>to delivery to the customer, to receipt of funds and synchronization back to their ERP system. In these workflows, we provide enhanced capabilities that improve customer satisfaction and may increase the collectability of amounts owed (e.g., offering patients of a health system the option to create a payment plan if they are unwilling or unable to pay their full amount due in a single payment). We provide timely status updates of financial inflows and outflows by indicating when invoices are delivered, opened, and paid. Our robust reporting tools provide our clients with a real time overview of their business’ payments profile.</w:t>
      </w:r>
    </w:p>
    <w:p>
      <w:pPr>
        <w:spacing w:after="0" w:line="140" w:lineRule="exact"/>
        <w:rPr>
          <w:rFonts w:ascii="Times New Roman" w:cs="Times New Roman" w:eastAsia="Times New Roman" w:hAnsi="Times New Roman"/>
          <w:sz w:val="18"/>
          <w:szCs w:val="18"/>
          <w:color w:val="auto"/>
        </w:rPr>
      </w:pPr>
    </w:p>
    <w:p>
      <w:pPr>
        <w:ind w:left="900" w:right="360" w:hanging="263"/>
        <w:spacing w:after="0" w:line="252"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Integration and synchronization to core and industry specific systems</w:t>
      </w:r>
      <w:r>
        <w:rPr>
          <w:rFonts w:ascii="Arial" w:cs="Arial" w:eastAsia="Arial" w:hAnsi="Arial"/>
          <w:sz w:val="18"/>
          <w:szCs w:val="18"/>
          <w:color w:val="auto"/>
        </w:rPr>
        <w:t>. Our software is designed to automate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reconciliation by synchronizing customer transactions with our client’s accounting and ERP systems. Our synchronization capabilities substantially reduce double data-entry and increase efficiency.</w:t>
      </w:r>
    </w:p>
    <w:p>
      <w:pPr>
        <w:spacing w:after="0" w:line="129" w:lineRule="exact"/>
        <w:rPr>
          <w:rFonts w:ascii="Times New Roman" w:cs="Times New Roman" w:eastAsia="Times New Roman" w:hAnsi="Times New Roman"/>
          <w:sz w:val="18"/>
          <w:szCs w:val="18"/>
          <w:color w:val="auto"/>
        </w:rPr>
      </w:pPr>
    </w:p>
    <w:p>
      <w:pPr>
        <w:ind w:left="900" w:right="540" w:hanging="263"/>
        <w:spacing w:after="0" w:line="270"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Real-time access</w:t>
      </w:r>
      <w:r>
        <w:rPr>
          <w:rFonts w:ascii="Arial" w:cs="Arial" w:eastAsia="Arial" w:hAnsi="Arial"/>
          <w:sz w:val="18"/>
          <w:szCs w:val="18"/>
          <w:color w:val="auto"/>
        </w:rPr>
        <w:t>. By leveraging our data, our clients can access real-time invoice and payment status updates,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seamless communication with customers and easily track payments from their customers.</w:t>
      </w:r>
    </w:p>
    <w:p>
      <w:pPr>
        <w:spacing w:after="0" w:line="126" w:lineRule="exact"/>
        <w:rPr>
          <w:rFonts w:ascii="Times New Roman" w:cs="Times New Roman" w:eastAsia="Times New Roman" w:hAnsi="Times New Roman"/>
          <w:sz w:val="18"/>
          <w:szCs w:val="18"/>
          <w:color w:val="auto"/>
        </w:rPr>
      </w:pPr>
    </w:p>
    <w:p>
      <w:pPr>
        <w:ind w:left="900" w:hanging="263"/>
        <w:spacing w:after="0" w:line="246"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Predictive analytics</w:t>
      </w:r>
      <w:r>
        <w:rPr>
          <w:rFonts w:ascii="Arial" w:cs="Arial" w:eastAsia="Arial" w:hAnsi="Arial"/>
          <w:sz w:val="18"/>
          <w:szCs w:val="18"/>
          <w:color w:val="auto"/>
        </w:rPr>
        <w:t>. We have robust predictive analytics capabilities to assess payment transactions across our client base</w:t>
      </w:r>
      <w:r>
        <w:rPr>
          <w:rFonts w:ascii="Arial" w:cs="Arial" w:eastAsia="Arial" w:hAnsi="Arial"/>
          <w:sz w:val="18"/>
          <w:szCs w:val="18"/>
          <w:b w:val="1"/>
          <w:bCs w:val="1"/>
          <w:color w:val="auto"/>
        </w:rPr>
        <w:t xml:space="preserve"> </w:t>
      </w:r>
      <w:r>
        <w:rPr>
          <w:rFonts w:ascii="Arial" w:cs="Arial" w:eastAsia="Arial" w:hAnsi="Arial"/>
          <w:sz w:val="18"/>
          <w:szCs w:val="18"/>
          <w:color w:val="auto"/>
        </w:rPr>
        <w:t>and to intelligently determine the appropriate pricing or payment plans. For example, in healthcare, we have built a personalization engine that enables hospitals and healthcare systems to better predict a patient’s capacity to pay and tailor the payment options they are offered, all in accordance with the hospital’s business rules.</w:t>
      </w:r>
    </w:p>
    <w:p>
      <w:pPr>
        <w:spacing w:after="0" w:line="135" w:lineRule="exact"/>
        <w:rPr>
          <w:sz w:val="20"/>
          <w:szCs w:val="20"/>
          <w:color w:val="auto"/>
        </w:rPr>
      </w:pPr>
    </w:p>
    <w:p>
      <w:pPr>
        <w:ind w:right="40" w:firstLine="559"/>
        <w:spacing w:after="0" w:line="243" w:lineRule="auto"/>
        <w:rPr>
          <w:sz w:val="20"/>
          <w:szCs w:val="20"/>
          <w:color w:val="auto"/>
        </w:rPr>
      </w:pPr>
      <w:r>
        <w:rPr>
          <w:rFonts w:ascii="Arial" w:cs="Arial" w:eastAsia="Arial" w:hAnsi="Arial"/>
          <w:sz w:val="18"/>
          <w:szCs w:val="18"/>
          <w:color w:val="auto"/>
        </w:rPr>
        <w:t>Below is an illustration of how a large hospital client utilizes our software to personalize patient engagement with payment options and billing conversations. We solve capacity to pay for our clients’ customers (with payment plans or other intelligent promotional financing) and we engage with them through their preferred communication methods (e.g., sms, chat, email, text, or phone). In turn, our clients are able to maximize yield on their accounts receivable potential, resulting in higher net payments, lower call volume, lower debt outstanding and most importantly, lower costs and happier patients.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651500" cy="2962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1500" cy="2962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84"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We believe Flywire plays a critical role in helping digitize transactions in traditionally underserved markets, facilitating in-country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13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i w:val="1"/>
          <w:iCs w:val="1"/>
          <w:color w:val="auto"/>
        </w:rPr>
        <w:t>Globalization—and the rise of a “borderless” economy—requires global, cross-border and local payment and regulatory expertise</w:t>
      </w:r>
    </w:p>
    <w:p>
      <w:pPr>
        <w:spacing w:after="0" w:line="180"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As the world becomes more connected, it is both easier and harder to do business. Consumers want to make payments across borders with ease and want to have a personalized experience in their language and in their local currency. Businesses are attempting to satisfy this demand, but we believe they often struggle to deliver truly global capabilities. Providing a solution that meets the needs of our global client base extends beyond simple payment processing. Enabling, streamlining, and automating our clients’ in-country domestic and cross-border payment operations requires a specialized approach that combines a secure, reliable, and robust suite of payments and software solutions with a seamless customer experience. We believe we can deliver extensive global reach and bring local market knowledge and expertise to keep up with the rapidly changing payments landscape.</w:t>
      </w:r>
    </w:p>
    <w:p>
      <w:pPr>
        <w:spacing w:after="0" w:line="156"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Globalization has also increased the complexity of the regulatory landscape that our clients need to navigate. Consumers and businesses are required to understand and adhere to extensive and often incongruous sets of laws and regulations in both local and cross-border regimes. For example, many countries with significant cross-border flows require distinct paperwork to be collected, validated and recorded as part of currency export compliance for high-value payments. Furthermore, we believe that clients often lack the policies, procedures and systems in order to implement and monitor strict compliance. We believe that the result is often costly and manual review processes, which can also increase the client’s risk of penalties and fines. We endeavor to actively manage the global complexities of regulation for our clients’ payments while implementing innovative solutions intended to make the entire process more efficient and user-friendly.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shift to software-integrated digital payments is accelerating</w:t>
      </w:r>
    </w:p>
    <w:p>
      <w:pPr>
        <w:spacing w:after="0" w:line="16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business and consumer transaction expectations shift with digitization, providers of modern payments platforms with industry-specific software have begun to displace legacy systems. Businesses and consumers have come to expect that all payment flows, especially for high-value services, are settled with the same ease as typical e-commerce purchases. We expect these trends will impact all industries and force many businesses to accept new digital payment methods. We believe fully integrated payments and software solutions, including those provided by us, enable businesses</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860"/>
        <w:spacing w:after="0" w:line="471" w:lineRule="auto"/>
        <w:rPr>
          <w:sz w:val="20"/>
          <w:szCs w:val="20"/>
          <w:color w:val="auto"/>
        </w:rPr>
      </w:pPr>
      <w:r>
        <w:rPr>
          <w:rFonts w:ascii="Arial" w:cs="Arial" w:eastAsia="Arial" w:hAnsi="Arial"/>
          <w:sz w:val="17"/>
          <w:szCs w:val="17"/>
          <w:color w:val="auto"/>
        </w:rPr>
        <w:t xml:space="preserve">to offer seamless payment experiences, minimize friction at the point-of-sale and respond to evolving customer preferences. </w:t>
      </w:r>
      <w:r>
        <w:rPr>
          <w:rFonts w:ascii="Arial" w:cs="Arial" w:eastAsia="Arial" w:hAnsi="Arial"/>
          <w:sz w:val="17"/>
          <w:szCs w:val="17"/>
          <w:b w:val="1"/>
          <w:bCs w:val="1"/>
          <w:i w:val="1"/>
          <w:iCs w:val="1"/>
          <w:color w:val="auto"/>
        </w:rPr>
        <w:t>Legacy payment and accounts receivable management infrastructure has significant limitations and is ripe for innovation</w:t>
      </w:r>
    </w:p>
    <w:p>
      <w:pPr>
        <w:spacing w:after="0" w:line="1"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Even in some of the largest industries in the world, such as education, healthcare, and travel, legacy payment and accounts receivable infrastructure has not evolved to streamline complexities nor enhance efficiency as demanded by organizations or their customers. This legacy infrastructure has the following limitations:</w:t>
      </w:r>
    </w:p>
    <w:p>
      <w:pPr>
        <w:spacing w:after="0" w:line="130" w:lineRule="exact"/>
        <w:rPr>
          <w:sz w:val="20"/>
          <w:szCs w:val="20"/>
          <w:color w:val="auto"/>
        </w:rPr>
      </w:pPr>
    </w:p>
    <w:p>
      <w:pPr>
        <w:ind w:left="900" w:right="80" w:hanging="263"/>
        <w:spacing w:after="0" w:line="241" w:lineRule="auto"/>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Paper-based. </w:t>
      </w:r>
      <w:r>
        <w:rPr>
          <w:rFonts w:ascii="Arial" w:cs="Arial" w:eastAsia="Arial" w:hAnsi="Arial"/>
          <w:sz w:val="18"/>
          <w:szCs w:val="18"/>
          <w:color w:val="auto"/>
        </w:rPr>
        <w:t>The accounts receivable process, from creation of an invoice to delivery to the customer, is most often still</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on paper. This paper-based workflow not only results in payment flows that are slow, error-prone, and less secure, but is also costly for businesses. Organizations that process substantially all of their accounts receivable by automated or electronic means report half the accounts receivable processing costs of those that do not, according to survey data from the American Productivity and Quality Center (APQC). We digitize and automate the accounts receivable process from start to finish, allowing clients to rely on our solutions and save on their accounts receivable transaction and processing costs.</w:t>
      </w:r>
    </w:p>
    <w:p>
      <w:pPr>
        <w:spacing w:after="0" w:line="154" w:lineRule="exact"/>
        <w:rPr>
          <w:rFonts w:ascii="Times New Roman" w:cs="Times New Roman" w:eastAsia="Times New Roman" w:hAnsi="Times New Roman"/>
          <w:sz w:val="18"/>
          <w:szCs w:val="18"/>
          <w:color w:val="auto"/>
        </w:rPr>
      </w:pPr>
    </w:p>
    <w:p>
      <w:pPr>
        <w:ind w:left="900" w:right="100" w:hanging="263"/>
        <w:spacing w:after="0" w:line="241" w:lineRule="auto"/>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Manual. </w:t>
      </w:r>
      <w:r>
        <w:rPr>
          <w:rFonts w:ascii="Arial" w:cs="Arial" w:eastAsia="Arial" w:hAnsi="Arial"/>
          <w:sz w:val="18"/>
          <w:szCs w:val="18"/>
          <w:color w:val="auto"/>
        </w:rPr>
        <w:t>Legacy workflows require manual input of employees at every stage of the accounts receivable process: from opening</w:t>
      </w:r>
      <w:r>
        <w:rPr>
          <w:rFonts w:ascii="Arial" w:cs="Arial" w:eastAsia="Arial" w:hAnsi="Arial"/>
          <w:sz w:val="18"/>
          <w:szCs w:val="18"/>
          <w:b w:val="1"/>
          <w:bCs w:val="1"/>
          <w:color w:val="auto"/>
        </w:rPr>
        <w:t xml:space="preserve"> </w:t>
      </w:r>
      <w:r>
        <w:rPr>
          <w:rFonts w:ascii="Arial" w:cs="Arial" w:eastAsia="Arial" w:hAnsi="Arial"/>
          <w:sz w:val="18"/>
          <w:szCs w:val="18"/>
          <w:color w:val="auto"/>
        </w:rPr>
        <w:t>an envelope, logging the receipt, getting approvals, cashing the check, to proper accounting and compliance. This repetitive employee engagement significantly slows down payment flows, increases likelihood of error, and is more expensive for businesses. Organizations that automatically generate the vast majority of their invoices reported processing almost twice as many invoices per invoicing full-time equivalent (FTE) compared to those that do not, according to survey data from the APQC. Our clients can easily leverage our solutions for traditional back-office tasks, with less manual labor involved from start to finish.</w:t>
      </w:r>
    </w:p>
    <w:p>
      <w:pPr>
        <w:spacing w:after="0" w:line="140" w:lineRule="exact"/>
        <w:rPr>
          <w:rFonts w:ascii="Times New Roman" w:cs="Times New Roman" w:eastAsia="Times New Roman" w:hAnsi="Times New Roman"/>
          <w:sz w:val="18"/>
          <w:szCs w:val="18"/>
          <w:color w:val="auto"/>
        </w:rPr>
      </w:pPr>
    </w:p>
    <w:p>
      <w:pPr>
        <w:ind w:left="900" w:hanging="263"/>
        <w:spacing w:after="0" w:line="243" w:lineRule="auto"/>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Disparate. </w:t>
      </w:r>
      <w:r>
        <w:rPr>
          <w:rFonts w:ascii="Arial" w:cs="Arial" w:eastAsia="Arial" w:hAnsi="Arial"/>
          <w:sz w:val="18"/>
          <w:szCs w:val="18"/>
          <w:color w:val="auto"/>
        </w:rPr>
        <w:t>Many businesses deal with multiple accounting and reconciliation systems to process a single transaction flow.</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APQC survey data, inefficient processing of receivables requires almost 2.5 times as many FTE resources compared to top-performing organizations for the same dollar volume. Instead of relying on stacks of disparate technology systems that were not built to work together in the context of a seamless experience, our clients can use our solutions to automatically synchronize customer transactions while leveraging their existing IT infrastructure.</w:t>
      </w:r>
    </w:p>
    <w:p>
      <w:pPr>
        <w:spacing w:after="0" w:line="13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Lacking functionality and capabilities that drive value. </w:t>
      </w:r>
      <w:r>
        <w:rPr>
          <w:rFonts w:ascii="Arial" w:cs="Arial" w:eastAsia="Arial" w:hAnsi="Arial"/>
          <w:sz w:val="18"/>
          <w:szCs w:val="18"/>
          <w:color w:val="auto"/>
        </w:rPr>
        <w:t>A large number of businesses attempt to use their current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or ERP systems for accounts receivable management. These systems often lack functional and analytical capabilities to calibrate and present optimal payment options that could improve customer experience and maximize client yield on their accounts receivable. In contrast, our predictive analytics capabilities provide valuable insights to help drive business decisions and allow our clients to tailor their offerings. For example, our clients can see when a payment plan may be helpful to one of their customers, allowing them or their customers to initiate a payment plan. This insight and functionality can ultimately increase the speed and frequency of collection and improve customer satisfaction.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Accelerating digitization of B2B payments</w:t>
      </w:r>
    </w:p>
    <w:p>
      <w:pPr>
        <w:spacing w:after="0" w:line="16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believe the B2B payments market remains one of the largest untapped opportunities in the payments industry. Few payments and software companies have end-to-end integrated payments solutions including accounts receivable software, omni-channel offerings, cross-border capabilities and other value-added services. Most often, providers only offer one or two of these capabilities and require clients to employ other piecemeal point solutions. The unique combination of our next-gen payments platform, proprietary global payment network, and vertical-specific software enables us to design and deliver a comprehensive suite of solutions that help our business clients get paid by their customers.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Market Opportunity</w:t>
      </w:r>
    </w:p>
    <w:p>
      <w:pPr>
        <w:spacing w:after="0" w:line="184"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Many industries still lack the digital payments infrastructure that is necessary to meet customer demand and solve operational inefficiencies. For example, the majority of healthcare payments are still made by check. Likewise, in education, budget shortfalls, along with rising tuition costs, have added financial strain and created collections problems.</w:t>
      </w:r>
    </w:p>
    <w:p>
      <w:pPr>
        <w:spacing w:after="0" w:line="144"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These inefficiencies are costly. According to a study by Deloitte, middle-market businesses incur $ 3.3 trillion in operational costs when reconciling invoices as a result of inadequate legacy solutions, such as disparate file formats and lack of back-office support for automated remittances.</w:t>
      </w:r>
    </w:p>
    <w:p>
      <w:pPr>
        <w:spacing w:after="0" w:line="130"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Despite these shortfalls, the demand for domestic and cross-border money movement continues to accelerate and global payments present one of the largest market opportunities. For the primary industries we currently serve, we estimate the current addressable market for our solutions to be approximately $1.7 trillion in global payment volume, including education ($660 billion)</w:t>
      </w:r>
      <w:r>
        <w:rPr>
          <w:rFonts w:ascii="Arial" w:cs="Arial" w:eastAsia="Arial" w:hAnsi="Arial"/>
          <w:sz w:val="20"/>
          <w:szCs w:val="20"/>
          <w:color w:val="auto"/>
          <w:vertAlign w:val="superscript"/>
        </w:rPr>
        <w:t>(1)</w:t>
      </w:r>
      <w:r>
        <w:rPr>
          <w:rFonts w:ascii="Arial" w:cs="Arial" w:eastAsia="Arial" w:hAnsi="Arial"/>
          <w:sz w:val="18"/>
          <w:szCs w:val="18"/>
          <w:color w:val="auto"/>
        </w:rPr>
        <w:t>, healthcare ($500 billion)</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and travel (approximately $530 billion).</w:t>
      </w:r>
      <w:r>
        <w:rPr>
          <w:rFonts w:ascii="Arial" w:cs="Arial" w:eastAsia="Arial" w:hAnsi="Arial"/>
          <w:sz w:val="20"/>
          <w:szCs w:val="20"/>
          <w:color w:val="auto"/>
          <w:vertAlign w:val="superscript"/>
        </w:rPr>
        <w:t>(3)</w:t>
      </w:r>
    </w:p>
    <w:p>
      <w:pPr>
        <w:spacing w:after="0" w:line="89"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Additionally, our B2B payments offering expands the addressable market for our solutions, which we estimate to be over $10 trillion in addressable B2B payment volume</w:t>
      </w:r>
      <w:r>
        <w:rPr>
          <w:rFonts w:ascii="Arial" w:cs="Arial" w:eastAsia="Arial" w:hAnsi="Arial"/>
          <w:sz w:val="20"/>
          <w:szCs w:val="20"/>
          <w:color w:val="auto"/>
          <w:vertAlign w:val="superscript"/>
        </w:rPr>
        <w:t>(4)</w:t>
      </w:r>
      <w:r>
        <w:rPr>
          <w:rFonts w:ascii="Arial" w:cs="Arial" w:eastAsia="Arial" w:hAnsi="Arial"/>
          <w:sz w:val="18"/>
          <w:szCs w:val="18"/>
          <w:color w:val="auto"/>
        </w:rPr>
        <w:t>. Given Flywire’s existing penetration of key verticals, ability to integrate with a broad range of core systems and continued investments in our next-gen payments platform, proprietary global payment network, and vertical-specific software, we believe we have the opportunity to capture a meaningful share of this payment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23806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346" w:lineRule="exact"/>
        <w:rPr>
          <w:sz w:val="20"/>
          <w:szCs w:val="20"/>
          <w:color w:val="auto"/>
        </w:rPr>
      </w:pPr>
    </w:p>
    <w:p>
      <w:pPr>
        <w:ind w:left="520" w:hanging="377"/>
        <w:spacing w:after="0" w:line="251" w:lineRule="auto"/>
        <w:tabs>
          <w:tab w:leader="none" w:pos="520" w:val="left"/>
        </w:tabs>
        <w:numPr>
          <w:ilvl w:val="0"/>
          <w:numId w:val="14"/>
        </w:numPr>
        <w:rPr>
          <w:rFonts w:ascii="Arial" w:cs="Arial" w:eastAsia="Arial" w:hAnsi="Arial"/>
          <w:sz w:val="8"/>
          <w:szCs w:val="8"/>
          <w:color w:val="auto"/>
        </w:rPr>
      </w:pPr>
      <w:r>
        <w:rPr>
          <w:rFonts w:ascii="Arial" w:cs="Arial" w:eastAsia="Arial" w:hAnsi="Arial"/>
          <w:sz w:val="14"/>
          <w:szCs w:val="14"/>
          <w:color w:val="auto"/>
        </w:rPr>
        <w:t>Based on net household payments to educational institutions in OECD countries in 2020 according to the Organisation for Economic Co-operation and Development and payments made to private education institutions in Southeast Asia in 2015 according to EY Parthenon.</w:t>
      </w:r>
    </w:p>
    <w:p>
      <w:pPr>
        <w:ind w:left="520" w:right="300" w:hanging="377"/>
        <w:spacing w:after="0" w:line="241" w:lineRule="auto"/>
        <w:tabs>
          <w:tab w:leader="none" w:pos="520" w:val="left"/>
        </w:tabs>
        <w:numPr>
          <w:ilvl w:val="0"/>
          <w:numId w:val="14"/>
        </w:numPr>
        <w:rPr>
          <w:rFonts w:ascii="Arial" w:cs="Arial" w:eastAsia="Arial" w:hAnsi="Arial"/>
          <w:sz w:val="8"/>
          <w:szCs w:val="8"/>
          <w:color w:val="auto"/>
        </w:rPr>
      </w:pPr>
      <w:r>
        <w:rPr>
          <w:rFonts w:ascii="Arial" w:cs="Arial" w:eastAsia="Arial" w:hAnsi="Arial"/>
          <w:sz w:val="14"/>
          <w:szCs w:val="14"/>
          <w:color w:val="auto"/>
        </w:rPr>
        <w:t>Based on U.S. out of pocket healthcare spending in 2019 according to the Centers for Medicare &amp; Medicaid Services and cross-border healthcare payments in 2020 according to Patients Without Borders.</w:t>
      </w:r>
    </w:p>
    <w:p>
      <w:pPr>
        <w:ind w:left="520" w:right="340" w:hanging="377"/>
        <w:spacing w:after="0" w:line="241" w:lineRule="auto"/>
        <w:tabs>
          <w:tab w:leader="none" w:pos="520" w:val="left"/>
        </w:tabs>
        <w:numPr>
          <w:ilvl w:val="0"/>
          <w:numId w:val="14"/>
        </w:numPr>
        <w:rPr>
          <w:rFonts w:ascii="Arial" w:cs="Arial" w:eastAsia="Arial" w:hAnsi="Arial"/>
          <w:sz w:val="8"/>
          <w:szCs w:val="8"/>
          <w:color w:val="auto"/>
        </w:rPr>
      </w:pPr>
      <w:r>
        <w:rPr>
          <w:rFonts w:ascii="Arial" w:cs="Arial" w:eastAsia="Arial" w:hAnsi="Arial"/>
          <w:sz w:val="14"/>
          <w:szCs w:val="14"/>
          <w:color w:val="auto"/>
        </w:rPr>
        <w:t>Based on global travel industry revenue in 2020 according to IBISWorld and management’s estimates that approximately 41% of the non-business and professional travel payment volume is addressable by our solutions.</w:t>
      </w:r>
    </w:p>
    <w:p>
      <w:pPr>
        <w:ind w:left="520" w:right="440" w:hanging="377"/>
        <w:spacing w:after="0" w:line="263" w:lineRule="auto"/>
        <w:tabs>
          <w:tab w:leader="none" w:pos="520" w:val="left"/>
        </w:tabs>
        <w:numPr>
          <w:ilvl w:val="0"/>
          <w:numId w:val="14"/>
        </w:numPr>
        <w:rPr>
          <w:rFonts w:ascii="Arial" w:cs="Arial" w:eastAsia="Arial" w:hAnsi="Arial"/>
          <w:sz w:val="8"/>
          <w:szCs w:val="8"/>
          <w:color w:val="auto"/>
        </w:rPr>
      </w:pPr>
      <w:r>
        <w:rPr>
          <w:rFonts w:ascii="Arial" w:cs="Arial" w:eastAsia="Arial" w:hAnsi="Arial"/>
          <w:sz w:val="14"/>
          <w:szCs w:val="14"/>
          <w:color w:val="auto"/>
        </w:rPr>
        <w:t>Based on cross-border B2B inflows revenue in 2020 according to Juniper and management’s estimates that at least 75% of total B2B payment volume is made by medium to large businesses and is potentially addressable by our solutions.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84"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We believe we have a significant opportunity to build on our success and momentum to date. The key elements of our growth strategy include: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Client Reach</w:t>
      </w:r>
    </w:p>
    <w:p>
      <w:pPr>
        <w:spacing w:after="0" w:line="169" w:lineRule="exact"/>
        <w:rPr>
          <w:sz w:val="20"/>
          <w:szCs w:val="20"/>
          <w:color w:val="auto"/>
        </w:rPr>
      </w:pPr>
    </w:p>
    <w:p>
      <w:pPr>
        <w:ind w:left="900" w:right="60" w:hanging="263"/>
        <w:spacing w:after="0" w:line="243" w:lineRule="auto"/>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Grow with existing clients. </w:t>
      </w:r>
      <w:r>
        <w:rPr>
          <w:rFonts w:ascii="Arial" w:cs="Arial" w:eastAsia="Arial" w:hAnsi="Arial"/>
          <w:sz w:val="18"/>
          <w:szCs w:val="18"/>
          <w:color w:val="auto"/>
        </w:rPr>
        <w:t>We intend to continue to become a more integral part of our clients’ businesses as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clients’ customers who utilize our solutions increases. Our track record of organic growth with our clients is demonstrated by our three-year average annual net dollar-based retention rate, which was approximately 121% for the years ended December 31, 2020 through December 31, 2022. As our clients transform and digitize their operational workflows, we plan to encourage them to add additional solutions, such as tailored invoicing, payment plans, and eStore marketplace.</w:t>
      </w:r>
    </w:p>
    <w:p>
      <w:pPr>
        <w:spacing w:after="0" w:line="151" w:lineRule="exact"/>
        <w:rPr>
          <w:rFonts w:ascii="Times New Roman" w:cs="Times New Roman" w:eastAsia="Times New Roman" w:hAnsi="Times New Roman"/>
          <w:sz w:val="18"/>
          <w:szCs w:val="18"/>
          <w:color w:val="auto"/>
        </w:rPr>
      </w:pPr>
    </w:p>
    <w:p>
      <w:pPr>
        <w:jc w:val="both"/>
        <w:ind w:left="900" w:right="300" w:hanging="263"/>
        <w:spacing w:after="0" w:line="252" w:lineRule="auto"/>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Continue to win new clients. </w:t>
      </w:r>
      <w:r>
        <w:rPr>
          <w:rFonts w:ascii="Arial" w:cs="Arial" w:eastAsia="Arial" w:hAnsi="Arial"/>
          <w:sz w:val="18"/>
          <w:szCs w:val="18"/>
          <w:color w:val="auto"/>
        </w:rPr>
        <w:t>We plan to expand our sales and marketing efforts to increase brand awareness and highlight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our solutions. We believe this will attract new clients to Flywire and as we add more clients, we can accelerate the effects of our flywheel.</w:t>
      </w:r>
    </w:p>
    <w:p>
      <w:pPr>
        <w:spacing w:after="0" w:line="129" w:lineRule="exact"/>
        <w:rPr>
          <w:rFonts w:ascii="Times New Roman" w:cs="Times New Roman" w:eastAsia="Times New Roman" w:hAnsi="Times New Roman"/>
          <w:sz w:val="18"/>
          <w:szCs w:val="18"/>
          <w:color w:val="auto"/>
        </w:rPr>
      </w:pPr>
    </w:p>
    <w:p>
      <w:pPr>
        <w:ind w:left="900" w:right="40" w:hanging="263"/>
        <w:spacing w:after="0" w:line="246" w:lineRule="auto"/>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Increase payments platform monetization. </w:t>
      </w:r>
      <w:r>
        <w:rPr>
          <w:rFonts w:ascii="Arial" w:cs="Arial" w:eastAsia="Arial" w:hAnsi="Arial"/>
          <w:sz w:val="18"/>
          <w:szCs w:val="18"/>
          <w:color w:val="auto"/>
        </w:rPr>
        <w:t>We have the opportunity to offer additional complementary payment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clients’ customers in support of our clients’ business goals. We intend to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by expanding the number of use cases we can address such as handling payables in education, business invoices in hospitals, and commissions in travel.</w:t>
      </w:r>
    </w:p>
    <w:p>
      <w:pPr>
        <w:spacing w:after="0" w:line="134" w:lineRule="exact"/>
        <w:rPr>
          <w:rFonts w:ascii="Times New Roman" w:cs="Times New Roman" w:eastAsia="Times New Roman" w:hAnsi="Times New Roman"/>
          <w:sz w:val="18"/>
          <w:szCs w:val="18"/>
          <w:color w:val="auto"/>
        </w:rPr>
      </w:pPr>
    </w:p>
    <w:p>
      <w:pPr>
        <w:ind w:left="900" w:right="60" w:hanging="263"/>
        <w:spacing w:after="0" w:line="270" w:lineRule="auto"/>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Expand our solution portfolio. </w:t>
      </w:r>
      <w:r>
        <w:rPr>
          <w:rFonts w:ascii="Arial" w:cs="Arial" w:eastAsia="Arial" w:hAnsi="Arial"/>
          <w:sz w:val="18"/>
          <w:szCs w:val="18"/>
          <w:color w:val="auto"/>
        </w:rPr>
        <w:t>We expect to continue investing in our solution portfolio by expanding the breadth and depth of</w:t>
      </w:r>
      <w:r>
        <w:rPr>
          <w:rFonts w:ascii="Arial" w:cs="Arial" w:eastAsia="Arial" w:hAnsi="Arial"/>
          <w:sz w:val="18"/>
          <w:szCs w:val="18"/>
          <w:b w:val="1"/>
          <w:bCs w:val="1"/>
          <w:color w:val="auto"/>
        </w:rPr>
        <w:t xml:space="preserve"> </w:t>
      </w:r>
      <w:r>
        <w:rPr>
          <w:rFonts w:ascii="Arial" w:cs="Arial" w:eastAsia="Arial" w:hAnsi="Arial"/>
          <w:sz w:val="18"/>
          <w:szCs w:val="18"/>
          <w:color w:val="auto"/>
        </w:rPr>
        <w:t>our payments and software capabilities.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Ecosystem Through Channel Partnerships</w:t>
      </w:r>
    </w:p>
    <w:p>
      <w:pPr>
        <w:spacing w:after="0" w:line="169" w:lineRule="exact"/>
        <w:rPr>
          <w:sz w:val="20"/>
          <w:szCs w:val="20"/>
          <w:color w:val="auto"/>
        </w:rPr>
      </w:pPr>
    </w:p>
    <w:p>
      <w:pPr>
        <w:ind w:right="300" w:firstLine="509"/>
        <w:spacing w:after="0" w:line="246" w:lineRule="auto"/>
        <w:rPr>
          <w:sz w:val="20"/>
          <w:szCs w:val="20"/>
          <w:color w:val="auto"/>
        </w:rPr>
      </w:pPr>
      <w:r>
        <w:rPr>
          <w:rFonts w:ascii="Arial" w:cs="Arial" w:eastAsia="Arial" w:hAnsi="Arial"/>
          <w:sz w:val="18"/>
          <w:szCs w:val="18"/>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to New Verticals and Geographies</w:t>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 xml:space="preserve">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to scale into new verticals and geographic markets. We have a strong track record of expanding efficiently into new verticals and geographic markets, as we have shown in healthcare, travel, and B2B payments and in the expanded reach of our global payment network. We see a large and significantly underserved opportunity for clients domestically and internationally to benefit from our payments platform, global payment network and vertical-specific software. Additionally, there are other industries, including real estate and government taxes, that we believe are poorly digitized and could benefit from our solutions.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Strategic and Value-Enhancing Acquisitions</w:t>
      </w:r>
    </w:p>
    <w:p>
      <w:pPr>
        <w:spacing w:after="0" w:line="16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also have the scale to be an attractive and reputable consolidator in the payments markets as evidenced by our ability to retain nearly all of the clients and employees from our Simplee, WPM and Cohort Go acquisitions. We believe our approach and breadth of experience in integrating culturally-aligned businesses position us to maximize the value we derive from future acquisitions.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Flywire Culture and Team</w:t>
      </w:r>
    </w:p>
    <w:p>
      <w:pPr>
        <w:spacing w:after="0" w:line="171"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As an organization, our culture is founded on our shared experiences, unique and diverse backgrounds, and belief in our mission to deliver on the most important and complex payments. As a collective team of approximately 1,000 full-time employees and contractors, who Flywire calls FlyMates, we strive for excellence as one team, guided by our core values, including:</w:t>
      </w:r>
    </w:p>
    <w:p>
      <w:pPr>
        <w:spacing w:after="0" w:line="130" w:lineRule="exact"/>
        <w:rPr>
          <w:sz w:val="20"/>
          <w:szCs w:val="20"/>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collaboration. </w:t>
      </w:r>
      <w:r>
        <w:rPr>
          <w:rFonts w:ascii="Arial" w:cs="Arial" w:eastAsia="Arial" w:hAnsi="Arial"/>
          <w:sz w:val="18"/>
          <w:szCs w:val="18"/>
          <w:color w:val="auto"/>
        </w:rPr>
        <w:t>We believe in teamwork.</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Authenticity. </w:t>
      </w:r>
      <w:r>
        <w:rPr>
          <w:rFonts w:ascii="Arial" w:cs="Arial" w:eastAsia="Arial" w:hAnsi="Arial"/>
          <w:sz w:val="18"/>
          <w:szCs w:val="18"/>
          <w:color w:val="auto"/>
        </w:rPr>
        <w:t>We never compromise on integrity, honesty, and kindness.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Fulfillment. </w:t>
      </w:r>
      <w:r>
        <w:rPr>
          <w:rFonts w:ascii="Arial" w:cs="Arial" w:eastAsia="Arial" w:hAnsi="Arial"/>
          <w:sz w:val="18"/>
          <w:szCs w:val="18"/>
          <w:color w:val="auto"/>
        </w:rPr>
        <w:t>We strive for personal and professional satisfaction.</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Execution. </w:t>
      </w:r>
      <w:r>
        <w:rPr>
          <w:rFonts w:ascii="Arial" w:cs="Arial" w:eastAsia="Arial" w:hAnsi="Arial"/>
          <w:sz w:val="18"/>
          <w:szCs w:val="18"/>
          <w:color w:val="auto"/>
        </w:rPr>
        <w:t>We accomplish our goals through collective support and accountability.</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Ambitious innovation. </w:t>
      </w:r>
      <w:r>
        <w:rPr>
          <w:rFonts w:ascii="Arial" w:cs="Arial" w:eastAsia="Arial" w:hAnsi="Arial"/>
          <w:sz w:val="18"/>
          <w:szCs w:val="18"/>
          <w:color w:val="auto"/>
        </w:rPr>
        <w:t>We continuously look to deliver more and new value to all our constituents.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Evolved learning. </w:t>
      </w:r>
      <w:r>
        <w:rPr>
          <w:rFonts w:ascii="Arial" w:cs="Arial" w:eastAsia="Arial" w:hAnsi="Arial"/>
          <w:sz w:val="18"/>
          <w:szCs w:val="18"/>
          <w:color w:val="auto"/>
        </w:rPr>
        <w:t>We believe in new challenges and constant growth.</w:t>
      </w:r>
    </w:p>
    <w:p>
      <w:pPr>
        <w:spacing w:after="0" w:line="183" w:lineRule="exact"/>
        <w:rPr>
          <w:sz w:val="20"/>
          <w:szCs w:val="20"/>
          <w:color w:val="auto"/>
        </w:rPr>
      </w:pPr>
    </w:p>
    <w:p>
      <w:pPr>
        <w:jc w:val="both"/>
        <w:ind w:right="340" w:firstLine="509"/>
        <w:spacing w:after="0" w:line="246" w:lineRule="auto"/>
        <w:rPr>
          <w:sz w:val="20"/>
          <w:szCs w:val="20"/>
          <w:color w:val="auto"/>
        </w:rPr>
      </w:pPr>
      <w:r>
        <w:rPr>
          <w:rFonts w:ascii="Arial" w:cs="Arial" w:eastAsia="Arial" w:hAnsi="Arial"/>
          <w:sz w:val="18"/>
          <w:szCs w:val="18"/>
          <w:color w:val="auto"/>
        </w:rPr>
        <w:t>Our leadership team defines our culture and strategy and collectively has decades of experience leading companies through rapid growth at scale. Representing approximately 40 nationalities and spoken languages, our diverse team of FlyMates deliver critical domain expertise and regionally tailored skill sets to our clients 24x7. We believe our team’s relentless client focus and adherence to our shared values are evident in our 2022 NPS of 62, and will continue to define our future success.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We derive revenue from transactions and platform and usage-based fees. Each new student tuition bill, patient visit, travel journey and business invoice, is an opportunity for us to generate fees.</w:t>
      </w:r>
    </w:p>
    <w:p>
      <w:pPr>
        <w:spacing w:after="0" w:line="112"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Our revenue is highly re-occurring in nature due to the mission-critical nature of our solutions that are deeply integrated within our clients’ existing operating workflows and IT infrastructure. We believe the depth and breadth of our solutions help our clients get paid faster and with less friction. This enables us to develop long-standing relationships with our clients, which in turn also drive strong retention and significant cross-selling opportunities.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Illustration of Our Solution</w:t>
      </w:r>
    </w:p>
    <w:p>
      <w:pPr>
        <w:spacing w:after="0" w:line="17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simplify domestic and cross-border payment transactions for our clients by eliminating the need to work with disparate vendors for invoicing, global pay-in and pay-out, compliance and risk management and more. Through a single connection to Flywire, we enable our clients to securely accept and reconcile payments and engage with their customers. The illustrations below depict how Flywire manages both international and domestic payments for a representative education client.</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firstLine="509"/>
        <w:spacing w:after="0"/>
        <w:rPr>
          <w:sz w:val="20"/>
          <w:szCs w:val="20"/>
          <w:color w:val="auto"/>
        </w:rPr>
      </w:pPr>
      <w:r>
        <w:rPr>
          <w:rFonts w:ascii="Arial" w:cs="Arial" w:eastAsia="Arial" w:hAnsi="Arial"/>
          <w:sz w:val="18"/>
          <w:szCs w:val="18"/>
          <w:b w:val="1"/>
          <w:bCs w:val="1"/>
          <w:i w:val="1"/>
          <w:iCs w:val="1"/>
          <w:color w:val="auto"/>
        </w:rPr>
        <w:t>International Payment Example</w:t>
      </w:r>
      <w:r>
        <w:rPr>
          <w:rFonts w:ascii="Arial" w:cs="Arial" w:eastAsia="Arial" w:hAnsi="Arial"/>
          <w:sz w:val="18"/>
          <w:szCs w:val="18"/>
          <w:color w:val="auto"/>
        </w:rPr>
        <w:t>: In the first example below, a Chinese student paying their tuition to a Canadian university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a seamless process from start to finish—choosing their preferred payment method and currency. For our client, the accounts receivable process is automated and streamlined from invoice to receipt and to reconciliation and real-time ERP updates. For our cross-border payments, we have short term foreign exchange exposure, typically between one and four days; we leverage our in-house currency hedging algorithms, and enter into non-deliverable forward foreign currency contracts, to mitigate the volatility related to fluctuations in the foreign exchange rates. For additional discussion about our foreign exchange exposure, please see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b w:val="1"/>
          <w:bCs w:val="1"/>
          <w:i w:val="1"/>
          <w:iCs w:val="1"/>
          <w:color w:val="auto"/>
        </w:rPr>
        <w:t>Domestic Payment Example</w:t>
      </w:r>
      <w:r>
        <w:rPr>
          <w:rFonts w:ascii="Arial" w:cs="Arial" w:eastAsia="Arial" w:hAnsi="Arial"/>
          <w:sz w:val="18"/>
          <w:szCs w:val="18"/>
          <w:color w:val="auto"/>
        </w:rPr>
        <w:t>: The example below illustrates the process of offering payment plans to domestic students, which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set up by either the school or the student.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92075</wp:posOffset>
            </wp:positionV>
            <wp:extent cx="4126865" cy="2713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26865" cy="271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From the same payments platform, we manage the entire payment process for our clients with the only difference being the type of payment offering selected to meet the needs of their customers, whether that be international or domestic.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Go-To-Market Strategy</w:t>
      </w:r>
    </w:p>
    <w:p>
      <w:pPr>
        <w:spacing w:after="0" w:line="17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direct sales channel is core to our go-to-market strategy. We believe that regional, vertical, and broader domain expertise, as well as continued client management, are critical to our sales success. Our regional sales teams are located in the United States, Canada, Latin America, Europe, and the Asia Pacific region including Singapore, Japan, and Australia. Our relationship management team augments direct sales capabilities by cultivating existing relationships and identifying cross-sell and up-sell opportunities of additional solutions, contributing to our strong dollar-based net retention rate. We believe that our ability to understand the nuanced pain points of education, healthcare, and travel accounts receivable is a strategic advantage enabling us to gain clients in those verticals, while our broader domain expertise in payments, treasury, and banking is critical to executing on our broader B2B payments expansion.</w:t>
      </w:r>
    </w:p>
    <w:p>
      <w:pPr>
        <w:spacing w:after="0" w:line="142"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We focus our sales and marketing efforts on generating leads to develop our sales pipeline, building brand and vertical awareness, scaling our network of partners, and growing our business from our existing client base. Our sales leads primarily come through inbound digital channels including our website, content marketing efforts, lead generation and account-based marketing tactics, virtual events, and industry trade shows and associations.</w:t>
      </w:r>
    </w:p>
    <w:p>
      <w:pPr>
        <w:spacing w:after="0" w:line="14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We typically follow a “land-and-expand” strategy as our clients engage with us on more than one solution as we grow our partnership. For example, in education we have a high success rate expanding beyond solving cross-border payments needs, with clients also adopting our domestic solutions or full-suite enterprise solution. Once our clients experience the depth of our ability to handle their multi-faceted accounts receivable and payments needs, our relationship managers are able to successfully cross-sell and up-sell other solutions, creating a large avenue of revenue generation with minimal incremental acquisition cost.</w:t>
      </w:r>
    </w:p>
    <w:p>
      <w:pPr>
        <w:spacing w:after="0" w:line="139"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We also reach clients indirectly through our channel partnerships, integrations with workflow software, and other technology providers. Our channel partners include financial institutions, such as Bank of America Corporation, as well as a number of referral partners such as Tribal Group and Cerner Corporation. Additionally, Flywire has integrations with leading accounting and ERP systems, such as Oracle Corporation, Ellucian Company, L.P., Epic Systems Corporation and Rezdy Pty Ltd.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and Architecture</w:t>
      </w:r>
    </w:p>
    <w:p>
      <w:pPr>
        <w:spacing w:after="0" w:line="18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 xml:space="preserve">Our unified technology is at the core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The scale and complexity of the product implementation challenges that we address for our clients and their customers cannot easily be addressed through today’s legacy systems and outdated infrastructure. Instead, it requires our combination of a modern technology stack, cloud-native infrastructure, and investment in product and engineering management talent.</w:t>
      </w:r>
    </w:p>
    <w:p>
      <w:pPr>
        <w:spacing w:after="0" w:line="136" w:lineRule="exact"/>
        <w:rPr>
          <w:sz w:val="20"/>
          <w:szCs w:val="20"/>
          <w:color w:val="auto"/>
        </w:rPr>
      </w:pPr>
    </w:p>
    <w:p>
      <w:pPr>
        <w:ind w:right="440" w:firstLine="509"/>
        <w:spacing w:after="0" w:line="246" w:lineRule="auto"/>
        <w:rPr>
          <w:sz w:val="20"/>
          <w:szCs w:val="20"/>
          <w:color w:val="auto"/>
        </w:rPr>
      </w:pPr>
      <w:r>
        <w:rPr>
          <w:rFonts w:ascii="Arial" w:cs="Arial" w:eastAsia="Arial" w:hAnsi="Arial"/>
          <w:sz w:val="18"/>
          <w:szCs w:val="18"/>
          <w:color w:val="auto"/>
        </w:rPr>
        <w:t>Our engineering approach includes a DevOps culture, microservice architecture, continuous delivery, and the use of containers to enable shorter development lifecycles. We also operate independently-deployable services that are critical to supporting verticals and reliability across operating environments. Our product and engineering leadership team has a long history of payments and payments technology experience, with domain expertise across our verticals.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technology stack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128905</wp:posOffset>
            </wp:positionV>
            <wp:extent cx="4452620" cy="3074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52620" cy="307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Payments-as-a-Service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next-gen payments platform includes the infrastructure required to support more than just simple money flows:</w:t>
      </w:r>
    </w:p>
    <w:p>
      <w:pPr>
        <w:spacing w:after="0" w:line="184" w:lineRule="exact"/>
        <w:rPr>
          <w:sz w:val="20"/>
          <w:szCs w:val="20"/>
          <w:color w:val="auto"/>
        </w:rPr>
      </w:pPr>
    </w:p>
    <w:p>
      <w:pPr>
        <w:ind w:left="900" w:hanging="263"/>
        <w:spacing w:after="0"/>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Payment services</w:t>
      </w:r>
      <w:r>
        <w:rPr>
          <w:rFonts w:ascii="Arial" w:cs="Arial" w:eastAsia="Arial" w:hAnsi="Arial"/>
          <w:sz w:val="18"/>
          <w:szCs w:val="18"/>
          <w:color w:val="auto"/>
        </w:rPr>
        <w:t>.  Our technology to capture the payment from our clients’ customers.</w:t>
      </w:r>
    </w:p>
    <w:p>
      <w:pPr>
        <w:spacing w:after="0" w:line="183" w:lineRule="exact"/>
        <w:rPr>
          <w:rFonts w:ascii="Times New Roman" w:cs="Times New Roman" w:eastAsia="Times New Roman" w:hAnsi="Times New Roman"/>
          <w:sz w:val="18"/>
          <w:szCs w:val="18"/>
          <w:color w:val="auto"/>
        </w:rPr>
      </w:pPr>
    </w:p>
    <w:p>
      <w:pPr>
        <w:ind w:left="900" w:right="280" w:hanging="263"/>
        <w:spacing w:after="0" w:line="270"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Enabling services</w:t>
      </w:r>
      <w:r>
        <w:rPr>
          <w:rFonts w:ascii="Arial" w:cs="Arial" w:eastAsia="Arial" w:hAnsi="Arial"/>
          <w:sz w:val="18"/>
          <w:szCs w:val="18"/>
          <w:color w:val="auto"/>
        </w:rPr>
        <w:t>. Our proprietary pricing engine, foreign currency exchange hedging infrastructure, and ML technology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fraud and AML risk.</w:t>
      </w:r>
    </w:p>
    <w:p>
      <w:pPr>
        <w:spacing w:after="0" w:line="113" w:lineRule="exact"/>
        <w:rPr>
          <w:rFonts w:ascii="Times New Roman" w:cs="Times New Roman" w:eastAsia="Times New Roman" w:hAnsi="Times New Roman"/>
          <w:sz w:val="18"/>
          <w:szCs w:val="18"/>
          <w:color w:val="auto"/>
        </w:rPr>
      </w:pPr>
    </w:p>
    <w:p>
      <w:pPr>
        <w:ind w:left="900" w:right="80" w:hanging="263"/>
        <w:spacing w:after="0" w:line="270"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Transaction processing services</w:t>
      </w:r>
      <w:r>
        <w:rPr>
          <w:rFonts w:ascii="Arial" w:cs="Arial" w:eastAsia="Arial" w:hAnsi="Arial"/>
          <w:sz w:val="18"/>
          <w:szCs w:val="18"/>
          <w:color w:val="auto"/>
        </w:rPr>
        <w:t>. Our routing capabilities enabled by our automated technology to deliver on-time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appropriate destination.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Software-as-a-Service</w:t>
      </w:r>
    </w:p>
    <w:p>
      <w:pPr>
        <w:spacing w:after="0" w:line="16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Our vertical-specific software leverages our payments platform to provide industry specific solutions and deliver “last mile” connectivity to our clients’ operating systems and their customers. Our applications address complex billing and domestic and cross-border payment processes, while delivering a near seamless payment experience. Additionally, our personalization engine, delivered as a software solution and leverages our AI and ML and deep analytics systems.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Application Programming Interface (API)</w:t>
      </w:r>
    </w:p>
    <w:p>
      <w:pPr>
        <w:spacing w:after="0" w:line="182"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We recently launched a direct public API that sits on top of our payments platform. For organizations of all sizes, from smaller businesses to larger enterprises who want to control the customer experience, we can expose our API for easy integration, significantly reducing the time to realize advantages from the use of our solution. This public API capability significantly enhances our ability to scale and to execute on our growth strategies.</w:t>
      </w:r>
    </w:p>
    <w:p>
      <w:pPr>
        <w:spacing w:after="0" w:line="13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technology is designed for speed, resilience and reliability. We believe we demonstrated our ability to scale when we entered the broader B2B market and were able to leverage engineering solutions and APIs in our other verticals, including a native module integrated into NetSuite. Our technology enables us to process transactions in real-time, regardless of origin, destination or amount. For example, in education, our deep, customized integrations within our clients’ systems can lead to the difference between on-time enrollment or missed registrations—a difference that cannot be delivered through batch processes that are not posted instantaneously. We leverage Amazon Web Services (AWS) for</w:t>
      </w:r>
    </w:p>
    <w:p>
      <w:pPr>
        <w:spacing w:after="0" w:line="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520"/>
        <w:spacing w:after="0" w:line="445" w:lineRule="auto"/>
        <w:rPr>
          <w:sz w:val="20"/>
          <w:szCs w:val="20"/>
          <w:color w:val="auto"/>
        </w:rPr>
      </w:pPr>
      <w:r>
        <w:rPr>
          <w:rFonts w:ascii="Arial" w:cs="Arial" w:eastAsia="Arial" w:hAnsi="Arial"/>
          <w:sz w:val="18"/>
          <w:szCs w:val="18"/>
          <w:color w:val="auto"/>
        </w:rPr>
        <w:t xml:space="preserve">our cloud redundancy, and tools such as Site24x7, Pingdom, Cloudflare, and PagerDuty for an uninterrupted experience for our clients. </w:t>
      </w:r>
      <w:r>
        <w:rPr>
          <w:rFonts w:ascii="Arial" w:cs="Arial" w:eastAsia="Arial" w:hAnsi="Arial"/>
          <w:sz w:val="18"/>
          <w:szCs w:val="18"/>
          <w:b w:val="1"/>
          <w:bCs w:val="1"/>
          <w:color w:val="auto"/>
        </w:rPr>
        <w:t>Our Compliance and Risk Management Foundation</w:t>
      </w:r>
    </w:p>
    <w:p>
      <w:pPr>
        <w:spacing w:after="0" w:line="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have a dedicated compliance and risk management function. We have implemented the practices to help us protect our business and assure our clients and payment partners that our processes are compliant and meet or exceed their exacting standards, including advanced and agile practices for risk governance and a monitoring program that leverages key data inputs and software. We have robust AML, suspicious activity reports (SARs) and client KYC procedures. We also devote considerable resources to our data and cyber security. In addition, we possess key certifications across the verticals we serve, which we believe is an important aspect of why our clients choose to work with us. These audit-tested certifications and risk program features, which in many cases apply with specificity to the verticals we serve, include: third party certifications for Service Organization Control 2 (both SOC 1, Type II and SOC 2, Type II), Payment Card Industry Data Security Standard (PCI DSS), and Americans with Disabilities Act (ADA) compliance, as well as systems and processes designed to ensure compliance with the General Data Protection Regulation (GDPR) in Europe, the Data Security Law and Personal Information Protection Law in China, the California Consumer Protection Act (CCPA), the Personal Information Protection and Electronic Documents Act in Canada, Family Educational Rights and Privacy Act (FERPA), and Health Insurance Portability and Accountability Act (HIPAA), among others.</w:t>
      </w:r>
    </w:p>
    <w:p>
      <w:pPr>
        <w:spacing w:after="0" w:line="14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Our experienced team, coupled with our advanced technology and software tools, helps us navigate the challenges of global payments in a compliant manner:</w:t>
      </w:r>
    </w:p>
    <w:p>
      <w:pPr>
        <w:spacing w:after="0" w:line="126" w:lineRule="exact"/>
        <w:rPr>
          <w:sz w:val="20"/>
          <w:szCs w:val="20"/>
          <w:color w:val="auto"/>
        </w:rPr>
      </w:pPr>
    </w:p>
    <w:p>
      <w:pPr>
        <w:ind w:left="900" w:right="20" w:hanging="263"/>
        <w:spacing w:after="0" w:line="270" w:lineRule="auto"/>
        <w:tabs>
          <w:tab w:leader="none" w:pos="9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Local and global regulatory regimes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we are able to react nimbly to global and local regulatory changes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w:t>
      </w:r>
    </w:p>
    <w:p>
      <w:pPr>
        <w:spacing w:after="0" w:line="113" w:lineRule="exact"/>
        <w:rPr>
          <w:rFonts w:ascii="Times New Roman" w:cs="Times New Roman" w:eastAsia="Times New Roman" w:hAnsi="Times New Roman"/>
          <w:sz w:val="18"/>
          <w:szCs w:val="18"/>
          <w:color w:val="auto"/>
        </w:rPr>
      </w:pPr>
    </w:p>
    <w:p>
      <w:pPr>
        <w:ind w:left="900" w:right="220"/>
        <w:spacing w:after="0" w:line="246" w:lineRule="auto"/>
        <w:rPr>
          <w:rFonts w:ascii="Times New Roman" w:cs="Times New Roman" w:eastAsia="Times New Roman" w:hAnsi="Times New Roman"/>
          <w:sz w:val="18"/>
          <w:szCs w:val="18"/>
          <w:color w:val="auto"/>
        </w:rPr>
      </w:pPr>
      <w:r>
        <w:rPr>
          <w:rFonts w:ascii="Arial" w:cs="Arial" w:eastAsia="Arial" w:hAnsi="Arial"/>
          <w:sz w:val="18"/>
          <w:szCs w:val="18"/>
          <w:color w:val="auto"/>
        </w:rPr>
        <w:t>Locally, we often work with licensed and regulated payment service providers (PSPs) to bring more familiar solutions to our clients’ customers and to leverage their regulatory insight. This insight can be a valuable tool to deliver differentiated services to our clients to help them stay in front of laws that may impact their business. For example, in India, we addressed new tax withholding requirements for our clients’ customers and deployed a solution to help with their education-related payments.</w:t>
      </w:r>
    </w:p>
    <w:p>
      <w:pPr>
        <w:spacing w:after="0" w:line="135" w:lineRule="exact"/>
        <w:rPr>
          <w:rFonts w:ascii="Times New Roman" w:cs="Times New Roman" w:eastAsia="Times New Roman" w:hAnsi="Times New Roman"/>
          <w:sz w:val="18"/>
          <w:szCs w:val="18"/>
          <w:color w:val="auto"/>
        </w:rPr>
      </w:pPr>
    </w:p>
    <w:p>
      <w:pPr>
        <w:ind w:left="900" w:right="260" w:hanging="263"/>
        <w:spacing w:after="0" w:line="252" w:lineRule="auto"/>
        <w:tabs>
          <w:tab w:leader="none" w:pos="9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Currency controls and exemptions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robust controls to comply with the requirements of handling cross-border payments. For example, in certain jurisdictions where it is required, we are able to help track and prove purpose-driven payments through digital document collection and verification integrated with our clients’ systems.</w:t>
      </w:r>
    </w:p>
    <w:p>
      <w:pPr>
        <w:spacing w:after="0" w:line="142" w:lineRule="exact"/>
        <w:rPr>
          <w:rFonts w:ascii="Times New Roman" w:cs="Times New Roman" w:eastAsia="Times New Roman" w:hAnsi="Times New Roman"/>
          <w:sz w:val="18"/>
          <w:szCs w:val="18"/>
          <w:color w:val="auto"/>
        </w:rPr>
      </w:pPr>
    </w:p>
    <w:p>
      <w:pPr>
        <w:ind w:left="900" w:right="240" w:hanging="263"/>
        <w:spacing w:after="0" w:line="243" w:lineRule="auto"/>
        <w:tabs>
          <w:tab w:leader="none" w:pos="9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Transaction-level risks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payments platform subjects payments to a series of controls, to mitigate the risk of facilitating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fraud, money laundering, or transactions subject to sanctions. Payment information, historical activity and user behavior are utilized to identify potentially fraudulent transactions. All payments are monitored for suspicious behavior consistent with money laundering or terrorist financing, and all alerted activity is investigated by our internal team of experienced analysts. We also screen sender and receiver information, along with geolocation data, against relevant international watch lists.</w:t>
      </w:r>
    </w:p>
    <w:p>
      <w:pPr>
        <w:spacing w:after="0" w:line="137" w:lineRule="exact"/>
        <w:rPr>
          <w:rFonts w:ascii="Times New Roman" w:cs="Times New Roman" w:eastAsia="Times New Roman" w:hAnsi="Times New Roman"/>
          <w:sz w:val="18"/>
          <w:szCs w:val="18"/>
          <w:color w:val="auto"/>
        </w:rPr>
      </w:pPr>
    </w:p>
    <w:p>
      <w:pPr>
        <w:ind w:left="900" w:right="60" w:hanging="263"/>
        <w:spacing w:after="0" w:line="241" w:lineRule="auto"/>
        <w:tabs>
          <w:tab w:leader="none" w:pos="9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Dedicated, experienced and globally dispersed risk, information/physical security and internal audit function</w:t>
      </w:r>
      <w:r>
        <w:rPr>
          <w:rFonts w:ascii="Arial" w:cs="Arial" w:eastAsia="Arial" w:hAnsi="Arial"/>
          <w:sz w:val="18"/>
          <w:szCs w:val="18"/>
          <w:color w:val="auto"/>
        </w:rPr>
        <w:t>.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consistently maintained a dedicated risk and security team – led by our Chief Information Security Officer – that is global in nature and devises and supports Flywire’s strategy of risk reduction and business process and information protection excellence by assuring confidentiality, integrity and availability of electronic information. We have also developed an internal audit program utilizing internal and external auditors focused on policies and processes, testing our controls, and reporting on a regular basis to our Audit Committee. Among the focal points are the risk and security program areas:</w:t>
      </w:r>
    </w:p>
    <w:p>
      <w:pPr>
        <w:spacing w:after="0" w:line="74" w:lineRule="exact"/>
        <w:rPr>
          <w:sz w:val="20"/>
          <w:szCs w:val="20"/>
          <w:color w:val="auto"/>
        </w:rPr>
      </w:pPr>
    </w:p>
    <w:p>
      <w:pPr>
        <w:ind w:left="1540" w:hanging="514"/>
        <w:spacing w:after="0"/>
        <w:tabs>
          <w:tab w:leader="none" w:pos="15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risk mitigation through outreach, awareness, assessment, policy development and adoption of best practices;</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building and maintaining secure access protocols and network architecture;</w:t>
      </w:r>
    </w:p>
    <w:p>
      <w:pPr>
        <w:spacing w:after="0" w:line="115" w:lineRule="exact"/>
        <w:rPr>
          <w:rFonts w:ascii="Times New Roman" w:cs="Times New Roman" w:eastAsia="Times New Roman" w:hAnsi="Times New Roman"/>
          <w:sz w:val="18"/>
          <w:szCs w:val="18"/>
          <w:color w:val="auto"/>
        </w:rPr>
      </w:pPr>
    </w:p>
    <w:p>
      <w:pPr>
        <w:ind w:left="1540" w:right="480" w:hanging="514"/>
        <w:spacing w:after="0" w:line="270" w:lineRule="auto"/>
        <w:tabs>
          <w:tab w:leader="none" w:pos="15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monitoring of networks and systems to protect against, detect and eradicate malicious activity and ensure regulatory compliance;</w:t>
      </w:r>
    </w:p>
    <w:p>
      <w:pPr>
        <w:spacing w:after="0" w:line="4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managing continuity of operations planning for critical information systems;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540" w:hanging="514"/>
        <w:spacing w:after="0"/>
        <w:tabs>
          <w:tab w:leader="none" w:pos="15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responding to security breaches to contain incidents and improve protocols;</w:t>
      </w:r>
    </w:p>
    <w:p>
      <w:pPr>
        <w:spacing w:after="0" w:line="115" w:lineRule="exact"/>
        <w:rPr>
          <w:rFonts w:ascii="Times New Roman" w:cs="Times New Roman" w:eastAsia="Times New Roman" w:hAnsi="Times New Roman"/>
          <w:sz w:val="18"/>
          <w:szCs w:val="18"/>
          <w:color w:val="auto"/>
        </w:rPr>
      </w:pPr>
    </w:p>
    <w:p>
      <w:pPr>
        <w:ind w:left="1540" w:right="120" w:hanging="514"/>
        <w:spacing w:after="0" w:line="270" w:lineRule="auto"/>
        <w:tabs>
          <w:tab w:leader="none" w:pos="15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“horizon scanning” and managing and enforcing compliance with global regulations (Sarbanes-Oxley, FERPA, HIPAA, GDPR, ADA and others);</w:t>
      </w:r>
    </w:p>
    <w:p>
      <w:pPr>
        <w:spacing w:after="0" w:line="4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managing physical security, health and safety (office, business travel and FlyMates);</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enforcing our vendor due diligence program; and</w:t>
      </w:r>
    </w:p>
    <w:p>
      <w:pPr>
        <w:spacing w:after="0" w:line="115" w:lineRule="exact"/>
        <w:rPr>
          <w:rFonts w:ascii="Times New Roman" w:cs="Times New Roman" w:eastAsia="Times New Roman" w:hAnsi="Times New Roman"/>
          <w:sz w:val="18"/>
          <w:szCs w:val="18"/>
          <w:color w:val="auto"/>
        </w:rPr>
      </w:pPr>
    </w:p>
    <w:p>
      <w:pPr>
        <w:ind w:left="1540" w:right="260" w:hanging="514"/>
        <w:spacing w:after="0" w:line="270" w:lineRule="auto"/>
        <w:tabs>
          <w:tab w:leader="none" w:pos="15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responding to external audits and law enforcement enquiries, conducting internal investigations, and maintaining audit-tested risk and security certifications.</w:t>
      </w:r>
    </w:p>
    <w:p>
      <w:pPr>
        <w:spacing w:after="0" w:line="113" w:lineRule="exact"/>
        <w:rPr>
          <w:sz w:val="20"/>
          <w:szCs w:val="20"/>
          <w:color w:val="auto"/>
        </w:rPr>
      </w:pPr>
    </w:p>
    <w:p>
      <w:pPr>
        <w:ind w:right="360" w:firstLine="509"/>
        <w:spacing w:after="0" w:line="246" w:lineRule="auto"/>
        <w:rPr>
          <w:sz w:val="20"/>
          <w:szCs w:val="20"/>
          <w:color w:val="auto"/>
        </w:rPr>
      </w:pPr>
      <w:r>
        <w:rPr>
          <w:rFonts w:ascii="Arial" w:cs="Arial" w:eastAsia="Arial" w:hAnsi="Arial"/>
          <w:sz w:val="18"/>
          <w:szCs w:val="18"/>
          <w:color w:val="auto"/>
        </w:rPr>
        <w:t>To support these areas of focus, our risk and security team has developed a foundation resting on an appropriate governance and policy structure, robust and scalable security architecture and solutions, and an expansive and continuous cyber security and incident response framework. In addition, we have FlyMates in the compliance and risk management function located around the world where we have operations to address the needs of the business in real-time.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1" w:lineRule="exact"/>
        <w:rPr>
          <w:sz w:val="20"/>
          <w:szCs w:val="20"/>
          <w:color w:val="auto"/>
        </w:rPr>
      </w:pPr>
    </w:p>
    <w:p>
      <w:pPr>
        <w:ind w:right="320" w:firstLine="509"/>
        <w:spacing w:after="0" w:line="252" w:lineRule="auto"/>
        <w:rPr>
          <w:sz w:val="20"/>
          <w:szCs w:val="20"/>
          <w:color w:val="auto"/>
        </w:rPr>
      </w:pPr>
      <w:r>
        <w:rPr>
          <w:rFonts w:ascii="Arial" w:cs="Arial" w:eastAsia="Arial" w:hAnsi="Arial"/>
          <w:sz w:val="18"/>
          <w:szCs w:val="18"/>
          <w:color w:val="auto"/>
        </w:rPr>
        <w:t>Our primary competition consists of legacy payment methods such as traditional bank wires provided by local, regional and global banks and money transfers from remittance companies. Other competitors include integrated payment providers focused on cross-border payments; B2B payments platforms; and vertical-specific software solutions offered by local niche players.</w:t>
      </w:r>
    </w:p>
    <w:p>
      <w:pPr>
        <w:spacing w:after="0" w:line="130"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We believe many legacy payment providers are hindered by limitations such as antiquated technology systems, insufficient solution and service offerings, poor user experiences, and unsatisfactory client and customer support. Our modern technology stack, combined with our innovative and flexible suite of solutions, addresses many of the issues that clients face today, including:</w:t>
      </w:r>
    </w:p>
    <w:p>
      <w:pPr>
        <w:spacing w:after="0" w:line="144" w:lineRule="exact"/>
        <w:rPr>
          <w:sz w:val="20"/>
          <w:szCs w:val="20"/>
          <w:color w:val="auto"/>
        </w:rPr>
      </w:pPr>
    </w:p>
    <w:p>
      <w:pPr>
        <w:ind w:left="900" w:hanging="26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friction in client and customer experiences;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lack of a scaled global network;</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limited software and payments offerings;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adapt to new technology; and</w:t>
      </w:r>
    </w:p>
    <w:p>
      <w:pPr>
        <w:spacing w:after="0" w:line="183" w:lineRule="exact"/>
        <w:rPr>
          <w:rFonts w:ascii="Times New Roman" w:cs="Times New Roman" w:eastAsia="Times New Roman" w:hAnsi="Times New Roman"/>
          <w:sz w:val="18"/>
          <w:szCs w:val="18"/>
          <w:color w:val="auto"/>
        </w:rPr>
      </w:pPr>
    </w:p>
    <w:p>
      <w:pPr>
        <w:ind w:left="520" w:right="5320" w:firstLine="117"/>
        <w:spacing w:after="0" w:line="479" w:lineRule="auto"/>
        <w:tabs>
          <w:tab w:leader="none" w:pos="895"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unsophisticated fraud prevention and risk management tools. We believe that we compete favorably on the basis of these factors.</w:t>
      </w:r>
    </w:p>
    <w:p>
      <w:pPr>
        <w:spacing w:after="0"/>
        <w:rPr>
          <w:sz w:val="20"/>
          <w:szCs w:val="20"/>
          <w:color w:val="auto"/>
        </w:rPr>
      </w:pPr>
      <w:r>
        <w:rPr>
          <w:rFonts w:ascii="Arial" w:cs="Arial" w:eastAsia="Arial" w:hAnsi="Arial"/>
          <w:sz w:val="18"/>
          <w:szCs w:val="18"/>
          <w:b w:val="1"/>
          <w:bCs w:val="1"/>
          <w:color w:val="auto"/>
        </w:rPr>
        <w:t>Intellectual Property</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protect our intellectual property through a combination of trademark, copyright, and trade secret laws, as well as confidentiality procedures and contractual restrictions, to establish and protect our proprietary rights both domestically and abroad. These laws, procedures and restrictions provide only limited protection. We endeavor to enter into agreements with our FlyMates, consultants and contractors and with parties with whom we do business in order to acquire intellectual property rights developed as a result of service to Flywire, as well as to limit access to and disclosure of our proprietary information.</w:t>
      </w:r>
    </w:p>
    <w:p>
      <w:pPr>
        <w:spacing w:after="0" w:line="139"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We actively pursue registration of our trademarks, logos, service marks, trade dress, and domain names in the United States and in other jurisdictions. As of December 31, 2022, we had 106 registered trademarks and trademark applications, and were the registered holder of a variety of U.S. and international domain names.</w:t>
      </w:r>
    </w:p>
    <w:p>
      <w:pPr>
        <w:spacing w:after="0" w:line="144" w:lineRule="exact"/>
        <w:rPr>
          <w:sz w:val="20"/>
          <w:szCs w:val="20"/>
          <w:color w:val="auto"/>
        </w:rPr>
      </w:pPr>
    </w:p>
    <w:p>
      <w:pPr>
        <w:ind w:right="140" w:firstLine="509"/>
        <w:spacing w:after="0" w:line="301" w:lineRule="auto"/>
        <w:rPr>
          <w:sz w:val="20"/>
          <w:szCs w:val="20"/>
          <w:color w:val="auto"/>
        </w:rPr>
      </w:pPr>
      <w:r>
        <w:rPr>
          <w:rFonts w:ascii="Arial" w:cs="Arial" w:eastAsia="Arial" w:hAnsi="Arial"/>
          <w:sz w:val="17"/>
          <w:szCs w:val="17"/>
          <w:color w:val="auto"/>
        </w:rPr>
        <w:t>From time to time, we also incorporate certain intellectual property licensed from third parties. Even if any such third-party technology was not available to us on commercially reasonable terms, we believe that alternative technologies would be available as needed.</w:t>
      </w:r>
    </w:p>
    <w:p>
      <w:pPr>
        <w:spacing w:after="0" w:line="90"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Factors–If we fail to adequately protect our proprietary rights, our competitive position could be impaired and we may lose valuable assets, generate less revenue and incur costly litigation to protect our rights.”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Regulation and Industry Standards</w:t>
      </w:r>
    </w:p>
    <w:p>
      <w:pPr>
        <w:spacing w:after="0" w:line="184"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Various aspects of our business and service areas operate in a quickly evolving regulatory environment, and are subject to U.S. federal, state, and local regulation, as well as regulation outside the United States. Certain of our services also are subject to rules promulgated by various card networks and other authorities, as more fully described below. These descriptions are not exhaustive, and these laws, regulations and rules frequently change, are subject to differing interpretations or enforcement, and are increasing in number.</w:t>
      </w:r>
    </w:p>
    <w:p>
      <w:pPr>
        <w:spacing w:after="0" w:line="136"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We are registered as a Money Service Business (MSB) with the U.S. Department of the Treasury’s Financial Crimes Enforcement Network (FinCEN) and are subject to the Bank Secrecy Act of 1970, as amended by the USA PATRIOT Act of 2001, and its implementing regulations, collectively, the BSA, and certain obligations contained therein, including, among other things, certain record-keeping and reporting requirements, and examinations by FinCEN.</w:t>
      </w:r>
    </w:p>
    <w:p>
      <w:pPr>
        <w:spacing w:after="0" w:line="136"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The BSA is the primary compendium of U.S. laws and regulations regarding AML and countering the financing of terrorism (CFT). As required under the BSA, we have implemented and continue to expand an AML and CFT program designed to prevent our payments platform from being used to facilitate money laundering, terrorist financing, and other financial crimes. Our program is also designed to prevent our payments platform and global payment network from being used to facilitate business with certain individuals, entities, countries, and territories that are subject to economic or trade sanctions that the U.S. Department of the Treasury’s Office of Foreign Assets Controls (OFAC) and various foreign authorities administer or enforce. Our AML and CFT compliance programs include policies, procedures, and controls that are designed to address these legal and regulatory requirements and to assist in detecting and preventing the use of our payments platform to engage in money laundering or terrorist financing activity. Program elements include, without limitation, the designation of a BSA/AML Officer to oversee the programs, KYC procedures, processes to detect and report suspicious activity, sanctions screening, employee training, annual third-party independent testing, and risk-based procedures for conducting ongoing customer due diligence.</w:t>
      </w:r>
    </w:p>
    <w:p>
      <w:pPr>
        <w:spacing w:after="0" w:line="143"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If our compliance programs are found to be deficient, we could lose key relationships with banks, merchant acquirers, and other payment partners on which we rely to carry out our business. Fines, penalties or sanctions for the violation of AML and CFT laws and regulations may be severe and our efforts to remediate issues may be costly, may result in diversion of management and staff time and effort, and may still not guarantee compliance.</w:t>
      </w:r>
    </w:p>
    <w:p>
      <w:pPr>
        <w:spacing w:after="0" w:line="13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Most states in the United States require a license to offer money transmission services. We are in the process of procuring money transmitter licenses (or the statutory equivalent) in those U.S. jurisdictions that require them in order to be able to offer additional business lines in the future. We have procured and maintain money transmitter licenses in 41 U.S. jurisdictions, and actively work to comply with new license requirements as they arise. We have taken the position that Flywire’s business to date is exempt from licensure under various state money transmission laws, either expressly as a payment processor or agent of the payee, or pursuant to common law as an agent of the payee. We actively work to evaluate, and if applicable, comply with new license or regulatory requirements as they arise. Although we believe we have defensible arguments in support of our positions under the state money transmission statutes, we have not expressly obtained confirmation of such positions from all of the state banking departments who administer the state money transmission statutes. It is possible that certain state banking departments may determine that our activities are not exempt from licensure. In the past, certain competitors have been found to violate laws and regulations related to money transmission, and they have been subject to fines and other penalties by regulatory authorities. Regulators and third-party auditors have also identified gaps in how similar businesses have implemented AML and CFT programs. The adoption of new money transmitter or MSB statutes, or changes in regulators’ interpretation of existing state and federal money transmitter or MSB statutes or regulations, could subject Flywire to new registration, licensing or other requirements. Any determination that Flywire is in fact required to be licensed under such state money transmission or MSB statutes may require substantial expenditures of time and money and could lead to liability in the nature of penalties or fines, as well as cause us to be required to cease operations in some of the U.S. jurisdictions we serve.</w:t>
      </w:r>
    </w:p>
    <w:p>
      <w:pPr>
        <w:spacing w:after="0" w:line="141"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With respect to the money transmission licenses we maintain in U.S. jurisdictions, we are subjected to, among other things, record-keeping requirements, reporting requirements, bonding requirements, limitations on the investment of customer funds, and examination by state regulatory agencies. Any actual or perceived failure to comply with legal and regulatory requirements related to our money transmitter licenses may result in, among other things, revocation of required licenses, regulatory or governmental investigations, administrative enforcement actions, civil and criminal liability, and constraints on our ability to continue to operate.</w:t>
      </w:r>
    </w:p>
    <w:p>
      <w:pPr>
        <w:spacing w:after="0" w:line="152" w:lineRule="exact"/>
        <w:rPr>
          <w:sz w:val="20"/>
          <w:szCs w:val="20"/>
          <w:color w:val="auto"/>
        </w:rPr>
      </w:pPr>
    </w:p>
    <w:p>
      <w:pPr>
        <w:ind w:right="280" w:firstLine="509"/>
        <w:spacing w:after="0" w:line="252" w:lineRule="auto"/>
        <w:rPr>
          <w:sz w:val="20"/>
          <w:szCs w:val="20"/>
          <w:color w:val="auto"/>
        </w:rPr>
      </w:pPr>
      <w:r>
        <w:rPr>
          <w:rFonts w:ascii="Arial" w:cs="Arial" w:eastAsia="Arial" w:hAnsi="Arial"/>
          <w:sz w:val="18"/>
          <w:szCs w:val="18"/>
          <w:color w:val="auto"/>
        </w:rPr>
        <w:t>Similar regulatory requirements exist in other markets where we do business. For example, local Flywire entities are licensed as Authorised Payments Institutions in each of the United Kingdom (U.K.) (regulated by the Financial Conduct Authority (FCA)) and Lithuania (regulated by the Bank of Lithuania (BOL)), and Australia (regulated by the Australian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Securities &amp; Investments Commission (ASIC)). In addition, we have secured in-principle approval for a Major Payment Institution license from the Monetary Authority of Singapore (MAS). When serving clients in these regulated markets, we are generally required to implement governance structures, AML and CFT programs and KYC standards that are different from those in the U.S., and which incorporate local or European Economic Area (EEA) requirements. The FCA in particular has been an active regulator, and as a result of Brexit, we were able to both obtain a license from the BOL and continue to serve our EEA clients through the “passporting” principle without any interruption of service. In other non-U.S. markets, we are able to serve clients in locations that either do not require Flywire to obtain a license or pursuant to a specific exemption issued by the applicable regulator.</w:t>
      </w:r>
    </w:p>
    <w:p>
      <w:pPr>
        <w:spacing w:after="0" w:line="15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several jurisdictions where our clients’ customers reside impose currency export controls (e.g., China and India), taxation at source or other documentation requirements before money can be converted into destination currency and sent abroad. Generally, our local payment partners in these locations will assist in ensuring the customers meet these requirements, but it is often the case that we need to ensure that the Flywire payment experience accommodates the unique and ever-changing regulatory environments where our clients’ customers are located.</w:t>
      </w:r>
    </w:p>
    <w:p>
      <w:pPr>
        <w:spacing w:after="0" w:line="13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There are also a number of U.S. federal and state consumer finance and consumer protection laws that may impact Flywire’s business. States have a myriad of statutes and case law precedent addressing when credit card surcharges or convenience fees may be imposed by third-party service providers and under what circumstances they are prohibited. In addition, Dodd-Frank created the Consumer Financial Protection Bureau (CFPB), which has assumed responsibility for implementing and enforcing most federal consumer financial protection laws and a prohibition on unfair, deceptive and abusive acts and practices. Several of these laws apply to some of Flywire’s clients, and in some cases, Flywire is contractually obligated to ensure its services do not violate these laws, even though Flywire is not directly subject to them. For example, the Truth in Lending Act of 1968 (TILA) is a U.S. federal law that applies to creditors and is designed to promote the informed use of consumer credit. Although Flywire is not in the business of extending credit or charging interest on the payments it helps its clients collect, when Flywire clients extend credit subject to TILA, TILA may require our clients to provide disclosures to their customers about consumer credit terms and costs in a format specified by the CFPB. Our payment installment plan functionality utilized by our clients in healthcare and education often requires that our payment experience accommodate these disclosure obligations that attach to our clients. Our business may also be subject to the Fair Credit Reporting Act (FCRA) which regulates the use and reporting of consumer credit information and imposes disclosure requirements on entities that take adverse action based on information obtained from credit reporting agencies. We could be liable if our practices governed under the FCRA are not in compliance with the FCRA or its regulations.</w:t>
      </w:r>
    </w:p>
    <w:p>
      <w:pPr>
        <w:spacing w:after="0" w:line="14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Electronic Fund Transfer Act (EFTA) also imposes substantive disclosure and error resolution obligations on entities that facilitate electronic fund transfers and international remittance transfers. We could be liable for violating EFTA if we fail to comply with these requirements when they apply to us. We do not believe other laws that are implemented by the CFPB, including the Equal Credit Opportunity Act and the Fair Debt Collection Practices Act apply to us. If these determinations are wrong, interpretations of these statutes change, or we expand or change our solutions, we may be subject to the restrictions imposed by these laws. Should our business or solutions change in a way that did subject us to the CFPB’s jurisdiction, we would be subject to increased scrutiny of our business and consumer compliance practices.</w:t>
      </w:r>
    </w:p>
    <w:p>
      <w:pPr>
        <w:spacing w:after="0" w:line="156"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Separately, the Telephone Consumer Protection Act of 1991 (TCPA) and similar state and federal laws contain extensive rules relating to communication by telephone, such as detailed requirements relating to granting and revocation of consent and “opt-in” or “opt-out” thresholds for receipt of communications, and these requirements are often changing and the subject of high-profile litigation. Our services include features regulated by the TCPA and similar laws (e.g., calls made from automated dialing systems, texts confirming receipt of payment, status updates or due dates, appointment reminders) and we can be liable for penalties, or subject to litigation or contractual indemnification obligations, if we do not comply with them.</w:t>
      </w:r>
    </w:p>
    <w:p>
      <w:pPr>
        <w:spacing w:after="0" w:line="142"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Flywire is also required to navigate card network rules and other requirements of self-regulatory organizations, such as ACH payment networks. We rely on our varied network of merchant acquirer relationships to access the payment card networks such as Visa and Mastercard, which enable our acceptance of credit cards and debit cards. We pay fees to our merchant acquirers for such services.</w:t>
      </w:r>
    </w:p>
    <w:p>
      <w:pPr>
        <w:spacing w:after="0" w:line="130"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Visa, Mastercard and other card networks set complex and evolving rules and standards with which we must comply—often referred to as “card network rules”. We also have relationships with American Express, Japan Credit Bureau (JCB) and China Unionpay, which impose similar obligations on us. The payment networks and their member financial institutions routinely update, generally expand and modify requirements applicable to merchant acquirers and their customers, including rules regulating data integrity, third-party relationships, merchant chargeback standards and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compliance with the PCI DSS. PCI DSS is a set of requirements designed to ensure that all companies that process, store, or transmit payment card information maintain a secure environment to protect cardholder data. Under certain circumstances, we are required to report incidents to the card networks and other authorities within a specified time frame. Any changes in card network rules or standards that increase the cost of doing business or limit our ability to provide processing services to our merchants will adversely affect the operation of our business.</w:t>
      </w:r>
    </w:p>
    <w:p>
      <w:pPr>
        <w:spacing w:after="0" w:line="152" w:lineRule="exact"/>
        <w:rPr>
          <w:sz w:val="20"/>
          <w:szCs w:val="20"/>
          <w:color w:val="auto"/>
        </w:rPr>
      </w:pPr>
    </w:p>
    <w:p>
      <w:pPr>
        <w:ind w:right="420" w:firstLine="509"/>
        <w:spacing w:after="0" w:line="243" w:lineRule="auto"/>
        <w:rPr>
          <w:sz w:val="20"/>
          <w:szCs w:val="20"/>
          <w:color w:val="auto"/>
        </w:rPr>
      </w:pPr>
      <w:r>
        <w:rPr>
          <w:rFonts w:ascii="Arial" w:cs="Arial" w:eastAsia="Arial" w:hAnsi="Arial"/>
          <w:sz w:val="18"/>
          <w:szCs w:val="18"/>
          <w:color w:val="auto"/>
        </w:rPr>
        <w:t>If we or our merchant acquirers fail to comply with the card network rules or other applicable rules and requirements of the card payment networks, Visa or Mastercard or our other card providers could 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which allow us to process transactions on their networks, which would make it impossible for us to conduct our business on its current scale.</w:t>
      </w:r>
    </w:p>
    <w:p>
      <w:pPr>
        <w:spacing w:after="0" w:line="13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Under certain circumstances specified in the card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or other cybersecurity incident.</w:t>
      </w:r>
    </w:p>
    <w:p>
      <w:pPr>
        <w:spacing w:after="0" w:line="136" w:lineRule="exact"/>
        <w:rPr>
          <w:sz w:val="20"/>
          <w:szCs w:val="20"/>
          <w:color w:val="auto"/>
        </w:rPr>
      </w:pPr>
    </w:p>
    <w:p>
      <w:pPr>
        <w:jc w:val="both"/>
        <w:ind w:right="140" w:firstLine="509"/>
        <w:spacing w:after="0" w:line="246" w:lineRule="auto"/>
        <w:rPr>
          <w:sz w:val="20"/>
          <w:szCs w:val="20"/>
          <w:color w:val="auto"/>
        </w:rPr>
      </w:pPr>
      <w:r>
        <w:rPr>
          <w:rFonts w:ascii="Arial" w:cs="Arial" w:eastAsia="Arial" w:hAnsi="Arial"/>
          <w:sz w:val="18"/>
          <w:szCs w:val="18"/>
          <w:color w:val="auto"/>
        </w:rPr>
        <w:t>The termination of our registration with the payment networks, or any changes in payment network or issuer rules that limit our ability to provide card payment alternatives to our clients’ customers could have an adverse effect on our payment processing volumes, revenues and operating costs. If we are unable to comply with the requirements applicable to our settlement activities, the payment networks may no longer allow us to provide these services and we would lose a substantial portion of our revenues.</w:t>
      </w:r>
    </w:p>
    <w:p>
      <w:pPr>
        <w:spacing w:after="0" w:line="14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are also subject to the National Automated Clearing House Association (NACHA) operating rules.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particularly when we instruct our partner institutions to debit a third party’s account. These obligations include audit and oversight by the financial institutions and the imposition of mandatory corrective action, including termination, for serious violations. If an audit or self-assessment of PCI DSS or NACHA compliance identifies any deficiencies that we need to remediate, the remediation efforts may distract our management team and other staff and be expensive and time consuming.</w:t>
      </w:r>
    </w:p>
    <w:p>
      <w:pPr>
        <w:spacing w:after="0" w:line="14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Similarly, our ACH sponsor banks have the right to audit our compliance with NACHA’s rules and guidelines and are given wide discretion to approve certain aspects of our business practices. Like the payment networks, NACHA may update its operating rules and guidelines at any time, which could require us to take more costly compliance measures or to develop more complex monitoring systems. The NACHA rules permit transactions to be returned under certain circumstances. If too many of our transactions are returned, our ability to access the ACH system could be impaired by our partner financial institutions. Our partner financial institutions could similarly change their interpretation of NACHA requirements, which could require costly remediation efforts and could prevent us from continuing to provide services through such partner financial institutions until we remediate issues to their satisfaction.</w:t>
      </w:r>
    </w:p>
    <w:p>
      <w:pPr>
        <w:spacing w:after="0" w:line="142"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We collect and use a wide variety of information (including personal information) for various purposes in our business, including: (i) to help ensure the integrity of our services, (ii) to meet KYC, transaction monitoring, AML and CFT standards, and (iii) to provide features and functionality to our clients and their customers. This aspect of our business, including the collection, use, disclosure, and protection of personal information we acquire in connection with the use of our services, is subject to numerous laws and regulations in the United States and globally. Regulation and proposed regulation in this area has increased significantly in recent years and is expected to continue to do so.</w:t>
      </w:r>
    </w:p>
    <w:p>
      <w:pPr>
        <w:spacing w:after="0" w:line="13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addition to numerous privacy and data protection laws already in place, U.S. states are increasingly adopting laws modeled on the GDPR that impose comprehensive privacy and data protection obligations. For example, the CCPA, which became effective on January 1, 2020, gives California residents expanded rights to access and delete their personal information, opt out of certain personal information sharing and receive detailed information about how their personal information is used, and it imposes other requirements as well. The CCPA provides for civil penalties for violations, as well as a private right of action for data breaches. Colorado, Virginia and Utah have recently joined California in enacting privacy and data protection legislation that impose additional obligations on businesses related to the collection, storage and utilization of third party information, as well as the reporting of data breaches. All 50 states, Puerto Rico, and the U.S. Virgin Islands (similar to many of the other countries where we do business), have passed laws regulating the actions that a business must take if it experiences a data breach, such as prompt disclosure to affected individuals, consumer reporting agencies, or governmental agencies. In addition, we are subject to laws in the U.S. and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abroad restricting or placing conditions on our ability to collect and utilize certain specific types of information, such as Social Security and driver’s license numbers.</w:t>
      </w:r>
    </w:p>
    <w:p>
      <w:pPr>
        <w:spacing w:after="0" w:line="12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Many of the foreign jurisdictions where we or our customers do business, including the European Union (E.U.), have laws and regulations dealing with the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GDPR went into effect in 2018. The GDPR, which also is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Fines of up to 20 million Euros or up to 4% of the annual global revenue of a noncompliant corporate family, whichever is greater, could be imposed for violations of certain of the GDPR’s requirements, and private claims also are possible.</w:t>
      </w:r>
    </w:p>
    <w:p>
      <w:pPr>
        <w:spacing w:after="0" w:line="14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 xml:space="preserve">Recent legal developments have created compliance uncertainty regarding some transfers of personal information from the U.K. and EEA to locations where we or our customers operate or conduct business, including the United States and potentially Singapore.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the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customers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related enforcement actions or other legal developments in this area could subject us to negative financial consequences, such as fines, penalties, loss of customers, and the need to engage in costly restructuring of our business and IT operations and restructuring of our relationships with service providers and other partners.</w:t>
      </w:r>
    </w:p>
    <w:p>
      <w:pPr>
        <w:spacing w:after="0" w:line="139"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w:t>
      </w:r>
    </w:p>
    <w:p>
      <w:pPr>
        <w:spacing w:after="0" w:line="15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China passed its new Data Security Law (DSL) in June 2021 and its new Personal Information Protection Law (PIPL) in August 2021. Both new laws impact every business operating in or doing business with China, coupling extensive obligations with respect to the processing of all types of data, with potentially significant penalties for noncompliance. With the promulgation of the DSL and PIPL, China has tightened up regulation on collection, processing, sharing and cross-border transfer of personal data and important data such as financial data. The new data security regime has an extraterritorial effect and imposes additional compliance obligations with respect to processing (in and outside China) of personal data of Chinese individuals and other data which may be viewed sensitive or important. These regulations apply not only to our client’s payers who are Chinese nationals (such as students seeking to study abroad) but also China-based employees as well as third party business partners.</w:t>
      </w:r>
    </w:p>
    <w:p>
      <w:pPr>
        <w:spacing w:after="0" w:line="144"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As a reaction to data security concerns, the Australian parliament recently approved a bill to amend the country's privacy legislation, significantly increasing the maximum penalties for companies and data controllers who suffer large-scale data breaches to the greater of: (i) AU$50 million, (ii) three times the value of any benefit obtained through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will have new regulatory tools and flexibility that should, together with an ongoing focus on funding, see a more proactive regulator with capacity and capability to investigate and litigate more privacy incidents in Australia.</w:t>
      </w:r>
    </w:p>
    <w:p>
      <w:pPr>
        <w:spacing w:after="0" w:line="152"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Australian data security laws but cannot assure you that such steps will be effective, and we may face the risk of increased costs, liability and loss of business.</w:t>
      </w:r>
    </w:p>
    <w:p>
      <w:pPr>
        <w:spacing w:after="0" w:line="130"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There are also regulations that require that access to websites be safe and accessible for people with disabilities. The ADA contains certain standards (most commonly referred to as Section 508 Standards) that apply to federal government websites as well as to websites that may be provided by institutions that are recipients of federal funding. Many of our clients (principally higher education clients in the U.S.) receive support from U.S. federal agencies, and require that our payment experience be accessible and conform to the Section 508 Standards and the World Wide Web Consortium (W3C) Web Content Accessibility Guidelines 2.0 Level AA. Our payment experience is ADA-compliant, and we arrange for third-party audits to ensure that we continually conform to these standards. As we modify our user interface to improve or add features and functionality to our payment experience, we must continue to account for ADA compliance when required.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and Employees</w:t>
      </w:r>
    </w:p>
    <w:p>
      <w:pPr>
        <w:spacing w:after="0" w:line="184"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As of December 31, 2022, we had approximately 1,000 full-time FlyMates. We also engage part-time and temporary FlyMates, as well as consultants as needed to support our operations. As an organization, our culture is founded on our shared experiences, unique and diverse backgrounds, and belief in our mission to deliver on the most important and complex payments. Our leadership team defines our culture and strategy and collectively has decades of experience leading companies through rapid growth at scale.</w:t>
      </w:r>
    </w:p>
    <w:p>
      <w:pPr>
        <w:spacing w:after="0" w:line="136"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None of our FlyMates are represented by a labor union or covered by a collective bargaining agreement. We have not experienced any work stoppages and we consider our relations with our FlyMates to be good.</w:t>
      </w:r>
    </w:p>
    <w:p>
      <w:pPr>
        <w:spacing w:after="0" w:line="112" w:lineRule="exact"/>
        <w:rPr>
          <w:sz w:val="20"/>
          <w:szCs w:val="20"/>
          <w:color w:val="auto"/>
        </w:rPr>
      </w:pPr>
    </w:p>
    <w:p>
      <w:pPr>
        <w:ind w:right="240" w:firstLine="509"/>
        <w:spacing w:after="0" w:line="274"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FlyMates. The principal purposes of our equity incentive plans are to attract, retain and motivate selected FlyMates, consultants and directors through the granting of stock-based compensation awards and cash-based performance bonus awards.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Values</w:t>
      </w:r>
    </w:p>
    <w:p>
      <w:pPr>
        <w:spacing w:after="0" w:line="171"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At Flywire, we commit to encourage and reward behaviors that are consistent with our culture, which is founded on our shared experiences, unique and diverse backgrounds, and belief in our mission to deliver on the most important and complex payments. We seek to hold each other accountable when behaviors do not support the culture we aspire to. Our values include:</w:t>
      </w:r>
    </w:p>
    <w:p>
      <w:pPr>
        <w:spacing w:after="0" w:line="63" w:lineRule="exact"/>
        <w:rPr>
          <w:sz w:val="20"/>
          <w:szCs w:val="20"/>
          <w:color w:val="auto"/>
        </w:rPr>
      </w:pPr>
    </w:p>
    <w:p>
      <w:pPr>
        <w:jc w:val="both"/>
        <w:ind w:left="1020" w:right="180" w:hanging="504"/>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Collaboration. </w:t>
      </w:r>
      <w:r>
        <w:rPr>
          <w:rFonts w:ascii="Arial" w:cs="Arial" w:eastAsia="Arial" w:hAnsi="Arial"/>
          <w:sz w:val="18"/>
          <w:szCs w:val="18"/>
          <w:color w:val="auto"/>
        </w:rPr>
        <w:t>We believe in teamwork and that together we are greater than the sum of individual FlyMates, across</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location and position. We seek to understand and embrace everyone’s uniqueness, and leverage the power of our FlyMates and clients’ and their customers’ cultural differences and perspectives to create value.</w:t>
      </w:r>
    </w:p>
    <w:p>
      <w:pPr>
        <w:spacing w:after="0" w:line="61" w:lineRule="exact"/>
        <w:rPr>
          <w:rFonts w:ascii="Times New Roman" w:cs="Times New Roman" w:eastAsia="Times New Roman" w:hAnsi="Times New Roman"/>
          <w:sz w:val="18"/>
          <w:szCs w:val="18"/>
          <w:color w:val="auto"/>
        </w:rPr>
      </w:pPr>
    </w:p>
    <w:p>
      <w:pPr>
        <w:ind w:left="1020" w:right="120" w:hanging="504"/>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Authenticity. </w:t>
      </w:r>
      <w:r>
        <w:rPr>
          <w:rFonts w:ascii="Arial" w:cs="Arial" w:eastAsia="Arial" w:hAnsi="Arial"/>
          <w:sz w:val="18"/>
          <w:szCs w:val="18"/>
          <w:color w:val="auto"/>
        </w:rPr>
        <w:t>We value integrity, honesty, and kindness. We believe in staying true to oneself, being courageous enough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 your voice and humble enough to admit when you are wrong. Above all, we strive for sincerity and encourage both giving and receiving feedback.</w:t>
      </w:r>
    </w:p>
    <w:p>
      <w:pPr>
        <w:spacing w:after="0" w:line="61" w:lineRule="exact"/>
        <w:rPr>
          <w:rFonts w:ascii="Times New Roman" w:cs="Times New Roman" w:eastAsia="Times New Roman" w:hAnsi="Times New Roman"/>
          <w:sz w:val="18"/>
          <w:szCs w:val="18"/>
          <w:color w:val="auto"/>
        </w:rPr>
      </w:pPr>
    </w:p>
    <w:p>
      <w:pPr>
        <w:ind w:left="1020" w:right="20" w:hanging="504"/>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Fulfillment. </w:t>
      </w:r>
      <w:r>
        <w:rPr>
          <w:rFonts w:ascii="Arial" w:cs="Arial" w:eastAsia="Arial" w:hAnsi="Arial"/>
          <w:sz w:val="18"/>
          <w:szCs w:val="18"/>
          <w:color w:val="auto"/>
        </w:rPr>
        <w:t>We recognize that fulfillment comes from personal and professional satisfaction, from bringing our whole selves to</w:t>
      </w:r>
      <w:r>
        <w:rPr>
          <w:rFonts w:ascii="Arial" w:cs="Arial" w:eastAsia="Arial" w:hAnsi="Arial"/>
          <w:sz w:val="18"/>
          <w:szCs w:val="18"/>
          <w:b w:val="1"/>
          <w:bCs w:val="1"/>
          <w:color w:val="auto"/>
        </w:rPr>
        <w:t xml:space="preserve"> </w:t>
      </w:r>
      <w:r>
        <w:rPr>
          <w:rFonts w:ascii="Arial" w:cs="Arial" w:eastAsia="Arial" w:hAnsi="Arial"/>
          <w:sz w:val="18"/>
          <w:szCs w:val="18"/>
          <w:color w:val="auto"/>
        </w:rPr>
        <w:t>work. It is understanding what ignites our individual passions and gets us excited, while being inclusive and knowing that this is different for everyone. We believe that by engaging with the wider community, giving back and contributing, our greater purpose is fulfilled.</w:t>
      </w:r>
    </w:p>
    <w:p>
      <w:pPr>
        <w:spacing w:after="0" w:line="67" w:lineRule="exact"/>
        <w:rPr>
          <w:rFonts w:ascii="Times New Roman" w:cs="Times New Roman" w:eastAsia="Times New Roman" w:hAnsi="Times New Roman"/>
          <w:sz w:val="18"/>
          <w:szCs w:val="18"/>
          <w:color w:val="auto"/>
        </w:rPr>
      </w:pPr>
    </w:p>
    <w:p>
      <w:pPr>
        <w:jc w:val="both"/>
        <w:ind w:left="1020" w:right="140" w:hanging="504"/>
        <w:spacing w:after="0" w:line="300"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Execution. </w:t>
      </w:r>
      <w:r>
        <w:rPr>
          <w:rFonts w:ascii="Arial" w:cs="Arial" w:eastAsia="Arial" w:hAnsi="Arial"/>
          <w:sz w:val="17"/>
          <w:szCs w:val="17"/>
          <w:color w:val="auto"/>
        </w:rPr>
        <w:t>We aim to take calculated, sensible risks and make smart decisions quickly to accomplish our objectives. We are</w:t>
      </w:r>
      <w:r>
        <w:rPr>
          <w:rFonts w:ascii="Arial" w:cs="Arial" w:eastAsia="Arial" w:hAnsi="Arial"/>
          <w:sz w:val="17"/>
          <w:szCs w:val="17"/>
          <w:b w:val="1"/>
          <w:bCs w:val="1"/>
          <w:color w:val="auto"/>
        </w:rPr>
        <w:t xml:space="preserve"> </w:t>
      </w:r>
      <w:r>
        <w:rPr>
          <w:rFonts w:ascii="Arial" w:cs="Arial" w:eastAsia="Arial" w:hAnsi="Arial"/>
          <w:sz w:val="17"/>
          <w:szCs w:val="17"/>
          <w:color w:val="auto"/>
        </w:rPr>
        <w:t>helpful and supportive of each other, yet we hold each other accountable to delivering with a sense of urgency in all that we do.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right="500" w:hanging="504"/>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Ambitious Innovation. </w:t>
      </w:r>
      <w:r>
        <w:rPr>
          <w:rFonts w:ascii="Arial" w:cs="Arial" w:eastAsia="Arial" w:hAnsi="Arial"/>
          <w:sz w:val="18"/>
          <w:szCs w:val="18"/>
          <w:color w:val="auto"/>
        </w:rPr>
        <w:t>We continuously look for ways to deliver more and new value to our clients and their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and people. We are leaders not followers, curious and open-minded, and we recognize there is always room for improvement and strive for excellence and welcome new ideas.</w:t>
      </w:r>
    </w:p>
    <w:p>
      <w:pPr>
        <w:spacing w:after="0" w:line="61" w:lineRule="exact"/>
        <w:rPr>
          <w:rFonts w:ascii="Times New Roman" w:cs="Times New Roman" w:eastAsia="Times New Roman" w:hAnsi="Times New Roman"/>
          <w:sz w:val="18"/>
          <w:szCs w:val="18"/>
          <w:color w:val="auto"/>
        </w:rPr>
      </w:pPr>
    </w:p>
    <w:p>
      <w:pPr>
        <w:jc w:val="both"/>
        <w:ind w:left="1020" w:right="260" w:hanging="504"/>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Evolved Learning. </w:t>
      </w:r>
      <w:r>
        <w:rPr>
          <w:rFonts w:ascii="Arial" w:cs="Arial" w:eastAsia="Arial" w:hAnsi="Arial"/>
          <w:sz w:val="18"/>
          <w:szCs w:val="18"/>
          <w:color w:val="auto"/>
        </w:rPr>
        <w:t>The importance of actively listening, questioning, challenging, and accepting is not lost on us. We are a</w:t>
      </w:r>
      <w:r>
        <w:rPr>
          <w:rFonts w:ascii="Arial" w:cs="Arial" w:eastAsia="Arial" w:hAnsi="Arial"/>
          <w:sz w:val="18"/>
          <w:szCs w:val="18"/>
          <w:b w:val="1"/>
          <w:bCs w:val="1"/>
          <w:color w:val="auto"/>
        </w:rPr>
        <w:t xml:space="preserve"> </w:t>
      </w:r>
      <w:r>
        <w:rPr>
          <w:rFonts w:ascii="Arial" w:cs="Arial" w:eastAsia="Arial" w:hAnsi="Arial"/>
          <w:sz w:val="18"/>
          <w:szCs w:val="18"/>
          <w:color w:val="auto"/>
        </w:rPr>
        <w:t>learning organization, eager to expand as individuals, as teams and as a company. We live by the knowledge that there is no endpoint to learning, that there is always room for growth.</w:t>
      </w:r>
    </w:p>
    <w:p>
      <w:pPr>
        <w:spacing w:after="0" w:line="12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We define our values by the virtues and behaviors that shape them, as these values guide us in all that we do: in hiring, performance, and day-to-day interactions with both FlyMates and our clients and their customers.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 Report</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December 2022, we released our inaugural ESG report, our first comprehensive summary of how we integrate social good initiatives into our business strategy. The report provides baseline metrics as well as a detailed overview of the core tenets of our ESG program, which are shaped by many defining principles - from social impact and community engagement, to diversity, equity and inclusion (DE&amp;I), and much more. Our ESG report is based on global best practices, and aligns with metrics set forth by the Sustainability Accounting Standards Boards (SASB) standards as well as the Global Reporting Initiative (GRI) standards.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report details the company’s investments across the following ESG disciplines, including:</w:t>
      </w:r>
    </w:p>
    <w:p>
      <w:pPr>
        <w:spacing w:after="0" w:line="184" w:lineRule="exact"/>
        <w:rPr>
          <w:sz w:val="20"/>
          <w:szCs w:val="20"/>
          <w:color w:val="auto"/>
        </w:rPr>
      </w:pPr>
    </w:p>
    <w:p>
      <w:pPr>
        <w:ind w:left="1020" w:right="100" w:hanging="504"/>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Affordability and accessibility: </w:t>
      </w:r>
      <w:r>
        <w:rPr>
          <w:rFonts w:ascii="Arial" w:cs="Arial" w:eastAsia="Arial" w:hAnsi="Arial"/>
          <w:sz w:val="18"/>
          <w:szCs w:val="18"/>
          <w:color w:val="auto"/>
        </w:rPr>
        <w:t>Flywire’s payments technology and software enables payers to set up payment plans, helping</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high-value transactions like medical bills and education expenses more accessible and affordable.</w:t>
      </w:r>
    </w:p>
    <w:p>
      <w:pPr>
        <w:spacing w:after="0" w:line="45" w:lineRule="exact"/>
        <w:rPr>
          <w:rFonts w:ascii="Times New Roman" w:cs="Times New Roman" w:eastAsia="Times New Roman" w:hAnsi="Times New Roman"/>
          <w:sz w:val="18"/>
          <w:szCs w:val="18"/>
          <w:color w:val="auto"/>
        </w:rPr>
      </w:pPr>
    </w:p>
    <w:p>
      <w:pPr>
        <w:ind w:left="1020" w:hanging="504"/>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Diversity, equity and inclusion: </w:t>
      </w:r>
      <w:r>
        <w:rPr>
          <w:rFonts w:ascii="Arial" w:cs="Arial" w:eastAsia="Arial" w:hAnsi="Arial"/>
          <w:sz w:val="18"/>
          <w:szCs w:val="18"/>
          <w:color w:val="auto"/>
        </w:rPr>
        <w:t>Flywire employees represent 40 nationalities and more than 35 spoken languages.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Resource Groups, including Flywire Pride, FlyBlack, Women of Flywire and Flywire Globals, are devoted to promoting our DE&amp;I mission.</w:t>
      </w:r>
    </w:p>
    <w:p>
      <w:pPr>
        <w:spacing w:after="0" w:line="61" w:lineRule="exact"/>
        <w:rPr>
          <w:rFonts w:ascii="Times New Roman" w:cs="Times New Roman" w:eastAsia="Times New Roman" w:hAnsi="Times New Roman"/>
          <w:sz w:val="18"/>
          <w:szCs w:val="18"/>
          <w:color w:val="auto"/>
        </w:rPr>
      </w:pPr>
    </w:p>
    <w:p>
      <w:pPr>
        <w:ind w:left="1020" w:right="120" w:hanging="504"/>
        <w:spacing w:after="0" w:line="300"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Career development and training: </w:t>
      </w:r>
      <w:r>
        <w:rPr>
          <w:rFonts w:ascii="Arial" w:cs="Arial" w:eastAsia="Arial" w:hAnsi="Arial"/>
          <w:sz w:val="17"/>
          <w:szCs w:val="17"/>
          <w:color w:val="auto"/>
        </w:rPr>
        <w:t>In 2022, FlyMates spent more than 2,900 hours on company-sponsored career</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training programs. These initiatives are available to all FlyMates, including part-time and contract employees.</w:t>
      </w:r>
    </w:p>
    <w:p>
      <w:pPr>
        <w:spacing w:after="0" w:line="22" w:lineRule="exact"/>
        <w:rPr>
          <w:rFonts w:ascii="Times New Roman" w:cs="Times New Roman" w:eastAsia="Times New Roman" w:hAnsi="Times New Roman"/>
          <w:sz w:val="17"/>
          <w:szCs w:val="17"/>
          <w:color w:val="auto"/>
        </w:rPr>
      </w:pPr>
    </w:p>
    <w:p>
      <w:pPr>
        <w:ind w:left="1020" w:right="240" w:hanging="504"/>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Social impact and community engagement: </w:t>
      </w:r>
      <w:r>
        <w:rPr>
          <w:rFonts w:ascii="Arial" w:cs="Arial" w:eastAsia="Arial" w:hAnsi="Arial"/>
          <w:sz w:val="18"/>
          <w:szCs w:val="18"/>
          <w:color w:val="auto"/>
        </w:rPr>
        <w:t>A cornerstone of Flywire’s social impact and community engagement efforts is</w:t>
      </w:r>
      <w:r>
        <w:rPr>
          <w:rFonts w:ascii="Arial" w:cs="Arial" w:eastAsia="Arial" w:hAnsi="Arial"/>
          <w:sz w:val="18"/>
          <w:szCs w:val="18"/>
          <w:b w:val="1"/>
          <w:bCs w:val="1"/>
          <w:color w:val="auto"/>
        </w:rPr>
        <w:t xml:space="preserve"> </w:t>
      </w:r>
      <w:r>
        <w:rPr>
          <w:rFonts w:ascii="Arial" w:cs="Arial" w:eastAsia="Arial" w:hAnsi="Arial"/>
          <w:sz w:val="18"/>
          <w:szCs w:val="18"/>
          <w:color w:val="auto"/>
        </w:rPr>
        <w:t>The Flywire Charitable Foundation, which has tripled in size since its inception in 2020.</w:t>
      </w:r>
    </w:p>
    <w:p>
      <w:pPr>
        <w:spacing w:after="0" w:line="45" w:lineRule="exact"/>
        <w:rPr>
          <w:rFonts w:ascii="Times New Roman" w:cs="Times New Roman" w:eastAsia="Times New Roman" w:hAnsi="Times New Roman"/>
          <w:sz w:val="18"/>
          <w:szCs w:val="18"/>
          <w:color w:val="auto"/>
        </w:rPr>
      </w:pPr>
    </w:p>
    <w:p>
      <w:pPr>
        <w:ind w:left="1020" w:right="40" w:hanging="504"/>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Data privacy, security and compliance: </w:t>
      </w:r>
      <w:r>
        <w:rPr>
          <w:rFonts w:ascii="Arial" w:cs="Arial" w:eastAsia="Arial" w:hAnsi="Arial"/>
          <w:sz w:val="18"/>
          <w:szCs w:val="18"/>
          <w:color w:val="auto"/>
        </w:rPr>
        <w:t>Flywire’s dedicated compliance and risk management function, overseen by our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Officer and Chief Information Security Officer with Board-level oversight, has been built over more than a decade, providing payers and clients confidence in our solutions.</w:t>
      </w:r>
    </w:p>
    <w:p>
      <w:pPr>
        <w:spacing w:after="0" w:line="61" w:lineRule="exact"/>
        <w:rPr>
          <w:rFonts w:ascii="Times New Roman" w:cs="Times New Roman" w:eastAsia="Times New Roman" w:hAnsi="Times New Roman"/>
          <w:sz w:val="18"/>
          <w:szCs w:val="18"/>
          <w:color w:val="auto"/>
        </w:rPr>
      </w:pPr>
    </w:p>
    <w:p>
      <w:pPr>
        <w:ind w:left="1020" w:right="60" w:hanging="504"/>
        <w:spacing w:after="0" w:line="246"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Governance and ethics: </w:t>
      </w:r>
      <w:r>
        <w:rPr>
          <w:rFonts w:ascii="Arial" w:cs="Arial" w:eastAsia="Arial" w:hAnsi="Arial"/>
          <w:sz w:val="18"/>
          <w:szCs w:val="18"/>
          <w:color w:val="auto"/>
        </w:rPr>
        <w:t>Flywire is committed to ethical and compliant business practices and good corporate governance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long-term success of our company and stakeholders. We have a Code of Conduct that is actively enforced and mandatory training across a spectrum of important topics, ranging from anti-money laundering to sexual harassment to information security best practices.</w:t>
      </w:r>
    </w:p>
    <w:p>
      <w:pPr>
        <w:spacing w:after="0" w:line="67" w:lineRule="exact"/>
        <w:rPr>
          <w:rFonts w:ascii="Times New Roman" w:cs="Times New Roman" w:eastAsia="Times New Roman" w:hAnsi="Times New Roman"/>
          <w:sz w:val="18"/>
          <w:szCs w:val="18"/>
          <w:color w:val="auto"/>
        </w:rPr>
      </w:pPr>
    </w:p>
    <w:p>
      <w:pPr>
        <w:ind w:left="1020" w:right="180" w:hanging="504"/>
        <w:spacing w:after="0" w:line="246"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Environmental sustainability: </w:t>
      </w:r>
      <w:r>
        <w:rPr>
          <w:rFonts w:ascii="Arial" w:cs="Arial" w:eastAsia="Arial" w:hAnsi="Arial"/>
          <w:sz w:val="18"/>
          <w:szCs w:val="18"/>
          <w:color w:val="auto"/>
        </w:rPr>
        <w:t>Flywire conducted our first greenhouse gas emissions audit, over our own operations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most significant value-chain emissions with a vision to reduce our carbon-intensive activities and improve overall energy efficiencies. Our baseline inventory includes Scope 2 and Scope 3 emissions from purchased electricity, purchased goods and services (cloud services only), business travel and employee commuting and telework.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past year, we have reinforced our commitment to ESG by:</w:t>
      </w:r>
    </w:p>
    <w:p>
      <w:pPr>
        <w:spacing w:after="0" w:line="103" w:lineRule="exact"/>
        <w:rPr>
          <w:sz w:val="20"/>
          <w:szCs w:val="20"/>
          <w:color w:val="auto"/>
        </w:rPr>
      </w:pPr>
    </w:p>
    <w:p>
      <w:pPr>
        <w:ind w:left="1020" w:right="220" w:hanging="504"/>
        <w:spacing w:after="0" w:line="24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Codifying ESG as a strategic priority and establishing new management and oversight of ESG priorities.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and Corporate Governance Committee of Flywire’s Board of Directors is responsible for the oversight of company ESG initiatives, supported by Co-Executive Sponsors and a cross-functional task force of employees that comprise the ESG disclosure committee.</w:t>
      </w:r>
    </w:p>
    <w:p>
      <w:pPr>
        <w:spacing w:after="0" w:line="67" w:lineRule="exact"/>
        <w:rPr>
          <w:rFonts w:ascii="Times New Roman" w:cs="Times New Roman" w:eastAsia="Times New Roman" w:hAnsi="Times New Roman"/>
          <w:sz w:val="18"/>
          <w:szCs w:val="18"/>
          <w:color w:val="auto"/>
        </w:rPr>
      </w:pPr>
    </w:p>
    <w:p>
      <w:pPr>
        <w:ind w:left="1020" w:right="100" w:hanging="504"/>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Establishing a Center of Expertise for Diversity, Equity &amp; Inclusion (DE&amp;I) </w:t>
      </w:r>
      <w:r>
        <w:rPr>
          <w:rFonts w:ascii="Arial" w:cs="Arial" w:eastAsia="Arial" w:hAnsi="Arial"/>
          <w:sz w:val="18"/>
          <w:szCs w:val="18"/>
          <w:color w:val="auto"/>
        </w:rPr>
        <w:t>to better serve our diverse, global community of</w:t>
      </w:r>
      <w:r>
        <w:rPr>
          <w:rFonts w:ascii="Arial" w:cs="Arial" w:eastAsia="Arial" w:hAnsi="Arial"/>
          <w:sz w:val="18"/>
          <w:szCs w:val="18"/>
          <w:b w:val="1"/>
          <w:bCs w:val="1"/>
          <w:color w:val="auto"/>
        </w:rPr>
        <w:t xml:space="preserve"> </w:t>
      </w:r>
      <w:r>
        <w:rPr>
          <w:rFonts w:ascii="Arial" w:cs="Arial" w:eastAsia="Arial" w:hAnsi="Arial"/>
          <w:sz w:val="18"/>
          <w:szCs w:val="18"/>
          <w:color w:val="auto"/>
        </w:rPr>
        <w:t>FlyMates where they live and work, and to deliver inclusive and compelling experiences that engage and care for FlyMates.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right="280" w:hanging="504"/>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Enhancing our career development and skills training policies </w:t>
      </w:r>
      <w:r>
        <w:rPr>
          <w:rFonts w:ascii="Arial" w:cs="Arial" w:eastAsia="Arial" w:hAnsi="Arial"/>
          <w:sz w:val="18"/>
          <w:szCs w:val="18"/>
          <w:color w:val="auto"/>
        </w:rPr>
        <w:t>by offering new programs focused on enriching FlyMates’</w:t>
      </w:r>
      <w:r>
        <w:rPr>
          <w:rFonts w:ascii="Arial" w:cs="Arial" w:eastAsia="Arial" w:hAnsi="Arial"/>
          <w:sz w:val="18"/>
          <w:szCs w:val="18"/>
          <w:b w:val="1"/>
          <w:bCs w:val="1"/>
          <w:color w:val="auto"/>
        </w:rPr>
        <w:t xml:space="preserve"> </w:t>
      </w:r>
      <w:r>
        <w:rPr>
          <w:rFonts w:ascii="Arial" w:cs="Arial" w:eastAsia="Arial" w:hAnsi="Arial"/>
          <w:sz w:val="18"/>
          <w:szCs w:val="18"/>
          <w:color w:val="auto"/>
        </w:rPr>
        <w:t>careers and growing them both personally and professionally.</w:t>
      </w:r>
    </w:p>
    <w:p>
      <w:pPr>
        <w:spacing w:after="0" w:line="45" w:lineRule="exact"/>
        <w:rPr>
          <w:rFonts w:ascii="Times New Roman" w:cs="Times New Roman" w:eastAsia="Times New Roman" w:hAnsi="Times New Roman"/>
          <w:sz w:val="18"/>
          <w:szCs w:val="18"/>
          <w:color w:val="auto"/>
        </w:rPr>
      </w:pPr>
    </w:p>
    <w:p>
      <w:pPr>
        <w:ind w:left="1020" w:right="620" w:hanging="504"/>
        <w:spacing w:after="0" w:line="279"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Maximizing our social impact initiatives both through the third annual scholarship program administered by The Flywire Charitable Foundation</w:t>
      </w:r>
      <w:r>
        <w:rPr>
          <w:rFonts w:ascii="Arial" w:cs="Arial" w:eastAsia="Arial" w:hAnsi="Arial"/>
          <w:sz w:val="18"/>
          <w:szCs w:val="18"/>
          <w:color w:val="auto"/>
        </w:rPr>
        <w:t>, and through purposeful philanthropy to non-profit organizations around the world.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4" w:lineRule="exact"/>
        <w:rPr>
          <w:sz w:val="20"/>
          <w:szCs w:val="20"/>
          <w:color w:val="auto"/>
        </w:rPr>
      </w:pPr>
    </w:p>
    <w:p>
      <w:pPr>
        <w:ind w:right="400" w:firstLine="509"/>
        <w:spacing w:after="0" w:line="266" w:lineRule="auto"/>
        <w:rPr>
          <w:sz w:val="20"/>
          <w:szCs w:val="20"/>
          <w:color w:val="auto"/>
        </w:rPr>
      </w:pPr>
      <w:r>
        <w:rPr>
          <w:rFonts w:ascii="Arial" w:cs="Arial" w:eastAsia="Arial" w:hAnsi="Arial"/>
          <w:sz w:val="17"/>
          <w:szCs w:val="17"/>
          <w:color w:val="auto"/>
        </w:rPr>
        <w:t>We were initially formed in July 2009 as peerTransfer Corporation, a Delaware corporation. We changed our name to Flywire Corporation in December 2016. Our principal executive offices are located at 141 Tremont St., #10, Boston, MA 02111. Our telephone number is (617) 329-4524. Our internet address is www.flywire.com. The information contained on, or that can be accessed through, our website is not a part of this Annual Report on Form 10-K. We have included our website address as an inactive textual reference only.</w:t>
      </w:r>
    </w:p>
    <w:p>
      <w:pPr>
        <w:spacing w:after="0" w:line="11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Flywire, the Flywire logo, and other registered or common law trade names, trademarks, or service marks of Flywire appearing in this Annual Report on Form 10-K are the property of Flywire. This Annual Report on Form 10-K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Annual Report on Form 10-K are the property of their respective holders. Solely for convenience, our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make available free of charge, on our website (www.flywire.com),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an internet site that contains reports, proxy and information statements, and other information regarding issuers that file electronically with the SEC at http://www.sec.gov.</w:t>
      </w:r>
    </w:p>
    <w:p>
      <w:pPr>
        <w:spacing w:after="0" w:line="139"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Investors, the media, and others should note that we intend to announce material information to the public through filings with the SEC, the investor relations page on our website (https://ir.flywire.com), blog posts on our website, press releases, public conference calls, webcasts, and social media channels, including our Twitter feed (@flywire) and LinkedIn page (https://www.linkedin.com/company/flywire).</w:t>
      </w:r>
    </w:p>
    <w:p>
      <w:pPr>
        <w:spacing w:after="0" w:line="13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Annual Report on Form 10-K, including “Management’s Discussion and Analysis of Financial Condition and Results of Operations” and our consolidated financial statements and the accompanying notes included elsewhere in this Annual Report on Form 10-K.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1"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summary of risks below is intended to provide an overview of the risks we face and should not be considered a substitute for the more fulsome risk factors discussed immediately following this summary.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69" w:lineRule="exact"/>
        <w:rPr>
          <w:sz w:val="20"/>
          <w:szCs w:val="20"/>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quarterly fluctuations in operating results.</w:t>
      </w:r>
    </w:p>
    <w:p>
      <w:pPr>
        <w:spacing w:after="0" w:line="183"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Efforts to attract new clients may be unsuccessful.</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We may be unable to expand our direct and channel sales capabilities, grow our marketing reach and increase sales productivity.</w:t>
      </w:r>
    </w:p>
    <w:p>
      <w:pPr>
        <w:spacing w:after="0" w:line="194" w:lineRule="exact"/>
        <w:rPr>
          <w:rFonts w:ascii="Times New Roman" w:cs="Times New Roman" w:eastAsia="Times New Roman" w:hAnsi="Times New Roman"/>
          <w:sz w:val="17"/>
          <w:szCs w:val="17"/>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our revenue mix to vary over time, which could affect our gross profit, gross margin and results of operations.</w:t>
      </w:r>
    </w:p>
    <w:p>
      <w:pPr>
        <w:spacing w:after="0" w:line="183" w:lineRule="exact"/>
        <w:rPr>
          <w:rFonts w:ascii="Times New Roman" w:cs="Times New Roman" w:eastAsia="Times New Roman" w:hAnsi="Times New Roman"/>
          <w:sz w:val="18"/>
          <w:szCs w:val="18"/>
          <w:color w:val="auto"/>
        </w:rPr>
      </w:pPr>
    </w:p>
    <w:p>
      <w:pPr>
        <w:ind w:left="900" w:right="860" w:hanging="263"/>
        <w:spacing w:after="0" w:line="27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83"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are exposed to fluctuations in foreign currency exchange rates that could materially and adversely affect our cash flows and results of operations.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96" w:lineRule="exact"/>
        <w:rPr>
          <w:rFonts w:ascii="Times New Roman" w:cs="Times New Roman" w:eastAsia="Times New Roman" w:hAnsi="Times New Roman"/>
          <w:sz w:val="18"/>
          <w:szCs w:val="18"/>
          <w:color w:val="auto"/>
        </w:rPr>
      </w:pPr>
    </w:p>
    <w:p>
      <w:pPr>
        <w:ind w:left="900" w:right="900" w:hanging="263"/>
        <w:spacing w:after="0" w:line="27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markets are highly competitive.</w:t>
      </w:r>
    </w:p>
    <w:p>
      <w:pPr>
        <w:spacing w:after="0" w:line="183" w:lineRule="exact"/>
        <w:rPr>
          <w:rFonts w:ascii="Times New Roman" w:cs="Times New Roman" w:eastAsia="Times New Roman" w:hAnsi="Times New Roman"/>
          <w:sz w:val="18"/>
          <w:szCs w:val="18"/>
          <w:color w:val="auto"/>
        </w:rPr>
      </w:pPr>
    </w:p>
    <w:p>
      <w:pPr>
        <w:ind w:left="900" w:right="580" w:hanging="263"/>
        <w:spacing w:after="0" w:line="27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26" w:lineRule="exact"/>
        <w:rPr>
          <w:rFonts w:ascii="Times New Roman" w:cs="Times New Roman" w:eastAsia="Times New Roman" w:hAnsi="Times New Roman"/>
          <w:sz w:val="18"/>
          <w:szCs w:val="18"/>
          <w:color w:val="auto"/>
        </w:rPr>
      </w:pPr>
    </w:p>
    <w:p>
      <w:pPr>
        <w:ind w:left="900" w:right="40" w:hanging="263"/>
        <w:spacing w:after="0" w:line="27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education business may be adversely affected by decreases in enrollment or tuition, or increased operating expenses for our clients.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healthcare industry is rapidly evolving.</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enter or expand into new verticals, including our relatively new B2B payment vertical.</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There could be consolidation in the payment processing or enablement industry.</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adversely impacted by worldwide global economic and political instability.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69" w:lineRule="exact"/>
        <w:rPr>
          <w:sz w:val="20"/>
          <w:szCs w:val="20"/>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83"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payment card networks fees or rules could harm our business.</w:t>
      </w:r>
    </w:p>
    <w:p>
      <w:pPr>
        <w:spacing w:after="0" w:line="183" w:lineRule="exact"/>
        <w:rPr>
          <w:rFonts w:ascii="Times New Roman" w:cs="Times New Roman" w:eastAsia="Times New Roman" w:hAnsi="Times New Roman"/>
          <w:sz w:val="18"/>
          <w:szCs w:val="18"/>
          <w:color w:val="auto"/>
        </w:rPr>
      </w:pPr>
    </w:p>
    <w:p>
      <w:pPr>
        <w:ind w:left="900" w:right="580" w:hanging="263"/>
        <w:spacing w:after="0" w:line="270"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members of our management team or are unable to attract and retain executives and employees we need to support our operations and growth, our business may be harmed.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182" w:lineRule="exact"/>
        <w:rPr>
          <w:sz w:val="20"/>
          <w:szCs w:val="20"/>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183" w:lineRule="exact"/>
        <w:rPr>
          <w:rFonts w:ascii="Times New Roman" w:cs="Times New Roman" w:eastAsia="Times New Roman" w:hAnsi="Times New Roman"/>
          <w:sz w:val="18"/>
          <w:szCs w:val="18"/>
          <w:color w:val="auto"/>
        </w:rPr>
      </w:pPr>
    </w:p>
    <w:p>
      <w:pPr>
        <w:ind w:left="900" w:right="80" w:hanging="263"/>
        <w:spacing w:after="0" w:line="270"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laws and requirements regarding economic and trade sanctions, AML, CFT and those applicable to a MSB.</w:t>
      </w:r>
    </w:p>
    <w:p>
      <w:pPr>
        <w:spacing w:after="0" w:line="113" w:lineRule="exact"/>
        <w:rPr>
          <w:rFonts w:ascii="Times New Roman" w:cs="Times New Roman" w:eastAsia="Times New Roman" w:hAnsi="Times New Roman"/>
          <w:sz w:val="18"/>
          <w:szCs w:val="18"/>
          <w:color w:val="auto"/>
        </w:rPr>
      </w:pPr>
    </w:p>
    <w:p>
      <w:pPr>
        <w:ind w:left="900" w:right="600" w:hanging="263"/>
        <w:spacing w:after="0" w:line="270"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69" w:lineRule="exact"/>
        <w:rPr>
          <w:sz w:val="20"/>
          <w:szCs w:val="20"/>
          <w:color w:val="auto"/>
        </w:rPr>
      </w:pPr>
    </w:p>
    <w:p>
      <w:pPr>
        <w:ind w:left="900" w:hanging="26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develop and maintain proper effective internal control over financial reporting.</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incur increased costs as a public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69" w:lineRule="exact"/>
        <w:rPr>
          <w:sz w:val="20"/>
          <w:szCs w:val="20"/>
          <w:color w:val="auto"/>
        </w:rPr>
      </w:pPr>
    </w:p>
    <w:p>
      <w:pPr>
        <w:ind w:left="900" w:right="120" w:hanging="26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Securities and industry analysts may not publish or publish inaccurate or unfavorable research about our business.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8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were incorporated in 2009 and have experienced net losses from our operations since inception. We generated net losses of $39.3 million, $28.1 million and $11.1 million for the years ended December 31, 2022, 2021 and 2020, respectively. In addition, as of December 31, 2022, we had an accumulated deficit of $165.2 million. We have experienced significant revenue growth in recent periods and we are not certain whether or when we will obtain a high</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including our transition to a large accelerated filer status as of December 31, 2022.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5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volume of payments processed.</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71" w:lineRule="exact"/>
        <w:rPr>
          <w:sz w:val="20"/>
          <w:szCs w:val="20"/>
          <w:color w:val="auto"/>
        </w:rPr>
      </w:pPr>
    </w:p>
    <w:p>
      <w:pPr>
        <w:ind w:left="900" w:right="260" w:hanging="263"/>
        <w:spacing w:after="0" w:line="270"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83" w:lineRule="exact"/>
        <w:rPr>
          <w:rFonts w:ascii="Times New Roman" w:cs="Times New Roman" w:eastAsia="Times New Roman" w:hAnsi="Times New Roman"/>
          <w:sz w:val="18"/>
          <w:szCs w:val="18"/>
          <w:color w:val="auto"/>
        </w:rPr>
      </w:pPr>
    </w:p>
    <w:p>
      <w:pPr>
        <w:ind w:left="900" w:right="260" w:hanging="263"/>
        <w:spacing w:after="0" w:line="270"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into more international markets;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or strategic investments;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compliance and risk management; and</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83" w:lineRule="exact"/>
        <w:rPr>
          <w:sz w:val="20"/>
          <w:szCs w:val="20"/>
          <w:color w:val="auto"/>
        </w:rPr>
      </w:pPr>
    </w:p>
    <w:p>
      <w:pPr>
        <w:ind w:right="200" w:firstLine="509"/>
        <w:spacing w:after="0" w:line="252"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32"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evolving industry and, as a result, our past results may not be indicative of future operating performance.</w:t>
      </w:r>
    </w:p>
    <w:p>
      <w:pPr>
        <w:spacing w:after="0" w:line="112"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cost-effectively acquire new clients and retain existing clients;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market share;</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avoid pricing pressure on our solutions which would compress our margins;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market our solutions;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enhance our existing solutions and develop new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increase awareness of our brand and maintain our reputation;</w:t>
      </w:r>
    </w:p>
    <w:p>
      <w:pPr>
        <w:spacing w:after="0" w:line="183" w:lineRule="exact"/>
        <w:rPr>
          <w:rFonts w:ascii="Times New Roman" w:cs="Times New Roman" w:eastAsia="Times New Roman" w:hAnsi="Times New Roman"/>
          <w:sz w:val="18"/>
          <w:szCs w:val="18"/>
          <w:color w:val="auto"/>
        </w:rPr>
      </w:pPr>
    </w:p>
    <w:p>
      <w:pPr>
        <w:ind w:left="1020" w:right="200" w:hanging="504"/>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offer seamless experience for our clients and their customers, including all user facing attributes ranging from the user interface to client and customer support;</w:t>
      </w:r>
    </w:p>
    <w:p>
      <w:pPr>
        <w:spacing w:after="0" w:line="12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respond to microeconomic and macroeconomic changes;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compete effectively;</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avoid interruptions in our business from information technology (IT) downtime, cybersecurity breaches, or labor stoppages;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manage our growth;</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manage foreign currency exchange risk;</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hire, integrate, and retain talented people at all levels of our organization;</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maintain the quality of our technology infrastructure;</w:t>
      </w:r>
    </w:p>
    <w:p>
      <w:pPr>
        <w:spacing w:after="0" w:line="115" w:lineRule="exact"/>
        <w:rPr>
          <w:rFonts w:ascii="Times New Roman" w:cs="Times New Roman" w:eastAsia="Times New Roman" w:hAnsi="Times New Roman"/>
          <w:sz w:val="18"/>
          <w:szCs w:val="18"/>
          <w:color w:val="auto"/>
        </w:rPr>
      </w:pPr>
    </w:p>
    <w:p>
      <w:pPr>
        <w:ind w:left="1020" w:right="300" w:hanging="504"/>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multiple, conflicting and changing governmental laws and regulations, including with respect to employment, tax, competition, COVID-19 and ESG matters;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w:t>
      </w:r>
    </w:p>
    <w:p>
      <w:pPr>
        <w:spacing w:after="0" w:line="196" w:lineRule="exact"/>
        <w:rPr>
          <w:rFonts w:ascii="Times New Roman" w:cs="Times New Roman" w:eastAsia="Times New Roman" w:hAnsi="Times New Roman"/>
          <w:sz w:val="18"/>
          <w:szCs w:val="18"/>
          <w:color w:val="auto"/>
        </w:rPr>
      </w:pPr>
    </w:p>
    <w:p>
      <w:pPr>
        <w:ind w:left="1020" w:right="220" w:hanging="504"/>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13"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13"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128"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9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customers, which would have an adverse effect on our business, revenue, gross profit, gross margins, and other operating results, and accordingly, on the trading price of our common stock.</w:t>
      </w:r>
    </w:p>
    <w:p>
      <w:pPr>
        <w:spacing w:after="0" w:line="12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4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39"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5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76"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136"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44" w:lineRule="exact"/>
        <w:rPr>
          <w:sz w:val="20"/>
          <w:szCs w:val="20"/>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timing of tuition payments;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acceptance of our current and future solutions;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mix in a particular quarter;</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slowdown in spending on IT and software by our current and/or prospective clients;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sales cycles and performance of our direct and indirect sales force;</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budgeting and implementation cycles of our current or potential clients;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fluctuations;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renewals of contracts with our clients;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competitive dynamics of our markets;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control and predict costs, including our operating expenses;</w:t>
      </w:r>
    </w:p>
    <w:p>
      <w:pPr>
        <w:spacing w:after="0" w:line="183" w:lineRule="exact"/>
        <w:rPr>
          <w:rFonts w:ascii="Times New Roman" w:cs="Times New Roman" w:eastAsia="Times New Roman" w:hAnsi="Times New Roman"/>
          <w:sz w:val="18"/>
          <w:szCs w:val="18"/>
          <w:color w:val="auto"/>
        </w:rPr>
      </w:pPr>
    </w:p>
    <w:p>
      <w:pPr>
        <w:ind w:left="1020" w:right="860" w:hanging="504"/>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seasonality of our business;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manage or integrate any acquisitions, including our acquisitions of Simplee, WPM and Cohort Go;</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or publicity surrounding any pending or threatened lawsuits;</w:t>
      </w:r>
    </w:p>
    <w:p>
      <w:pPr>
        <w:spacing w:after="0" w:line="183" w:lineRule="exact"/>
        <w:rPr>
          <w:rFonts w:ascii="Times New Roman" w:cs="Times New Roman" w:eastAsia="Times New Roman" w:hAnsi="Times New Roman"/>
          <w:sz w:val="18"/>
          <w:szCs w:val="18"/>
          <w:color w:val="auto"/>
        </w:rPr>
      </w:pPr>
    </w:p>
    <w:p>
      <w:pPr>
        <w:ind w:left="1020" w:right="20" w:hanging="504"/>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and political conditions in our domestic and international markets, including inflation and fluctuations in supply chains;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level of scrutiny applied by regulators and investors on our ESG program;</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events, including those resulting from climate change or geopolitical events;</w:t>
      </w:r>
    </w:p>
    <w:p>
      <w:pPr>
        <w:spacing w:after="0" w:line="183" w:lineRule="exact"/>
        <w:rPr>
          <w:rFonts w:ascii="Times New Roman" w:cs="Times New Roman" w:eastAsia="Times New Roman" w:hAnsi="Times New Roman"/>
          <w:sz w:val="18"/>
          <w:szCs w:val="18"/>
          <w:color w:val="auto"/>
        </w:rPr>
      </w:pPr>
    </w:p>
    <w:p>
      <w:pPr>
        <w:ind w:left="1020" w:right="320" w:hanging="504"/>
        <w:spacing w:after="0" w:line="252"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federal government shutdowns, partisan gridlock that results in the inability of Congress to take action or changes to government, which among other things could impact visa issuances and educational financial aid payments; and</w:t>
      </w:r>
    </w:p>
    <w:p>
      <w:pPr>
        <w:spacing w:after="0" w:line="12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 and the responses thereto.</w:t>
      </w:r>
    </w:p>
    <w:p>
      <w:pPr>
        <w:spacing w:after="0" w:line="197"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30"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profit, gross margin and results of operations.</w:t>
      </w:r>
    </w:p>
    <w:p>
      <w:pPr>
        <w:spacing w:after="0" w:line="18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46"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98"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60"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9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41" w:lineRule="exact"/>
        <w:rPr>
          <w:sz w:val="20"/>
          <w:szCs w:val="20"/>
          <w:color w:val="auto"/>
        </w:rPr>
      </w:pPr>
    </w:p>
    <w:p>
      <w:pPr>
        <w:ind w:right="1080"/>
        <w:spacing w:after="0" w:line="278"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1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6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 During the COVID-19 pandemic, we initially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However, with the increase in availability of vaccines, educational institutions have, for the most part, returned to their normal billing cycles and payment due dates. Many higher education institutions are mandating full vaccination to promote normal operations and allowing students from abroad to return to their facilities.</w:t>
      </w:r>
    </w:p>
    <w:p>
      <w:pPr>
        <w:spacing w:after="0" w:line="161"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98" w:lineRule="exact"/>
        <w:rPr>
          <w:sz w:val="20"/>
          <w:szCs w:val="20"/>
          <w:color w:val="auto"/>
        </w:rPr>
      </w:pPr>
    </w:p>
    <w:p>
      <w:pPr>
        <w:ind w:right="400" w:firstLine="509"/>
        <w:spacing w:after="0" w:line="252"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U.S. dollar. For example, for 2022, as the U.S. Dollar strengthened against several currencies, including the British Pound, these foreign exchange impacts reduced our reported revenue in U.S. dollars by over $14.2 million compared to 2021 on a constant currency basis.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including the recent depreciation of the Russian ruble, could result in the dollar equivalent of our expenses being higher which may not be offset by additional revenue earned in the local currency. This could have a negative impact on our reported results of operations.</w:t>
      </w:r>
    </w:p>
    <w:p>
      <w:pPr>
        <w:spacing w:after="0" w:line="15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3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44"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profit,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5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replace or compete with ours. If we are unsuccessful in establishing, growing, or maintaining our relationships with network partners, our ability to compete or to grow our revenue could be impaired, and our results of operations may suffer.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69"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8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43" w:lineRule="exact"/>
        <w:rPr>
          <w:sz w:val="20"/>
          <w:szCs w:val="20"/>
          <w:color w:val="auto"/>
        </w:rPr>
      </w:pPr>
    </w:p>
    <w:p>
      <w:pPr>
        <w:jc w:val="both"/>
        <w:ind w:right="140" w:firstLine="509"/>
        <w:spacing w:after="0" w:line="252"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3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46"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44" w:lineRule="exact"/>
        <w:rPr>
          <w:sz w:val="20"/>
          <w:szCs w:val="20"/>
          <w:color w:val="auto"/>
        </w:rPr>
      </w:pPr>
    </w:p>
    <w:p>
      <w:pPr>
        <w:ind w:left="900" w:right="100" w:hanging="263"/>
        <w:spacing w:after="0" w:line="252"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Reduced enrollment in higher education due to lack of funding, increases to cost of attendance or other inflationary pressure. Significant reductions in student funding, through grants or loans, may reduce enrollments and decrease the payment volume we process. Potential students may also be deterred by increases in the cost of attendance.</w:t>
      </w:r>
    </w:p>
    <w:p>
      <w:pPr>
        <w:spacing w:after="0" w:line="129" w:lineRule="exact"/>
        <w:rPr>
          <w:rFonts w:ascii="Times New Roman" w:cs="Times New Roman" w:eastAsia="Times New Roman" w:hAnsi="Times New Roman"/>
          <w:sz w:val="18"/>
          <w:szCs w:val="18"/>
          <w:color w:val="auto"/>
        </w:rPr>
      </w:pPr>
    </w:p>
    <w:p>
      <w:pPr>
        <w:ind w:left="900" w:right="36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13" w:lineRule="exact"/>
        <w:rPr>
          <w:rFonts w:ascii="Times New Roman" w:cs="Times New Roman" w:eastAsia="Times New Roman" w:hAnsi="Times New Roman"/>
          <w:sz w:val="18"/>
          <w:szCs w:val="18"/>
          <w:color w:val="auto"/>
        </w:rPr>
      </w:pPr>
    </w:p>
    <w:p>
      <w:pPr>
        <w:jc w:val="both"/>
        <w:ind w:left="900" w:right="200" w:hanging="263"/>
        <w:spacing w:after="0" w:line="252"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the COVID-19 pandemic or a lower price point for online classes.</w:t>
      </w:r>
    </w:p>
    <w:p>
      <w:pPr>
        <w:spacing w:after="0" w:line="142"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13" w:lineRule="exact"/>
        <w:rPr>
          <w:rFonts w:ascii="Times New Roman" w:cs="Times New Roman" w:eastAsia="Times New Roman" w:hAnsi="Times New Roman"/>
          <w:sz w:val="18"/>
          <w:szCs w:val="18"/>
          <w:color w:val="auto"/>
        </w:rPr>
      </w:pPr>
    </w:p>
    <w:p>
      <w:pPr>
        <w:ind w:left="900" w:right="100" w:hanging="263"/>
        <w:spacing w:after="0" w:line="246"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Declines in international student enrollment. The COVID-19 pandemic, including the emergence of variants and sub-variants, the ongoing COVID-19 mobility restrictions imposed by health authorities, and restrictions on immigration or the award of student visas can negatively impact the cross-border education industry, and schools that rely on foreign student populations, will be negatively affected or may cease operations.</w:t>
      </w:r>
    </w:p>
    <w:p>
      <w:pPr>
        <w:spacing w:after="0" w:line="134" w:lineRule="exact"/>
        <w:rPr>
          <w:rFonts w:ascii="Times New Roman" w:cs="Times New Roman" w:eastAsia="Times New Roman" w:hAnsi="Times New Roman"/>
          <w:sz w:val="18"/>
          <w:szCs w:val="18"/>
          <w:color w:val="auto"/>
        </w:rPr>
      </w:pPr>
    </w:p>
    <w:p>
      <w:pPr>
        <w:jc w:val="both"/>
        <w:ind w:left="900" w:right="560" w:hanging="263"/>
        <w:spacing w:after="0" w:line="252"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43" w:lineRule="exact"/>
        <w:rPr>
          <w:sz w:val="20"/>
          <w:szCs w:val="20"/>
          <w:color w:val="auto"/>
        </w:rPr>
      </w:pPr>
    </w:p>
    <w:p>
      <w:pPr>
        <w:ind w:right="260" w:firstLine="509"/>
        <w:spacing w:after="0" w:line="246" w:lineRule="auto"/>
        <w:rPr>
          <w:sz w:val="20"/>
          <w:szCs w:val="20"/>
          <w:color w:val="auto"/>
        </w:rPr>
      </w:pPr>
      <w:r>
        <w:rPr>
          <w:rFonts w:ascii="Arial" w:cs="Arial" w:eastAsia="Arial" w:hAnsi="Arial"/>
          <w:sz w:val="18"/>
          <w:szCs w:val="18"/>
          <w:color w:val="auto"/>
        </w:rPr>
        <w:t>International cross-border transaction revenue represents a significant part of our revenue; international regulations and restrictions that inhibit cross-border travel and relocation of international students, as well as ongoing political friction between China and the U.S. that have slowed the growth of Chinese students studying in the U.S. and may have resulted in changes in Chinese student education destinations, have had and may continue to have an impact on our revenue growth.</w:t>
      </w:r>
    </w:p>
    <w:p>
      <w:pPr>
        <w:spacing w:after="0" w:line="13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p>
    <w:p>
      <w:pPr>
        <w:spacing w:after="0" w:line="14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44" w:lineRule="exact"/>
        <w:rPr>
          <w:sz w:val="20"/>
          <w:szCs w:val="20"/>
          <w:color w:val="auto"/>
        </w:rPr>
      </w:pPr>
    </w:p>
    <w:p>
      <w:pPr>
        <w:ind w:right="480" w:firstLine="509"/>
        <w:spacing w:after="0" w:line="246"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integration partners may also decide to develop and offer their own patient engagement solutions that are similar to our solutions.</w:t>
      </w:r>
    </w:p>
    <w:p>
      <w:pPr>
        <w:spacing w:after="0" w:line="18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4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which represents, and is expected to continue to represent for the foreseeable future, our second largest vertical by total payment volume and revenue, may have an adverse effect on our business, operating results and financial condition.</w:t>
      </w:r>
    </w:p>
    <w:p>
      <w:pPr>
        <w:spacing w:after="0" w:line="141" w:lineRule="exact"/>
        <w:rPr>
          <w:sz w:val="20"/>
          <w:szCs w:val="20"/>
          <w:color w:val="auto"/>
        </w:rPr>
      </w:pPr>
    </w:p>
    <w:p>
      <w:pPr>
        <w:ind w:right="420" w:firstLine="509"/>
        <w:spacing w:after="0" w:line="252" w:lineRule="auto"/>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4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Events like regional or larger scale conflicts, war or other military conflict, including the conflict between Russia and Ukraine, terrorist attacks, mass shooting incidents, natural disasters, such as hurricanes, earthquakes, fires, droughts, floods and volcanic activity, including events resulting from climate change, and travel-related health events, such as the COVID-19 pandemic, have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and inflation.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and resulting revenue from our travel vertical represents less than 10% of our total payment volume and revenue.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55"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In addition, the U.K.’s withdrawal from the E.U. (Brexit), including uncertainty, delays or practical difficulties in the implementation of Brexit, could continue to lead to economic uncertainty, sluggish growth or economic retraction, and have a negative impact on the travel industry and our European business. The U.K. could lose access to the single E.U. market, travel between the U.K. and E.U. countries could be restricted, and we could face new regulatory costs and challenges, the scope of which is presently unknown.</w:t>
      </w:r>
    </w:p>
    <w:p>
      <w:pPr>
        <w:spacing w:after="0" w:line="13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were negatively impacted. During the years ended December 31, 2021 and 2022, we witnessed recoveries in our financial results and growth in revenue and payment volumes in our travel payment vertical. While improvements have been noted, we are still experiencing impacts to our travel clients. We expect the continued effects of the COVID-19 pandemic, including the emergence and spread of variants or sub-variants of COVID-19, may continue to negatively impact our business throughout 2023, but the extent and duration of such impact in the long term is largely uncertain as it is dependent on future developments that cannot be accurately predicted at this time, including, but not limited to, the emergence of variants and sub-variants, international regulations and restrictions that inhibit cross-border travel, global availability of vaccines and administration of vaccination, the rate of “herd immunity”, and the impact of these and other factors on travel behavior. Our clients and their customers who are affected by the ongoing COVID-19 pandemic may continue to demonstrate changed behavior even after the COVID-19 outbreak has subsided.</w:t>
      </w:r>
    </w:p>
    <w:p>
      <w:pPr>
        <w:spacing w:after="0" w:line="14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b w:val="1"/>
          <w:bCs w:val="1"/>
          <w:i w:val="1"/>
          <w:iCs w:val="1"/>
          <w:color w:val="auto"/>
        </w:rPr>
        <w:t>If we are unable to enter or expand new client 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3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growth strategy is influenced, in part, on our ability to expand into new client 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4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30" w:lineRule="exact"/>
        <w:rPr>
          <w:sz w:val="20"/>
          <w:szCs w:val="20"/>
          <w:color w:val="auto"/>
        </w:rPr>
      </w:pPr>
    </w:p>
    <w:p>
      <w:pPr>
        <w:jc w:val="both"/>
        <w:ind w:right="80" w:firstLine="509"/>
        <w:spacing w:after="0" w:line="241" w:lineRule="auto"/>
        <w:rPr>
          <w:sz w:val="20"/>
          <w:szCs w:val="20"/>
          <w:color w:val="auto"/>
        </w:rPr>
      </w:pPr>
      <w:r>
        <w:rPr>
          <w:rFonts w:ascii="Arial" w:cs="Arial" w:eastAsia="Arial" w:hAnsi="Arial"/>
          <w:sz w:val="18"/>
          <w:szCs w:val="18"/>
          <w:color w:val="auto"/>
        </w:rPr>
        <w:t>Even if we choose to enter new 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invest significant resources to develop and expand the functionality of our solutions to meet the needs of customers in those verticals, which investments will occur in advance of our realization of revenue from them.</w:t>
      </w:r>
    </w:p>
    <w:p>
      <w:pPr>
        <w:spacing w:after="0" w:line="128"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98"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18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As we seek to continue to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credit, equity and foreign exchange markets, bankruptcies and outbreaks of variants of COVID-19, as well as war, terrorist activity, political or social unrest, civil strife and other geopolitical uncertainty, including the effects of ongoing United States-China diplomatic and trade friction and social unrest in China,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w:t>
      </w:r>
    </w:p>
    <w:p>
      <w:pPr>
        <w:spacing w:after="0" w:line="132"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For example, on February 24, 2022, Russian military forces invaded Ukraine, and continued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3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We are actively monitoring the situation in Ukraine and assessing its impact on our business, but to date have not experienced any material impact. 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 As the adverse effects of this conflict continue to develop and potentially spread, both in Europe and through the rest of the world, our customers,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this conflict and any of the abovementioned factors could have a material adverse effect on our business, financial condition and results of operations, particularly to the extent the conflict escalates to involve additional countries, further economic sanctions and wider military conflict. Any such disruptions could also magnify the impact of other risks described in this Annual Report on Form 10-K.</w:t>
      </w:r>
    </w:p>
    <w:p>
      <w:pPr>
        <w:spacing w:after="0" w:line="153"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In addition, political instability or adverse political developments and new or continued economic deterioration, including as a result of the withdrawal by many global central banks of stimulus measures deployed during the peak of the COVID-19 pandemic, in any of the countries in which we operate could harm our business, results of operations and financial condition.</w:t>
      </w:r>
    </w:p>
    <w:p>
      <w:pPr>
        <w:spacing w:after="0" w:line="130"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More recently, inflation rates in the United States have increased to levels not seen in several years, which may result in decreased demand for our solutions, increases in our operating costs including our labor costs, constrained credit and liquidity, and volatility in financial markets. The United States Federal Reserve has raised, and may again raise, interest rates in response to concerns over inflation risk. There continues to be uncertainty in the changing market and</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economic conditions, including the possibility of additional measures that could be taken by the Federal Reserve and other government agencies, related to the COVID-19 pandemic and concerns over inflation risk. A sharp rise in interest rates could have an adverse impact on the fair market value of securities we may invest in as part of our portfolio investments, which could adversely affect our financial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3" w:lineRule="exact"/>
        <w:rPr>
          <w:sz w:val="20"/>
          <w:szCs w:val="20"/>
          <w:color w:val="auto"/>
        </w:rPr>
      </w:pPr>
    </w:p>
    <w:p>
      <w:pPr>
        <w:ind w:right="920"/>
        <w:spacing w:after="0" w:line="278"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98"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spacing w:after="0" w:line="14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4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76"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For the year ended December 31, 2022, we processed over $18.1 billion in payments on our solutions, compared to over $13.2 billion for the year ended December 31, 2021, and approximately $7.5 billion for the year ended December 31, 2020.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the client has gone out of business, we may be unable to collect on the chargeback and will bear the economic loss, which will negatively impact our business.</w:t>
      </w:r>
    </w:p>
    <w:p>
      <w:pPr>
        <w:spacing w:after="0" w:line="143" w:lineRule="exact"/>
        <w:rPr>
          <w:sz w:val="20"/>
          <w:szCs w:val="20"/>
          <w:color w:val="auto"/>
        </w:rPr>
      </w:pPr>
    </w:p>
    <w:p>
      <w:pPr>
        <w:jc w:val="both"/>
        <w:ind w:right="620" w:firstLine="509"/>
        <w:spacing w:after="0" w:line="246"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36" w:lineRule="exact"/>
        <w:rPr>
          <w:sz w:val="20"/>
          <w:szCs w:val="20"/>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lost or delayed market acceptance and acquisition of new clients;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legal claims against us;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enforcement action; or</w:t>
      </w:r>
    </w:p>
    <w:p>
      <w:pPr>
        <w:spacing w:after="0" w:line="183" w:lineRule="exact"/>
        <w:rPr>
          <w:rFonts w:ascii="Times New Roman" w:cs="Times New Roman" w:eastAsia="Times New Roman" w:hAnsi="Times New Roman"/>
          <w:sz w:val="18"/>
          <w:szCs w:val="18"/>
          <w:color w:val="auto"/>
        </w:rPr>
      </w:pPr>
    </w:p>
    <w:p>
      <w:pPr>
        <w:ind w:left="5520" w:hanging="4883"/>
        <w:spacing w:after="0" w:line="411" w:lineRule="auto"/>
        <w:tabs>
          <w:tab w:leader="none" w:pos="888"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our resources, including through increased service expenses or financial concessions, and increased insurance costs.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4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1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42"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4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1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5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spacing w:after="0" w:line="14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FERPA, the Gramm-Leach-Bliley Act (GLBA), and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that could materially adversely affect our reputation and business.</w:t>
      </w:r>
    </w:p>
    <w:p>
      <w:pPr>
        <w:spacing w:after="0" w:line="15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4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4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still not currently aware of any impact that the SolarWinds supply chain attack had on our business, this is a relatively recent event, and the scope of the attack is still undetermined. Therefore, there is residual risk that we could experience a security breach arising from the SolarWinds supply chain attack.</w:t>
      </w:r>
    </w:p>
    <w:p>
      <w:pPr>
        <w:spacing w:after="0" w:line="14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third-party experts and consultants. In addition, we may incur significant liability and financial loss and may be subject to regulatory scrutiny, investigations, proceedings, and penalties.</w:t>
      </w:r>
    </w:p>
    <w:p>
      <w:pPr>
        <w:spacing w:after="0" w:line="126"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4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can disrupt our business and harm our competitive position.</w:t>
      </w:r>
    </w:p>
    <w:p>
      <w:pPr>
        <w:spacing w:after="0" w:line="18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4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spacing w:after="0" w:line="144"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FlyMates or other third parties, which could expose us to material financial losses and liability and otherwise harm our business.</w:t>
      </w:r>
    </w:p>
    <w:p>
      <w:pPr>
        <w:spacing w:after="0" w:line="112"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fraud, account takeover, false applications, and fake invoicing. We may suffer losses from acts of financial fraud committed by our clients, our clients’ customers and purported customers, our FlyMates and payment partners or third parties.</w:t>
      </w:r>
    </w:p>
    <w:p>
      <w:pPr>
        <w:spacing w:after="0" w:line="12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spacing w:after="0" w:line="139"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3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7"/>
          <w:szCs w:val="17"/>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p>
    <w:p>
      <w:pPr>
        <w:spacing w:after="0" w:line="12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Valencia, Spain, Cluj, Romania, Chicago, Tel Aviv, Israel and Brisbane,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82"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18"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36" w:lineRule="exact"/>
        <w:rPr>
          <w:sz w:val="20"/>
          <w:szCs w:val="20"/>
          <w:color w:val="auto"/>
        </w:rPr>
      </w:pPr>
    </w:p>
    <w:p>
      <w:pPr>
        <w:jc w:val="both"/>
        <w:ind w:right="520" w:firstLine="509"/>
        <w:spacing w:after="0" w:line="252"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4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42"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7"/>
          <w:szCs w:val="17"/>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15"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operating results, and financial condition may suffer.</w:t>
      </w:r>
    </w:p>
    <w:p>
      <w:pPr>
        <w:spacing w:after="0" w:line="11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believe that further developing, maintaining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p>
    <w:p>
      <w:pPr>
        <w:spacing w:after="0" w:line="146"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98"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61"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9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8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69" w:lineRule="exact"/>
        <w:rPr>
          <w:sz w:val="20"/>
          <w:szCs w:val="20"/>
          <w:color w:val="auto"/>
        </w:rPr>
      </w:pPr>
    </w:p>
    <w:p>
      <w:pPr>
        <w:ind w:right="300" w:firstLine="509"/>
        <w:spacing w:after="0" w:line="301" w:lineRule="auto"/>
        <w:rPr>
          <w:sz w:val="20"/>
          <w:szCs w:val="20"/>
          <w:color w:val="auto"/>
        </w:rPr>
      </w:pPr>
      <w:r>
        <w:rPr>
          <w:rFonts w:ascii="Arial" w:cs="Arial" w:eastAsia="Arial" w:hAnsi="Arial"/>
          <w:sz w:val="17"/>
          <w:szCs w:val="17"/>
          <w:color w:val="auto"/>
        </w:rPr>
        <w:t>We devote significant resources to establish relationships with new clients and deepen relationships with existing clients. The sales cycles of our solutions tend to vary depending on the client industry sector which may make forecasting more complex and uncertain.</w:t>
      </w:r>
    </w:p>
    <w:p>
      <w:pPr>
        <w:spacing w:after="0" w:line="103"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Although more customers and partners have relaxed restrictions imposed in response to the COVID-19 pandemic, many enterprises continue to restrict travel, limit availability of in person meetings and maintain other restrictions that could make the sales process more lengthy and difficult. 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the COVID-19 outbreak, increased inflationary conditions, recession concerns and the escalation of hostilities between Russia and Ukraine),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realize an expected sale from a large end-client in a particular quarter or at all, our business, operating results, and financial condition could be materially and adversely affected.</w:t>
      </w:r>
    </w:p>
    <w:p>
      <w:pPr>
        <w:spacing w:after="0" w:line="126"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39" w:lineRule="exact"/>
        <w:rPr>
          <w:sz w:val="20"/>
          <w:szCs w:val="20"/>
          <w:color w:val="auto"/>
        </w:rPr>
      </w:pPr>
    </w:p>
    <w:p>
      <w:pPr>
        <w:ind w:right="380" w:firstLine="509"/>
        <w:spacing w:after="0" w:line="243" w:lineRule="auto"/>
        <w:rPr>
          <w:sz w:val="20"/>
          <w:szCs w:val="20"/>
          <w:color w:val="auto"/>
        </w:rPr>
      </w:pPr>
      <w:r>
        <w:rPr>
          <w:rFonts w:ascii="Arial" w:cs="Arial" w:eastAsia="Arial" w:hAnsi="Arial"/>
          <w:sz w:val="18"/>
          <w:szCs w:val="18"/>
          <w:color w:val="auto"/>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41"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11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as a result of the COVID-19 pandemic and other factors.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43"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9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54"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In addition, as we continue to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38"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9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41"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Any acquisitions we undertake or have recently completed, including the acquisitions of Cohort Go in July 2022, WPM in December 2021 and Simplee in February 2020, will likely be accompanied by business risks which may include, among other things:</w:t>
      </w:r>
    </w:p>
    <w:p>
      <w:pPr>
        <w:spacing w:after="0" w:line="126" w:lineRule="exact"/>
        <w:rPr>
          <w:sz w:val="20"/>
          <w:szCs w:val="20"/>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the acquisition on our financial and strategic position and reputation;</w:t>
      </w:r>
    </w:p>
    <w:p>
      <w:pPr>
        <w:spacing w:after="0" w:line="183" w:lineRule="exact"/>
        <w:rPr>
          <w:rFonts w:ascii="Times New Roman" w:cs="Times New Roman" w:eastAsia="Times New Roman" w:hAnsi="Times New Roman"/>
          <w:sz w:val="18"/>
          <w:szCs w:val="18"/>
          <w:color w:val="auto"/>
        </w:rPr>
      </w:pPr>
    </w:p>
    <w:p>
      <w:pPr>
        <w:ind w:left="900" w:right="14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13" w:lineRule="exact"/>
        <w:rPr>
          <w:rFonts w:ascii="Times New Roman" w:cs="Times New Roman" w:eastAsia="Times New Roman" w:hAnsi="Times New Roman"/>
          <w:sz w:val="18"/>
          <w:szCs w:val="18"/>
          <w:color w:val="auto"/>
        </w:rPr>
      </w:pPr>
    </w:p>
    <w:p>
      <w:pPr>
        <w:ind w:left="900" w:right="102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83" w:lineRule="exact"/>
        <w:rPr>
          <w:rFonts w:ascii="Times New Roman" w:cs="Times New Roman" w:eastAsia="Times New Roman" w:hAnsi="Times New Roman"/>
          <w:sz w:val="18"/>
          <w:szCs w:val="18"/>
          <w:color w:val="auto"/>
        </w:rPr>
      </w:pPr>
    </w:p>
    <w:p>
      <w:pPr>
        <w:ind w:left="900" w:right="46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13" w:lineRule="exact"/>
        <w:rPr>
          <w:rFonts w:ascii="Times New Roman" w:cs="Times New Roman" w:eastAsia="Times New Roman" w:hAnsi="Times New Roman"/>
          <w:sz w:val="18"/>
          <w:szCs w:val="18"/>
          <w:color w:val="auto"/>
        </w:rPr>
      </w:pPr>
    </w:p>
    <w:p>
      <w:pPr>
        <w:ind w:left="900" w:right="60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lack of experience in new markets, new business culture, products or technologies or an initial dependence on unfamiliar distribution partners;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employees of the acquired business.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182" w:lineRule="exact"/>
        <w:rPr>
          <w:sz w:val="20"/>
          <w:szCs w:val="20"/>
          <w:color w:val="auto"/>
        </w:rPr>
      </w:pPr>
    </w:p>
    <w:p>
      <w:pPr>
        <w:ind w:right="260" w:firstLine="509"/>
        <w:spacing w:after="0" w:line="252" w:lineRule="auto"/>
        <w:rPr>
          <w:sz w:val="20"/>
          <w:szCs w:val="20"/>
          <w:color w:val="auto"/>
        </w:rPr>
      </w:pPr>
      <w:r>
        <w:rPr>
          <w:rFonts w:ascii="Arial" w:cs="Arial" w:eastAsia="Arial" w:hAnsi="Arial"/>
          <w:sz w:val="18"/>
          <w:szCs w:val="18"/>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and other natural disasters, including events resulting from climate change, war or other military conflict, including an escalation of the conflict between Russia and Ukraine,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5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4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42"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may experience financial losses due to a number of factors, including:</w:t>
      </w:r>
    </w:p>
    <w:p>
      <w:pPr>
        <w:spacing w:after="0" w:line="103" w:lineRule="exact"/>
        <w:rPr>
          <w:sz w:val="20"/>
          <w:szCs w:val="20"/>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supply chain impacts, including shortages of goods, raw materials, increased prices or delays in shipment;</w:t>
      </w:r>
    </w:p>
    <w:p>
      <w:pPr>
        <w:spacing w:after="0" w:line="115" w:lineRule="exact"/>
        <w:rPr>
          <w:rFonts w:ascii="Times New Roman" w:cs="Times New Roman" w:eastAsia="Times New Roman" w:hAnsi="Times New Roman"/>
          <w:sz w:val="18"/>
          <w:szCs w:val="18"/>
          <w:color w:val="auto"/>
        </w:rPr>
      </w:pPr>
    </w:p>
    <w:p>
      <w:pPr>
        <w:ind w:left="1020" w:right="20" w:hanging="504"/>
        <w:spacing w:after="0" w:line="252"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to the availability and reliability of our network due to changes to normal operations, including the possibility of one or more clusters of COVID-19 cases occurring at our suppliers’ data centers, affecting our FlyMates, or affecting the systems or employees of our clients or business partners;</w:t>
      </w:r>
    </w:p>
    <w:p>
      <w:pPr>
        <w:spacing w:after="0" w:line="61" w:lineRule="exact"/>
        <w:rPr>
          <w:rFonts w:ascii="Times New Roman" w:cs="Times New Roman" w:eastAsia="Times New Roman" w:hAnsi="Times New Roman"/>
          <w:sz w:val="18"/>
          <w:szCs w:val="18"/>
          <w:color w:val="auto"/>
        </w:rPr>
      </w:pPr>
    </w:p>
    <w:p>
      <w:pPr>
        <w:ind w:left="1020" w:right="200" w:hanging="504"/>
        <w:spacing w:after="0" w:line="252"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cyber and payment fraud risk related to the COVID-19 pandemic, as cybercriminals attempt DDoS related attacks, phishing scams and other disruptive actions, given the shift to online banking, e-commerce and other online activity, as well as more FlyMates working remotely as a result of the pandemic; and</w:t>
      </w:r>
    </w:p>
    <w:p>
      <w:pPr>
        <w:spacing w:after="0" w:line="61" w:lineRule="exact"/>
        <w:rPr>
          <w:rFonts w:ascii="Times New Roman" w:cs="Times New Roman" w:eastAsia="Times New Roman" w:hAnsi="Times New Roman"/>
          <w:sz w:val="18"/>
          <w:szCs w:val="18"/>
          <w:color w:val="auto"/>
        </w:rPr>
      </w:pPr>
    </w:p>
    <w:p>
      <w:pPr>
        <w:ind w:left="1020" w:right="100" w:hanging="504"/>
        <w:spacing w:after="0" w:line="246"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system failures or outages, including any potential disruptions due to significantly increased global demand on certain cloud-based systems during the COVID-19 pandemic, could compromise our ability to provide our solutions in a timely manner, which could harm our ability to conduct business or delay our financial reporting. Such failures could adversely affect our operating results and financial condition.</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3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39"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86"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2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United States-China diplomatic and trade friction, heightened tensions between China and Taiwan and the escalation of the conflict between Russia and Ukraine,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45" w:lineRule="exact"/>
        <w:rPr>
          <w:sz w:val="20"/>
          <w:szCs w:val="20"/>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volatility;</w:t>
      </w:r>
    </w:p>
    <w:p>
      <w:pPr>
        <w:spacing w:after="0" w:line="196" w:lineRule="exact"/>
        <w:rPr>
          <w:rFonts w:ascii="Times New Roman" w:cs="Times New Roman" w:eastAsia="Times New Roman" w:hAnsi="Times New Roman"/>
          <w:sz w:val="18"/>
          <w:szCs w:val="18"/>
          <w:color w:val="auto"/>
        </w:rPr>
      </w:pPr>
    </w:p>
    <w:p>
      <w:pPr>
        <w:ind w:left="900" w:right="20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adverse economic conditions in the United States and globally, including economic slowdown, inflation, recession concerns and the disruption, volatility and tightening of credit and capital markets;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government regulation or required compliance with local laws;</w:t>
      </w:r>
    </w:p>
    <w:p>
      <w:pPr>
        <w:spacing w:after="0" w:line="183" w:lineRule="exact"/>
        <w:rPr>
          <w:rFonts w:ascii="Times New Roman" w:cs="Times New Roman" w:eastAsia="Times New Roman" w:hAnsi="Times New Roman"/>
          <w:sz w:val="18"/>
          <w:szCs w:val="18"/>
          <w:color w:val="auto"/>
        </w:rPr>
      </w:pPr>
    </w:p>
    <w:p>
      <w:pPr>
        <w:ind w:left="900" w:right="8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83" w:lineRule="exact"/>
        <w:rPr>
          <w:rFonts w:ascii="Times New Roman" w:cs="Times New Roman" w:eastAsia="Times New Roman" w:hAnsi="Times New Roman"/>
          <w:sz w:val="18"/>
          <w:szCs w:val="18"/>
          <w:color w:val="auto"/>
        </w:rPr>
      </w:pPr>
    </w:p>
    <w:p>
      <w:pPr>
        <w:ind w:left="900" w:right="680" w:hanging="263"/>
        <w:spacing w:after="0" w:line="300" w:lineRule="auto"/>
        <w:tabs>
          <w:tab w:leader="none" w:pos="90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90" w:lineRule="exact"/>
        <w:rPr>
          <w:rFonts w:ascii="Times New Roman" w:cs="Times New Roman" w:eastAsia="Times New Roman" w:hAnsi="Times New Roman"/>
          <w:sz w:val="17"/>
          <w:szCs w:val="17"/>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trade barriers and changes in trade regulations;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900" w:right="26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sanctions on our ability to offer services in a region, such as the sanctions recently announced by the U.S. and other countries against Russia;</w:t>
      </w:r>
    </w:p>
    <w:p>
      <w:pPr>
        <w:spacing w:after="0" w:line="126" w:lineRule="exact"/>
        <w:rPr>
          <w:rFonts w:ascii="Times New Roman" w:cs="Times New Roman" w:eastAsia="Times New Roman" w:hAnsi="Times New Roman"/>
          <w:sz w:val="18"/>
          <w:szCs w:val="18"/>
          <w:color w:val="auto"/>
        </w:rPr>
      </w:pPr>
    </w:p>
    <w:p>
      <w:pPr>
        <w:ind w:left="900" w:right="28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stringent local labor laws and regulations;</w:t>
      </w:r>
    </w:p>
    <w:p>
      <w:pPr>
        <w:spacing w:after="0" w:line="183" w:lineRule="exact"/>
        <w:rPr>
          <w:rFonts w:ascii="Times New Roman" w:cs="Times New Roman" w:eastAsia="Times New Roman" w:hAnsi="Times New Roman"/>
          <w:sz w:val="18"/>
          <w:szCs w:val="18"/>
          <w:color w:val="auto"/>
        </w:rPr>
      </w:pPr>
    </w:p>
    <w:p>
      <w:pPr>
        <w:ind w:left="900" w:right="34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26"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diplomatic friction, political or social unrest, war or other military conflict, including an escalation of the conflict between Russia and Ukraine, economic instability, repression, or human rights issues;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83" w:lineRule="exact"/>
        <w:rPr>
          <w:rFonts w:ascii="Times New Roman" w:cs="Times New Roman" w:eastAsia="Times New Roman" w:hAnsi="Times New Roman"/>
          <w:sz w:val="18"/>
          <w:szCs w:val="18"/>
          <w:color w:val="auto"/>
        </w:rPr>
      </w:pPr>
    </w:p>
    <w:p>
      <w:pPr>
        <w:ind w:left="900" w:right="42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83" w:lineRule="exact"/>
        <w:rPr>
          <w:rFonts w:ascii="Times New Roman" w:cs="Times New Roman" w:eastAsia="Times New Roman" w:hAnsi="Times New Roman"/>
          <w:sz w:val="18"/>
          <w:szCs w:val="18"/>
          <w:color w:val="auto"/>
        </w:rPr>
      </w:pPr>
    </w:p>
    <w:p>
      <w:pPr>
        <w:ind w:left="900" w:right="4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antitrust and competition regulations;</w:t>
      </w:r>
    </w:p>
    <w:p>
      <w:pPr>
        <w:spacing w:after="0" w:line="196" w:lineRule="exact"/>
        <w:rPr>
          <w:rFonts w:ascii="Times New Roman" w:cs="Times New Roman" w:eastAsia="Times New Roman" w:hAnsi="Times New Roman"/>
          <w:sz w:val="18"/>
          <w:szCs w:val="18"/>
          <w:color w:val="auto"/>
        </w:rPr>
      </w:pPr>
    </w:p>
    <w:p>
      <w:pPr>
        <w:ind w:left="900" w:right="100" w:hanging="263"/>
        <w:spacing w:after="0" w:line="243"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recently enacted Inflation Reduction Act of 2022, which includes a minimum corporate tax which could result in an additional tax liability in a given year;</w:t>
      </w:r>
    </w:p>
    <w:p>
      <w:pPr>
        <w:spacing w:after="0" w:line="137" w:lineRule="exact"/>
        <w:rPr>
          <w:rFonts w:ascii="Times New Roman" w:cs="Times New Roman" w:eastAsia="Times New Roman" w:hAnsi="Times New Roman"/>
          <w:sz w:val="18"/>
          <w:szCs w:val="18"/>
          <w:color w:val="auto"/>
        </w:rPr>
      </w:pPr>
    </w:p>
    <w:p>
      <w:pPr>
        <w:ind w:left="900" w:right="50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federal government shutdowns, partisan gridlock that results in the inability of Congress to take action or changes to government policy;</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national or regional differences in macroeconomic growth rates; and</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difficulties in collecting accounts receivable.</w:t>
      </w:r>
    </w:p>
    <w:p>
      <w:pPr>
        <w:spacing w:after="0" w:line="18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4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5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9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45"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Certain of our subsidiaries are registered with FinCEN. Our subsidiary Flywire Global Corp. has obtained licenses to operate as a money transmitter (or the statutory equivalent) in 41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5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57"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9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4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Government agencies may impose new or additional rules on money transmission, which may increase our costs of doing business, including, but not limited to regulations that:</w:t>
      </w:r>
    </w:p>
    <w:p>
      <w:pPr>
        <w:spacing w:after="0" w:line="126" w:lineRule="exact"/>
        <w:rPr>
          <w:sz w:val="20"/>
          <w:szCs w:val="20"/>
          <w:color w:val="auto"/>
        </w:rPr>
      </w:pPr>
    </w:p>
    <w:p>
      <w:pPr>
        <w:ind w:left="900" w:right="280" w:hanging="263"/>
        <w:spacing w:after="0" w:line="270"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client identification and client due diligence requirements;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96" w:lineRule="exact"/>
        <w:rPr>
          <w:rFonts w:ascii="Times New Roman" w:cs="Times New Roman" w:eastAsia="Times New Roman" w:hAnsi="Times New Roman"/>
          <w:sz w:val="18"/>
          <w:szCs w:val="18"/>
          <w:color w:val="auto"/>
        </w:rPr>
      </w:pPr>
    </w:p>
    <w:p>
      <w:pPr>
        <w:ind w:left="900" w:right="800" w:hanging="263"/>
        <w:spacing w:after="0" w:line="270"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impose minimum capital or other financial requirements;</w:t>
      </w:r>
    </w:p>
    <w:p>
      <w:pPr>
        <w:spacing w:after="0" w:line="183" w:lineRule="exact"/>
        <w:rPr>
          <w:rFonts w:ascii="Times New Roman" w:cs="Times New Roman" w:eastAsia="Times New Roman" w:hAnsi="Times New Roman"/>
          <w:sz w:val="18"/>
          <w:szCs w:val="18"/>
          <w:color w:val="auto"/>
        </w:rPr>
      </w:pPr>
    </w:p>
    <w:p>
      <w:pPr>
        <w:ind w:left="900" w:right="420" w:hanging="263"/>
        <w:spacing w:after="0" w:line="252"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42"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83" w:lineRule="exact"/>
        <w:rPr>
          <w:rFonts w:ascii="Times New Roman" w:cs="Times New Roman" w:eastAsia="Times New Roman" w:hAnsi="Times New Roman"/>
          <w:sz w:val="18"/>
          <w:szCs w:val="18"/>
          <w:color w:val="auto"/>
        </w:rPr>
      </w:pPr>
    </w:p>
    <w:p>
      <w:pPr>
        <w:ind w:left="900" w:right="300" w:hanging="263"/>
        <w:spacing w:after="0" w:line="270"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13" w:lineRule="exact"/>
        <w:rPr>
          <w:rFonts w:ascii="Times New Roman" w:cs="Times New Roman" w:eastAsia="Times New Roman" w:hAnsi="Times New Roman"/>
          <w:sz w:val="18"/>
          <w:szCs w:val="18"/>
          <w:color w:val="auto"/>
        </w:rPr>
      </w:pPr>
    </w:p>
    <w:p>
      <w:pPr>
        <w:ind w:left="900" w:right="140" w:hanging="263"/>
        <w:spacing w:after="0" w:line="270"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26" w:lineRule="exact"/>
        <w:rPr>
          <w:rFonts w:ascii="Times New Roman" w:cs="Times New Roman" w:eastAsia="Times New Roman" w:hAnsi="Times New Roman"/>
          <w:sz w:val="18"/>
          <w:szCs w:val="18"/>
          <w:color w:val="auto"/>
        </w:rPr>
      </w:pPr>
    </w:p>
    <w:p>
      <w:pPr>
        <w:ind w:left="900" w:right="540" w:hanging="263"/>
        <w:spacing w:after="0" w:line="270"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15"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9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are currently required to comply with U.S. economic and trade sanctions administered by OFAC and we have processes in place to comply with the OFAC regulations as well as similar requirements in the foreign jurisdictions in which we already operate. As part of our compliance efforts, we scan our clients against watch lists promulgated by OFAC and certain other international agencies. Our application can be accessed from anywhere in the world, and if our service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is accessed from a sanctioned country in violation of applicable trade and economic sanctions, we could be subject to fines or other enforcement actions. 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4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business operations in other parts of the world such as the U.K., Lithuania, Canada, Australia, New Zealand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1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5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55"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Virginia became the second state after California to enact a broad privacy law with the passage of the Virginia Consumer Data Protection Act (CDPA) on March 2, 2021. The CDPA contains several new requirements for covered companies that may add operational challenges, including a greater emphasis on transparency, broader affirmative consent or opt-in requirements to process sensitive personal data, broader opt-out rights and data protection assessment requirements for certain sales of personal data as well as targeted advertising and profiling, and an appeal process for denials of consumer rights requests. The law took effect January 1, 2023, the same day as the CPRA. Colorado became the third state with the passage of the Colorado Privacy Act (CPA) on July 8, 2021. Like the CDPA, the CPA provides consumers the right to opt out of processing for sales of personal data, targeted advertising, and profiling, provides the right to appeal a business’ denial to take action, among other new consumer rights, requires data protection assessments for certain processing activities, and, unlike the CDPA, grants the Attorney General rulemaking powers. The law will take effect on July 1, 2023. Unlike in California, neither law provides for a private right of action. We anticipate that more states may enact legislation similar to the CCPA, which provides consumers with new privacy rights and increases the privacy and security obligations of entities handling certain personal information of such consumers. For example, the Utah Consumer Privacy Act became law on March 24, 2022. The Utah legislation most closely mirrors Virginia’s CDPA and will go into effect on December 31, 2023.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5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3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Recent 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 xml:space="preserve">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5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p>
    <w:p>
      <w:pPr>
        <w:spacing w:after="0" w:line="14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4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3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42" w:lineRule="exact"/>
        <w:rPr>
          <w:sz w:val="20"/>
          <w:szCs w:val="20"/>
          <w:color w:val="auto"/>
        </w:rPr>
      </w:pPr>
    </w:p>
    <w:p>
      <w:pPr>
        <w:ind w:right="320" w:firstLine="509"/>
        <w:spacing w:after="0" w:line="266" w:lineRule="auto"/>
        <w:rPr>
          <w:sz w:val="20"/>
          <w:szCs w:val="20"/>
          <w:color w:val="auto"/>
        </w:rPr>
      </w:pPr>
      <w:r>
        <w:rPr>
          <w:rFonts w:ascii="Arial" w:cs="Arial" w:eastAsia="Arial" w:hAnsi="Arial"/>
          <w:sz w:val="17"/>
          <w:szCs w:val="17"/>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18"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China (home to the most online users in the world), is one of the latest countries to pass a new omnibus privacy law. China passed its new Data Security Law (DSL) in June 2021 and its new Personal Information Protection Law (PIPL) in August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recent enforcement actions against Alibaba Group Holding Ltd and Didi Global Inc. in 2022.</w:t>
      </w:r>
    </w:p>
    <w:p>
      <w:pPr>
        <w:spacing w:after="0" w:line="145"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As a reaction to data security concerns, the Australian parliament recently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will have new regulatory tools and flexibility that should, together with an ongoing focus on funding, see a more proactive regulator with capacity and capability to investigate and litigate more privacy incidents in Australia.</w:t>
      </w:r>
    </w:p>
    <w:p>
      <w:pPr>
        <w:spacing w:after="0" w:line="142" w:lineRule="exact"/>
        <w:rPr>
          <w:sz w:val="20"/>
          <w:szCs w:val="20"/>
          <w:color w:val="auto"/>
        </w:rPr>
      </w:pPr>
    </w:p>
    <w:p>
      <w:pPr>
        <w:jc w:val="both"/>
        <w:ind w:right="140" w:firstLine="559"/>
        <w:spacing w:after="0" w:line="252"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spacing w:after="0" w:line="13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5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44"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9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56"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44"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In February 2022, following Russia’s invasion of Ukraine, the United States and other countries announced sanctions against Russia. The sanctions announced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56"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9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45"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p>
    <w:p>
      <w:pPr>
        <w:spacing w:after="0" w:line="14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4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44"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44"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9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56" w:lineRule="exact"/>
        <w:rPr>
          <w:sz w:val="20"/>
          <w:szCs w:val="20"/>
          <w:color w:val="auto"/>
        </w:rPr>
      </w:pPr>
    </w:p>
    <w:p>
      <w:pPr>
        <w:jc w:val="both"/>
        <w:ind w:right="40" w:firstLine="509"/>
        <w:spacing w:after="0" w:line="252"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56"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9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U.K.’s departure from the E.U. could adversely affect us.</w:t>
      </w:r>
    </w:p>
    <w:p>
      <w:pPr>
        <w:spacing w:after="0" w:line="182" w:lineRule="exact"/>
        <w:rPr>
          <w:sz w:val="20"/>
          <w:szCs w:val="20"/>
          <w:color w:val="auto"/>
        </w:rPr>
      </w:pPr>
    </w:p>
    <w:p>
      <w:pPr>
        <w:jc w:val="both"/>
        <w:ind w:right="40" w:firstLine="509"/>
        <w:spacing w:after="0" w:line="252" w:lineRule="auto"/>
        <w:rPr>
          <w:sz w:val="20"/>
          <w:szCs w:val="20"/>
          <w:color w:val="auto"/>
        </w:rPr>
      </w:pPr>
      <w:r>
        <w:rPr>
          <w:rFonts w:ascii="Arial" w:cs="Arial" w:eastAsia="Arial" w:hAnsi="Arial"/>
          <w:sz w:val="18"/>
          <w:szCs w:val="18"/>
          <w:color w:val="auto"/>
        </w:rPr>
        <w:t>The U.K. formally exited the E.U. on January 31, 2020 and a transition period was in place until December 31, 2020 during which time the U.K. remained in both the E.U. customs union and single market and was subject to E.U. rules. There continues to be a significant lack of clarity over the terms of the U.K.’s future relationship with the E.U. in the future.</w:t>
      </w:r>
    </w:p>
    <w:p>
      <w:pPr>
        <w:spacing w:after="0" w:line="130"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Brexit could therefore adversely affect U.K., regional (including European), and worldwide economic and market conditions and could contribute to instability in global financial and foreign currency exchange markets, including volatility in the value of the British Pound and Euro, which in turn could adversely affect us or our clients and companies with which we do business, particularly in the U.K. Brexit could lead to greater restrictions on travel between the U.K. and the EEA region, with the potential inability of students to travel or relocate for purposes of seeking foreign educational opportunities. Brexit could also trigger a general deterioration in credit conditions, a downturn in consumer sentiment, and overall negative economic growth. Any of these scenarios could have an adverse effect on our business or our clients.</w:t>
      </w:r>
    </w:p>
    <w:p>
      <w:pPr>
        <w:spacing w:after="0" w:line="142" w:lineRule="exact"/>
        <w:rPr>
          <w:sz w:val="20"/>
          <w:szCs w:val="20"/>
          <w:color w:val="auto"/>
        </w:rPr>
      </w:pPr>
    </w:p>
    <w:p>
      <w:pPr>
        <w:jc w:val="both"/>
        <w:ind w:right="100" w:firstLine="509"/>
        <w:spacing w:after="0" w:line="252" w:lineRule="auto"/>
        <w:rPr>
          <w:sz w:val="20"/>
          <w:szCs w:val="20"/>
          <w:color w:val="auto"/>
        </w:rPr>
      </w:pPr>
      <w:r>
        <w:rPr>
          <w:rFonts w:ascii="Arial" w:cs="Arial" w:eastAsia="Arial" w:hAnsi="Arial"/>
          <w:sz w:val="18"/>
          <w:szCs w:val="18"/>
          <w:color w:val="auto"/>
        </w:rPr>
        <w:t>In addition, Brexit could lead to legal uncertainty and increased complexity for financial services firms as national laws and regulations in the U.K. start to diverge from E.U. laws and regulations. In particular, depending on the terms of Brexit, we may face new regulatory costs and challenges, including the following:</w:t>
      </w:r>
    </w:p>
    <w:p>
      <w:pPr>
        <w:spacing w:after="0" w:line="144" w:lineRule="exact"/>
        <w:rPr>
          <w:sz w:val="20"/>
          <w:szCs w:val="20"/>
          <w:color w:val="auto"/>
        </w:rPr>
      </w:pPr>
    </w:p>
    <w:p>
      <w:pPr>
        <w:ind w:left="900" w:right="180" w:hanging="263"/>
        <w:spacing w:after="0" w:line="252"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utilize appropriate authorizations and regulatory permissions, our European operations could lose their ability to offer services into the U.K. market on a cross-border basis and for our U.K. based operations to offer services on a cross-border basis in the European markets;</w:t>
      </w:r>
    </w:p>
    <w:p>
      <w:pPr>
        <w:spacing w:after="0" w:line="129" w:lineRule="exact"/>
        <w:rPr>
          <w:rFonts w:ascii="Times New Roman" w:cs="Times New Roman" w:eastAsia="Times New Roman" w:hAnsi="Times New Roman"/>
          <w:sz w:val="18"/>
          <w:szCs w:val="18"/>
          <w:color w:val="auto"/>
        </w:rPr>
      </w:pPr>
    </w:p>
    <w:p>
      <w:pPr>
        <w:ind w:left="900" w:right="360" w:hanging="263"/>
        <w:spacing w:after="0" w:line="252"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required to obtain additional regulatory permissions to operate in the U.K. market, adding costs and potential inconsistency to our business. Depending on the capacity of the U.K. authorities, the criteria for obtaining permission, and any possible transitional arrangements, our business in the U.K. could be materially affected or disrupted;</w:t>
      </w:r>
    </w:p>
    <w:p>
      <w:pPr>
        <w:spacing w:after="0" w:line="129" w:lineRule="exact"/>
        <w:rPr>
          <w:rFonts w:ascii="Times New Roman" w:cs="Times New Roman" w:eastAsia="Times New Roman" w:hAnsi="Times New Roman"/>
          <w:sz w:val="18"/>
          <w:szCs w:val="18"/>
          <w:color w:val="auto"/>
        </w:rPr>
      </w:pPr>
    </w:p>
    <w:p>
      <w:pPr>
        <w:ind w:left="900" w:right="460" w:hanging="263"/>
        <w:spacing w:after="0" w:line="270"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required to comply with legal and regulatory requirements in the U.K. that are in addition to, or inconsistent with, those of the E.U., leading to increased complexity and costs for our European and U.K. operations; and</w:t>
      </w:r>
    </w:p>
    <w:p>
      <w:pPr>
        <w:spacing w:after="0" w:line="126" w:lineRule="exact"/>
        <w:rPr>
          <w:rFonts w:ascii="Times New Roman" w:cs="Times New Roman" w:eastAsia="Times New Roman" w:hAnsi="Times New Roman"/>
          <w:sz w:val="18"/>
          <w:szCs w:val="18"/>
          <w:color w:val="auto"/>
        </w:rPr>
      </w:pPr>
    </w:p>
    <w:p>
      <w:pPr>
        <w:ind w:left="900" w:right="720" w:hanging="263"/>
        <w:spacing w:after="0" w:line="270"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the necessary human resources in appropriate locations to support our U.K. and European business could be adversely impacted.</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These and other factors related to Brexit could, individually or in the aggregate, have a material adverse impact on our business, financial condition, and results of operations.</w:t>
      </w:r>
    </w:p>
    <w:p>
      <w:pPr>
        <w:spacing w:after="0" w:line="128"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98"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42"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For example, the recently enacted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4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45"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4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 to offset future taxable income may be subject to certain limitations.</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As of December 31, 2022, we had U.S. federal NOL carryforwards of approximately $119.2 million and state NOL carryforwards of approximately $165.0 million. The federal and material state NOL carryforwards will begin to expire in 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over their lowest ownership percentage within a rolling three-year period. If it is determined that we have in the past experienced an ownership change including, but not limited to, as a result of our initial public offering (IPO), or if we undergo one or more ownership changes as a result of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material portion of the NOLs, even if we were to achieve profitability.</w:t>
      </w:r>
    </w:p>
    <w:p>
      <w:pPr>
        <w:spacing w:after="0" w:line="156"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During 2022, we completed a Section 382 study from January 1, 2010, the first day of the first taxable year that we had NOL carryforwards, through June 30, 2021. During this period, we underwent two ownership changes for Section 382 purposes. The ownership changes occurred on June 29, 2011 (the June 2011 Change) and July 12, 2013 (the July 2013 Change) as result of our issuance and sale of preferred stock. Approximately $ 14.9 million of NOLs were generated through December 31, 2013. As a result of the ownership changes, all of Flywire's NOLs as of the June 2011 Change and the July 2013 Change are subject to limitation under Section 382, of which $1.6 million NOLs will expire unutilized, assuming sufficient taxable income is generated in the future. Additionally, we completed a Section 382 study for Simplee which we acquired in February 2020. The study was completed for the periods from August 26, 2010, the inception of Simplee, through February 13, 2020, the date that we acquired Simplee. During this period, Simplee underwent four ownership changes. The ownership changes occurred on October 27, 2010, April 13, 2011, May 10, 2012 (the May 2012 Change), all in connection with the issuance and sale of preferred stock, and February 13, 2020 (the February 2020 Change), in connection with its complete acquisition by Flywire. Approximately $35.7 million of NOLs were generated through February 13, 2020. As a result of the ownership changes, all of Simplee’s NOLs as of the May 2012 Change and the February 2020 Change are subject to limitation under Section 382, of which $0.2 million NOLs will expire unutilized, assuming sufficient taxable income is generated in the future.</w:t>
      </w:r>
    </w:p>
    <w:p>
      <w:pPr>
        <w:spacing w:after="0" w:line="148"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1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5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This assessment includes disclosure of any material weaknesses identified by our management in our internal control over financial reporting and our independent registered public accounting firm will be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spacing w:after="0" w:line="13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may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42"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We are actively engaged in the costly and challenging process of performing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4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18"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Investor advocacy groups, certain institutional investors, investment funds, other market participants, stockholders, and consumer groups have focused increasingly on the environmental, social and governance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59"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In addition, increasing governmental interest in, and public awareness of, the impacts and effects of climate change and greater emphasis on sustainability by federal, state, and international governments could lead to further regulatory</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 continue to develop in ways, that require our business to adapt. Many U.S. states, either individually or through multi-state regional initiatives, have begun to address greenhouse gas emissions, including disclosure requirements relating thereto, and some U.S. states have also adopted various ESG-related efforts, initiatives and requirements. As a result, governments may enact new laws and regulations and/or view matters or interpret laws and regulations differently than they have in the past, including laws and regulations which are responsive to ESG trends or otherwise seek to reduce the carbon emissions relating to travel and set minimum energy efficiency requirements, which could materially adversely affect our business, results of operations, and financial condition. The legislative landscape continues to be in a state of constant change as well as legal challenge with respect to these laws and regulations, making it difficult to predict with certainty the ultimate impact they will have on our business in the aggregate.</w:t>
      </w:r>
    </w:p>
    <w:p>
      <w:pPr>
        <w:spacing w:after="0" w:line="161"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98"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As a public company, we will continue to incur significant legal, accounting, and other expenses that we did not incur as a private company, which we expect to further increase in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new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active or liquid market in our common stock may not be sustainable.</w:t>
      </w:r>
    </w:p>
    <w:p>
      <w:pPr>
        <w:spacing w:after="0" w:line="171"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126" w:lineRule="exact"/>
        <w:rPr>
          <w:sz w:val="20"/>
          <w:szCs w:val="20"/>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overall performance of the equity markets;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performance and the performance of other similar companies;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roll out of new solutions;</w:t>
      </w:r>
    </w:p>
    <w:p>
      <w:pPr>
        <w:spacing w:after="0" w:line="196" w:lineRule="exact"/>
        <w:rPr>
          <w:rFonts w:ascii="Times New Roman" w:cs="Times New Roman" w:eastAsia="Times New Roman" w:hAnsi="Times New Roman"/>
          <w:sz w:val="18"/>
          <w:szCs w:val="18"/>
          <w:color w:val="auto"/>
        </w:rPr>
      </w:pPr>
    </w:p>
    <w:p>
      <w:pPr>
        <w:ind w:left="1020" w:right="480" w:hanging="504"/>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actions with respect to our payment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our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recruitment or departure of key personnel;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1020" w:right="220" w:hanging="504"/>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economy as a whole and market conditions in our industry, including conditions resulting from the effects of the COVID-19 pandemic;</w:t>
      </w:r>
    </w:p>
    <w:p>
      <w:pPr>
        <w:spacing w:after="0" w:line="45" w:lineRule="exact"/>
        <w:rPr>
          <w:rFonts w:ascii="Times New Roman" w:cs="Times New Roman" w:eastAsia="Times New Roman" w:hAnsi="Times New Roman"/>
          <w:sz w:val="18"/>
          <w:szCs w:val="18"/>
          <w:color w:val="auto"/>
        </w:rPr>
      </w:pPr>
    </w:p>
    <w:p>
      <w:pPr>
        <w:ind w:left="1020" w:right="620" w:hanging="504"/>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economic instability, repression, or human rights issues;</w:t>
      </w:r>
    </w:p>
    <w:p>
      <w:pPr>
        <w:spacing w:after="0" w:line="12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payment systems;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effects of ongoing United States-China diplomatic and trade friction;</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expiration of market standoff or contractual lock-up agreements;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market float; and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Annual Report on Form 10-K and our other SEC filings.</w:t>
      </w:r>
    </w:p>
    <w:p>
      <w:pPr>
        <w:spacing w:after="0" w:line="183"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2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Concerns over economic recession, the ongoing effects of the COVID-19 pandemic, interest rate increases and inflation, supply chain delays and disruptions, policy priorities of the U.S. presidential administration and Congress,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44"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38"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6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which could cause our stock price to decline.</w:t>
      </w:r>
    </w:p>
    <w:p>
      <w:pPr>
        <w:spacing w:after="0" w:line="177"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1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41"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98"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107,472,980 shares of our voting common stock and 1,873,320 shares of our non-voting common stock outstanding as of December 31, 2022.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55"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36" w:lineRule="exact"/>
        <w:rPr>
          <w:sz w:val="20"/>
          <w:szCs w:val="20"/>
          <w:color w:val="auto"/>
        </w:rPr>
      </w:pPr>
    </w:p>
    <w:p>
      <w:pPr>
        <w:ind w:right="320" w:firstLine="509"/>
        <w:spacing w:after="0" w:line="301"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92"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1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As of December 31, 2022,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1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46"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9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52" w:lineRule="exact"/>
        <w:rPr>
          <w:sz w:val="20"/>
          <w:szCs w:val="20"/>
          <w:color w:val="auto"/>
        </w:rPr>
      </w:pPr>
    </w:p>
    <w:p>
      <w:pPr>
        <w:ind w:left="900" w:right="700" w:hanging="263"/>
        <w:spacing w:after="0" w:line="270"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13" w:lineRule="exact"/>
        <w:rPr>
          <w:rFonts w:ascii="Times New Roman" w:cs="Times New Roman" w:eastAsia="Times New Roman" w:hAnsi="Times New Roman"/>
          <w:sz w:val="18"/>
          <w:szCs w:val="18"/>
          <w:color w:val="auto"/>
        </w:rPr>
      </w:pPr>
    </w:p>
    <w:p>
      <w:pPr>
        <w:jc w:val="both"/>
        <w:ind w:left="900" w:right="140" w:hanging="263"/>
        <w:spacing w:after="0" w:line="252"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29" w:lineRule="exact"/>
        <w:rPr>
          <w:rFonts w:ascii="Times New Roman" w:cs="Times New Roman" w:eastAsia="Times New Roman" w:hAnsi="Times New Roman"/>
          <w:sz w:val="18"/>
          <w:szCs w:val="18"/>
          <w:color w:val="auto"/>
        </w:rPr>
      </w:pPr>
    </w:p>
    <w:p>
      <w:pPr>
        <w:ind w:left="900" w:right="20" w:hanging="263"/>
        <w:spacing w:after="0" w:line="252"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42" w:lineRule="exact"/>
        <w:rPr>
          <w:rFonts w:ascii="Times New Roman" w:cs="Times New Roman" w:eastAsia="Times New Roman" w:hAnsi="Times New Roman"/>
          <w:sz w:val="18"/>
          <w:szCs w:val="18"/>
          <w:color w:val="auto"/>
        </w:rPr>
      </w:pPr>
    </w:p>
    <w:p>
      <w:pPr>
        <w:ind w:left="900" w:right="40" w:hanging="263"/>
        <w:spacing w:after="0" w:line="270"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3" w:lineRule="exact"/>
        <w:rPr>
          <w:rFonts w:ascii="Times New Roman" w:cs="Times New Roman" w:eastAsia="Times New Roman" w:hAnsi="Times New Roman"/>
          <w:sz w:val="18"/>
          <w:szCs w:val="18"/>
          <w:color w:val="auto"/>
        </w:rPr>
      </w:pPr>
    </w:p>
    <w:p>
      <w:pPr>
        <w:ind w:left="900" w:right="220" w:hanging="263"/>
        <w:spacing w:after="0" w:line="252"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29" w:lineRule="exact"/>
        <w:rPr>
          <w:rFonts w:ascii="Times New Roman" w:cs="Times New Roman" w:eastAsia="Times New Roman" w:hAnsi="Times New Roman"/>
          <w:sz w:val="18"/>
          <w:szCs w:val="18"/>
          <w:color w:val="auto"/>
        </w:rPr>
      </w:pPr>
    </w:p>
    <w:p>
      <w:pPr>
        <w:ind w:left="900" w:right="220" w:hanging="263"/>
        <w:spacing w:after="0" w:line="246"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48" w:lineRule="exact"/>
        <w:rPr>
          <w:rFonts w:ascii="Times New Roman" w:cs="Times New Roman" w:eastAsia="Times New Roman" w:hAnsi="Times New Roman"/>
          <w:sz w:val="18"/>
          <w:szCs w:val="18"/>
          <w:color w:val="auto"/>
        </w:rPr>
      </w:pPr>
    </w:p>
    <w:p>
      <w:pPr>
        <w:ind w:left="900" w:right="220" w:hanging="263"/>
        <w:spacing w:after="0" w:line="252"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29"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36"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46"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spacing w:after="0" w:line="12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jc w:val="center"/>
        <w:ind w:right="8080"/>
        <w:spacing w:after="0"/>
        <w:rPr>
          <w:sz w:val="20"/>
          <w:szCs w:val="20"/>
          <w:color w:val="auto"/>
        </w:rPr>
      </w:pPr>
      <w:r>
        <w:rPr>
          <w:rFonts w:ascii="Arial" w:cs="Arial" w:eastAsia="Arial" w:hAnsi="Arial"/>
          <w:sz w:val="17"/>
          <w:szCs w:val="17"/>
          <w:b w:val="1"/>
          <w:bCs w:val="1"/>
          <w:color w:val="auto"/>
        </w:rPr>
        <w:t>Item 1B. Unresolved Staff Comments</w:t>
      </w:r>
    </w:p>
    <w:p>
      <w:pPr>
        <w:spacing w:after="0" w:line="196" w:lineRule="exact"/>
        <w:rPr>
          <w:sz w:val="20"/>
          <w:szCs w:val="20"/>
          <w:color w:val="auto"/>
        </w:rPr>
      </w:pPr>
    </w:p>
    <w:p>
      <w:pPr>
        <w:jc w:val="center"/>
        <w:ind w:right="974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9720"/>
        <w:spacing w:after="0"/>
        <w:rPr>
          <w:sz w:val="20"/>
          <w:szCs w:val="20"/>
          <w:color w:val="auto"/>
        </w:rPr>
      </w:pPr>
      <w:r>
        <w:rPr>
          <w:rFonts w:ascii="Arial" w:cs="Arial" w:eastAsia="Arial" w:hAnsi="Arial"/>
          <w:sz w:val="18"/>
          <w:szCs w:val="18"/>
          <w:b w:val="1"/>
          <w:bCs w:val="1"/>
          <w:color w:val="auto"/>
        </w:rPr>
        <w:t>Item 2. Properties</w:t>
      </w:r>
    </w:p>
    <w:p>
      <w:pPr>
        <w:spacing w:after="0" w:line="171"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Our corporate headquarters are located in Boston, Massachusetts, where we occupy facilities totaling approximately 16,419 square feet under a lease that expires in March 2024. We use these facilities for administration, finance, legal, compliance, human resources, global payments, IT, sales and marketing, engineering, and customer success.</w:t>
      </w:r>
    </w:p>
    <w:p>
      <w:pPr>
        <w:spacing w:after="0" w:line="144"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We maintain other leased locations in the United States and throughout the world. We intend to procure additional space as we add FlyMates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18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Our voting common stock trades on the Nasdaq Global Select Market under the symbol “FLYW.” Our non-voting common stock is not listed on any stock exchange nor traded on any public market.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4" w:lineRule="exact"/>
        <w:rPr>
          <w:sz w:val="20"/>
          <w:szCs w:val="20"/>
          <w:color w:val="auto"/>
        </w:rPr>
      </w:pPr>
    </w:p>
    <w:p>
      <w:pPr>
        <w:ind w:right="360" w:firstLine="509"/>
        <w:spacing w:after="0" w:line="301" w:lineRule="auto"/>
        <w:rPr>
          <w:sz w:val="20"/>
          <w:szCs w:val="20"/>
          <w:color w:val="auto"/>
        </w:rPr>
      </w:pPr>
      <w:r>
        <w:rPr>
          <w:rFonts w:ascii="Arial" w:cs="Arial" w:eastAsia="Arial" w:hAnsi="Arial"/>
          <w:sz w:val="17"/>
          <w:szCs w:val="17"/>
          <w:color w:val="auto"/>
        </w:rPr>
        <w:t>As of March 6, 2023, there were 49 holders of record of our voting common stock. This number does not include beneficial owners whose shares are held by nominees in street name. As of March 6, 2023, there was 1 holder of record of our non-voting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have never declared nor paid any cash dividends on our capital stock. We currently intend to retain all available funds and any future earnings for use in the operation of our business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the terms of our revolving credit syndication loan restrict our ability to pay dividends.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1" w:lineRule="exact"/>
        <w:rPr>
          <w:sz w:val="20"/>
          <w:szCs w:val="20"/>
          <w:color w:val="auto"/>
        </w:rPr>
      </w:pPr>
    </w:p>
    <w:p>
      <w:pPr>
        <w:jc w:val="both"/>
        <w:ind w:right="160" w:firstLine="509"/>
        <w:spacing w:after="0" w:line="246" w:lineRule="auto"/>
        <w:rPr>
          <w:sz w:val="20"/>
          <w:szCs w:val="20"/>
          <w:color w:val="auto"/>
        </w:rPr>
      </w:pPr>
      <w:r>
        <w:rPr>
          <w:rFonts w:ascii="Arial" w:cs="Arial" w:eastAsia="Arial" w:hAnsi="Arial"/>
          <w:sz w:val="18"/>
          <w:szCs w:val="18"/>
          <w:color w:val="auto"/>
        </w:rPr>
        <w:t>The following table provides information as of December 31, 2022, with respect to shares of our common stock that may be issued, subject to certain vesting requirements, under our existing equity compensation plans, including our 2009 Equity Incentive Plan, which was adopted in 2009 and amended and restated in 2011 (as amended and restated, the 2009 Plan), our 2018 Stock Incentive Plan (2018 Plan), 2021 Equity Incentive Plan (2021 Plan) and Employee Stock Purchase Plan (ESPP).</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w:t>
            </w:r>
          </w:p>
        </w:tc>
        <w:tc>
          <w:tcPr>
            <w:tcW w:w="2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2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w:t>
            </w:r>
          </w:p>
        </w:tc>
      </w:tr>
      <w:tr>
        <w:trPr>
          <w:trHeight w:val="197"/>
        </w:trPr>
        <w:tc>
          <w:tcPr>
            <w:tcW w:w="404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shd w:val="clear" w:color="auto" w:fill="CFF0FC"/>
          </w:tcPr>
          <w:p>
            <w:pPr>
              <w:jc w:val="center"/>
              <w:ind w:right="11"/>
              <w:spacing w:after="0" w:line="197" w:lineRule="exact"/>
              <w:rPr>
                <w:sz w:val="20"/>
                <w:szCs w:val="20"/>
                <w:color w:val="auto"/>
              </w:rPr>
            </w:pPr>
            <w:r>
              <w:rPr>
                <w:rFonts w:ascii="Arial" w:cs="Arial" w:eastAsia="Arial" w:hAnsi="Arial"/>
                <w:sz w:val="18"/>
                <w:szCs w:val="18"/>
                <w:color w:val="auto"/>
                <w:w w:val="99"/>
              </w:rPr>
              <w:t>Number of</w:t>
            </w:r>
          </w:p>
        </w:tc>
        <w:tc>
          <w:tcPr>
            <w:tcW w:w="180" w:type="dxa"/>
            <w:vAlign w:val="bottom"/>
          </w:tcPr>
          <w:p>
            <w:pPr>
              <w:spacing w:after="0"/>
              <w:rPr>
                <w:sz w:val="17"/>
                <w:szCs w:val="17"/>
                <w:color w:val="auto"/>
              </w:rPr>
            </w:pPr>
          </w:p>
        </w:tc>
      </w:tr>
      <w:tr>
        <w:trPr>
          <w:trHeight w:val="202"/>
        </w:trPr>
        <w:tc>
          <w:tcPr>
            <w:tcW w:w="404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17"/>
                <w:szCs w:val="17"/>
                <w:color w:val="auto"/>
              </w:rPr>
            </w:pPr>
          </w:p>
        </w:tc>
      </w:tr>
      <w:tr>
        <w:trPr>
          <w:trHeight w:val="202"/>
        </w:trPr>
        <w:tc>
          <w:tcPr>
            <w:tcW w:w="404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shd w:val="clear" w:color="auto" w:fill="CFF0FC"/>
          </w:tcPr>
          <w:p>
            <w:pPr>
              <w:jc w:val="center"/>
              <w:ind w:right="31"/>
              <w:spacing w:after="0" w:line="202" w:lineRule="exact"/>
              <w:rPr>
                <w:sz w:val="20"/>
                <w:szCs w:val="20"/>
                <w:color w:val="auto"/>
              </w:rPr>
            </w:pPr>
            <w:r>
              <w:rPr>
                <w:rFonts w:ascii="Arial" w:cs="Arial" w:eastAsia="Arial" w:hAnsi="Arial"/>
                <w:sz w:val="18"/>
                <w:szCs w:val="18"/>
                <w:color w:val="auto"/>
                <w:w w:val="99"/>
              </w:rPr>
              <w:t>Remaining</w:t>
            </w:r>
          </w:p>
        </w:tc>
        <w:tc>
          <w:tcPr>
            <w:tcW w:w="180" w:type="dxa"/>
            <w:vAlign w:val="bottom"/>
          </w:tcPr>
          <w:p>
            <w:pPr>
              <w:spacing w:after="0"/>
              <w:rPr>
                <w:sz w:val="17"/>
                <w:szCs w:val="17"/>
                <w:color w:val="auto"/>
              </w:rPr>
            </w:pPr>
          </w:p>
        </w:tc>
      </w:tr>
      <w:tr>
        <w:trPr>
          <w:trHeight w:val="202"/>
        </w:trPr>
        <w:tc>
          <w:tcPr>
            <w:tcW w:w="404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8"/>
              </w:rPr>
              <w:t>Available</w:t>
            </w:r>
          </w:p>
        </w:tc>
        <w:tc>
          <w:tcPr>
            <w:tcW w:w="180" w:type="dxa"/>
            <w:vAlign w:val="bottom"/>
          </w:tcPr>
          <w:p>
            <w:pPr>
              <w:spacing w:after="0"/>
              <w:rPr>
                <w:sz w:val="17"/>
                <w:szCs w:val="17"/>
                <w:color w:val="auto"/>
              </w:rPr>
            </w:pPr>
          </w:p>
        </w:tc>
      </w:tr>
      <w:tr>
        <w:trPr>
          <w:trHeight w:val="202"/>
        </w:trPr>
        <w:tc>
          <w:tcPr>
            <w:tcW w:w="404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shd w:val="clear" w:color="auto" w:fill="CFF0FC"/>
          </w:tcPr>
          <w:p>
            <w:pPr>
              <w:jc w:val="center"/>
              <w:ind w:right="31"/>
              <w:spacing w:after="0" w:line="202" w:lineRule="exact"/>
              <w:rPr>
                <w:sz w:val="20"/>
                <w:szCs w:val="20"/>
                <w:color w:val="auto"/>
              </w:rPr>
            </w:pPr>
            <w:r>
              <w:rPr>
                <w:rFonts w:ascii="Arial" w:cs="Arial" w:eastAsia="Arial" w:hAnsi="Arial"/>
                <w:sz w:val="18"/>
                <w:szCs w:val="18"/>
                <w:color w:val="auto"/>
                <w:w w:val="99"/>
              </w:rPr>
              <w:t>for Future</w:t>
            </w:r>
          </w:p>
        </w:tc>
        <w:tc>
          <w:tcPr>
            <w:tcW w:w="180" w:type="dxa"/>
            <w:vAlign w:val="bottom"/>
          </w:tcPr>
          <w:p>
            <w:pPr>
              <w:spacing w:after="0"/>
              <w:rPr>
                <w:sz w:val="17"/>
                <w:szCs w:val="17"/>
                <w:color w:val="auto"/>
              </w:rPr>
            </w:pPr>
          </w:p>
        </w:tc>
      </w:tr>
      <w:tr>
        <w:trPr>
          <w:trHeight w:val="202"/>
        </w:trPr>
        <w:tc>
          <w:tcPr>
            <w:tcW w:w="4040" w:type="dxa"/>
            <w:vAlign w:val="bottom"/>
          </w:tcPr>
          <w:p>
            <w:pPr>
              <w:spacing w:after="0"/>
              <w:rPr>
                <w:sz w:val="17"/>
                <w:szCs w:val="17"/>
                <w:color w:val="auto"/>
              </w:rPr>
            </w:pPr>
          </w:p>
        </w:tc>
        <w:tc>
          <w:tcPr>
            <w:tcW w:w="220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Number of</w:t>
            </w:r>
          </w:p>
        </w:tc>
        <w:tc>
          <w:tcPr>
            <w:tcW w:w="200" w:type="dxa"/>
            <w:vAlign w:val="bottom"/>
          </w:tcPr>
          <w:p>
            <w:pPr>
              <w:spacing w:after="0"/>
              <w:rPr>
                <w:sz w:val="17"/>
                <w:szCs w:val="17"/>
                <w:color w:val="auto"/>
              </w:rPr>
            </w:pPr>
          </w:p>
        </w:tc>
        <w:tc>
          <w:tcPr>
            <w:tcW w:w="218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7"/>
              </w:rPr>
              <w:t>Weighted-</w:t>
            </w:r>
          </w:p>
        </w:tc>
        <w:tc>
          <w:tcPr>
            <w:tcW w:w="180" w:type="dxa"/>
            <w:vAlign w:val="bottom"/>
          </w:tcPr>
          <w:p>
            <w:pPr>
              <w:spacing w:after="0"/>
              <w:rPr>
                <w:sz w:val="17"/>
                <w:szCs w:val="17"/>
                <w:color w:val="auto"/>
              </w:rPr>
            </w:pPr>
          </w:p>
        </w:tc>
        <w:tc>
          <w:tcPr>
            <w:tcW w:w="218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9"/>
              </w:rPr>
              <w:t>Issuance</w:t>
            </w:r>
          </w:p>
        </w:tc>
        <w:tc>
          <w:tcPr>
            <w:tcW w:w="180" w:type="dxa"/>
            <w:vAlign w:val="bottom"/>
          </w:tcPr>
          <w:p>
            <w:pPr>
              <w:spacing w:after="0"/>
              <w:rPr>
                <w:sz w:val="17"/>
                <w:szCs w:val="17"/>
                <w:color w:val="auto"/>
              </w:rPr>
            </w:pPr>
          </w:p>
        </w:tc>
      </w:tr>
      <w:tr>
        <w:trPr>
          <w:trHeight w:val="202"/>
        </w:trPr>
        <w:tc>
          <w:tcPr>
            <w:tcW w:w="4040" w:type="dxa"/>
            <w:vAlign w:val="bottom"/>
          </w:tcPr>
          <w:p>
            <w:pPr>
              <w:spacing w:after="0"/>
              <w:rPr>
                <w:sz w:val="17"/>
                <w:szCs w:val="17"/>
                <w:color w:val="auto"/>
              </w:rPr>
            </w:pPr>
          </w:p>
        </w:tc>
        <w:tc>
          <w:tcPr>
            <w:tcW w:w="220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rPr>
              <w:t>Securities to</w:t>
            </w:r>
          </w:p>
        </w:tc>
        <w:tc>
          <w:tcPr>
            <w:tcW w:w="200" w:type="dxa"/>
            <w:vAlign w:val="bottom"/>
          </w:tcPr>
          <w:p>
            <w:pPr>
              <w:spacing w:after="0"/>
              <w:rPr>
                <w:sz w:val="17"/>
                <w:szCs w:val="17"/>
                <w:color w:val="auto"/>
              </w:rPr>
            </w:pPr>
          </w:p>
        </w:tc>
        <w:tc>
          <w:tcPr>
            <w:tcW w:w="218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7"/>
                <w:szCs w:val="17"/>
                <w:color w:val="auto"/>
              </w:rPr>
            </w:pPr>
          </w:p>
        </w:tc>
        <w:tc>
          <w:tcPr>
            <w:tcW w:w="218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9"/>
              </w:rPr>
              <w:t>Under Equity</w:t>
            </w:r>
          </w:p>
        </w:tc>
        <w:tc>
          <w:tcPr>
            <w:tcW w:w="180" w:type="dxa"/>
            <w:vAlign w:val="bottom"/>
          </w:tcPr>
          <w:p>
            <w:pPr>
              <w:spacing w:after="0"/>
              <w:rPr>
                <w:sz w:val="17"/>
                <w:szCs w:val="17"/>
                <w:color w:val="auto"/>
              </w:rPr>
            </w:pPr>
          </w:p>
        </w:tc>
      </w:tr>
      <w:tr>
        <w:trPr>
          <w:trHeight w:val="202"/>
        </w:trPr>
        <w:tc>
          <w:tcPr>
            <w:tcW w:w="4040" w:type="dxa"/>
            <w:vAlign w:val="bottom"/>
          </w:tcPr>
          <w:p>
            <w:pPr>
              <w:spacing w:after="0"/>
              <w:rPr>
                <w:sz w:val="17"/>
                <w:szCs w:val="17"/>
                <w:color w:val="auto"/>
              </w:rPr>
            </w:pPr>
          </w:p>
        </w:tc>
        <w:tc>
          <w:tcPr>
            <w:tcW w:w="2200" w:type="dxa"/>
            <w:vAlign w:val="bottom"/>
            <w:shd w:val="clear" w:color="auto" w:fill="CFF0FC"/>
          </w:tcPr>
          <w:p>
            <w:pPr>
              <w:jc w:val="center"/>
              <w:ind w:right="52"/>
              <w:spacing w:after="0" w:line="202" w:lineRule="exact"/>
              <w:rPr>
                <w:sz w:val="20"/>
                <w:szCs w:val="20"/>
                <w:color w:val="auto"/>
              </w:rPr>
            </w:pPr>
            <w:r>
              <w:rPr>
                <w:rFonts w:ascii="Arial" w:cs="Arial" w:eastAsia="Arial" w:hAnsi="Arial"/>
                <w:sz w:val="18"/>
                <w:szCs w:val="18"/>
                <w:color w:val="auto"/>
                <w:w w:val="99"/>
              </w:rPr>
              <w:t>be Issued</w:t>
            </w:r>
          </w:p>
        </w:tc>
        <w:tc>
          <w:tcPr>
            <w:tcW w:w="200" w:type="dxa"/>
            <w:vAlign w:val="bottom"/>
          </w:tcPr>
          <w:p>
            <w:pPr>
              <w:spacing w:after="0"/>
              <w:rPr>
                <w:sz w:val="17"/>
                <w:szCs w:val="17"/>
                <w:color w:val="auto"/>
              </w:rPr>
            </w:pPr>
          </w:p>
        </w:tc>
        <w:tc>
          <w:tcPr>
            <w:tcW w:w="218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rPr>
              <w:t>Exercise Price of</w:t>
            </w:r>
          </w:p>
        </w:tc>
        <w:tc>
          <w:tcPr>
            <w:tcW w:w="180" w:type="dxa"/>
            <w:vAlign w:val="bottom"/>
          </w:tcPr>
          <w:p>
            <w:pPr>
              <w:spacing w:after="0"/>
              <w:rPr>
                <w:sz w:val="17"/>
                <w:szCs w:val="17"/>
                <w:color w:val="auto"/>
              </w:rPr>
            </w:pPr>
          </w:p>
        </w:tc>
        <w:tc>
          <w:tcPr>
            <w:tcW w:w="218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9"/>
              </w:rPr>
              <w:t>Compensation</w:t>
            </w:r>
          </w:p>
        </w:tc>
        <w:tc>
          <w:tcPr>
            <w:tcW w:w="180" w:type="dxa"/>
            <w:vAlign w:val="bottom"/>
          </w:tcPr>
          <w:p>
            <w:pPr>
              <w:spacing w:after="0"/>
              <w:rPr>
                <w:sz w:val="17"/>
                <w:szCs w:val="17"/>
                <w:color w:val="auto"/>
              </w:rPr>
            </w:pPr>
          </w:p>
        </w:tc>
      </w:tr>
      <w:tr>
        <w:trPr>
          <w:trHeight w:val="202"/>
        </w:trPr>
        <w:tc>
          <w:tcPr>
            <w:tcW w:w="4040" w:type="dxa"/>
            <w:vAlign w:val="bottom"/>
          </w:tcPr>
          <w:p>
            <w:pPr>
              <w:spacing w:after="0"/>
              <w:rPr>
                <w:sz w:val="17"/>
                <w:szCs w:val="17"/>
                <w:color w:val="auto"/>
              </w:rPr>
            </w:pPr>
          </w:p>
        </w:tc>
        <w:tc>
          <w:tcPr>
            <w:tcW w:w="220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Upon Exercise</w:t>
            </w:r>
          </w:p>
        </w:tc>
        <w:tc>
          <w:tcPr>
            <w:tcW w:w="200" w:type="dxa"/>
            <w:vAlign w:val="bottom"/>
          </w:tcPr>
          <w:p>
            <w:pPr>
              <w:spacing w:after="0"/>
              <w:rPr>
                <w:sz w:val="17"/>
                <w:szCs w:val="17"/>
                <w:color w:val="auto"/>
              </w:rPr>
            </w:pPr>
          </w:p>
        </w:tc>
        <w:tc>
          <w:tcPr>
            <w:tcW w:w="218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8"/>
              </w:rPr>
              <w:t>Outstanding</w:t>
            </w:r>
          </w:p>
        </w:tc>
        <w:tc>
          <w:tcPr>
            <w:tcW w:w="180" w:type="dxa"/>
            <w:vAlign w:val="bottom"/>
          </w:tcPr>
          <w:p>
            <w:pPr>
              <w:spacing w:after="0"/>
              <w:rPr>
                <w:sz w:val="17"/>
                <w:szCs w:val="17"/>
                <w:color w:val="auto"/>
              </w:rPr>
            </w:pPr>
          </w:p>
        </w:tc>
        <w:tc>
          <w:tcPr>
            <w:tcW w:w="2180" w:type="dxa"/>
            <w:vAlign w:val="bottom"/>
            <w:shd w:val="clear" w:color="auto" w:fill="CFF0FC"/>
          </w:tcPr>
          <w:p>
            <w:pPr>
              <w:jc w:val="center"/>
              <w:ind w:right="31"/>
              <w:spacing w:after="0" w:line="202" w:lineRule="exact"/>
              <w:rPr>
                <w:sz w:val="20"/>
                <w:szCs w:val="20"/>
                <w:color w:val="auto"/>
              </w:rPr>
            </w:pPr>
            <w:r>
              <w:rPr>
                <w:rFonts w:ascii="Arial" w:cs="Arial" w:eastAsia="Arial" w:hAnsi="Arial"/>
                <w:sz w:val="18"/>
                <w:szCs w:val="18"/>
                <w:color w:val="auto"/>
                <w:w w:val="99"/>
              </w:rPr>
              <w:t>Plans (Excluding</w:t>
            </w:r>
          </w:p>
        </w:tc>
        <w:tc>
          <w:tcPr>
            <w:tcW w:w="180" w:type="dxa"/>
            <w:vAlign w:val="bottom"/>
          </w:tcPr>
          <w:p>
            <w:pPr>
              <w:spacing w:after="0"/>
              <w:rPr>
                <w:sz w:val="17"/>
                <w:szCs w:val="17"/>
                <w:color w:val="auto"/>
              </w:rPr>
            </w:pPr>
          </w:p>
        </w:tc>
      </w:tr>
      <w:tr>
        <w:trPr>
          <w:trHeight w:val="202"/>
        </w:trPr>
        <w:tc>
          <w:tcPr>
            <w:tcW w:w="4040" w:type="dxa"/>
            <w:vAlign w:val="bottom"/>
          </w:tcPr>
          <w:p>
            <w:pPr>
              <w:spacing w:after="0"/>
              <w:rPr>
                <w:sz w:val="17"/>
                <w:szCs w:val="17"/>
                <w:color w:val="auto"/>
              </w:rPr>
            </w:pPr>
          </w:p>
        </w:tc>
        <w:tc>
          <w:tcPr>
            <w:tcW w:w="220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of Outstanding</w:t>
            </w:r>
          </w:p>
        </w:tc>
        <w:tc>
          <w:tcPr>
            <w:tcW w:w="200" w:type="dxa"/>
            <w:vAlign w:val="bottom"/>
          </w:tcPr>
          <w:p>
            <w:pPr>
              <w:spacing w:after="0"/>
              <w:rPr>
                <w:sz w:val="17"/>
                <w:szCs w:val="17"/>
                <w:color w:val="auto"/>
              </w:rPr>
            </w:pPr>
          </w:p>
        </w:tc>
        <w:tc>
          <w:tcPr>
            <w:tcW w:w="218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17"/>
                <w:szCs w:val="17"/>
                <w:color w:val="auto"/>
              </w:rPr>
            </w:pPr>
          </w:p>
        </w:tc>
        <w:tc>
          <w:tcPr>
            <w:tcW w:w="218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17"/>
                <w:szCs w:val="17"/>
                <w:color w:val="auto"/>
              </w:rPr>
            </w:pPr>
          </w:p>
        </w:tc>
      </w:tr>
      <w:tr>
        <w:trPr>
          <w:trHeight w:val="202"/>
        </w:trPr>
        <w:tc>
          <w:tcPr>
            <w:tcW w:w="4040" w:type="dxa"/>
            <w:vAlign w:val="bottom"/>
          </w:tcPr>
          <w:p>
            <w:pPr>
              <w:spacing w:after="0"/>
              <w:rPr>
                <w:sz w:val="17"/>
                <w:szCs w:val="17"/>
                <w:color w:val="auto"/>
              </w:rPr>
            </w:pPr>
          </w:p>
        </w:tc>
        <w:tc>
          <w:tcPr>
            <w:tcW w:w="220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8"/>
              </w:rPr>
              <w:t>Options, Warrants,</w:t>
            </w:r>
          </w:p>
        </w:tc>
        <w:tc>
          <w:tcPr>
            <w:tcW w:w="200" w:type="dxa"/>
            <w:vAlign w:val="bottom"/>
          </w:tcPr>
          <w:p>
            <w:pPr>
              <w:spacing w:after="0"/>
              <w:rPr>
                <w:sz w:val="17"/>
                <w:szCs w:val="17"/>
                <w:color w:val="auto"/>
              </w:rPr>
            </w:pPr>
          </w:p>
        </w:tc>
        <w:tc>
          <w:tcPr>
            <w:tcW w:w="218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9"/>
              </w:rPr>
              <w:t>Warrants, and</w:t>
            </w:r>
          </w:p>
        </w:tc>
        <w:tc>
          <w:tcPr>
            <w:tcW w:w="180" w:type="dxa"/>
            <w:vAlign w:val="bottom"/>
          </w:tcPr>
          <w:p>
            <w:pPr>
              <w:spacing w:after="0"/>
              <w:rPr>
                <w:sz w:val="17"/>
                <w:szCs w:val="17"/>
                <w:color w:val="auto"/>
              </w:rPr>
            </w:pPr>
          </w:p>
        </w:tc>
        <w:tc>
          <w:tcPr>
            <w:tcW w:w="218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rPr>
              <w:t>Reflected in</w:t>
            </w:r>
          </w:p>
        </w:tc>
        <w:tc>
          <w:tcPr>
            <w:tcW w:w="180" w:type="dxa"/>
            <w:vAlign w:val="bottom"/>
          </w:tcPr>
          <w:p>
            <w:pPr>
              <w:spacing w:after="0"/>
              <w:rPr>
                <w:sz w:val="17"/>
                <w:szCs w:val="17"/>
                <w:color w:val="auto"/>
              </w:rPr>
            </w:pPr>
          </w:p>
        </w:tc>
      </w:tr>
      <w:tr>
        <w:trPr>
          <w:trHeight w:val="235"/>
        </w:trPr>
        <w:tc>
          <w:tcPr>
            <w:tcW w:w="404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2200" w:type="dxa"/>
            <w:vAlign w:val="bottom"/>
            <w:shd w:val="clear" w:color="auto" w:fill="CFF0FC"/>
          </w:tcPr>
          <w:p>
            <w:pPr>
              <w:jc w:val="center"/>
              <w:ind w:right="52"/>
              <w:spacing w:after="0"/>
              <w:rPr>
                <w:sz w:val="20"/>
                <w:szCs w:val="20"/>
                <w:color w:val="auto"/>
              </w:rPr>
            </w:pPr>
            <w:r>
              <w:rPr>
                <w:rFonts w:ascii="Arial" w:cs="Arial" w:eastAsia="Arial" w:hAnsi="Arial"/>
                <w:sz w:val="18"/>
                <w:szCs w:val="18"/>
                <w:color w:val="auto"/>
                <w:w w:val="99"/>
              </w:rPr>
              <w:t>and Rights</w:t>
            </w:r>
          </w:p>
        </w:tc>
        <w:tc>
          <w:tcPr>
            <w:tcW w:w="200" w:type="dxa"/>
            <w:vAlign w:val="bottom"/>
          </w:tcPr>
          <w:p>
            <w:pPr>
              <w:spacing w:after="0"/>
              <w:rPr>
                <w:sz w:val="20"/>
                <w:szCs w:val="20"/>
                <w:color w:val="auto"/>
              </w:rPr>
            </w:pPr>
          </w:p>
        </w:tc>
        <w:tc>
          <w:tcPr>
            <w:tcW w:w="2180" w:type="dxa"/>
            <w:vAlign w:val="bottom"/>
            <w:shd w:val="clear" w:color="auto" w:fill="CFF0FC"/>
          </w:tcPr>
          <w:p>
            <w:pPr>
              <w:jc w:val="center"/>
              <w:ind w:right="12"/>
              <w:spacing w:after="0"/>
              <w:rPr>
                <w:sz w:val="20"/>
                <w:szCs w:val="20"/>
                <w:color w:val="auto"/>
              </w:rPr>
            </w:pPr>
            <w:r>
              <w:rPr>
                <w:rFonts w:ascii="Arial" w:cs="Arial" w:eastAsia="Arial" w:hAnsi="Arial"/>
                <w:sz w:val="18"/>
                <w:szCs w:val="18"/>
                <w:color w:val="auto"/>
              </w:rPr>
              <w:t>Rights</w:t>
            </w:r>
          </w:p>
        </w:tc>
        <w:tc>
          <w:tcPr>
            <w:tcW w:w="180" w:type="dxa"/>
            <w:vAlign w:val="bottom"/>
          </w:tcPr>
          <w:p>
            <w:pPr>
              <w:spacing w:after="0"/>
              <w:rPr>
                <w:sz w:val="20"/>
                <w:szCs w:val="20"/>
                <w:color w:val="auto"/>
              </w:rPr>
            </w:pPr>
          </w:p>
        </w:tc>
        <w:tc>
          <w:tcPr>
            <w:tcW w:w="2180" w:type="dxa"/>
            <w:vAlign w:val="bottom"/>
            <w:shd w:val="clear" w:color="auto" w:fill="CFF0FC"/>
          </w:tcPr>
          <w:p>
            <w:pPr>
              <w:jc w:val="center"/>
              <w:ind w:right="11"/>
              <w:spacing w:after="0"/>
              <w:rPr>
                <w:sz w:val="20"/>
                <w:szCs w:val="20"/>
                <w:color w:val="auto"/>
              </w:rPr>
            </w:pPr>
            <w:r>
              <w:rPr>
                <w:rFonts w:ascii="Arial" w:cs="Arial" w:eastAsia="Arial" w:hAnsi="Arial"/>
                <w:sz w:val="18"/>
                <w:szCs w:val="18"/>
                <w:color w:val="auto"/>
              </w:rPr>
              <w:t>Column (A)</w:t>
            </w:r>
          </w:p>
        </w:tc>
        <w:tc>
          <w:tcPr>
            <w:tcW w:w="180" w:type="dxa"/>
            <w:vAlign w:val="bottom"/>
          </w:tcPr>
          <w:p>
            <w:pPr>
              <w:spacing w:after="0"/>
              <w:rPr>
                <w:sz w:val="20"/>
                <w:szCs w:val="20"/>
                <w:color w:val="auto"/>
              </w:rPr>
            </w:pPr>
          </w:p>
        </w:tc>
      </w:tr>
      <w:tr>
        <w:trPr>
          <w:trHeight w:val="197"/>
        </w:trPr>
        <w:tc>
          <w:tcPr>
            <w:tcW w:w="4040" w:type="dxa"/>
            <w:vAlign w:val="bottom"/>
          </w:tcPr>
          <w:p>
            <w:pPr>
              <w:spacing w:after="0" w:line="197" w:lineRule="exact"/>
              <w:rPr>
                <w:sz w:val="20"/>
                <w:szCs w:val="20"/>
                <w:color w:val="auto"/>
              </w:rPr>
            </w:pPr>
            <w:r>
              <w:rPr>
                <w:rFonts w:ascii="Arial" w:cs="Arial" w:eastAsia="Arial" w:hAnsi="Arial"/>
                <w:sz w:val="18"/>
                <w:szCs w:val="18"/>
                <w:color w:val="auto"/>
              </w:rPr>
              <w:t>Equity compensation plans</w:t>
            </w:r>
          </w:p>
        </w:tc>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9"/>
        </w:trPr>
        <w:tc>
          <w:tcPr>
            <w:tcW w:w="4040" w:type="dxa"/>
            <w:vAlign w:val="bottom"/>
          </w:tcPr>
          <w:p>
            <w:pPr>
              <w:ind w:left="160"/>
              <w:spacing w:after="0"/>
              <w:rPr>
                <w:sz w:val="20"/>
                <w:szCs w:val="20"/>
                <w:color w:val="auto"/>
              </w:rPr>
            </w:pPr>
            <w:r>
              <w:rPr>
                <w:rFonts w:ascii="Arial" w:cs="Arial" w:eastAsia="Arial" w:hAnsi="Arial"/>
                <w:sz w:val="18"/>
                <w:szCs w:val="18"/>
                <w:color w:val="auto"/>
              </w:rPr>
              <w:t>approved by security holders</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15,095,002  </w:t>
            </w:r>
            <w:r>
              <w:rPr>
                <w:rFonts w:ascii="Arial" w:cs="Arial" w:eastAsia="Arial" w:hAnsi="Arial"/>
                <w:sz w:val="10"/>
                <w:szCs w:val="10"/>
                <w:color w:val="auto"/>
              </w:rPr>
              <w:t>(1)</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6.25  </w:t>
            </w:r>
            <w:r>
              <w:rPr>
                <w:rFonts w:ascii="Arial" w:cs="Arial" w:eastAsia="Arial" w:hAnsi="Arial"/>
                <w:sz w:val="10"/>
                <w:szCs w:val="10"/>
                <w:color w:val="auto"/>
              </w:rPr>
              <w:t>(2)</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 xml:space="preserve">14,434,047  </w:t>
            </w:r>
            <w:r>
              <w:rPr>
                <w:rFonts w:ascii="Arial" w:cs="Arial" w:eastAsia="Arial" w:hAnsi="Arial"/>
                <w:sz w:val="10"/>
                <w:szCs w:val="10"/>
                <w:color w:val="auto"/>
              </w:rPr>
              <w:t>(3)</w:t>
            </w:r>
          </w:p>
        </w:tc>
      </w:tr>
    </w:tbl>
    <w:p>
      <w:pPr>
        <w:spacing w:after="0" w:line="175" w:lineRule="exact"/>
        <w:rPr>
          <w:sz w:val="20"/>
          <w:szCs w:val="20"/>
          <w:color w:val="auto"/>
        </w:rPr>
      </w:pPr>
    </w:p>
    <w:p>
      <w:pPr>
        <w:ind w:right="260" w:firstLine="8"/>
        <w:spacing w:after="0" w:line="251" w:lineRule="auto"/>
        <w:tabs>
          <w:tab w:leader="none" w:pos="215" w:val="left"/>
        </w:tabs>
        <w:numPr>
          <w:ilvl w:val="0"/>
          <w:numId w:val="48"/>
        </w:numPr>
        <w:rPr>
          <w:rFonts w:ascii="Arial" w:cs="Arial" w:eastAsia="Arial" w:hAnsi="Arial"/>
          <w:sz w:val="14"/>
          <w:szCs w:val="14"/>
          <w:color w:val="auto"/>
        </w:rPr>
      </w:pPr>
      <w:r>
        <w:rPr>
          <w:rFonts w:ascii="Arial" w:cs="Arial" w:eastAsia="Arial" w:hAnsi="Arial"/>
          <w:sz w:val="14"/>
          <w:szCs w:val="14"/>
          <w:color w:val="auto"/>
        </w:rPr>
        <w:t>Of these shares, 2,934,442 were underlying then outstanding restricted stock units and 728,187 were subject to options then outstanding under the 2021 Plan; 8,645,351 were subject to options then outstanding under the 2018 Plan; and 2,787,022 were subject to options then outstanding under the 2009 Plan.</w:t>
      </w:r>
    </w:p>
    <w:p>
      <w:pPr>
        <w:ind w:left="220" w:hanging="212"/>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Does not take into account restricted stock units, which have no exercise price.</w:t>
      </w:r>
    </w:p>
    <w:p>
      <w:pPr>
        <w:ind w:right="60" w:firstLine="8"/>
        <w:spacing w:after="0" w:line="244" w:lineRule="auto"/>
        <w:tabs>
          <w:tab w:leader="none" w:pos="216"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11,815,329 shares of common stock available for issuance under our 2021 Plan and 2,618,718 shares of common stock available for issuance under our ESPP. No shares are available for future issuance under our 2009 Plan or 2018 Plan. Our 2021 Plan provides for annual increases in the number of shares available for issuance thereunder on the first day of each fiscal year equal to the lower of: (a) 5% of the total number of shares of common stock and non-voting common stock outstanding on the last business day of the prior fiscal year; or (b) such other amount as our board of directors may determine. Our ESPP provides for annual increases in the number of shares available for issuance thereunder on the first day of each fiscal year equal to the least of: (x) 2,000,000 shares; (y) 1% of the shares of common stock and non-voting common stock issued and outstanding on the last business day of the prior fiscal year; or (z) the number of shares determined by our board of directors. On January 1, 2023, an additional 5,465,046 shares became available for future issuance under the 2021 Plan and an additional 1,093,009 shares became available for future issuance under the ESPP. The additional shares from the annual increase on January 1, 2023 are not included in the table above.</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for purposes of Section 18 of the Exchange Act,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3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following graph depicts the total cumulative stockholder return on our common stock from May 26, 2021, the first day of trading of our common stock on the Nasdaq Global Select Market, through December 31, 2022, relative to the performance of the S&amp;P 500 Index and S&amp;P 500 IT Index. The graph assumes an initial investment of $ 100.00 at the close of trading on May 26, 2021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1674495</wp:posOffset>
            </wp:positionH>
            <wp:positionV relativeFrom="paragraph">
              <wp:posOffset>100330</wp:posOffset>
            </wp:positionV>
            <wp:extent cx="4118610" cy="23977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18610" cy="239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140"/>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71" w:lineRule="exact"/>
        <w:rPr>
          <w:sz w:val="20"/>
          <w:szCs w:val="20"/>
          <w:color w:val="auto"/>
        </w:rPr>
      </w:pPr>
    </w:p>
    <w:p>
      <w:pPr>
        <w:jc w:val="center"/>
        <w:ind w:right="96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7940"/>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96" w:lineRule="exact"/>
        <w:rPr>
          <w:sz w:val="20"/>
          <w:szCs w:val="20"/>
          <w:color w:val="auto"/>
        </w:rPr>
      </w:pPr>
    </w:p>
    <w:p>
      <w:pPr>
        <w:jc w:val="center"/>
        <w:ind w:right="96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9600"/>
        <w:spacing w:after="0"/>
        <w:rPr>
          <w:sz w:val="20"/>
          <w:szCs w:val="20"/>
          <w:color w:val="auto"/>
        </w:rPr>
      </w:pPr>
      <w:r>
        <w:rPr>
          <w:rFonts w:ascii="Arial" w:cs="Arial" w:eastAsia="Arial" w:hAnsi="Arial"/>
          <w:sz w:val="18"/>
          <w:szCs w:val="18"/>
          <w:b w:val="1"/>
          <w:bCs w:val="1"/>
          <w:color w:val="auto"/>
        </w:rPr>
        <w:t>Item 6. [Reserved]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6" w:lineRule="exact"/>
        <w:rPr>
          <w:sz w:val="20"/>
          <w:szCs w:val="20"/>
          <w:color w:val="auto"/>
        </w:rPr>
      </w:pPr>
    </w:p>
    <w:p>
      <w:pPr>
        <w:ind w:right="100" w:firstLine="509"/>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elsewhere in this Annual Report on Form 10-K. Some of the information contained in this Annual Report on Form 10-K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55"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Flywire Advantage</w:t>
      </w:r>
      <w:r>
        <w:rPr>
          <w:rFonts w:ascii="Arial" w:cs="Arial" w:eastAsia="Arial" w:hAnsi="Arial"/>
          <w:sz w:val="17"/>
          <w:szCs w:val="17"/>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7"/>
          <w:szCs w:val="17"/>
          <w:i w:val="1"/>
          <w:iCs w:val="1"/>
          <w:color w:val="auto"/>
        </w:rPr>
        <w:t>Flywire Advantage</w:t>
      </w:r>
      <w:r>
        <w:rPr>
          <w:rFonts w:ascii="Arial" w:cs="Arial" w:eastAsia="Arial" w:hAnsi="Arial"/>
          <w:sz w:val="17"/>
          <w:szCs w:val="17"/>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28"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6233160" cy="40925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33160" cy="409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03" w:lineRule="exact"/>
        <w:rPr>
          <w:sz w:val="20"/>
          <w:szCs w:val="20"/>
          <w:color w:val="auto"/>
        </w:rPr>
      </w:pPr>
    </w:p>
    <w:p>
      <w:pPr>
        <w:ind w:left="1020" w:hanging="504"/>
        <w:spacing w:after="0" w:line="246"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37% period-over-period from $13.2 billion during the year ended December 31, 2021 to $18.1 billion during the year ended December 31, 2022. We have grown our total payment volume by approximately 76% period-over-period from $7.5 billion during the year ended December 31, 2020 to $13.2 billion during the year ended December 31, 2021.</w:t>
      </w:r>
    </w:p>
    <w:p>
      <w:pPr>
        <w:spacing w:after="0" w:line="67" w:lineRule="exact"/>
        <w:rPr>
          <w:rFonts w:ascii="Times New Roman" w:cs="Times New Roman" w:eastAsia="Times New Roman" w:hAnsi="Times New Roman"/>
          <w:sz w:val="18"/>
          <w:szCs w:val="18"/>
          <w:color w:val="auto"/>
        </w:rPr>
      </w:pPr>
    </w:p>
    <w:p>
      <w:pPr>
        <w:jc w:val="both"/>
        <w:ind w:left="1020" w:right="120" w:hanging="504"/>
        <w:spacing w:after="0" w:line="252"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over 240 countries and territories and more than 140 currencies.</w:t>
      </w:r>
    </w:p>
    <w:p>
      <w:pPr>
        <w:spacing w:after="0" w:line="61" w:lineRule="exact"/>
        <w:rPr>
          <w:rFonts w:ascii="Times New Roman" w:cs="Times New Roman" w:eastAsia="Times New Roman" w:hAnsi="Times New Roman"/>
          <w:sz w:val="18"/>
          <w:szCs w:val="18"/>
          <w:color w:val="auto"/>
        </w:rPr>
      </w:pPr>
    </w:p>
    <w:p>
      <w:pPr>
        <w:ind w:left="1020" w:right="140" w:hanging="504"/>
        <w:spacing w:after="0" w:line="270"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NPS score of 62 in fiscal year 2022 demonstrates a strong affinity among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clients for our platform.</w:t>
      </w:r>
    </w:p>
    <w:p>
      <w:pPr>
        <w:spacing w:after="0" w:line="45" w:lineRule="exact"/>
        <w:rPr>
          <w:rFonts w:ascii="Times New Roman" w:cs="Times New Roman" w:eastAsia="Times New Roman" w:hAnsi="Times New Roman"/>
          <w:sz w:val="18"/>
          <w:szCs w:val="18"/>
          <w:color w:val="auto"/>
        </w:rPr>
      </w:pPr>
    </w:p>
    <w:p>
      <w:pPr>
        <w:ind w:left="1020" w:hanging="504"/>
        <w:spacing w:after="0" w:line="239"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2022,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124%. For the year ended December 31, 2021, our annual net dollar-based retention rate was approximately 140%. For the year ended December 31, 2020, despite the impact of the COVID-19 pandemic on our clients and the industries we serve, our annual net dollar-based retention rate was approximately 100%.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53"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As of December 31, 2022, we serve over 3,100 clients around the world. In education, we serve more than 2,300 institutions. In healthcare, we power more than 80 healthcare systems, including four of the top 10 healthcare systems in</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United States ranked by hospital size as of December 31, 2022. In our newer payment verticals of travel and B2B payments, we have a growing portfolio of more than 600 clients as of December 31, 2022.</w:t>
      </w:r>
    </w:p>
    <w:p>
      <w:pPr>
        <w:spacing w:after="0" w:line="126" w:lineRule="exact"/>
        <w:rPr>
          <w:sz w:val="20"/>
          <w:szCs w:val="20"/>
          <w:color w:val="auto"/>
        </w:rPr>
      </w:pPr>
    </w:p>
    <w:p>
      <w:pPr>
        <w:ind w:right="100" w:firstLine="509"/>
        <w:spacing w:after="0" w:line="266" w:lineRule="auto"/>
        <w:rPr>
          <w:sz w:val="20"/>
          <w:szCs w:val="20"/>
          <w:color w:val="auto"/>
        </w:rPr>
      </w:pPr>
      <w:r>
        <w:rPr>
          <w:rFonts w:ascii="Arial" w:cs="Arial" w:eastAsia="Arial" w:hAnsi="Arial"/>
          <w:sz w:val="17"/>
          <w:szCs w:val="17"/>
          <w:color w:val="auto"/>
        </w:rPr>
        <w:t>Our success in building our client base around the world and expanding utilization by our clients’ customers has allowed us to achieve significant scale. We enabled approximately $18.1 billion and $ 13.2 billion in total payment volume during the years ended December 31, 2022 and 2021, respectively. We generated revenue of $289.4 million, $201.1 million and $131.8 million for the years ended December 31, 2022, 2021 and 2020, respectively, and incurred net losses of $39.3 million, $28.1 million, and $11.1 million for those same years.</w:t>
      </w:r>
    </w:p>
    <w:p>
      <w:pPr>
        <w:spacing w:after="0" w:line="118"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3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the ongoing effects of the COVID-19 pandemic and fluctuations in exchange rates. If we are unable to successfully address these challenges, our business, operating results, and prospects could be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71"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On May 28, 2021, we completed our IPO, in which we issued and sold 12,006,000 shares of common stock at a public offering price of $24.00 per share, which included 1,566,000 shares of common stock issued pursuant to the exercise in full of the underwriters' option to purchase additional shares. We received $263.8 million in net proceeds from the IPO, after deducting underwriting discounts and commissions of $19.4 million and other offering costs of $4.9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w:t>
      </w:r>
    </w:p>
    <w:p>
      <w:pPr>
        <w:spacing w:after="0" w:line="18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July 2022, we acquired all of the issued and outstanding shares of Cohort Go for an estimated aggregate purchase consideration of $23.1 million, consisting of $17.1 million in cash, net of cash acquired, $4.3 million in shares of common stock and up to $1.7 million in contingent consideration. Contingent consideration represents additional payments that Flywire may be required to make in the future dependent upon Cohort Go's achievement of specific post-acquisition milestones. Contingent consideration will be settled at various intervals through May 2023 in the form of cash or shares of common stock at our option upon completion of the post-acquisition milestones and is subject to exchange rate fluctuation adjustment between the U.S. Dollar and Australian Dollar. During the year ended December 31, 2022, we had paid $0.5 million in contingent consideration based on Cohort Go's successful and timely achievement of contracted milestones. Cohort Go is an Australian-based education payments provider that simplifies the student recruitment process by bringing together students, agents and essential student services such as health insurance into one platform. The acquisition of Cohort Go accelerated the growth of Flywire's agent related revenue and contributed to our global expansion. Cohort Go contributed $6.4 million in transaction revenue and $3.3 million in platform revenue during the year ended December 31, 2022.</w:t>
      </w:r>
    </w:p>
    <w:p>
      <w:pPr>
        <w:spacing w:after="0" w:line="14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December 2021, we acquired all of the issued and outstanding shares of WPM for a purchase consideration of $59.6 million including $56.1 million of cash consideration, net of cash acquired and the estimated fair value of contingent consideration of $3.5 million. The contingent consideration is payable at various intervals through March 2024 in the form of cash or up to approximately 225,000 shares of common stock at our option and is dependent upon our achievement of specified minimum payment volume targets and integration targets established for the years ending December 31, 2022 and 2023. During the year ended December 31, 2022, we had paid $0.4 million in contingent consideration related to the completion of integration targets. There was no contingent consideration paid during the year ended December 31, 2021. WPM is a leading software provider that enables seamless and secure payment experiences for universities and colleges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across the U.K. The acquisition of WPM was intended to build on our existing education payments business and is expected to further accelerate our market share in the U.K. education sector. WPM contributed $6.4 million and $0.3 million in platform revenue during the years ended December 31, 2022 and 2021, respectively.</w:t>
      </w:r>
    </w:p>
    <w:p>
      <w:pPr>
        <w:spacing w:after="0" w:line="14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 February 2020, we acquired all of the issued and outstanding shares of Simplee for a purchase consideration of $ 86.5 million, which consisted of $79.4 million in cash, net of cash acquired and $7.1 million in estimated fair value of contingent consideration. Contingent consideration, which totaled up to $20.0 million was payable at various intervals provided that the Company retained key clients and achieved certain revenue and integration targets established for the years ended December 31, 2020 and 2021. During March 2022, we made the final payment of contingent consideration in the amount of $7.8 million. During the year ended December 31, 2021, we paid $7.0 million in contingent consideration. There was no contingent consideration paid during the year ended December 31, 2020. No additional contingent consideration is due or payable with respect to the Simplee acquisition. Simplee is a provider of healthcare payment and collection software. Simplee contributed $41.8 million, $41.9 million and $34.1 million in platform revenue during the years ended December 31, 2022, 2021 and 2020,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8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is earned from payment processing services provided to our clients. The fee earned on each transaction consists</w:t>
      </w:r>
      <w:r>
        <w:rPr>
          <w:rFonts w:ascii="Arial" w:cs="Arial" w:eastAsia="Arial" w:hAnsi="Arial"/>
          <w:sz w:val="18"/>
          <w:szCs w:val="18"/>
          <w:i w:val="1"/>
          <w:iCs w:val="1"/>
          <w:color w:val="auto"/>
        </w:rPr>
        <w:t xml:space="preserve"> </w:t>
      </w:r>
      <w:r>
        <w:rPr>
          <w:rFonts w:ascii="Arial" w:cs="Arial" w:eastAsia="Arial" w:hAnsi="Arial"/>
          <w:sz w:val="18"/>
          <w:szCs w:val="18"/>
          <w:color w:val="auto"/>
        </w:rPr>
        <w:t>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includes (i) fees earned for the utilization of our payment platform to optimize cash collections,</w:t>
      </w:r>
    </w:p>
    <w:p>
      <w:pPr>
        <w:spacing w:after="0" w:line="13" w:lineRule="exact"/>
        <w:rPr>
          <w:sz w:val="20"/>
          <w:szCs w:val="20"/>
          <w:color w:val="auto"/>
        </w:rPr>
      </w:pPr>
    </w:p>
    <w:p>
      <w:pPr>
        <w:ind w:right="200" w:firstLine="8"/>
        <w:spacing w:after="0" w:line="250" w:lineRule="auto"/>
        <w:tabs>
          <w:tab w:leader="none" w:pos="2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collected on payment plans established by our clients on our payment platform, (iii) subscription fees and (iv) fees related to printing and mailing services which we consider to be ancillary to the solutions we provide to our clients.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84"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To supplement our consolidated financial statements, which are prepared in accordance with generally accepted accounting principles in the United States (GAAP), we use certain non-GAAP financials measures. The following table sets forth our key operating metrics and non-GAAP measures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656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5"/>
                <w:szCs w:val="15"/>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6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Payment Volume</w:t>
            </w:r>
          </w:p>
        </w:tc>
        <w:tc>
          <w:tcPr>
            <w:tcW w:w="1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18,078.5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13,201.3</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7,513.3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289.4</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174.9</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Gross Profit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60.4 %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62.3 %</w:t>
            </w:r>
          </w:p>
        </w:tc>
        <w:tc>
          <w:tcPr>
            <w:tcW w:w="3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60.3 %</w:t>
            </w: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Adjusted Gross Margin</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68.1 %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71.6 %</w:t>
            </w:r>
          </w:p>
        </w:tc>
        <w:tc>
          <w:tcPr>
            <w:tcW w:w="3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72.6 %</w:t>
            </w: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(39.3 )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(28.1 )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(11.1 )</w:t>
            </w:r>
          </w:p>
        </w:tc>
        <w:tc>
          <w:tcPr>
            <w:tcW w:w="60" w:type="dxa"/>
            <w:vAlign w:val="bottom"/>
          </w:tcPr>
          <w:p>
            <w:pPr>
              <w:spacing w:after="0"/>
              <w:rPr>
                <w:sz w:val="19"/>
                <w:szCs w:val="19"/>
                <w:color w:val="auto"/>
              </w:rPr>
            </w:pPr>
          </w:p>
        </w:tc>
      </w:tr>
      <w:tr>
        <w:trPr>
          <w:trHeight w:val="229"/>
        </w:trPr>
        <w:tc>
          <w:tcPr>
            <w:tcW w:w="6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 ended December 31, 2022, transaction revenue and platform and usage-based fee revenue represented 77.5%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22.5% of our revenue, respectively. For the year ended December 31, 2022, transaction revenue and platform and usage-based fee revenue</w:t>
      </w:r>
    </w:p>
    <w:p>
      <w:pPr>
        <w:spacing w:after="0"/>
        <w:rPr>
          <w:sz w:val="20"/>
          <w:szCs w:val="20"/>
          <w:color w:val="auto"/>
        </w:rPr>
      </w:pPr>
      <w:r>
        <w:rPr>
          <w:rFonts w:ascii="Arial" w:cs="Arial" w:eastAsia="Arial" w:hAnsi="Arial"/>
          <w:sz w:val="18"/>
          <w:szCs w:val="18"/>
          <w:color w:val="auto"/>
        </w:rPr>
        <w:t>represented 83.2% and 16.8% of our total revenue less ancillary services, respectively.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 ended December 31, 2021, transaction revenue and platform and usage-based fee revenue represented 73.6%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26.4% of our revenue, respectively. For the year ended December 31, 2021, transaction revenue and platform and usage-based fee revenue</w:t>
      </w:r>
    </w:p>
    <w:p>
      <w:pPr>
        <w:spacing w:after="0"/>
        <w:rPr>
          <w:sz w:val="20"/>
          <w:szCs w:val="20"/>
          <w:color w:val="auto"/>
        </w:rPr>
      </w:pPr>
      <w:r>
        <w:rPr>
          <w:rFonts w:ascii="Arial" w:cs="Arial" w:eastAsia="Arial" w:hAnsi="Arial"/>
          <w:sz w:val="18"/>
          <w:szCs w:val="18"/>
          <w:color w:val="auto"/>
        </w:rPr>
        <w:t>represented 80.7% and 19.3% of our total revenue less ancillary services, respectively.</w:t>
      </w:r>
    </w:p>
    <w:p>
      <w:pPr>
        <w:spacing w:after="0" w:line="153"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For the year ended December 31, 2020, transaction revenue and platform and usage-based fee revenue represented 68.0% and 32.0% of our revenue, respectively. For the year ended December 31, 2020, transaction revenue</w:t>
      </w:r>
    </w:p>
    <w:p>
      <w:pPr>
        <w:spacing w:after="0" w:line="4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and platform and usage-based fee revenue represented 77.0% and 23.0% of our total revenue less ancillary services, respectively.</w:t>
      </w:r>
    </w:p>
    <w:p>
      <w:pPr>
        <w:spacing w:after="0" w:line="184" w:lineRule="exact"/>
        <w:rPr>
          <w:sz w:val="20"/>
          <w:szCs w:val="20"/>
          <w:color w:val="auto"/>
        </w:rPr>
      </w:pPr>
    </w:p>
    <w:p>
      <w:pPr>
        <w:ind w:right="200" w:firstLine="509"/>
        <w:spacing w:after="0" w:line="252" w:lineRule="auto"/>
        <w:rPr>
          <w:sz w:val="20"/>
          <w:szCs w:val="20"/>
          <w:color w:val="auto"/>
        </w:rPr>
      </w:pPr>
      <w:r>
        <w:rPr>
          <w:rFonts w:ascii="Arial" w:cs="Arial" w:eastAsia="Arial" w:hAnsi="Arial"/>
          <w:sz w:val="18"/>
          <w:szCs w:val="18"/>
          <w:color w:val="auto"/>
        </w:rPr>
        <w:t>For the year ended December 31, 2022, our total payment volume was approximately $18.1 billion, consisting of $12.1 billion of total payment volume from transactions included in transaction revenue and $6.0 billion of total payment volume from transactions included in platform and usage-based fee revenue.</w:t>
      </w:r>
    </w:p>
    <w:p>
      <w:pPr>
        <w:spacing w:after="0" w:line="130" w:lineRule="exact"/>
        <w:rPr>
          <w:sz w:val="20"/>
          <w:szCs w:val="20"/>
          <w:color w:val="auto"/>
        </w:rPr>
      </w:pPr>
    </w:p>
    <w:p>
      <w:pPr>
        <w:jc w:val="both"/>
        <w:ind w:right="300" w:firstLine="509"/>
        <w:spacing w:after="0" w:line="252" w:lineRule="auto"/>
        <w:rPr>
          <w:sz w:val="20"/>
          <w:szCs w:val="20"/>
          <w:color w:val="auto"/>
        </w:rPr>
      </w:pPr>
      <w:r>
        <w:rPr>
          <w:rFonts w:ascii="Arial" w:cs="Arial" w:eastAsia="Arial" w:hAnsi="Arial"/>
          <w:sz w:val="18"/>
          <w:szCs w:val="18"/>
          <w:color w:val="auto"/>
        </w:rPr>
        <w:t>For the year ended December 31, 2021, our total payment volume was approximately $13.2 billion, consisting of $8.4 billion of total payment volume from transactions included in transaction revenue and $4.8 billion of total payment volume from transactions included in platform and usage-based fee revenue.</w:t>
      </w:r>
    </w:p>
    <w:p>
      <w:pPr>
        <w:spacing w:after="0" w:line="130" w:lineRule="exact"/>
        <w:rPr>
          <w:sz w:val="20"/>
          <w:szCs w:val="20"/>
          <w:color w:val="auto"/>
        </w:rPr>
      </w:pPr>
    </w:p>
    <w:p>
      <w:pPr>
        <w:jc w:val="both"/>
        <w:ind w:right="380" w:firstLine="509"/>
        <w:spacing w:after="0" w:line="252" w:lineRule="auto"/>
        <w:rPr>
          <w:sz w:val="20"/>
          <w:szCs w:val="20"/>
          <w:color w:val="auto"/>
        </w:rPr>
      </w:pPr>
      <w:r>
        <w:rPr>
          <w:rFonts w:ascii="Arial" w:cs="Arial" w:eastAsia="Arial" w:hAnsi="Arial"/>
          <w:sz w:val="18"/>
          <w:szCs w:val="18"/>
          <w:color w:val="auto"/>
        </w:rPr>
        <w:t>For the year ended December 31, 2020, our total payment volume was approximately $7.5 billion, consisting of $4.7 billion of total payment volume from transactions included in transaction revenue and $2.8 billion of total payment volume from transactions included in platform and usage-based fee revenue.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6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Less Ancillary Services, Adjusted Gross Profit, Adjusted Gross Margin and Adjusted EBITDA</w:t>
      </w:r>
    </w:p>
    <w:p>
      <w:pPr>
        <w:spacing w:after="0" w:line="18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use non -GAAP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41"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30" w:lineRule="exact"/>
        <w:rPr>
          <w:sz w:val="20"/>
          <w:szCs w:val="20"/>
          <w:color w:val="auto"/>
        </w:rPr>
      </w:pPr>
    </w:p>
    <w:p>
      <w:pPr>
        <w:ind w:left="900" w:right="200" w:hanging="263"/>
        <w:spacing w:after="0" w:line="246" w:lineRule="auto"/>
        <w:tabs>
          <w:tab w:leader="none" w:pos="9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 Revenue Less Ancillary Services represents our consolidated revenue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GAAP less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148" w:lineRule="exact"/>
        <w:rPr>
          <w:rFonts w:ascii="Times New Roman" w:cs="Times New Roman" w:eastAsia="Times New Roman" w:hAnsi="Times New Roman"/>
          <w:sz w:val="18"/>
          <w:szCs w:val="18"/>
          <w:color w:val="auto"/>
        </w:rPr>
      </w:pPr>
    </w:p>
    <w:p>
      <w:pPr>
        <w:ind w:left="900" w:right="40" w:hanging="263"/>
        <w:spacing w:after="0" w:line="243" w:lineRule="auto"/>
        <w:tabs>
          <w:tab w:leader="none" w:pos="9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at Constant Currency </w:t>
      </w:r>
      <w:r>
        <w:rPr>
          <w:rFonts w:ascii="Arial" w:cs="Arial" w:eastAsia="Arial" w:hAnsi="Arial"/>
          <w:sz w:val="18"/>
          <w:szCs w:val="18"/>
          <w:color w:val="auto"/>
        </w:rPr>
        <w:t>- Revenue Less Ancillary Services at Constant Currency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Less Ancillary Services adjusted to show presentation on a constant currency basis. The constant currency information presented is calculated by translating current period results using prior period weighted average foreign currency exchange rates. We analyze Revenue Less Ancillary Services on a constant currency basis to provide a comparable framework for assessing how the business performed excluding the effect of foreign currency fluctuations.</w:t>
      </w:r>
    </w:p>
    <w:p>
      <w:pPr>
        <w:spacing w:after="0" w:line="137" w:lineRule="exact"/>
        <w:rPr>
          <w:rFonts w:ascii="Times New Roman" w:cs="Times New Roman" w:eastAsia="Times New Roman" w:hAnsi="Times New Roman"/>
          <w:sz w:val="18"/>
          <w:szCs w:val="18"/>
          <w:color w:val="auto"/>
        </w:rPr>
      </w:pPr>
    </w:p>
    <w:p>
      <w:pPr>
        <w:ind w:left="900" w:right="120" w:hanging="263"/>
        <w:spacing w:after="0" w:line="243" w:lineRule="auto"/>
        <w:tabs>
          <w:tab w:leader="none" w:pos="9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Profit </w:t>
      </w:r>
      <w:r>
        <w:rPr>
          <w:rFonts w:ascii="Arial" w:cs="Arial" w:eastAsia="Arial" w:hAnsi="Arial"/>
          <w:sz w:val="18"/>
          <w:szCs w:val="18"/>
          <w:color w:val="auto"/>
        </w:rPr>
        <w:t>- Adjusted Gross Profit represents Revenue Less Ancillary Services, less cost of revenue adjusted to (i)</w:t>
      </w:r>
      <w:r>
        <w:rPr>
          <w:rFonts w:ascii="Arial" w:cs="Arial" w:eastAsia="Arial" w:hAnsi="Arial"/>
          <w:sz w:val="18"/>
          <w:szCs w:val="18"/>
          <w:i w:val="1"/>
          <w:iCs w:val="1"/>
          <w:color w:val="auto"/>
        </w:rPr>
        <w:t xml:space="preserve"> </w:t>
      </w:r>
      <w:r>
        <w:rPr>
          <w:rFonts w:ascii="Arial" w:cs="Arial" w:eastAsia="Arial" w:hAnsi="Arial"/>
          <w:sz w:val="18"/>
          <w:szCs w:val="18"/>
          <w:color w:val="auto"/>
        </w:rPr>
        <w:t>exclude pass-through cost for printing services, (ii) offset marketing fees against costs incurred and (iii) exclude depreciation and amortization, including accelerated amortization on the impairment of customer set-up costs tied to technology integration. Management believes this presentation supplements the GAAP presentation of gross profit with a useful measure of the gross profit of our payment-related services, which are the primary services we provide to our clients.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900" w:right="160" w:hanging="263"/>
        <w:spacing w:after="0"/>
        <w:tabs>
          <w:tab w:leader="none" w:pos="9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Margin - </w:t>
      </w:r>
      <w:r>
        <w:rPr>
          <w:rFonts w:ascii="Arial" w:cs="Arial" w:eastAsia="Arial" w:hAnsi="Arial"/>
          <w:sz w:val="18"/>
          <w:szCs w:val="18"/>
          <w:color w:val="auto"/>
        </w:rPr>
        <w:t>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this presentation supplements the GAAP presentation of gross margin with a useful measure of the gross margin of our payment-related services, which are the primary services we provide to our clients. Beginning with the quarter ended December 31, 2022, we have excluded depreciation and amortization from the calculation of our adjusted gross profit, which we believe enhances the understanding of the Company’s operating performance and enables more meaningful period to period comparisons. Our adjusted gross profit and adjusted gross profit margin for the three and twelve months ended December 31, 2021 were recast to conform to the updated methodology and are reflected herein for comparison purposes.</w:t>
      </w:r>
    </w:p>
    <w:p>
      <w:pPr>
        <w:spacing w:after="0" w:line="154" w:lineRule="exact"/>
        <w:rPr>
          <w:rFonts w:ascii="Times New Roman" w:cs="Times New Roman" w:eastAsia="Times New Roman" w:hAnsi="Times New Roman"/>
          <w:sz w:val="18"/>
          <w:szCs w:val="18"/>
          <w:color w:val="auto"/>
        </w:rPr>
      </w:pPr>
    </w:p>
    <w:p>
      <w:pPr>
        <w:ind w:left="900" w:right="200" w:hanging="263"/>
        <w:spacing w:after="0"/>
        <w:tabs>
          <w:tab w:leader="none" w:pos="9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 </w:t>
      </w:r>
      <w:r>
        <w:rPr>
          <w:rFonts w:ascii="Arial" w:cs="Arial" w:eastAsia="Arial" w:hAnsi="Arial"/>
          <w:sz w:val="18"/>
          <w:szCs w:val="18"/>
          <w:color w:val="auto"/>
        </w:rPr>
        <w:t>Adjusted EBITDA represents EBITDA further adjusted by excluding (i)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payroll taxes, (ii) the impact from the change in fair value measurement for contingent consideration associated with acquisitions, (iii) the impact from the change in fair value measurement of our preferred stock warrants prior to our IPO, (iv) other income (expense), net, (v) 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1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Profit,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69" w:lineRule="exact"/>
        <w:rPr>
          <w:sz w:val="20"/>
          <w:szCs w:val="20"/>
          <w:color w:val="auto"/>
        </w:rPr>
      </w:pPr>
    </w:p>
    <w:p>
      <w:pPr>
        <w:ind w:right="660" w:firstLine="509"/>
        <w:spacing w:after="0" w:line="271" w:lineRule="auto"/>
        <w:rPr>
          <w:sz w:val="20"/>
          <w:szCs w:val="20"/>
          <w:color w:val="auto"/>
        </w:rPr>
      </w:pPr>
      <w:r>
        <w:rPr>
          <w:rFonts w:ascii="Arial" w:cs="Arial" w:eastAsia="Arial" w:hAnsi="Arial"/>
          <w:sz w:val="18"/>
          <w:szCs w:val="18"/>
          <w:color w:val="auto"/>
        </w:rPr>
        <w:t>The tables below provide reconciliations of Revenue Less Ancillary Services, Adjusted Gross Profit, Adjusted Gross Margin and Adjusted EBITDA to the most comparable GAAP figure on a consolidated basis for the periods presented.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Less Ancillary Services, Adjusted Gross Profit and Adjusted Gross Margin: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(20.4 )</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(18.2 )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(1.9 )</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(1.8 )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120" w:type="dxa"/>
            <w:vAlign w:val="bottom"/>
            <w:tcBorders>
              <w:bottom w:val="single" w:sz="8" w:color="CFF0FC"/>
            </w:tcBorders>
            <w:gridSpan w:val="2"/>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spacing w:after="0"/>
              <w:rPr>
                <w:sz w:val="22"/>
                <w:szCs w:val="22"/>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color w:val="auto"/>
              </w:rPr>
              <w:t>Payment processing services costs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4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Hosting and amortization costs within technology and development</w:t>
            </w: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4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expenses</w:t>
            </w:r>
          </w:p>
        </w:tc>
        <w:tc>
          <w:tcPr>
            <w:tcW w:w="9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114.5</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75.9</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to:</w:t>
            </w: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80"/>
              <w:spacing w:after="0"/>
              <w:rPr>
                <w:sz w:val="20"/>
                <w:szCs w:val="20"/>
                <w:color w:val="auto"/>
              </w:rPr>
            </w:pPr>
            <w:r>
              <w:rPr>
                <w:rFonts w:ascii="Arial" w:cs="Arial" w:eastAsia="Arial" w:hAnsi="Arial"/>
                <w:sz w:val="18"/>
                <w:szCs w:val="18"/>
                <w:color w:val="auto"/>
              </w:rPr>
              <w:t>Exclude printing and mailing costs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(20.4 )</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(18.2 )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Offset marketing fees against related costs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(1.9 )</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80"/>
              <w:spacing w:after="0"/>
              <w:rPr>
                <w:sz w:val="20"/>
                <w:szCs w:val="20"/>
                <w:color w:val="auto"/>
              </w:rPr>
            </w:pPr>
            <w:r>
              <w:rPr>
                <w:rFonts w:ascii="Arial" w:cs="Arial" w:eastAsia="Arial" w:hAnsi="Arial"/>
                <w:sz w:val="18"/>
                <w:szCs w:val="18"/>
                <w:color w:val="auto"/>
              </w:rPr>
              <w:t>Exclude depreciation and amortization</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(7.0 )</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(4.5 )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Cost of Revenue</w:t>
            </w:r>
          </w:p>
        </w:tc>
        <w:tc>
          <w:tcPr>
            <w:tcW w:w="1120" w:type="dxa"/>
            <w:vAlign w:val="bottom"/>
            <w:gridSpan w:val="2"/>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2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174.9</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60.4 %</w:t>
            </w:r>
          </w:p>
        </w:tc>
        <w:tc>
          <w:tcPr>
            <w:tcW w:w="14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62.3 %</w:t>
            </w:r>
          </w:p>
        </w:tc>
        <w:tc>
          <w:tcPr>
            <w:tcW w:w="3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60.3 %</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Adjusted Gross Profit</w:t>
            </w: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129.7</w:t>
            </w:r>
          </w:p>
        </w:tc>
        <w:tc>
          <w:tcPr>
            <w:tcW w:w="26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Adjusted Gross Margin</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68.1 %</w:t>
            </w:r>
          </w:p>
        </w:tc>
        <w:tc>
          <w:tcPr>
            <w:tcW w:w="14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71.6 %</w:t>
            </w:r>
          </w:p>
        </w:tc>
        <w:tc>
          <w:tcPr>
            <w:tcW w:w="3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72.6 %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60" w:type="dxa"/>
            <w:vAlign w:val="bottom"/>
            <w:vMerge w:val="restart"/>
          </w:tcPr>
          <w:p>
            <w:pPr>
              <w:jc w:val="right"/>
              <w:ind w:right="59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54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-2405380</wp:posOffset>
            </wp:positionV>
            <wp:extent cx="210629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06295" cy="17145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-1968500</wp:posOffset>
            </wp:positionV>
            <wp:extent cx="76835"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-1968500</wp:posOffset>
            </wp:positionV>
            <wp:extent cx="6858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-1968500</wp:posOffset>
            </wp:positionV>
            <wp:extent cx="6858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4883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2" w:right="27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85"/>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82"/>
        </w:trPr>
        <w:tc>
          <w:tcPr>
            <w:tcW w:w="49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GAAP revenue</w:t>
            </w:r>
          </w:p>
        </w:tc>
        <w:tc>
          <w:tcPr>
            <w:tcW w:w="1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289.4</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color w:val="auto"/>
              </w:rPr>
              <w:t>Ancillary services</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Revenue Less Ancillary Services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267.1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181.1</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Effects of foreign currency rate fluctuations</w:t>
            </w: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vMerge w:val="continue"/>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Revenue Less Ancillary Services at constant currency</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281.3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181.1</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Ended December</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Platform and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Transaction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Usage-Based Fee</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224.2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jc w:val="right"/>
              <w:ind w:right="18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(20.4 )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gridSpan w:val="2"/>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222.3</w:t>
            </w: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gridSpan w:val="2"/>
            <w:shd w:val="clear" w:color="auto" w:fill="CFF0FC"/>
          </w:tcPr>
          <w:p>
            <w:pPr>
              <w:jc w:val="right"/>
              <w:ind w:right="18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spacing w:after="0"/>
              <w:rPr>
                <w:sz w:val="22"/>
                <w:szCs w:val="22"/>
                <w:color w:val="auto"/>
              </w:rPr>
            </w:pPr>
          </w:p>
        </w:tc>
        <w:tc>
          <w:tcPr>
            <w:tcW w:w="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7"/>
          </w:tcPr>
          <w:p>
            <w:pPr>
              <w:jc w:val="right"/>
              <w:ind w:right="14"/>
              <w:spacing w:after="0"/>
              <w:rPr>
                <w:sz w:val="20"/>
                <w:szCs w:val="20"/>
                <w:color w:val="auto"/>
              </w:rPr>
            </w:pPr>
            <w:r>
              <w:rPr>
                <w:rFonts w:ascii="Arial" w:cs="Arial" w:eastAsia="Arial" w:hAnsi="Arial"/>
                <w:sz w:val="18"/>
                <w:szCs w:val="18"/>
                <w:color w:val="auto"/>
              </w:rPr>
              <w:t xml:space="preserve">77.5 </w:t>
            </w:r>
            <w:r>
              <w:rPr>
                <w:rFonts w:ascii="Arial" w:cs="Arial" w:eastAsia="Arial" w:hAnsi="Arial"/>
                <w:sz w:val="18"/>
                <w:szCs w:val="18"/>
                <w:color w:val="auto"/>
                <w:highlight w:val="white"/>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ind w:right="13"/>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color w:val="auto"/>
                <w:highlight w:val="white"/>
              </w:rPr>
              <w:t>%</w:t>
            </w:r>
          </w:p>
        </w:tc>
        <w:tc>
          <w:tcPr>
            <w:tcW w:w="36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Percentage of Revenue Less Ancillary Services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7"/>
          </w:tcPr>
          <w:p>
            <w:pPr>
              <w:jc w:val="right"/>
              <w:ind w:right="14"/>
              <w:spacing w:after="0"/>
              <w:rPr>
                <w:sz w:val="20"/>
                <w:szCs w:val="20"/>
                <w:color w:val="auto"/>
              </w:rPr>
            </w:pPr>
            <w:r>
              <w:rPr>
                <w:rFonts w:ascii="Arial" w:cs="Arial" w:eastAsia="Arial" w:hAnsi="Arial"/>
                <w:sz w:val="18"/>
                <w:szCs w:val="18"/>
                <w:color w:val="auto"/>
              </w:rPr>
              <w:t>83.2 %</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4"/>
          </w:tcPr>
          <w:p>
            <w:pPr>
              <w:jc w:val="right"/>
              <w:ind w:right="13"/>
              <w:spacing w:after="0"/>
              <w:rPr>
                <w:sz w:val="20"/>
                <w:szCs w:val="20"/>
                <w:color w:val="auto"/>
              </w:rPr>
            </w:pPr>
            <w:r>
              <w:rPr>
                <w:rFonts w:ascii="Arial" w:cs="Arial" w:eastAsia="Arial" w:hAnsi="Arial"/>
                <w:sz w:val="18"/>
                <w:szCs w:val="18"/>
                <w:color w:val="auto"/>
              </w:rPr>
              <w:t>16.8 %</w:t>
            </w:r>
          </w:p>
        </w:tc>
        <w:tc>
          <w:tcPr>
            <w:tcW w:w="36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382"/>
        </w:trPr>
        <w:tc>
          <w:tcPr>
            <w:tcW w:w="4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Ended December</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Platform and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Transaction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Usage-Based Fee</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gridSpan w:val="2"/>
            <w:shd w:val="clear" w:color="auto" w:fill="CFF0FC"/>
          </w:tcPr>
          <w:p>
            <w:pPr>
              <w:spacing w:after="0"/>
              <w:rPr>
                <w:sz w:val="19"/>
                <w:szCs w:val="19"/>
                <w:color w:val="auto"/>
              </w:rPr>
            </w:pPr>
          </w:p>
        </w:tc>
        <w:tc>
          <w:tcPr>
            <w:tcW w:w="140" w:type="dxa"/>
            <w:vAlign w:val="bottom"/>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148.0</w:t>
            </w:r>
          </w:p>
        </w:tc>
        <w:tc>
          <w:tcPr>
            <w:tcW w:w="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6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(18.2 )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(1.8 )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gridSpan w:val="4"/>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146.2</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gridSpan w:val="2"/>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6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spacing w:after="0"/>
              <w:rPr>
                <w:sz w:val="22"/>
                <w:szCs w:val="22"/>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7"/>
          </w:tcPr>
          <w:p>
            <w:pPr>
              <w:jc w:val="right"/>
              <w:spacing w:after="0"/>
              <w:rPr>
                <w:sz w:val="20"/>
                <w:szCs w:val="20"/>
                <w:color w:val="auto"/>
              </w:rPr>
            </w:pPr>
            <w:r>
              <w:rPr>
                <w:rFonts w:ascii="Arial" w:cs="Arial" w:eastAsia="Arial" w:hAnsi="Arial"/>
                <w:sz w:val="18"/>
                <w:szCs w:val="18"/>
                <w:color w:val="auto"/>
              </w:rPr>
              <w:t xml:space="preserve">73.6 </w:t>
            </w:r>
            <w:r>
              <w:rPr>
                <w:rFonts w:ascii="Arial" w:cs="Arial" w:eastAsia="Arial" w:hAnsi="Arial"/>
                <w:sz w:val="18"/>
                <w:szCs w:val="18"/>
                <w:color w:val="auto"/>
                <w:highlight w:val="white"/>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xml:space="preserve">26.4 </w:t>
            </w:r>
            <w:r>
              <w:rPr>
                <w:rFonts w:ascii="Arial" w:cs="Arial" w:eastAsia="Arial" w:hAnsi="Arial"/>
                <w:sz w:val="18"/>
                <w:szCs w:val="18"/>
                <w:color w:val="auto"/>
                <w:highlight w:val="white"/>
              </w:rPr>
              <w:t>%</w:t>
            </w:r>
          </w:p>
        </w:tc>
        <w:tc>
          <w:tcPr>
            <w:tcW w:w="36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Percentage of Revenue Less Ancillary Services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7"/>
          </w:tcPr>
          <w:p>
            <w:pPr>
              <w:jc w:val="right"/>
              <w:spacing w:after="0"/>
              <w:rPr>
                <w:sz w:val="20"/>
                <w:szCs w:val="20"/>
                <w:color w:val="auto"/>
              </w:rPr>
            </w:pPr>
            <w:r>
              <w:rPr>
                <w:rFonts w:ascii="Arial" w:cs="Arial" w:eastAsia="Arial" w:hAnsi="Arial"/>
                <w:sz w:val="18"/>
                <w:szCs w:val="18"/>
                <w:color w:val="auto"/>
              </w:rPr>
              <w:t>80.7 %</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19.3 %</w:t>
            </w:r>
          </w:p>
        </w:tc>
        <w:tc>
          <w:tcPr>
            <w:tcW w:w="36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368"/>
        </w:trPr>
        <w:tc>
          <w:tcPr>
            <w:tcW w:w="4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Platform and</w:t>
            </w:r>
          </w:p>
        </w:tc>
        <w:tc>
          <w:tcPr>
            <w:tcW w:w="16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85"/>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Transaction</w:t>
            </w:r>
          </w:p>
        </w:tc>
        <w:tc>
          <w:tcPr>
            <w:tcW w:w="16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Usage-Based Fee</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(1.4 )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420" w:type="dxa"/>
            <w:vAlign w:val="bottom"/>
            <w:tcBorders>
              <w:bottom w:val="single" w:sz="8" w:color="CFF0FC"/>
            </w:tcBorders>
            <w:gridSpan w:val="2"/>
            <w:shd w:val="clear" w:color="auto" w:fill="CFF0FC"/>
          </w:tcPr>
          <w:p>
            <w:pPr>
              <w:spacing w:after="0"/>
              <w:rPr>
                <w:sz w:val="22"/>
                <w:szCs w:val="22"/>
                <w:color w:val="auto"/>
              </w:rPr>
            </w:pPr>
          </w:p>
        </w:tc>
        <w:tc>
          <w:tcPr>
            <w:tcW w:w="160" w:type="dxa"/>
            <w:vAlign w:val="bottom"/>
            <w:tcBorders>
              <w:top w:val="single" w:sz="8" w:color="auto"/>
              <w:bottom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spacing w:after="0"/>
              <w:rPr>
                <w:sz w:val="22"/>
                <w:szCs w:val="22"/>
                <w:color w:val="auto"/>
              </w:rPr>
            </w:pPr>
          </w:p>
        </w:tc>
        <w:tc>
          <w:tcPr>
            <w:tcW w:w="10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2"/>
                <w:szCs w:val="22"/>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 xml:space="preserve">68.0 </w:t>
            </w:r>
            <w:r>
              <w:rPr>
                <w:rFonts w:ascii="Arial" w:cs="Arial" w:eastAsia="Arial" w:hAnsi="Arial"/>
                <w:sz w:val="18"/>
                <w:szCs w:val="18"/>
                <w:color w:val="auto"/>
                <w:highlight w:val="white"/>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color w:val="auto"/>
                <w:highlight w:val="white"/>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Percentage of Revenue Less Ancillary Services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77.0 %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23.0 %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543"/>
        </w:trPr>
        <w:tc>
          <w:tcPr>
            <w:tcW w:w="4920" w:type="dxa"/>
            <w:vAlign w:val="bottom"/>
          </w:tcPr>
          <w:p>
            <w:pPr>
              <w:spacing w:after="0"/>
              <w:rPr>
                <w:sz w:val="24"/>
                <w:szCs w:val="24"/>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9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-6035675</wp:posOffset>
            </wp:positionV>
            <wp:extent cx="713232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-5710555</wp:posOffset>
            </wp:positionV>
            <wp:extent cx="7132320" cy="522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52260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-3877945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-3877945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-3877945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-3707130</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-2251075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-2251075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-2080260</wp:posOffset>
            </wp:positionV>
            <wp:extent cx="713232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-735965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-735965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-735965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-564515</wp:posOffset>
            </wp:positionV>
            <wp:extent cx="713232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7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3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0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646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662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29"/>
        </w:trPr>
        <w:tc>
          <w:tcPr>
            <w:tcW w:w="6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(7.2 )</w:t>
            </w:r>
          </w:p>
        </w:tc>
      </w:tr>
      <w:tr>
        <w:trPr>
          <w:trHeight w:val="229"/>
        </w:trPr>
        <w:tc>
          <w:tcPr>
            <w:tcW w:w="6620" w:type="dxa"/>
            <w:vAlign w:val="bottom"/>
            <w:gridSpan w:val="3"/>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23"/>
        </w:trPr>
        <w:tc>
          <w:tcPr>
            <w:tcW w:w="6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6620" w:type="dxa"/>
            <w:vAlign w:val="bottom"/>
            <w:gridSpan w:val="3"/>
          </w:tcPr>
          <w:p>
            <w:pPr>
              <w:ind w:left="20"/>
              <w:spacing w:after="0"/>
              <w:rPr>
                <w:sz w:val="20"/>
                <w:szCs w:val="20"/>
                <w:color w:val="auto"/>
              </w:rPr>
            </w:pPr>
            <w:r>
              <w:rPr>
                <w:rFonts w:ascii="Arial" w:cs="Arial" w:eastAsia="Arial" w:hAnsi="Arial"/>
                <w:sz w:val="18"/>
                <w:szCs w:val="18"/>
                <w:color w:val="auto"/>
              </w:rPr>
              <w:t>Stock-based compensation expense and related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29"/>
        </w:trPr>
        <w:tc>
          <w:tcPr>
            <w:tcW w:w="6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preferred stock warrant liability</w:t>
            </w:r>
          </w:p>
        </w:tc>
        <w:tc>
          <w:tcPr>
            <w:tcW w:w="320" w:type="dxa"/>
            <w:vAlign w:val="bottom"/>
          </w:tcPr>
          <w:p>
            <w:pPr>
              <w:spacing w:after="0"/>
              <w:rPr>
                <w:sz w:val="19"/>
                <w:szCs w:val="19"/>
                <w:color w:val="auto"/>
              </w:rPr>
            </w:pP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r>
      <w:tr>
        <w:trPr>
          <w:trHeight w:val="229"/>
        </w:trPr>
        <w:tc>
          <w:tcPr>
            <w:tcW w:w="6620" w:type="dxa"/>
            <w:vAlign w:val="bottom"/>
            <w:gridSpan w:val="3"/>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4"/>
                <w:szCs w:val="24"/>
                <w:color w:val="auto"/>
                <w:vertAlign w:val="superscript"/>
              </w:rPr>
              <w:t>(1)</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(0.1 )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(0.7 )</w:t>
            </w:r>
          </w:p>
        </w:tc>
      </w:tr>
      <w:tr>
        <w:trPr>
          <w:trHeight w:val="229"/>
        </w:trPr>
        <w:tc>
          <w:tcPr>
            <w:tcW w:w="6620" w:type="dxa"/>
            <w:vAlign w:val="bottom"/>
            <w:gridSpan w:val="3"/>
          </w:tcPr>
          <w:p>
            <w:pPr>
              <w:ind w:left="20"/>
              <w:spacing w:after="0"/>
              <w:rPr>
                <w:sz w:val="20"/>
                <w:szCs w:val="20"/>
                <w:color w:val="auto"/>
              </w:rPr>
            </w:pPr>
            <w:r>
              <w:rPr>
                <w:rFonts w:ascii="Arial" w:cs="Arial" w:eastAsia="Arial" w:hAnsi="Arial"/>
                <w:sz w:val="18"/>
                <w:szCs w:val="18"/>
                <w:color w:val="auto"/>
              </w:rPr>
              <w:t>Indirect taxes related to intercompany activity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gridSpan w:val="3"/>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Acquisition related transaction costs </w:t>
            </w:r>
            <w:r>
              <w:rPr>
                <w:rFonts w:ascii="Arial" w:cs="Arial" w:eastAsia="Arial" w:hAnsi="Arial"/>
                <w:sz w:val="24"/>
                <w:szCs w:val="24"/>
                <w:color w:val="auto"/>
                <w:vertAlign w:val="superscript"/>
              </w:rPr>
              <w:t>(2)</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 xml:space="preserve">Acquisition related employee retention costs </w:t>
            </w:r>
            <w:r>
              <w:rPr>
                <w:rFonts w:ascii="Arial" w:cs="Arial" w:eastAsia="Arial" w:hAnsi="Arial"/>
                <w:sz w:val="24"/>
                <w:szCs w:val="24"/>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r>
      <w:tr>
        <w:trPr>
          <w:trHeight w:val="263"/>
        </w:trPr>
        <w:tc>
          <w:tcPr>
            <w:tcW w:w="66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-119380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-102235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-119380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-102235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520" w:right="60" w:hanging="377"/>
        <w:spacing w:after="0" w:line="246"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the year ended December 31, 2022, other (income) expense, net consisted of $(3.2) million of interest income and $9.1 million of losses from the remeasurement of foreign currency transactions into its functional currency. For the year ended December 31, 2021, other (income) expense, net consisted of ($0.1) million of gains from the remeasurement of foreign currency transactions into its functional currency. For the year ended December 31, 2020, other (income) expense, net consisted of $(0.1) million of interest income and $(0.6) million of gains from the remeasurement of foreign currency transactions into its functional currency.</w:t>
      </w:r>
    </w:p>
    <w:p>
      <w:pPr>
        <w:spacing w:after="0" w:line="1" w:lineRule="exact"/>
        <w:rPr>
          <w:rFonts w:ascii="Arial" w:cs="Arial" w:eastAsia="Arial" w:hAnsi="Arial"/>
          <w:sz w:val="14"/>
          <w:szCs w:val="14"/>
          <w:color w:val="auto"/>
        </w:rPr>
      </w:pPr>
    </w:p>
    <w:p>
      <w:pPr>
        <w:ind w:left="520" w:hanging="377"/>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Acquisition related transaction costs consisted of legal and advisory fees incurred in connection with the Cohort Go, WPM and Simplee acquisitions.</w:t>
      </w:r>
    </w:p>
    <w:p>
      <w:pPr>
        <w:ind w:left="520" w:right="160" w:hanging="377"/>
        <w:spacing w:after="0" w:line="263"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Acquisition related employee retention costs consisted of costs incurred to retain and compensate WPM and Simplee's employees in connection with integration of the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6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39"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6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82"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69"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82"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COVID-19 pandemic, inflation or fluctuations in foreign exchange rates could affect the amounts of volumes processed on our platform, thus resulting in fluctuations to our revenue streams.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do not have any operations, including long-lived assets, in Ukraine or Russia, and to our knowledge, our clients do not receive material amounts of payments from payers in these regions. We are actively monitoring the situation in Ukraine and assessing its impact on our business, but as of the issuance date of these consolidated financial statements, the current conflict between Russia and Ukraine has not had a material impact on the Company’s revenue, results of operations or financial position. However, we have no way to predict the progress or outcome of the conflict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w:t>
      </w:r>
    </w:p>
    <w:p>
      <w:pPr>
        <w:spacing w:after="0" w:line="15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Ukraine is a major engineering hub and the conflict may create a global challenge in outsourcing or hiring engineering talent. In addition, we have put in place and continue to actively manage a program to comply with government sanctions imposed on Russian persons and financial institutions. Also, providers of payment and accounts receivable software have frequently been targeted by cyber threats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We continue to invest in systems, software and personnel to protect against these enhanced threats, but any failure to protect against such attacks, could result in unauthorized access to or leakage of, sensitive data, or compromise our ability to provide our solutions in a timely manner, which could harm our ability to conduct business or delay our financial reporting. Such failures could adversely affect our operating results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believe that inflation had a material effect on our cash flows and results of operations during the year ended December 31,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6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have a wide range of clients across education, healthcare, travel and B2B. Following the onset of the COVID-19 pandemic, there was a temporary deceleration of payment volumes and revenue from education clients relying on international enrollments due to the uncertainty of borders re-opening. During 2021 and 2022, borders continued to open allowing for an increase in international students to attend education clients. We expect this trend to continue for our education clients, although COVID-19 related restrictions in China have slowed the growth of Chinese students studying in the U.S. and may have resulted in changes in Chinese student education destinations. Additionally, the opening of borders and abatement of COVID-19 restrictions has increased travel abroad and we expect travel to continue to return to pre-pandemic levels.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82" w:lineRule="exact"/>
        <w:rPr>
          <w:sz w:val="20"/>
          <w:szCs w:val="20"/>
          <w:color w:val="auto"/>
        </w:rPr>
      </w:pPr>
    </w:p>
    <w:p>
      <w:pPr>
        <w:ind w:right="20" w:firstLine="559"/>
        <w:spacing w:after="0" w:line="254" w:lineRule="auto"/>
        <w:rPr>
          <w:sz w:val="20"/>
          <w:szCs w:val="20"/>
          <w:color w:val="auto"/>
        </w:rPr>
      </w:pPr>
      <w:r>
        <w:rPr>
          <w:rFonts w:ascii="Arial" w:cs="Arial" w:eastAsia="Arial" w:hAnsi="Arial"/>
          <w:sz w:val="17"/>
          <w:szCs w:val="17"/>
          <w:color w:val="auto"/>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 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during the COVID-19 pandemic as the lack of affordability drives the need for more financial flexibility.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6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response to COVID-19 developments, we implemented measures to focus on the safety of our FlyMates and support of our clients, while at the same time seeking to mitigate the impact on our financial position and operations. We have implemented remote working capabilities for our entire organization and to date, there has been minimal disruption to our operations. During the Spring of 2020, due to initial COVID-19 uncertainty, we reduced our workforce by approximately 12%. From July 2020 through December 31, 2022, our workforce increased by approximately 125% in order to meet the demand of client growth and life as a public company with the goal of ensuring continuity and growth. As vaccination rates have increased, our offices have reopened, although FlyMates have the flexibility to work remotely.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platform and usage-based fees as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182"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 Our revenue mix fluctuates and as more revenue is derived from credit cards our adjusted gross margin goes down.</w:t>
      </w:r>
    </w:p>
    <w:p>
      <w:pPr>
        <w:spacing w:after="0" w:line="139"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and Usage-Based Fee Revenue</w:t>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39" w:lineRule="exact"/>
        <w:rPr>
          <w:sz w:val="20"/>
          <w:szCs w:val="20"/>
          <w:color w:val="auto"/>
        </w:rPr>
      </w:pPr>
    </w:p>
    <w:p>
      <w:pPr>
        <w:ind w:right="440" w:firstLine="509"/>
        <w:spacing w:after="0" w:line="252" w:lineRule="auto"/>
        <w:rPr>
          <w:sz w:val="20"/>
          <w:szCs w:val="20"/>
          <w:color w:val="auto"/>
        </w:rPr>
      </w:pPr>
      <w:r>
        <w:rPr>
          <w:rFonts w:ascii="Arial" w:cs="Arial" w:eastAsia="Arial" w:hAnsi="Arial"/>
          <w:sz w:val="18"/>
          <w:szCs w:val="18"/>
          <w:color w:val="auto"/>
        </w:rPr>
        <w:t>Our insurance offering provides students a platform which enables them to compare, select and purchase the mandated health insurance coverage needed. We earn a commission from insurance providers when a student purchases an insurance policy as well as consideration from the student in the form of a markup on the foreign exchange rate.</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8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9"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5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9" w:lineRule="exact"/>
        <w:rPr>
          <w:sz w:val="20"/>
          <w:szCs w:val="20"/>
          <w:color w:val="auto"/>
        </w:rPr>
      </w:pPr>
    </w:p>
    <w:p>
      <w:pPr>
        <w:ind w:right="120" w:firstLine="509"/>
        <w:spacing w:after="0" w:line="274"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26"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Interest expense consists of interest previously incurred on our Loan and Security Agreement (LSA) and interest on our revolving credit syndication loan (Revolving Credit Facility). During 2018, we borrowed $25.0 million under the LSA to complete the acquisition of OnPlan Holdings LLC. On April 25, 2020, we entered into a Joinder and Second Amendment to the LSA to refinance the LSA. As part of the refinancing, the lender re-advanced $4.2 million of principal paid on the loan through May 1, 2020. The LSA was interest only until May 2023 and carried annual interest at a rate equal to the greater of (i) 5.25% above the prime rate or (ii) 8.50%. In July 2021, we refinanced the LSA by entering into a $50.0 million Revolving Credit Facility. During the year ended December 31, 2022, we repaid the $25.9 million outstanding under the Revolving Credit Facility. Following the repayment, we continue to have access to a total commitment of $50.0 million under the Revolving Credit Facility. The Revolving Credit Facility has an adjustable rate of interest based on the type of loan requested, either at an annual rate based on the Alternate Base Rate (ABR), which references the prime rate</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jc w:val="both"/>
        <w:ind w:right="180"/>
        <w:spacing w:after="0" w:line="252" w:lineRule="auto"/>
        <w:rPr>
          <w:sz w:val="20"/>
          <w:szCs w:val="20"/>
          <w:color w:val="auto"/>
        </w:rPr>
      </w:pPr>
      <w:r>
        <w:rPr>
          <w:rFonts w:ascii="Arial" w:cs="Arial" w:eastAsia="Arial" w:hAnsi="Arial"/>
          <w:sz w:val="18"/>
          <w:szCs w:val="18"/>
          <w:color w:val="auto"/>
        </w:rPr>
        <w:t>plus an applicable rate or LIBO Rate plus an applicable rate. Loans based on ABR bear interest at a rate between ABR plus 0.75% and ABR plus 1.25%, and loans based on LIBO Rate bear interest at a rate between LIBO Rate plus 1.75% and LIBO Rate plus 2.25%, depending on our liquidity.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Preferred Stock Warrant Liability</w:t>
      </w:r>
    </w:p>
    <w:p>
      <w:pPr>
        <w:spacing w:after="0" w:line="169"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In connection with our financing arrangements, we issued warrants to purchase convertible preferred stock to a lender. The warrants to purchase preferred stock provided for net share settlement under which the maximum number of shares that could be issued represented the total amount of shares under the warrant agreements. These warrants were classified as liabilities on our consolidated balance sheets as these were free standing instruments that may have required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Following our IPO, all preferred stock warrants were either fully exercised or converted to warrants to purchase common stock and no longer require liability classification. As a result, we no longer recognize the change in fair value of preferred stock warrant liability in our consolidated statements of operations and comprehensive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2" w:lineRule="exact"/>
        <w:rPr>
          <w:sz w:val="20"/>
          <w:szCs w:val="20"/>
          <w:color w:val="auto"/>
        </w:rPr>
      </w:pPr>
    </w:p>
    <w:p>
      <w:pPr>
        <w:ind w:right="1080" w:firstLine="509"/>
        <w:spacing w:after="0" w:line="271" w:lineRule="auto"/>
        <w:rPr>
          <w:sz w:val="20"/>
          <w:szCs w:val="20"/>
          <w:color w:val="auto"/>
        </w:rPr>
      </w:pPr>
      <w:r>
        <w:rPr>
          <w:rFonts w:ascii="Arial" w:cs="Arial" w:eastAsia="Arial" w:hAnsi="Arial"/>
          <w:sz w:val="18"/>
          <w:szCs w:val="18"/>
          <w:color w:val="auto"/>
        </w:rPr>
        <w:t>Other income (expense), net consists of interest income and gains and losses from the remeasurement of foreign currency transactions into its functional currency.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w:t>
      </w:r>
    </w:p>
    <w:p>
      <w:pPr>
        <w:spacing w:after="0" w:line="169"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Provision for (benefit from) income taxes consists primarily of foreign and state income taxes. We have historically generated NOL carryforwards for U.S. Federal and state tax purposes as we expand the scale of our business activities. Changes in the U.S. and foreign tax law may impact our overall provision for income taxes in the future.</w:t>
      </w:r>
    </w:p>
    <w:p>
      <w:pPr>
        <w:spacing w:after="0" w:line="144"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years ended December 31, 2022 and 2021</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6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Payment processing services costs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9"/>
                <w:szCs w:val="19"/>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53.7 %</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9"/>
                <w:szCs w:val="19"/>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60.7 %</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9"/>
                <w:szCs w:val="19"/>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53.0 %</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9"/>
                <w:szCs w:val="19"/>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rPr>
              <w:t>Total costs and operating expense</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19"/>
                <w:szCs w:val="19"/>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49.1 %</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rPr>
              <w:t>Loss from operations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(30.2 )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(13.3 )</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(16.9 )</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127.1 %</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Change in fair value of preferred stock warrant liability</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(10.8 )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(5.9 )</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(6000.0 )%</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(7.1 )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(12.7 )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(44.1 )%</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rPr>
              <w:t>Loss before income taxes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(37.4 )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(25.9 )</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(11.5 )</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(39.3 )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(28.1 )</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(11.2 )</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39.9 %</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(0.2 )</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(1.3 )</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650.0 %</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Comprehensive loss</w:t>
            </w: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vMerge w:val="continue"/>
          </w:tcPr>
          <w:p>
            <w:pPr>
              <w:spacing w:after="0"/>
              <w:rPr>
                <w:sz w:val="19"/>
                <w:szCs w:val="19"/>
                <w:color w:val="auto"/>
              </w:rPr>
            </w:pPr>
          </w:p>
        </w:tc>
        <w:tc>
          <w:tcPr>
            <w:tcW w:w="880" w:type="dxa"/>
            <w:vAlign w:val="bottom"/>
            <w:gridSpan w:val="2"/>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(40.9 )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(28.3 )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(12.6 )</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492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9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-2781935</wp:posOffset>
            </wp:positionV>
            <wp:extent cx="7132320"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-2491105</wp:posOffset>
            </wp:positionV>
            <wp:extent cx="7132320"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-2199640</wp:posOffset>
            </wp:positionV>
            <wp:extent cx="7132320"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-1326515</wp:posOffset>
            </wp:positionV>
            <wp:extent cx="713232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-1035685</wp:posOffset>
            </wp:positionV>
            <wp:extent cx="7132320" cy="145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-744220</wp:posOffset>
            </wp:positionV>
            <wp:extent cx="7132320" cy="3251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32512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2" w:lineRule="exact"/>
        <w:rPr>
          <w:sz w:val="20"/>
          <w:szCs w:val="20"/>
          <w:color w:val="auto"/>
        </w:rPr>
      </w:pPr>
    </w:p>
    <w:p>
      <w:pPr>
        <w:jc w:val="both"/>
        <w:ind w:right="400" w:firstLine="509"/>
        <w:spacing w:after="0" w:line="252" w:lineRule="auto"/>
        <w:rPr>
          <w:sz w:val="20"/>
          <w:szCs w:val="20"/>
          <w:color w:val="auto"/>
        </w:rPr>
      </w:pPr>
      <w:r>
        <w:rPr>
          <w:rFonts w:ascii="Arial" w:cs="Arial" w:eastAsia="Arial" w:hAnsi="Arial"/>
          <w:sz w:val="18"/>
          <w:szCs w:val="18"/>
          <w:color w:val="auto"/>
        </w:rPr>
        <w:t>Revenue was $289.4 million for the year ended December 31, 2022, compared to $201.1 million for the year ended December 31, 2021, an increase of $88.3 million or 43.9%. Revenue is comprised of transaction revenue and platform and usage-based fee revenue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5"/>
                <w:szCs w:val="15"/>
                <w:color w:val="auto"/>
              </w:rPr>
            </w:pP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3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5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Transaction revenue</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Platform and usage-based fee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22.8 %</w:t>
            </w:r>
          </w:p>
        </w:tc>
      </w:tr>
      <w:tr>
        <w:trPr>
          <w:trHeight w:val="223"/>
        </w:trPr>
        <w:tc>
          <w:tcPr>
            <w:tcW w:w="5800" w:type="dxa"/>
            <w:vAlign w:val="bottom"/>
            <w:gridSpan w:val="2"/>
          </w:tcPr>
          <w:p>
            <w:pPr>
              <w:ind w:left="28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6"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Transaction revenue was $224.2 million for the year ended December 31, 2022, compared to $148.0 million for the year ended December 31, 2021, an increase of $76.2 million or 51.5%. The increase in transaction revenue was primarily driven by growth in transaction payment volumes, from both our existing clients and new clients added during the year ended December 31, 2022. We experienced strong growth in payment volume across all regions and verticals during the period. Total payment volume increased 37% during the year ended December 31, 2022 to $18.1 billion. Our marketing services revenue increased as a result of our payments partners using more of our marketing services during the year ended December 31, 2022, compared to the year ended December 31, 2021.</w:t>
      </w:r>
    </w:p>
    <w:p>
      <w:pPr>
        <w:spacing w:after="0" w:line="155"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Platform and usage-based fee revenue was $65.2 million for the year ended December 31, 2022, compared to $53.1 million for the year ended December 31, 2021, an increase of $12.1 million or 22.8%. The increase in platform and usage-based fee revenue was primarily driven by the WPM and Cohort Go acquisitions, which accounted for a $9.7 million increase over 2021. The remainder of the increase was attributable to increased usage by our clients and new clients signed during the year ended December 31,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120" w:firstLine="509"/>
        <w:spacing w:after="0" w:line="274" w:lineRule="auto"/>
        <w:rPr>
          <w:sz w:val="20"/>
          <w:szCs w:val="20"/>
          <w:color w:val="auto"/>
        </w:rPr>
      </w:pPr>
      <w:r>
        <w:rPr>
          <w:rFonts w:ascii="Arial" w:cs="Arial" w:eastAsia="Arial" w:hAnsi="Arial"/>
          <w:sz w:val="17"/>
          <w:szCs w:val="17"/>
          <w:color w:val="auto"/>
        </w:rPr>
        <w:t>Payment processing services costs were $ 107.9 million for the year ended December 31, 2022, compared to $70.2 million for the year ended December 31, 2021, an increase of $37.7 million or 53.7%. The increase in payment processing services costs is correlated with the increase in total payment volume of 37% over the same period as well as increased use of credit cards, which have higher processing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82"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Technology and development expenses were $50.3 million for the year ended December 31, 2022, compared to $31.3 million for the year ended December 31, 2021, an increase of $19.0 million or 60.7%. The increase in technology and development cost was primarily driven by an increase in personnel costs, stock-based compensation expense, amortization expense, and software and hosting expenses. Personnel costs were $32.1 million for the year ended December 31, 2022, compared to $18.3 million for the year ended December 31, 2021, an increase of $13.8 million or 75.4%. The increase in personnel costs was primarily driven by an increase in headcount within our technology and development teams. Stock-based compensation expense was $5.7 million for year ended December 31, 2022, compared to $2.5 million for the year ended December 31, 2021, an increase of $3.2 million or 128.0%. The increase in stock-based compensation is attributable to equity grants awarded to existing and new FlyMates. Amortization of intangible assets was $6.3 million for the year ended December 31, 2022, compared to $5.0 million for the year ended December 31, 2021, an increase of $1.3 million or 26.0%. The increase in amortization expense was due to acquired relationships related to the WPM and Cohort Go acquisitions. Software and hosting expenses was $4.6 million for the year ended December 31, 2022, compared to $3.9 million for the year ended December 31, 2021, an increase of $0.7 million or 17.9%. The increase in software and hosting expenses was primarily related to increased hosting fees based on payment volumes growth and additional software needs based on headcount growth.</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6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Selling and marketing expenses were $78.5 million for the year ended December 31, 2022, compared to $51.3 million for the year ended December 31, 2021, an increase of $27.2 million or 53.0%. The increase in selling and marketing expenses was primarily driven by an increase in personnel costs, professional fees, stock-based compensation, marketing costs, travel related expenses, amortization expense and software and hosting expenses. Personnel costs were $44.5 million for the year ended December 31, 2022, compared to $31.7 million for the year ended December 31, 2021, an increase of $12.8 million or 40.4%. The increase in personnel costs was primarily driven by an increase in headcount within our selling and marketing teams and commissions earned on sales during the period.</w:t>
      </w:r>
    </w:p>
    <w:p>
      <w:pPr>
        <w:spacing w:after="0" w:line="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Professional fee expenses were $10.2 million for the year ended December 31, 2022, compared to $4.9 million for the year ended December 31, 2021, an increase of $5.3 million or 108.2%. The increase in professional fees was due to increases in third party commissions and consulting fees. Stock-based compensation was $ 8.0 million for year ended December 31, 2022, compared to $5.2 million for the year ended December 31, 2021, an increase of $2.8 million or 53.8%. The increase in stock-based compensation is attributable to equity grants awarded to existing and new FlyMates. Marketing costs were $5.8 million during the year ended December 31, 2022, compared to $4.0 million for the year ended December 31, 2021, an increase of $1.8 million or 45.0%. The increase in marketing costs was due to increased marketing initiatives and hosted events. Travel expenses were $2.4 million during the year ended December 31, 2022, compared to $0.8 million for the year ended December 31, 2021, an increase of $1.6 million or 200.0%. Higher travel expenses were due to increased client engagement and FlyMate collaboration. Amortization of intangible assets were $3.9 million during the year ended December 31, 2022, compared to $2.4 million for the year ended December 31, 2021, an increase of $1.5 million or 62.5%. The increase in amortization expense was due to acquired customer relationships related to the WPM and Cohort Go acquisitions. Software and hosting expenses was $2.0 million for the year ended December 31, 2022, compared to $ 1.1 million for the year ended December 31, 2021, an increase of $0.9 million or 81.8%. The increase in software and hosting expenses was primarily related to increased hosting fees based on payment volumes growth and additional software needs based on headcount growth.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General and administrative expenses were $82.9 million for the year ended December 31, 2022, compared to $61.6 million for the year ended December 31, 2021, an increase of $21.3 million or 34.6%. The increase in general and administrative expenses was primarily driven by an increase in personnel costs, stock-based compensation, professional fees, general and administrative expenses, software and hosting expenses, other costs, and travel related expenses, offset by a change in the fair value of contingent consideration. Personnel costs were $33.6 million for the year ended December 31, 2022, compared to $23.7 million for the year ended December 31, 2021, an increase of $9.9 million or 41.8%. The increase in personnel costs was primarily driven by an increase in headcount. Stock-based compensation was $17.1 million for year ended December 31, 2022, compared to $11.3 million for the year ended December 31, 2021, an increase of $5.8 million or 51.3%. The increase in stock-based compensation is attributable to equity grants awarded to existing and new FlyMates. Professional fees were $11.1 million for the year ended December 31, 2022, compared to $7.2 million for the year ended December 31, 2021, an increase of $3.9 million or 54.2%. The increase in professional fees was due to increased legal and audit fees as a result of becoming a public company in May 2021. General and administrative costs were $5.7 million for the year ended December 31, 2022, compared to $ 3.8 million for the year ended December 31, 2021, an increase of $1.9 million or 50.0%. The increase in general and administrative costs was primarily due to increased insurance costs as a public company, and additional insurance obligations incurred as a result of the WPM and Cohort Go acquisitions. Software and hosting expenses were $5.6 million for the year ended December 31, 2022, compared to $ 3.8 million for the year ended December 31, 2021, an increase of $1.8 million or 47.4%. The increase in software and hosting expenses was primarily related to increased hosting fees based on payment volumes growth and additional software needs based on headcount growth. Other costs were $4.2 million for the year ended December 31, 2022, compared to $3.0 million for the year ended December 31, 2021, an increase of $1.2 million or 40.0%. The increase in other costs is primarily due to increased hedging fees related to increase in total payment volume and indirect taxes recorded during the period. Travel expenses were $1.4 million during the year ended December 31, 2022, compared to $0.5 million for the year ended December 31, 2021, an increase of $0.9 million or 180.0%. Higher travel expenses were due to increased client engagement and FlyMate collaboration. The change in the fair value of contingent consideration related to acquisitions was $(2.8) million for the year ended December 31, 2022, compared to $2.3 million for the year ended December 31, 2021, a decrease of $5.1 million or 221.7%.</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6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Interest expense was $1.2 million for the year ended December 31, 2022, compared to $ 2.0 million for the year ended December 31, 2021, a decrease of 0.8 million or 40.0%. During July 2021, we entered into a Revolving Credit Facility with three banks for a total commitment of $50.0 million. We drew $ 25.9 million on the Revolving Credit Facility and used the proceeds to early prepay the existing LSA of $25.0 million, which resulted in a new interest rate per year. During the year ended December 31, 2022, we repaid the $25.9 million outstanding under the Revolving Credit Facility. Following the repayment, we continued to have access to a total commitment of $50.0 million under the Revolving Credit Facility.</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82"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Change in fair value of preferred stock warrant liability was $ 0 for the year ended December 31, 2022, compared to $10.8 million for the year ended December 31, 2021, a decrease of $10.8 million or 100%. Upon the completion of our IPO, all preferred stock warrants were either fully exercised or converted to warrants to purchase common stock. As a result, we no longer recognize the change in fair value of preferred stock warrant liability in our consolidated statements of operations and comprehensive loss.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69"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Other income (expense), net, was $ (5.9) million for the year ended December 31, 2022, compared to $0.1 million for the year ended December 31, 2021, an increase of $(6.0) million. The increase was the result of the remeasurement of foreign currency transactions, offset by an increase in interest income. Losses from the remeasurement of foreign currency transactions into its functional currencies were $9.1 million while interest income was $3.2 million for the year ended December 31, 2022. Gains from the remeasurement of foreign currency transactions into its functional currencies were $0.1 million for the year ended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69"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Provision for income taxes was $ 2.0 million during the year ended December 31, 2022, compared to $ 2.2 million during the year ended December 31, 2021, a decrease of $(0.2) million or 9.1%. During the year ended December 31, 2022 and 2021, we recorded an income tax expense of $ 2.0 million and $2.2 million, respectively, which was primarily attributable to income taxes related to our profitable foreign subsidiaries and U.S. state taxes. Our effective tax rate was (5.4)% for the year ended December 31, 2022, compared to (8.3)% for the year ended December 31,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years ended December 31, 2021 and 2020</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5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services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57.4 %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44.3 %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45.3 %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8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(13.3 )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(15.8 )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Change in fair value of preferred stock warrant liability</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(10.8 )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(0.7 )</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1442.9 %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(0.6 )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(85.7 )%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(12.7 )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(10.2 )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408.0 %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8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(25.9 )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(18.3 )</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(130.6 )%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(28.1 )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(11.1 )</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(17.0 )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153.2 %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(0.2 )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(0.3 )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gridSpan w:val="2"/>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(28.3 )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(16.9 )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xml:space="preserve">(148.2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-2362835</wp:posOffset>
            </wp:positionV>
            <wp:extent cx="7132320" cy="145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145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-1780540</wp:posOffset>
            </wp:positionV>
            <wp:extent cx="7132320" cy="14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-1489075</wp:posOffset>
            </wp:positionV>
            <wp:extent cx="7132320"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82" w:lineRule="exact"/>
        <w:rPr>
          <w:sz w:val="20"/>
          <w:szCs w:val="20"/>
          <w:color w:val="auto"/>
        </w:rPr>
      </w:pPr>
    </w:p>
    <w:p>
      <w:pPr>
        <w:jc w:val="both"/>
        <w:ind w:right="440" w:firstLine="509"/>
        <w:spacing w:after="0" w:line="252" w:lineRule="auto"/>
        <w:rPr>
          <w:sz w:val="20"/>
          <w:szCs w:val="20"/>
          <w:color w:val="auto"/>
        </w:rPr>
      </w:pPr>
      <w:r>
        <w:rPr>
          <w:rFonts w:ascii="Arial" w:cs="Arial" w:eastAsia="Arial" w:hAnsi="Arial"/>
          <w:sz w:val="18"/>
          <w:szCs w:val="18"/>
          <w:color w:val="auto"/>
        </w:rPr>
        <w:t>Revenue was $201.1 million for the year ended December 31, 2021, compared to $131.8 million for the year ended December 31, 2020, an increase of $69.3 million or 52.6%. Revenue is comprised of transaction revenue and platform and usage-based fee revenue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Transaction revenue</w:t>
            </w:r>
          </w:p>
        </w:tc>
        <w:tc>
          <w:tcPr>
            <w:tcW w:w="13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Platform and usage-based fee revenue</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223"/>
        </w:trPr>
        <w:tc>
          <w:tcPr>
            <w:tcW w:w="4320" w:type="dxa"/>
            <w:vAlign w:val="bottom"/>
          </w:tcPr>
          <w:p>
            <w:pPr>
              <w:ind w:left="280"/>
              <w:spacing w:after="0"/>
              <w:rPr>
                <w:sz w:val="20"/>
                <w:szCs w:val="20"/>
                <w:color w:val="auto"/>
              </w:rPr>
            </w:pPr>
            <w:r>
              <w:rPr>
                <w:rFonts w:ascii="Arial" w:cs="Arial" w:eastAsia="Arial" w:hAnsi="Arial"/>
                <w:sz w:val="18"/>
                <w:szCs w:val="18"/>
                <w:color w:val="auto"/>
              </w:rPr>
              <w:t>Revenue</w:t>
            </w:r>
          </w:p>
        </w:tc>
        <w:tc>
          <w:tcPr>
            <w:tcW w:w="148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432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3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-889635</wp:posOffset>
            </wp:positionV>
            <wp:extent cx="713232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Transaction revenue was $148.0 million for the year ended December 31, 2021, compared to $89.6 million for the year ended December 31, 2020, an increase of $58.4 million or 65.2%. The increase in transaction revenue was primarily driven by growth in transaction payment volumes from both our existing clients and new clients added during the year ended December 31, 2021. We experienced strong growth in payment volume across all regions during the period. Total payment volume increased 76% during the year ended December 31, 2021 to $13.2 billion. Our marketing services revenue remained consistent in the year ended December 31, 2021, compared to the year ended December 31, 2020.</w:t>
      </w:r>
    </w:p>
    <w:p>
      <w:pPr>
        <w:spacing w:after="0" w:line="155"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Platform and usage-based fee revenue was $53.1 million for the year ended December 31, 2021, compared to $42.2 million for the year ended December 31, 2020, an increase of $10.9 million or 25.8%. The increase in platform and usage-based fee revenue was driven by the full year of revenue from Simplee, increased usage by our clients and new clients signed during the year ended December 31,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Payment processing services costs were $ 70.2 million for the year ended December 31, 2021, compared to $47.8 million for the year ended December 31, 2020, an increase of $22.4 million or 46.9%. The increase in payment processing services costs is correlated with the increase in total payment volume of 76% over the same period, and was offset by lower processing costs related to bank, credit card and alternative payment transactions.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69" w:lineRule="exact"/>
        <w:rPr>
          <w:sz w:val="20"/>
          <w:szCs w:val="20"/>
          <w:color w:val="auto"/>
        </w:rPr>
      </w:pPr>
    </w:p>
    <w:p>
      <w:pPr>
        <w:ind w:firstLine="559"/>
        <w:spacing w:after="0" w:line="237" w:lineRule="auto"/>
        <w:rPr>
          <w:sz w:val="20"/>
          <w:szCs w:val="20"/>
          <w:color w:val="auto"/>
        </w:rPr>
      </w:pPr>
      <w:r>
        <w:rPr>
          <w:rFonts w:ascii="Arial" w:cs="Arial" w:eastAsia="Arial" w:hAnsi="Arial"/>
          <w:sz w:val="18"/>
          <w:szCs w:val="18"/>
          <w:color w:val="auto"/>
        </w:rPr>
        <w:t>Technology and development expenses were $31.3 million for the year ended December 31, 2021, compared to $24.5 million for the year ended December 31, 2020, an increase of $6.8 million or 27.8%. The increase in technology and development cost was primarily driven by an increase in personnel costs, stock-based compensation expense, software and hosting expenses and amortization expense. Personnel costs were $18.3 million for the year ended December 31, 2021, compared to $16.1 million for the year ended December 31, 2020, an increase of $2.2 million or 13.7%. The increase in personnel costs was primarily driven by an increase in headcount within our technology and development teams. Stock-based compensation expense was $2.5 million for year ended December 31, 2021, compared to $0.9 million for the year ended December 31, 2020, an increase of $1.6 million. The increase in stock-based compensation is attributable to grants awarded to existing and new FlyMates and the additional compensation charges taken in relation to a secondary sale during the period that involved stockholders who were also FlyMates. Software and hosting expenses was $3.9 million for the year ended December 31, 2021, compared to $2.9 million for the year ended December 31, 2021, and increase of $1.0 million. The increase is primarily related to increased hosting fees based on growth in payment volumes and additional software needs based on headcount growth. Amortization of intangible assets was $5.0 million for the year ended December 31, 2021, compared to $3.2 million for the year ended December 31, 2020, an increase of $1.8 million or 56.3%. The increase in amortization expense is attributable to the full year of amortization expense for acquired Simplee intangible assets in 2021 versus a partial year in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8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Selling and marketing expenses were $51.3 million for the year ended December 31, 2021, compared to $32.6 million for the year ended December 31, 2020, an increase of $18.7 million or 57.4%. The increase in selling and marketing expenses was primarily driven by an increase in personnel costs, stock-based compensation, professional fees, and marketing costs. Personnel costs were $31.7 million for the year ended December 31, 2021, compared to $23.1 million for the year ended December 31, 2020, an increase of $8.6 million or 37.2%. The increase in personnel costs was primarily driven by an increase in headcount within our selling and marketing teams and commissions earned on sales during the period. Stock-based compensation was $5.2 million for year ended December 31, 2021, compared to $1.3 million for the year ended December 31, 2020, an increase of $3.9 million. The increase in stock-based compensation is attributable to grants awarded to existing and new FlyMates and the additional compensation charges taken in relation to a secondary sale during the period that involved stockholders who were also FlyMates. Professional fee expenses were $4.9 million for the year ended December 31, 2021, compared to $1.5 million for the year ended December 31, 2020, an increase of $3.4 million. The increase in professional fees was due to increases in third party commissions, expenses incurred related to our public offering and consulting fees. Marketing costs were $4.0 million during the year ended December 31, 2021, compared to $2.0 million for the year ended December 31, 2020, an increase of $2.0 million or 100%. The increase in marketing costs was due to increased marketing initiatives and hosted events.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General and administrative expenses were $61.6 million for the year ended December 31, 2021, compared to $42.7 million for the year ended December 31, 2020, an increase of $18.9 million or 44.3%. The increase in general and</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administrative expenses was primarily driven by an increase in stock-based compensation, personnel costs, professional fees, general and administrative and other costs offset by a change in the fair value of contingent consideration and acquisition related expenses. Stock-based compensation was $11.3 million for year ended December 31, 2021, compared to $1.7 million for the year ended December 31, 2020, an increase of $9.6 million. The increase in stock-compensation is attributable to grants awarded to existing and new FlyMates, and the additional compensation charges taken in relation to a secondary sale during the period that involved stockholders who were also FlyMates. Personnel costs were $23.7 million for the year ended December 31, 2021, compared to $19.6 million for the year ended December 31, 2020, an increase of $4.1 million or 20.9% primarily due to increased headcount. Professional fees were $ 7.2 million for the year ended December 31, 2021, compared to $4.2 million for the year ended December 31, 2020, an increase of $3.0 million or 71.4%. The increase in professional fees was due to increased legal and audit fees. General and administrative costs were $3.8 million for the year ended December 31, 2021, compared to $ 1.0 million for the year ended December 31, 2020, an increase of $2.8 million. The increase in general and administrative costs was primarily due to increased insurance costs as a public company. Other costs were $3.0 million for the year ended December 31, 2021, compared to $2.0 million for the year ended December 31, 2020, an increase of $1.0 million or 50.0%. The increase in other costs is primarily due to indirect taxes recorded during the period and increased hedging fees related to increase in total payment volume. The fair value change of contingent consideration was $2.2 million for the year ended December 31, 2021 compared to $5.4 million for the year ended December 31, 2020, a decrease of $3.2 million. Acquisition related expenses were $0.5 million for the year ended December 31, 2021 compared to $1.5 million for the year ended December 31, 2020, a decrease of $1.0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6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Interest expense was $2.0 million for the year ended December 31, 2021, compared to $2.5 million for the year ended December 31, 2020, a decrease of 0.5 million or 20.%. During July 2021, we entered into a Revolving Credit Facility with three banks for a total commitment of $50.0 million. We drew $25.9 million on the Revolving Credit Facility and used the proceeds to early prepay our existing LSA of $25.0 million, which resulted in a new interest rate per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8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Change in fair value of preferred stock warrant liability was $10.8 million for the year ended December 31, 2021, compared to $0.7 million for the year ended December 31, 2020, an increase of $10.1 million. The increase in preferred stock warrant liability was the result of an increase in the value of our preferred stock. Upon the completion of the IPO, all preferred stock warrants were either fully exercised or converted to warrants to purchase common stock. As a result, we no longer recognize the change in fair value of preferred stock warrant liability in our consolidated statements of operations and comprehensive loss.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6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Other income (expense), net, was $0.1 million for the year ended December 31, 2021, compared to $0.7 million for the year ended December 31, 2020, a decrease of $ 0.6 million or 85.7%. The decrease was the result of the remeasurement of foreign currency transactions, offset by a decrease in interest income. Gains from the remeasurement of foreign currency transactions into its functional currencies were $0.1 million for the year ended December 31, 2021, compared to $0.6 million for the year ended December 31, 2020, a decrease of $0.5 million or 83.3%. The decrease was the result of the changes in foreign exchange rates against the U.S. Dollar, our financial reporting currency.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20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Provision for income taxes was $2.2 million during the year ended December 31, 2021, compared to a tax benefit of $ 7.2 million during the year ended December 31, 2020, an increase of 9.4 million. During the year ended December 31, 2021, we recorded an income tax expense of $2.2 million, which was primarily attributable to income taxes related to our profitable foreign subsidiaries and U.S. state taxes. During the year ended December 31, 2020, we recorded an income tax benefit of $7.2 million, which was primarily attributable to a non-recurring benefit of $ 8.4 million relating to the release of a portion of our valuation allowance. This release was due to taxable temporary differences recorded as part of the Simplee acquisition which were a source of income to realize certain pre-existing federal and state deferred tax assets. Our effective tax rate was (8.3)% for the year ended December 31, 2021, compared to 39.3% for the year ended December 31, 2020.</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4"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Since inception, we have financed operations primarily through proceeds received from sales of equity securities, credit facilities and payments received from our clients as further detailed below.</w:t>
      </w:r>
    </w:p>
    <w:p>
      <w:pPr>
        <w:spacing w:after="0" w:line="112" w:lineRule="exact"/>
        <w:rPr>
          <w:sz w:val="20"/>
          <w:szCs w:val="20"/>
          <w:color w:val="auto"/>
        </w:rPr>
      </w:pPr>
    </w:p>
    <w:p>
      <w:pPr>
        <w:jc w:val="both"/>
        <w:ind w:right="140" w:firstLine="509"/>
        <w:spacing w:after="0" w:line="252" w:lineRule="auto"/>
        <w:rPr>
          <w:sz w:val="20"/>
          <w:szCs w:val="20"/>
          <w:color w:val="auto"/>
        </w:rPr>
      </w:pPr>
      <w:r>
        <w:rPr>
          <w:rFonts w:ascii="Arial" w:cs="Arial" w:eastAsia="Arial" w:hAnsi="Arial"/>
          <w:sz w:val="18"/>
          <w:szCs w:val="18"/>
          <w:color w:val="auto"/>
        </w:rPr>
        <w:t>In May 2021, we completed our IPO which resulted in aggregate net proceeds of $ 263.8 million, after underwriting discounts of $19.4 million and issuance costs of $4.9 million. As of December 31, 2022, our principal source of liquidity is cash, cash equivalents and restricted cash of $351.2 million. Cash equivalents is comprised primarily of money market funds.</w:t>
      </w:r>
    </w:p>
    <w:p>
      <w:pPr>
        <w:spacing w:after="0" w:line="130"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believe that our existing cash will be sufficient to support our expected working capital needs and material cash requirements for at least the next 12 months from the issuance of these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Contractual obligations consist of operating leases that relate to real estate for our primary facilities.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as of 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Payments Due by Year</w:t>
            </w: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81"/>
              <w:spacing w:after="0" w:line="159"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39"/>
              <w:spacing w:after="0" w:line="159" w:lineRule="exact"/>
              <w:rPr>
                <w:sz w:val="20"/>
                <w:szCs w:val="20"/>
                <w:color w:val="auto"/>
              </w:rPr>
            </w:pPr>
            <w:r>
              <w:rPr>
                <w:rFonts w:ascii="Arial" w:cs="Arial" w:eastAsia="Arial" w:hAnsi="Arial"/>
                <w:sz w:val="14"/>
                <w:szCs w:val="14"/>
                <w:b w:val="1"/>
                <w:bCs w:val="1"/>
                <w:color w:val="auto"/>
              </w:rPr>
              <w:t>1 to 3</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100"/>
              <w:spacing w:after="0" w:line="159" w:lineRule="exact"/>
              <w:rPr>
                <w:sz w:val="20"/>
                <w:szCs w:val="20"/>
                <w:color w:val="auto"/>
              </w:rPr>
            </w:pPr>
            <w:r>
              <w:rPr>
                <w:rFonts w:ascii="Arial" w:cs="Arial" w:eastAsia="Arial" w:hAnsi="Arial"/>
                <w:sz w:val="14"/>
                <w:szCs w:val="14"/>
                <w:b w:val="1"/>
                <w:bCs w:val="1"/>
                <w:color w:val="auto"/>
              </w:rPr>
              <w:t>4 to 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9"/>
              <w:spacing w:after="0" w:line="159"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3"/>
                <w:szCs w:val="13"/>
                <w:color w:val="auto"/>
              </w:rPr>
            </w:pPr>
          </w:p>
        </w:tc>
      </w:tr>
      <w:tr>
        <w:trPr>
          <w:trHeight w:val="185"/>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21"/>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r>
      <w:tr>
        <w:trPr>
          <w:trHeight w:val="223"/>
        </w:trPr>
        <w:tc>
          <w:tcPr>
            <w:tcW w:w="506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obligations</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3,683</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3,683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2,027</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1,656</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-179070</wp:posOffset>
            </wp:positionV>
            <wp:extent cx="76835" cy="1797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-179070</wp:posOffset>
            </wp:positionV>
            <wp:extent cx="76835"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-179070</wp:posOffset>
            </wp:positionV>
            <wp:extent cx="68580"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-179070</wp:posOffset>
            </wp:positionV>
            <wp:extent cx="6858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 information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7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4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(24.7 )</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(62.9 )</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(81.5 )</w:t>
            </w:r>
          </w:p>
        </w:tc>
        <w:tc>
          <w:tcPr>
            <w:tcW w:w="0" w:type="dxa"/>
            <w:vAlign w:val="bottom"/>
          </w:tcPr>
          <w:p>
            <w:pPr>
              <w:spacing w:after="0"/>
              <w:rPr>
                <w:sz w:val="1"/>
                <w:szCs w:val="1"/>
                <w:color w:val="auto"/>
              </w:rPr>
            </w:pPr>
          </w:p>
        </w:tc>
      </w:tr>
      <w:tr>
        <w:trPr>
          <w:trHeight w:val="229"/>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(24.0 )</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(1.4 )</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20" w:type="dxa"/>
            <w:vAlign w:val="bottom"/>
            <w:gridSpan w:val="2"/>
            <w:shd w:val="clear" w:color="auto" w:fill="CFF0FC"/>
          </w:tcPr>
          <w:p>
            <w:pPr>
              <w:ind w:left="280"/>
              <w:spacing w:after="0" w:line="190" w:lineRule="exact"/>
              <w:rPr>
                <w:sz w:val="20"/>
                <w:szCs w:val="20"/>
                <w:color w:val="auto"/>
              </w:rPr>
            </w:pPr>
            <w:r>
              <w:rPr>
                <w:rFonts w:ascii="Arial" w:cs="Arial" w:eastAsia="Arial" w:hAnsi="Arial"/>
                <w:sz w:val="18"/>
                <w:szCs w:val="18"/>
                <w:color w:val="auto"/>
              </w:rPr>
              <w:t>Net increase (decrease) in cash, cash equivalents and</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(38.2 )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280.3</w:t>
            </w:r>
          </w:p>
        </w:tc>
        <w:tc>
          <w:tcPr>
            <w:tcW w:w="2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20" w:type="dxa"/>
            <w:vAlign w:val="bottom"/>
            <w:gridSpan w:val="2"/>
            <w:shd w:val="clear" w:color="auto" w:fill="CFF0FC"/>
          </w:tcPr>
          <w:p>
            <w:pPr>
              <w:ind w:left="420"/>
              <w:spacing w:after="0" w:line="195" w:lineRule="exact"/>
              <w:rPr>
                <w:sz w:val="20"/>
                <w:szCs w:val="20"/>
                <w:color w:val="auto"/>
              </w:rPr>
            </w:pPr>
            <w:r>
              <w:rPr>
                <w:rFonts w:ascii="Arial" w:cs="Arial" w:eastAsia="Arial" w:hAnsi="Arial"/>
                <w:sz w:val="18"/>
                <w:szCs w:val="18"/>
                <w:color w:val="auto"/>
              </w:rPr>
              <w:t>restricted cash</w:t>
            </w:r>
          </w:p>
        </w:tc>
        <w:tc>
          <w:tcPr>
            <w:tcW w:w="320" w:type="dxa"/>
            <w:vAlign w:val="bottom"/>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jc w:val="both"/>
        <w:ind w:right="40" w:firstLine="509"/>
        <w:spacing w:after="0" w:line="271" w:lineRule="auto"/>
        <w:rPr>
          <w:sz w:val="20"/>
          <w:szCs w:val="20"/>
          <w:color w:val="auto"/>
        </w:rPr>
      </w:pPr>
      <w:r>
        <w:rPr>
          <w:rFonts w:ascii="Arial" w:cs="Arial" w:eastAsia="Arial" w:hAnsi="Arial"/>
          <w:sz w:val="18"/>
          <w:szCs w:val="18"/>
          <w:color w:val="auto"/>
        </w:rPr>
        <w:t>Net cash provided by (used in) operating activities consists of net loss adjusted for certain non-cash items and changes in other assets and liabilities.</w:t>
      </w:r>
    </w:p>
    <w:p>
      <w:pPr>
        <w:spacing w:after="0" w:line="126"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During 2022, cash provided by operating activities of $5.4 million was primarily the result of net loss of $39.3 million adjusted for non-cash expenses of $40.3 million, which primarily include stock-based compensation expense of $30.3 million, depreciation and amortization of $12.3 million and amortization of deferred contract costs of $1.8 million, offset by change in fair value of contingent consideration of $(2.8) million and deferred tax provision of $(1.7) million, benefited by changes in operating assets and liabilities of $4.4 million.</w:t>
      </w:r>
    </w:p>
    <w:p>
      <w:pPr>
        <w:spacing w:after="0" w:line="136"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During 2021, cash provided by operating activities of $17.1 million was primarily the result of net loss of $28.1 million adjusted for noncash expenses of $41.8 million, which primarily include stock-based compensation expense of $18.9</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million, change in fair value of preferred stock warrant liability of $10.8 million, depreciation and amortization of $9.0 million, change in fair value of contingent consideration of $2.3 million, non-cash interest expense of $0.3 million, amortization of deferred contract costs of $0.2 million, bad debt expense of $0.2 million and deferred tax provision of $0.1 million, benefited by changes in operating assets and liabilities of $3.5 million.</w:t>
      </w:r>
    </w:p>
    <w:p>
      <w:pPr>
        <w:spacing w:after="0" w:line="14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During 2020, cash used in operating activities of $14.2 million was primarily the result of net loss of $11.1 million adjusted for non-cash expenses of $9.0 million, which primarily include depreciation and amortization of $6.8 million, change in fair value of contingent consideration of $5.4 million, stock-based compensation expense of $3.8 million, and the change in fair value of preferred stock warrant liability of $0.7 million, offset by $8.5 million related to deferred taxes and $12.1 million related to changes in our operating assets and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During 2022, cash used in investing activities of $24.7 million was primarily the result of our acquisition of Cohort Go for a purchase consideration of $17.1 million and capitalization of internally developed software costs of $7.1 million.</w:t>
      </w:r>
    </w:p>
    <w:p>
      <w:pPr>
        <w:spacing w:after="0" w:line="126"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During 2021, cash used in investing activities of $62.9 million was the result of our acquisition of WPM for a purchase consideration of $56.1 million in cash, purchase of property and equipment for $6.7 million and asset acquisition of $0.1 million.</w:t>
      </w:r>
    </w:p>
    <w:p>
      <w:pPr>
        <w:spacing w:after="0" w:line="112"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During 2020, cash used in investing activities of $81.5 million was the result of our acquisition of Simplee for a purchase consideration of $79.4 million in cash and $2.1 million related to purchases of computer equipment and software.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2"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During 2022, cash used in financing activities of $24.0 million was driven by the repayment of our Revolving Credit Facility of $25.9 million, payments for contingent consideration of $3.7 million primarily related to the acquisition of Simplee, payments of tax withholdings of $2.6 million for net settled option exercises, offset by proceeds from the exercise of stock options of $7.0 million and proceeds from the issuance of stock under the ESPP of $1.3 million.</w:t>
      </w:r>
    </w:p>
    <w:p>
      <w:pPr>
        <w:spacing w:after="0" w:line="13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During 2021, cash provided by financing activities of $327.5 million was primarily driven by the net proceeds received from our IPO of $263.8 million, net proceeds received from our sale of preferred stock of $59.7 million and proceeds from the exercise of stock options and warrants of $6.9 million, net proceeds from borrowings under our Revolving Credit Facility of $25.9 million, offset by the payoff of our previously existing term loan of $25.0 million, payments for contingent consideration of $3.8 million related to our acquisition of Simplee and $0.4 million related to issuance costs associated with our Revolving Credit Facility.</w:t>
      </w:r>
    </w:p>
    <w:p>
      <w:pPr>
        <w:spacing w:after="0" w:line="139"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During 2020, cash provided by financing activities of $119.0 million was primarily the result of our sale of preferred stock for aggregate proceeds of $ 119.8 million and proceeds from the exercise of stock options of $ 0.8 million, primarily offset by payments for contingent consideration of $1.3 million related to our acquisition of OnPlan Holdings, LLC during 2018.</w:t>
      </w:r>
    </w:p>
    <w:p>
      <w:pPr>
        <w:spacing w:after="0" w:line="14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As of December 31, 2022 and 2021, we had $0 and $25.9 million of outstanding indebtedness under the Revolving Credit Facility. The proceeds of the Revolving Credit Facility were used to pay the LSA of $25.0 million. During the year ended December 31, 2022, we repaid the $25.9 million outstanding under the Revolving Credit Facility. Following the repayment, we continue to have access to a total commitment of $50.0 million under the Revolving Credit Facility. The Revolving Credit Facility consists of ABR loans or Eurodollar Borrowings, at our option. ABR loans bear interest at the ABR plus the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 0.25% to 0.35% based upon our liquidity as of the most recent consolidated financial information assessed on the average undrawn portion of the available commitment.</w:t>
      </w:r>
    </w:p>
    <w:p>
      <w:pPr>
        <w:spacing w:after="0" w:line="12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As of December 31, 2020, we had $ 25.0 million of outstanding indebtedness under the LSA. The LSA was interest only until May 2023 and bore annual interest at a rate equal to the greater of (i) 5.25% above the prime rate of (ii) 8.50%.</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4"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2"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 xml:space="preserve">Our significant accounting policies are described in </w:t>
      </w:r>
      <w:r>
        <w:rPr>
          <w:rFonts w:ascii="Arial" w:cs="Arial" w:eastAsia="Arial" w:hAnsi="Arial"/>
          <w:sz w:val="18"/>
          <w:szCs w:val="18"/>
          <w:i w:val="1"/>
          <w:iCs w:val="1"/>
          <w:color w:val="auto"/>
        </w:rPr>
        <w:t>Note 1 - Business Overview and Summary of Significant Accounting Policies</w:t>
      </w:r>
      <w:r>
        <w:rPr>
          <w:rFonts w:ascii="Arial" w:cs="Arial" w:eastAsia="Arial" w:hAnsi="Arial"/>
          <w:sz w:val="18"/>
          <w:szCs w:val="18"/>
          <w:color w:val="auto"/>
        </w:rPr>
        <w:t xml:space="preserve"> to our consolidated financial statements included elsewhere in this Annual Report on Form 10-K. We believe that the following critical accounting policies are most important to the judgments and estimates used in the preparation of our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82"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Intangible assets consist of acquired developed technology, acquired relationships,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13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estimate the fair value of acquired developed technology using the relief-from-royalty method, a form of the income approach, which estimates the cost savings that accrue to the owner of an intangible asset who would otherwise have to pay royalties or license fees on revenues earned through the use of the asset. The royalty rate used is based on an analysis of empirical, market-derived royalty rates for similar technology. The fair value of acquired relationships is estimated using the multi-period excess earnings method under the income approach, which represents the total income to be generated by the asset. Under this method, the value of an intangible asset is equal to the present value of the incremental after-tax cash flows attributable solely to the intangible asset. We value noncompete agreements using the with and without method. This method compares our projected discounted cash flows in two distinct scenarios: first, we assume that the covenant not-to-compete is in-place and, second, we assume that the covenant not-to-compete is not in-place. A probability adjustment factor is then applied to the difference between the two scenarios to determine the fair value of the noncompete agreement. We value trade names and trademarks using the relief from royalty method. The relief-from-royalty method determines the present value of the economic royalty savings associated with the ownership or possession of the trade name or trademark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or trademark.</w:t>
      </w:r>
    </w:p>
    <w:p>
      <w:pPr>
        <w:spacing w:after="0" w:line="14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useful lives for developed technology are determined based on expectations regarding the evolution of existing technology and future investments. The useful lives for customer-related intangible assets are determined based primarily on forecasted cash flows, which include estimates for the revenues, expenses and customer attrition associated with the assets. The useful lives of definite-lived trademarks and trade names are based on our plans to phase out the trademarks and trade names in the applicable markets. The useful lives for noncompete agreements are determined based on the term of the related agreements.</w:t>
      </w:r>
    </w:p>
    <w:p>
      <w:pPr>
        <w:spacing w:after="0" w:line="152" w:lineRule="exact"/>
        <w:rPr>
          <w:sz w:val="20"/>
          <w:szCs w:val="20"/>
          <w:color w:val="auto"/>
        </w:rPr>
      </w:pPr>
    </w:p>
    <w:p>
      <w:pPr>
        <w:ind w:right="440" w:firstLine="509"/>
        <w:spacing w:after="0" w:line="252" w:lineRule="auto"/>
        <w:rPr>
          <w:sz w:val="20"/>
          <w:szCs w:val="20"/>
          <w:color w:val="auto"/>
        </w:rPr>
      </w:pPr>
      <w:r>
        <w:rPr>
          <w:rFonts w:ascii="Arial" w:cs="Arial" w:eastAsia="Arial" w:hAnsi="Arial"/>
          <w:sz w:val="18"/>
          <w:szCs w:val="18"/>
          <w:color w:val="404040"/>
        </w:rPr>
        <w:t>In</w:t>
      </w:r>
      <w:r>
        <w:rPr>
          <w:rFonts w:ascii="Arial" w:cs="Arial" w:eastAsia="Arial" w:hAnsi="Arial"/>
          <w:sz w:val="18"/>
          <w:szCs w:val="18"/>
          <w:color w:val="000000"/>
        </w:rPr>
        <w:t>tangible assets are amortized using a method that reflects the pattern in which the economic benefits of the intangible asset are</w:t>
      </w:r>
      <w:r>
        <w:rPr>
          <w:rFonts w:ascii="Arial" w:cs="Arial" w:eastAsia="Arial" w:hAnsi="Arial"/>
          <w:sz w:val="18"/>
          <w:szCs w:val="18"/>
          <w:color w:val="404040"/>
        </w:rPr>
        <w:t xml:space="preserve"> </w:t>
      </w:r>
      <w:r>
        <w:rPr>
          <w:rFonts w:ascii="Arial" w:cs="Arial" w:eastAsia="Arial" w:hAnsi="Arial"/>
          <w:sz w:val="18"/>
          <w:szCs w:val="18"/>
          <w:color w:val="000000"/>
        </w:rPr>
        <w:t>expected to be realized over their estimated useful lives ranging from one to fifteen years. No significant residual value is estimated for intangible assets.</w:t>
      </w:r>
    </w:p>
    <w:p>
      <w:pPr>
        <w:spacing w:after="0" w:line="130"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The estimated fair values of these intangible assets reflect various assumptions including discount rates, revenue growth rates, operating margins, terminal values, attrition, useful lives and other prospective financial information.</w:t>
      </w:r>
    </w:p>
    <w:p>
      <w:pPr>
        <w:spacing w:after="0" w:line="112" w:lineRule="exact"/>
        <w:rPr>
          <w:sz w:val="20"/>
          <w:szCs w:val="20"/>
          <w:color w:val="auto"/>
        </w:rPr>
      </w:pPr>
    </w:p>
    <w:p>
      <w:pPr>
        <w:ind w:right="200" w:firstLine="509"/>
        <w:spacing w:after="0" w:line="252" w:lineRule="auto"/>
        <w:rPr>
          <w:sz w:val="20"/>
          <w:szCs w:val="20"/>
          <w:color w:val="auto"/>
        </w:rPr>
      </w:pPr>
      <w:r>
        <w:rPr>
          <w:rFonts w:ascii="Arial" w:cs="Arial" w:eastAsia="Arial" w:hAnsi="Arial"/>
          <w:sz w:val="18"/>
          <w:szCs w:val="18"/>
          <w:color w:val="auto"/>
        </w:rPr>
        <w:t>The judgments made in determining the estimated fair value of intangibles as well as the estimated lives, can materially impact net income or loss in periods subsequent to the acquisition through depreciation and amortization, and in certain instances through impairment charges, if the assets become impaired in the future.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Contingent consideration in business combinations is recognized at fair value on the acquisition date.</w:t>
      </w:r>
    </w:p>
    <w:p>
      <w:pPr>
        <w:spacing w:after="0" w:line="1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connection with the acquisition of Cohort Go, we entered into an agreement to make certain earn-out payments based on Cohort Go's achievement of specific post-acquisition milestones established through a period ending March 31, 2023. Contingent consideration will be settled upon completion of the post-acquisition milestones at various intervals through May 2023 in the form of cash or shares of common stock at the Company's option and it is subject to exchange rate fluctuation adjustment between the U.S. Dollar and Australian Dollar. The fair value of the contingent consideration was determined using a scenario-based method formed on the likelihoods of achieving each of the milestones. Increases or decreases in any of the probabilities of success in which the specific post-acquisition milestones are expected to be achieved would result in a higher or lower fair value measurement, respectively. Increases or decreases in the discount rate would result in a lower or higher fair value measurement, respectively.</w:t>
      </w:r>
    </w:p>
    <w:p>
      <w:pPr>
        <w:spacing w:after="0" w:line="15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connection with the acquisition of WPM, we entered into an agreement to make certain earn-out payments based on the achievement of certain platform integration objectives as well as the achievement of minimum payment volume targets. The platform integration objectives are payable upon completion, and the payment volume targets are payable based on the results of the 15 month and subsequent 12 month periods after acquisition. The fair value of the contingent consideration related to the payment volume targets was determined using an option pricing model and the fair value of the contingent consideration related to the platform integration objectives was determined using a scenario-based method that reflects our expectation about the probability of payment based on facts and circumstances that existed at the acquisition closing date. The option pricing model includes significant unobservable inputs such as expectations regarding payment volume, a market price of risk adjustment for revenue and revenue volatility. The scenario-based method includes significant unobservable inputs such as the probability of completing certain platform integrations. Increases or decreases in any of the probabilities of success in which the platform integration objectives are expected to be achieved would result in higher or lower fair value measurement, respectively. Increases or decreases in expectations regarding the level at which payment volume are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spacing w:after="0" w:line="145"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connection with the acquisition of Simplee, we entered into an agreement to make certain earn-out payments based on the achievement of applicable objectives as well as the achievement of certain revenue targets established for the years ended December 31, 2020 and 2021. The earn-outs related to the Simplee acquisition were payable at the one-year and two-year acquisition anniversary dates based on the prior year calendar revenue results. The fair value of the contingent consideration was determined using an option pricing model that reflects our expectation about the probability of payment based on facts and circumstances that existed at the acquisition closing date. The option pricing model includes significant unobservable inputs such as a discount rate that equals risk-free rate plus a spread to reflect the credit risk as estimated by our cost of debt, the probability of achieving established revenue, the probability of retaining key employees and the probability of completing certain platform integrations. Increases or decreases in any of the probabilities of success in which volume targets are expected to be achieved would result in a higher or lower liability, respectively. Increases or decreases in the discount rate would result in a lower or higher liability, respectively.</w:t>
      </w:r>
    </w:p>
    <w:p>
      <w:pPr>
        <w:spacing w:after="0" w:line="14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 The maximum amount we would be required to pay related to Cohort Go and WPM acquisitions is $2.2 million and $7.9 million, respectively. During the year ended December, 31 2022, the Company made the final payment of contingent consideration in the amount of $7.8 million related to the Simplee acquisition. No additional contingent consideration is due or payable with respect to the Simplee acquisition. The fair value of the contingent consideration at December 31, 2022 and 2021 was $1.3 and $11.3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 to Purchase Preferred Stock</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Prior to our IPO, we classified warrants to purchase shares of our convertible preferred stock as liabilities on our balance sheets as these were free standing instruments that may have required us to transfer assets upon exercise. The warrant liability associated with these warrants was recorded at fair value on the issuance date of each warrant and was subsequently marked to market each reporting period based on changes in the warrants’ fair value calculated using the Black-Scholes model. Inputs used in the fair value calculation included exercise price, risk-free interest rate, expected dividend yield, remaining contractual term and expected volatility. We determined the fair value per share of the underlying preferred stock by taking into consideration the most recent sales of our convertible preferred stock, results obtained from third-party valuations and additional factors that we deemed relevant. We were a private company and lacked company-specific historical and implied volatility information of our stock. Therefore, we estimated expected stock</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jc w:val="both"/>
        <w:ind w:right="80"/>
        <w:spacing w:after="0" w:line="255" w:lineRule="auto"/>
        <w:rPr>
          <w:sz w:val="20"/>
          <w:szCs w:val="20"/>
          <w:color w:val="auto"/>
        </w:rPr>
      </w:pPr>
      <w:r>
        <w:rPr>
          <w:rFonts w:ascii="Arial" w:cs="Arial" w:eastAsia="Arial" w:hAnsi="Arial"/>
          <w:sz w:val="17"/>
          <w:szCs w:val="17"/>
          <w:color w:val="auto"/>
        </w:rPr>
        <w:t>volatility based on the historical volatility of publicly traded peer companies for a term equal to the remaining contractual term of the warrants. The risk-free interest rate was determined by reference to the U.S. Treasury yield curve for time periods approximately equal to the remaining contractual term of the warrants. We estimated a 0% dividend yield based on the fact that we have never paid or declared dividends.</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Following our IPO, the preferred stock warrants were either fully exercised or converted to warrants to purchase common stock. As of December 31, 2022 and 2021, there were no preferred stock warrants outstanding. Changes in fair value of the warrants were recognized on the consolidated statements of operations and comprehensive loss.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quantifies the weighted average of the most significant inputs used for the warrants valuation for the year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preferred stock</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0.7 %</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42.5 %</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20" w:type="dxa"/>
            <w:vAlign w:val="bottom"/>
          </w:tcPr>
          <w:p>
            <w:pPr>
              <w:spacing w:after="0"/>
              <w:rPr>
                <w:sz w:val="19"/>
                <w:szCs w:val="19"/>
                <w:color w:val="auto"/>
              </w:rPr>
            </w:pPr>
          </w:p>
        </w:tc>
        <w:tc>
          <w:tcPr>
            <w:tcW w:w="1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Remaining contractual term (in years)</w:t>
            </w: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169"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Our transaction revenue is derived from fees charged for payment processing services provided to educational institutions, healthcare entities and other commercial entities. Our services relate to facilitating payments from individuals, such as students and patients, and organizations to clients. Fees charged for payment processing services consists of a rate applied to the monetary value of the payment and can vary based on the payment method,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We do not recognize the underlying amount of the transaction being settled between client and client’s customer, as revenue or cost of revenue in the consolidated statements of operations and comprehensive loss, as we are not the responsible party for fulfilling the obligation between the client and client’s customer. Therefore, revenue is only recognized for the fee for which we are entitled for processing the payment.</w:t>
      </w:r>
    </w:p>
    <w:p>
      <w:pPr>
        <w:spacing w:after="0" w:line="154" w:lineRule="exact"/>
        <w:rPr>
          <w:sz w:val="20"/>
          <w:szCs w:val="20"/>
          <w:color w:val="auto"/>
        </w:rPr>
      </w:pPr>
    </w:p>
    <w:p>
      <w:pPr>
        <w:ind w:right="480" w:firstLine="509"/>
        <w:spacing w:after="0" w:line="246" w:lineRule="auto"/>
        <w:rPr>
          <w:sz w:val="20"/>
          <w:szCs w:val="20"/>
          <w:color w:val="auto"/>
        </w:rPr>
      </w:pPr>
      <w:r>
        <w:rPr>
          <w:rFonts w:ascii="Arial" w:cs="Arial" w:eastAsia="Arial" w:hAnsi="Arial"/>
          <w:sz w:val="18"/>
          <w:szCs w:val="18"/>
          <w:color w:val="auto"/>
        </w:rPr>
        <w:t>We also earn revenue from fees charged to credit card service providers for marketing arrangements in which we perform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w:t>
      </w:r>
    </w:p>
    <w:p>
      <w:pPr>
        <w:spacing w:after="0" w:line="136" w:lineRule="exact"/>
        <w:rPr>
          <w:sz w:val="20"/>
          <w:szCs w:val="20"/>
          <w:color w:val="auto"/>
        </w:rPr>
      </w:pPr>
    </w:p>
    <w:p>
      <w:pPr>
        <w:jc w:val="both"/>
        <w:ind w:right="260" w:firstLine="509"/>
        <w:spacing w:after="0" w:line="243" w:lineRule="auto"/>
        <w:rPr>
          <w:sz w:val="20"/>
          <w:szCs w:val="20"/>
          <w:color w:val="auto"/>
        </w:rPr>
      </w:pPr>
      <w:r>
        <w:rPr>
          <w:rFonts w:ascii="Arial" w:cs="Arial" w:eastAsia="Arial" w:hAnsi="Arial"/>
          <w:sz w:val="18"/>
          <w:szCs w:val="18"/>
          <w:color w:val="auto"/>
        </w:rPr>
        <w:t>The money can be wired directly from the client’s customer to us, however, in certain situations when the client’s customer lives in a country where we do not have an active bank account, we use third-party service providers to collect wired funds before remitting the funds to us. The third-party service provider invoices us on a recurring basis with a fee for each payment processed and deposited into our bank account. The fee paid to third-party service providers as well as any foreign exchange banking fees paid by us are reflected in the payment processing services costs line in the consolidated statements of operations and comprehensive loss.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and Usage-Based Fee Revenue</w:t>
      </w:r>
    </w:p>
    <w:p>
      <w:pPr>
        <w:spacing w:after="0" w:line="182"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Our platform and usage-based fee revenue is derived from fees earned for utilizing our platform to collect accounts receivables on behalf of our clients from their customers, fees collected on payment plans established by a client for obligations due by a client’s customer, subscription fees and fees related to printing and mailing statements. Fees charged consist of a fixed fee and a variable fee determined based on volume of transaction processed through our platform.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69" w:lineRule="exact"/>
        <w:rPr>
          <w:sz w:val="20"/>
          <w:szCs w:val="20"/>
          <w:color w:val="auto"/>
        </w:rPr>
      </w:pPr>
    </w:p>
    <w:p>
      <w:pPr>
        <w:ind w:right="440" w:firstLine="509"/>
        <w:spacing w:after="0" w:line="252" w:lineRule="auto"/>
        <w:rPr>
          <w:sz w:val="20"/>
          <w:szCs w:val="20"/>
          <w:color w:val="auto"/>
        </w:rPr>
      </w:pPr>
      <w:r>
        <w:rPr>
          <w:rFonts w:ascii="Arial" w:cs="Arial" w:eastAsia="Arial" w:hAnsi="Arial"/>
          <w:sz w:val="18"/>
          <w:szCs w:val="18"/>
          <w:color w:val="auto"/>
        </w:rPr>
        <w:t>We use significant judgement on determining the performance obligations in the arrangement based on considerations such as whether the client can benefit from each service on its own or together with other resources that are readily available from third parties or from us and whether each service is distinct in the context of the arrangement,</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jc w:val="both"/>
        <w:ind w:right="620"/>
        <w:spacing w:after="0" w:line="301" w:lineRule="auto"/>
        <w:rPr>
          <w:sz w:val="20"/>
          <w:szCs w:val="20"/>
          <w:color w:val="auto"/>
        </w:rPr>
      </w:pPr>
      <w:r>
        <w:rPr>
          <w:rFonts w:ascii="Arial" w:cs="Arial" w:eastAsia="Arial" w:hAnsi="Arial"/>
          <w:sz w:val="17"/>
          <w:szCs w:val="17"/>
          <w:color w:val="auto"/>
        </w:rPr>
        <w:t>whereby the transfer of the service is separately identifiable from other promises in the contract. In addition, we consider whether the arrangements contain a series of distinct services that are substantially the same and whether they have the same pattern of transfer.</w:t>
      </w:r>
    </w:p>
    <w:p>
      <w:pPr>
        <w:spacing w:after="0" w:line="103"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Substantially all of our arrangements represent a single promise to provide continuous access to our platform to perform a series of activities such as payment processing services, cash collection optimization services, marketing, printing and mailing services, on an as-needed basis. As each day of providing these services is substantially the same and the client simultaneously receives and consumes the benefits as services are provided, these services are viewed as a single performance obligation comprised of a series of distinct daily services. We satisfy the performance obligation as these services are provided. Revenue is recognized in the month the service is complete.</w:t>
      </w:r>
    </w:p>
    <w:p>
      <w:pPr>
        <w:spacing w:after="0" w:line="124"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12"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We consider implementation service an activity to fulfill a contract, rather than a distinct performance obligation as the client does not obtain benefits from the implementation service alone. We charge an immaterial amount for implementation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6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contracts contain variable consideration as the amount we expect to receive in a contract is based on the occurrence or non-occurrence of future events, such as processing services performed as a transaction-based pricing arrangement. The variable consideration relates specifically to our effort to transfer each distinct daily service, as such we allocate the variable consideration earned to the distinct day in which those activities are performed and we recognize these fees as revenue in period earned, at which point the variable amount is known and it does not require estimation.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 Recognition Policies</w:t>
      </w:r>
    </w:p>
    <w:p>
      <w:pPr>
        <w:spacing w:after="0" w:line="182" w:lineRule="exact"/>
        <w:rPr>
          <w:sz w:val="20"/>
          <w:szCs w:val="20"/>
          <w:color w:val="auto"/>
        </w:rPr>
      </w:pPr>
    </w:p>
    <w:p>
      <w:pPr>
        <w:ind w:right="300" w:firstLine="509"/>
        <w:spacing w:after="0" w:line="258" w:lineRule="auto"/>
        <w:rPr>
          <w:sz w:val="20"/>
          <w:szCs w:val="20"/>
          <w:color w:val="auto"/>
        </w:rPr>
      </w:pPr>
      <w:r>
        <w:rPr>
          <w:rFonts w:ascii="Arial" w:cs="Arial" w:eastAsia="Arial" w:hAnsi="Arial"/>
          <w:sz w:val="17"/>
          <w:szCs w:val="17"/>
          <w:color w:val="auto"/>
        </w:rPr>
        <w:t>We incur costs in processing payments which may include banking, credit card processing, foreign currency translation and partner fees. These fees are direct costs incurred in providing payment processing services. The determination of whether we are a principal to a transaction (gross revenue) or an agent (net revenue) can require considerable judgment. Changes in judgments with respect to these assumptions and estimates could impact the amount of revenue recognized. Since we control the payment processing service, we are responsible for completing the payment, bear primary responsibility for the fulfillment of the payment service, and have full discretion in determining the fee charged, we act as a principal. As such, we recognize payment processing fee charged on a gross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We determine stock-based compensation expense associated with stock options based on the estimated grant date fair value method using the Black-Scholes option-pricing model. We recognize these compensation costs on a straight-line basis over the requisite service period of the award, which is generally the option vesting term of four years. We account for forfeitures as they occur.</w:t>
      </w:r>
    </w:p>
    <w:p>
      <w:pPr>
        <w:spacing w:after="0" w:line="144"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The Black-Scholes option-pricing model requires the use of highly subjective assumptions which determine the fair value of stock-based awards. These assumptions include:</w:t>
      </w:r>
    </w:p>
    <w:p>
      <w:pPr>
        <w:spacing w:after="0" w:line="112"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for option grants is determined using the simplified method. The simplified method deems the term to be the average of the time-to-vesting and the contractual life of the stock-based awards.</w:t>
      </w:r>
    </w:p>
    <w:p>
      <w:pPr>
        <w:spacing w:after="0" w:line="130"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are a recent public company with limited trading history for our common stock, the expected volatility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based on the average volatility for comparable publicly traded companies over a period equal to the expected term of the stock option grants. The comparable companies are chosen based on their similar size, stage in the lifecycle or area of specialty.</w:t>
      </w:r>
    </w:p>
    <w:p>
      <w:pPr>
        <w:spacing w:after="0" w:line="144"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12"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never paid dividends on our common stock and non-voting common stock and have no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pay dividends on our common stock.</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i w:val="1"/>
          <w:iCs w:val="1"/>
          <w:color w:val="auto"/>
        </w:rPr>
        <w:t>Common Stock Valuation</w:t>
      </w:r>
      <w:r>
        <w:rPr>
          <w:rFonts w:ascii="Arial" w:cs="Arial" w:eastAsia="Arial" w:hAnsi="Arial"/>
          <w:sz w:val="18"/>
          <w:szCs w:val="18"/>
          <w:color w:val="auto"/>
        </w:rPr>
        <w:t>—Given the absence of an active market for our common stock and non-voting common stock prior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IPO, the fair value of the shares of common stock underlying our share-based awards was estimated on each grant date by our board of directors with input from management and contemporaneous third-party valuations. These third-party valuations were performed in accordance with the guidance outlined by the American Institute of Certified Public Accountants 2013 Practice Aid, Valuation of Privately-Held-Company Equity Securities Issued as Compensation using either an option-pricing method, or OPM, or a hybrid method, both of which used market approaches and income approaches to estimate our enterprise value.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a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OPM treats common stock and redeemable convertible preferred stock as call options on an equity value, with exercise prices based on the liquidation preference of our redeemable convertible preferred stock. Under this method, our common stock has value only if the funds available for distribution to stockholders exceed the value of the liquidation preference at the time of a liquidity event, such as a merger or sale, assuming we have funds available to make a liquidation preference meaningful and collectible by the stockholders. The common stock is considered to be a call option with a claim at an exercise price equal to the remaining value immediately after the redeemable convertible preferred stock is liquidated.</w:t>
      </w:r>
    </w:p>
    <w:p>
      <w:pPr>
        <w:spacing w:after="0" w:line="166" w:lineRule="exact"/>
        <w:rPr>
          <w:sz w:val="20"/>
          <w:szCs w:val="20"/>
          <w:color w:val="auto"/>
        </w:rPr>
      </w:pPr>
    </w:p>
    <w:p>
      <w:pPr>
        <w:ind w:right="240" w:firstLine="509"/>
        <w:spacing w:after="0" w:line="301" w:lineRule="auto"/>
        <w:rPr>
          <w:sz w:val="20"/>
          <w:szCs w:val="20"/>
          <w:color w:val="auto"/>
        </w:rPr>
      </w:pPr>
      <w:r>
        <w:rPr>
          <w:rFonts w:ascii="Arial" w:cs="Arial" w:eastAsia="Arial" w:hAnsi="Arial"/>
          <w:sz w:val="17"/>
          <w:szCs w:val="17"/>
          <w:color w:val="auto"/>
        </w:rPr>
        <w:t>In addition to considering the results of third-party valuations, our board of directors exercised reasonable judgment and considered various objective and subjective factors to determine the fair value of our common stock as of the date of each grant, including:</w:t>
      </w:r>
    </w:p>
    <w:p>
      <w:pPr>
        <w:spacing w:after="0" w:line="90" w:lineRule="exact"/>
        <w:rPr>
          <w:sz w:val="20"/>
          <w:szCs w:val="20"/>
          <w:color w:val="auto"/>
        </w:rPr>
      </w:pPr>
    </w:p>
    <w:p>
      <w:pPr>
        <w:ind w:left="900" w:hanging="263"/>
        <w:spacing w:after="0"/>
        <w:tabs>
          <w:tab w:leader="none" w:pos="9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actual operating results and financial performance;</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conditions in the industry and economy in general;</w:t>
      </w:r>
    </w:p>
    <w:p>
      <w:pPr>
        <w:spacing w:after="0" w:line="196" w:lineRule="exact"/>
        <w:rPr>
          <w:rFonts w:ascii="Times New Roman" w:cs="Times New Roman" w:eastAsia="Times New Roman" w:hAnsi="Times New Roman"/>
          <w:sz w:val="18"/>
          <w:szCs w:val="18"/>
          <w:color w:val="auto"/>
        </w:rPr>
      </w:pPr>
    </w:p>
    <w:p>
      <w:pPr>
        <w:ind w:left="900" w:right="320" w:hanging="263"/>
        <w:spacing w:after="0" w:line="270" w:lineRule="auto"/>
        <w:tabs>
          <w:tab w:leader="none" w:pos="9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preferences and privileges of our redeemable convertible preferred stock and convertible preferred stock relative to those of our common stock;</w:t>
      </w:r>
    </w:p>
    <w:p>
      <w:pPr>
        <w:spacing w:after="0" w:line="113"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likelihood of achieving a liquidity event for the holders of our common stock, such as an IPO or a sale of our company, given prevailing market conditions;</w:t>
      </w:r>
    </w:p>
    <w:p>
      <w:pPr>
        <w:spacing w:after="0" w:line="113" w:lineRule="exact"/>
        <w:rPr>
          <w:rFonts w:ascii="Times New Roman" w:cs="Times New Roman" w:eastAsia="Times New Roman" w:hAnsi="Times New Roman"/>
          <w:sz w:val="18"/>
          <w:szCs w:val="18"/>
          <w:color w:val="auto"/>
        </w:rPr>
      </w:pPr>
    </w:p>
    <w:p>
      <w:pPr>
        <w:ind w:left="900" w:right="500" w:hanging="263"/>
        <w:spacing w:after="0" w:line="270" w:lineRule="auto"/>
        <w:tabs>
          <w:tab w:leader="none" w:pos="9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equity market conditions affecting comparable public companies and the market performance of comparable publicly traded companies;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U.S. and global capital market conditions;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marketability of our common stock and the results of independent third-party valuations.</w:t>
      </w:r>
    </w:p>
    <w:p>
      <w:pPr>
        <w:spacing w:after="0" w:line="183"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44" w:lineRule="exact"/>
        <w:rPr>
          <w:sz w:val="20"/>
          <w:szCs w:val="20"/>
          <w:color w:val="auto"/>
        </w:rPr>
      </w:pPr>
    </w:p>
    <w:p>
      <w:pPr>
        <w:ind w:right="440" w:firstLine="509"/>
        <w:spacing w:after="0" w:line="252" w:lineRule="auto"/>
        <w:rPr>
          <w:sz w:val="20"/>
          <w:szCs w:val="20"/>
          <w:color w:val="auto"/>
        </w:rPr>
      </w:pPr>
      <w:r>
        <w:rPr>
          <w:rFonts w:ascii="Arial" w:cs="Arial" w:eastAsia="Arial" w:hAnsi="Arial"/>
          <w:sz w:val="18"/>
          <w:szCs w:val="18"/>
          <w:color w:val="auto"/>
        </w:rPr>
        <w:t>Following our IPO, our board of directors no longer estimate the fair value of our common stock in connection with granted stock options and other granted equity awards as the fair value of our common stock is determined based on the quoted market price of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7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JOBS Act permits an “emerging growth company” to take advantage of an extended transition period to comply with new or revised financial accounting standards applicable to public companies until those standards would otherwise apply to nonpublic companies. The Company previously qualified as an emerging growth company and had elected to use this extended transition period for complying with new or revised financial accounting standards that had different effective dates for public and private companies until the earlier of the date we (i) were no longer an emerging growth company or (ii) affirmatively and irrevocably opted out of the extended transition period provided in the JOBS Act.</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jc w:val="both"/>
        <w:ind w:right="100" w:firstLine="509"/>
        <w:spacing w:after="0" w:line="246" w:lineRule="auto"/>
        <w:rPr>
          <w:sz w:val="20"/>
          <w:szCs w:val="20"/>
          <w:color w:val="auto"/>
        </w:rPr>
      </w:pPr>
      <w:r>
        <w:rPr>
          <w:rFonts w:ascii="Arial" w:cs="Arial" w:eastAsia="Arial" w:hAnsi="Arial"/>
          <w:sz w:val="18"/>
          <w:szCs w:val="18"/>
          <w:color w:val="auto"/>
        </w:rPr>
        <w:t>As of June 30, 2022, the market value of our common stock that was held by non-affiliates exceeded $700.0 million, and as a result, we no longer qualified as an emerging growth company as of December 31, 2022 when we became a large accelerated filer. Therefore, we are required to comply with new or revised financial accounting standards as of the effective dates applicable to public companies that are not emerging growth companies.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Business Overview and Summary of Significant Accounting Policies</w:t>
      </w:r>
      <w:r>
        <w:rPr>
          <w:rFonts w:ascii="Arial" w:cs="Arial" w:eastAsia="Arial" w:hAnsi="Arial"/>
          <w:sz w:val="18"/>
          <w:szCs w:val="18"/>
          <w:color w:val="auto"/>
        </w:rPr>
        <w:t xml:space="preserve"> to our consolidated financial statements included elsewhere in this Annual Report on Form 10-K for accounting pronouncements adopted and accounting pronouncements not yet adopted as of December 31, 2022.</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5400"/>
        <w:spacing w:after="0" w:line="445" w:lineRule="auto"/>
        <w:rPr>
          <w:sz w:val="20"/>
          <w:szCs w:val="20"/>
          <w:color w:val="auto"/>
        </w:rPr>
      </w:pPr>
      <w:r>
        <w:rPr>
          <w:rFonts w:ascii="Arial" w:cs="Arial" w:eastAsia="Arial" w:hAnsi="Arial"/>
          <w:sz w:val="18"/>
          <w:szCs w:val="18"/>
          <w:b w:val="1"/>
          <w:bCs w:val="1"/>
          <w:color w:val="auto"/>
        </w:rPr>
        <w:t>Item 7A. Quantitative and Qualitative Disclosures About Market Risk Quantitative and Qualitative Disclosures About Market Risk</w:t>
      </w:r>
    </w:p>
    <w:p>
      <w:pPr>
        <w:spacing w:after="0" w:line="1"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Revolving Credit Facility consists of ABR loans or Eurodollar Borrowings, at our option. ABR loans bear interest at the ABR plus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 0.25% to 0.35% based upon our liquidity as of the most recent consolidated financial information assessed on the average undrawn portion of the available commitment. As of December 31, 2022 and 2021, $0 and $25.9 million was outstanding under our Revolving Credit Facility. An immediate 10% increase or decrease in interest rates would not have a material effect on our financial position, results of operations or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7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 —that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spacing w:after="0" w:line="15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2022, as the U.S. Dollar strengthened against several currencies, including the British Pound, these foreign exchange impacts reduced our reported revenue in U.S. Dollars by approximately $14.2 million compared to 2021 on a constant currency basis.</w:t>
      </w:r>
    </w:p>
    <w:p>
      <w:pPr>
        <w:spacing w:after="0" w:line="13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loss in our consolidated balance sheets. Gains and losses from the remeasurement of foreign currencies into functional currencies are recognized as other income (expense), net in the consolidated statements of operations and comprehensive loss. A potential change in foreign exchange rates of 10% from such remeasurement would have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impacted loss before income taxes by approximately $10.9 million and $10.8 million for the years ended December 31, 2022 and 2021,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71"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We do not believe that inflation had a material effect on our cash flows and results of operations during the year ended December 31, 2022. If our costs were to become subject to significant inflationary pressures, we may not be able to fully offset such higher costs through increase in prices of our product offerings.</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0600" w:type="dxa"/>
            <w:vAlign w:val="bottom"/>
            <w:gridSpan w:val="12"/>
          </w:tcPr>
          <w:p>
            <w:pPr>
              <w:spacing w:after="0"/>
              <w:rPr>
                <w:sz w:val="20"/>
                <w:szCs w:val="20"/>
                <w:color w:val="auto"/>
              </w:rPr>
            </w:pPr>
            <w:r>
              <w:rPr>
                <w:rFonts w:ascii="Arial" w:cs="Arial" w:eastAsia="Arial" w:hAnsi="Arial"/>
                <w:sz w:val="18"/>
                <w:szCs w:val="18"/>
                <w:color w:val="0000FF"/>
              </w:rPr>
              <w:t>Table of Contents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0600" w:type="dxa"/>
            <w:vAlign w:val="bottom"/>
            <w:gridSpan w:val="1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59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Report of Independent Registered Public Accounting Firm (PCAOB ID 238)</w:t>
            </w:r>
          </w:p>
        </w:tc>
        <w:tc>
          <w:tcPr>
            <w:tcW w:w="4600" w:type="dxa"/>
            <w:vAlign w:val="bottom"/>
            <w:gridSpan w:val="2"/>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Consolidated Balance Sheets</w:t>
            </w:r>
          </w:p>
        </w:tc>
        <w:tc>
          <w:tcPr>
            <w:tcW w:w="20" w:type="dxa"/>
            <w:vAlign w:val="bottom"/>
            <w:tcBorders>
              <w:bottom w:val="single" w:sz="8" w:color="0000EE"/>
            </w:tcBorders>
          </w:tcPr>
          <w:p>
            <w:pPr>
              <w:spacing w:after="0"/>
              <w:rPr>
                <w:sz w:val="19"/>
                <w:szCs w:val="19"/>
                <w:color w:val="auto"/>
              </w:rPr>
            </w:pPr>
          </w:p>
        </w:tc>
        <w:tc>
          <w:tcPr>
            <w:tcW w:w="8200" w:type="dxa"/>
            <w:vAlign w:val="bottom"/>
            <w:gridSpan w:val="7"/>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gridSpan w:val="11"/>
          </w:tcPr>
          <w:p>
            <w:pPr>
              <w:spacing w:after="0"/>
              <w:rPr>
                <w:sz w:val="20"/>
                <w:szCs w:val="20"/>
                <w:color w:val="auto"/>
              </w:rPr>
            </w:pPr>
            <w:r>
              <w:rPr>
                <w:rFonts w:ascii="Arial" w:cs="Arial" w:eastAsia="Arial" w:hAnsi="Arial"/>
                <w:sz w:val="18"/>
                <w:szCs w:val="18"/>
                <w:color w:val="0000FF"/>
              </w:rPr>
              <w:t>Consolidated Statements of Operations and Comprehensive Loss</w:t>
            </w: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gridSpan w:val="11"/>
          </w:tcPr>
          <w:p>
            <w:pPr>
              <w:spacing w:after="0"/>
              <w:rPr>
                <w:sz w:val="20"/>
                <w:szCs w:val="20"/>
                <w:color w:val="auto"/>
              </w:rPr>
            </w:pPr>
            <w:r>
              <w:rPr>
                <w:rFonts w:ascii="Arial" w:cs="Arial" w:eastAsia="Arial" w:hAnsi="Arial"/>
                <w:sz w:val="18"/>
                <w:szCs w:val="18"/>
                <w:color w:val="0000FF"/>
              </w:rPr>
              <w:t>Consolidated Statements of Convertible Preferred Stock, Redeemable Convertible Preferred Stock and Stockholders’ Equity</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92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(Deficit</w:t>
            </w:r>
            <w:r>
              <w:rPr>
                <w:rFonts w:ascii="Arial" w:cs="Arial" w:eastAsia="Arial" w:hAnsi="Arial"/>
                <w:sz w:val="18"/>
                <w:szCs w:val="18"/>
                <w:color w:val="000000"/>
              </w:rPr>
              <w:t>)</w:t>
            </w:r>
          </w:p>
        </w:tc>
        <w:tc>
          <w:tcPr>
            <w:tcW w:w="6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Statements of Cash Flows</w:t>
            </w:r>
          </w:p>
        </w:tc>
        <w:tc>
          <w:tcPr>
            <w:tcW w:w="20" w:type="dxa"/>
            <w:vAlign w:val="bottom"/>
            <w:tcBorders>
              <w:bottom w:val="single" w:sz="8" w:color="0000EE"/>
            </w:tcBorders>
          </w:tcPr>
          <w:p>
            <w:pPr>
              <w:spacing w:after="0"/>
              <w:rPr>
                <w:sz w:val="18"/>
                <w:szCs w:val="18"/>
                <w:color w:val="auto"/>
              </w:rPr>
            </w:pPr>
          </w:p>
        </w:tc>
        <w:tc>
          <w:tcPr>
            <w:tcW w:w="736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7080" w:type="dxa"/>
            <w:vAlign w:val="bottom"/>
            <w:gridSpan w:val="4"/>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685"/>
        </w:trPr>
        <w:tc>
          <w:tcPr>
            <w:tcW w:w="6000" w:type="dxa"/>
            <w:vAlign w:val="bottom"/>
            <w:gridSpan w:val="10"/>
          </w:tcPr>
          <w:p>
            <w:pPr>
              <w:jc w:val="right"/>
              <w:ind w:right="220"/>
              <w:spacing w:after="0"/>
              <w:rPr>
                <w:sz w:val="20"/>
                <w:szCs w:val="20"/>
                <w:color w:val="auto"/>
              </w:rPr>
            </w:pPr>
            <w:r>
              <w:rPr>
                <w:rFonts w:ascii="Arial" w:cs="Arial" w:eastAsia="Arial" w:hAnsi="Arial"/>
                <w:sz w:val="18"/>
                <w:szCs w:val="18"/>
                <w:color w:val="auto"/>
              </w:rPr>
              <w:t>100</w:t>
            </w:r>
          </w:p>
        </w:tc>
        <w:tc>
          <w:tcPr>
            <w:tcW w:w="3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Flywire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6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have audited the accompanying consolidated balance sheets of Flywire Corporation and its subsidiaries (the “Company”) as of December 31, 2022 and 2021, and the related consolidated statements of operations and comprehensive loss, of convertible preferred stock, redeemable convertible preferred stock and stockholders’ equity (deficit)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55"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6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As described in Management’s Annual Report on Internal Control Over Financial Reporting, management has excluded Cohort Solutions Pty Ltd. from its assessment of internal control over financial reporting as of December 31, 2022, because it was acquired by the Company in a purchase business combination during 2022. We have also excluded Cohort Solutions Pty Ltd. from our audit of internal control over financial reporting. Cohort Solutions Pty Ltd. is a wholly-owned subsidiary whose total assets and total revenues excluded from management’s assessment and our audit of internal control over financial reporting represent 8% and 3%, respectively, of the related consolidated financial statement amounts as of and for the year ended December 31,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6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jc w:val="both"/>
        <w:ind w:right="140"/>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69"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Cohort Solutions Pty Ltd. - Valuation of Agent and Customer Relationships Intangible Asset</w:t>
      </w:r>
    </w:p>
    <w:p>
      <w:pPr>
        <w:spacing w:after="0" w:line="182"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As described in Notes 1 and 8 to the consolidated financial statements, the Company acquired all of the issued and outstanding shares of Cohort Solutions Pty Ltd. (“Cohort Go”) in 2022 for total purchase consideration, net of cash acquired, of $23.1 million, which resulted in recording $11.1 million intangible assets related to agent and customer relationships. Management estimates the fair value of acquired intangible assets under the income approach, using the multi-period excess earnings method for acquired relationships. In performing the valuation, the key underlying judgments and assumptions used included revenue and earnings before interest and taxes growth rates, discount rate, technology royalty rate and attrition rate.</w:t>
      </w:r>
    </w:p>
    <w:p>
      <w:pPr>
        <w:spacing w:after="0" w:line="14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the agent and customer relationships intangible assets acquired in the acquisition of Cohort Solutions Pty Ltd. is a critical audit matter are (i) the significant judgment by management when developing the fair value estimates of the agent and customer relationships intangible assets; (ii) a high degree of auditor judgment, subjectivity, and effort in performing procedures and evaluating management’s significant assumption related to the attrition rate; and (iii) the audit effort involved the use of professionals with specialized skill and knowledge.</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agent and customer relationships intangible assets. These procedures also included, among others (i) reading the purchase agreement, (ii) testing management’s process for developing the fair value estimates of the agent and customer relationships acquired, (iii) evaluating the appropriateness of the multi-period excess earnings valuation method, (iv) testing the completeness and accuracy of data used in the method, and (v) evaluating the reasonableness of management’s significant assumption related to the attrition rate. Evaluating the reasonableness of the attrition rate involved considering the past performance of the acquired business, testing the historical agent funds flow activity by obtaining and inspecting payment and invoice documentation, using historical funds flow to recalculate the attrition rate, and considering whether the assumption is consistent with evidence obtained in other areas of the audit. Professionals with specialized skill and knowledge were used to assist in the evaluation of the Company’s multi-period excess earnings method and the reasonableness of the attrition rate assumption.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10,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color w:val="auto"/>
        </w:rPr>
        <w:t>(Amounts 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349,177</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385,360</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 net of allowance of $212 and $106, respectively</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Funds receivable from payment partners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28,286</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Pr>
          <w:p>
            <w:pPr>
              <w:spacing w:after="0"/>
              <w:rPr>
                <w:sz w:val="19"/>
                <w:szCs w:val="19"/>
                <w:color w:val="auto"/>
              </w:rPr>
            </w:pPr>
          </w:p>
        </w:tc>
      </w:tr>
      <w:tr>
        <w:trPr>
          <w:trHeight w:val="223"/>
        </w:trPr>
        <w:tc>
          <w:tcPr>
            <w:tcW w:w="79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450,643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443,788</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13,317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9,442</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97,616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93,598</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97,766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85,841</w:t>
            </w:r>
          </w:p>
        </w:tc>
        <w:tc>
          <w:tcPr>
            <w:tcW w:w="100" w:type="dxa"/>
            <w:vAlign w:val="bottom"/>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14,945</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674,287</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639,845</w:t>
            </w:r>
          </w:p>
        </w:tc>
        <w:tc>
          <w:tcPr>
            <w:tcW w:w="1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Funds payable to clients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124,305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71,302</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22,726</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Contingent consideration</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177,276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117,477</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Contingent consideration, net of current portion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25,939</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19"/>
                <w:szCs w:val="19"/>
                <w:color w:val="auto"/>
              </w:rPr>
            </w:pPr>
          </w:p>
        </w:tc>
      </w:tr>
      <w:tr>
        <w:trPr>
          <w:trHeight w:val="223"/>
        </w:trPr>
        <w:tc>
          <w:tcPr>
            <w:tcW w:w="79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192,384</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796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$0.0001 par value; 10,000,000 shares authorized as of</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960" w:type="dxa"/>
            <w:vAlign w:val="bottom"/>
          </w:tcPr>
          <w:p>
            <w:pPr>
              <w:ind w:left="420"/>
              <w:spacing w:after="0" w:line="202" w:lineRule="exact"/>
              <w:rPr>
                <w:sz w:val="20"/>
                <w:szCs w:val="20"/>
                <w:color w:val="auto"/>
              </w:rPr>
            </w:pPr>
            <w:r>
              <w:rPr>
                <w:rFonts w:ascii="Arial" w:cs="Arial" w:eastAsia="Arial" w:hAnsi="Arial"/>
                <w:sz w:val="18"/>
                <w:szCs w:val="18"/>
                <w:color w:val="auto"/>
              </w:rPr>
              <w:t>December 31, 2022 and 2021; and no shares issued and outstanding as of</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60" w:type="dxa"/>
            <w:vAlign w:val="bottom"/>
          </w:tcPr>
          <w:p>
            <w:pPr>
              <w:ind w:left="420"/>
              <w:spacing w:after="0"/>
              <w:rPr>
                <w:sz w:val="20"/>
                <w:szCs w:val="20"/>
                <w:color w:val="auto"/>
              </w:rPr>
            </w:pPr>
            <w:r>
              <w:rPr>
                <w:rFonts w:ascii="Arial" w:cs="Arial" w:eastAsia="Arial" w:hAnsi="Arial"/>
                <w:sz w:val="18"/>
                <w:szCs w:val="18"/>
                <w:color w:val="auto"/>
              </w:rPr>
              <w:t>December 31, 2022 and 2021</w:t>
            </w:r>
          </w:p>
        </w:tc>
        <w:tc>
          <w:tcPr>
            <w:tcW w:w="3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9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Voting common stock, $0.0001 par value; 2,000,000,000 shares authorized as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96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of December 31, 2022 and 2021; 109,790,702 shares issued and</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96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107,472,980 shares outstanding as of December 31, 2022; 102,771,899</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9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shares issued and 100,454,177 shares outstanding as of December 31, 2021</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0"/>
                <w:szCs w:val="20"/>
                <w:color w:val="auto"/>
              </w:rPr>
            </w:pPr>
          </w:p>
        </w:tc>
      </w:tr>
      <w:tr>
        <w:trPr>
          <w:trHeight w:val="197"/>
        </w:trPr>
        <w:tc>
          <w:tcPr>
            <w:tcW w:w="7960" w:type="dxa"/>
            <w:vAlign w:val="bottom"/>
          </w:tcPr>
          <w:p>
            <w:pPr>
              <w:ind w:left="280"/>
              <w:spacing w:after="0" w:line="197" w:lineRule="exact"/>
              <w:rPr>
                <w:sz w:val="20"/>
                <w:szCs w:val="20"/>
                <w:color w:val="auto"/>
              </w:rPr>
            </w:pPr>
            <w:r>
              <w:rPr>
                <w:rFonts w:ascii="Arial" w:cs="Arial" w:eastAsia="Arial" w:hAnsi="Arial"/>
                <w:sz w:val="18"/>
                <w:szCs w:val="18"/>
                <w:color w:val="auto"/>
              </w:rPr>
              <w:t>Non-voting common stock, $0.0001 par value; 10,000,000 shares authorized as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960" w:type="dxa"/>
            <w:vAlign w:val="bottom"/>
          </w:tcPr>
          <w:p>
            <w:pPr>
              <w:ind w:left="420"/>
              <w:spacing w:after="0" w:line="202" w:lineRule="exact"/>
              <w:rPr>
                <w:sz w:val="20"/>
                <w:szCs w:val="20"/>
                <w:color w:val="auto"/>
              </w:rPr>
            </w:pPr>
            <w:r>
              <w:rPr>
                <w:rFonts w:ascii="Arial" w:cs="Arial" w:eastAsia="Arial" w:hAnsi="Arial"/>
                <w:sz w:val="18"/>
                <w:szCs w:val="18"/>
                <w:color w:val="auto"/>
              </w:rPr>
              <w:t>of December 31, 2022 and 2021; 1,873,320 and 5,988,378 shares issued</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60" w:type="dxa"/>
            <w:vAlign w:val="bottom"/>
          </w:tcPr>
          <w:p>
            <w:pPr>
              <w:ind w:left="420"/>
              <w:spacing w:after="0"/>
              <w:rPr>
                <w:sz w:val="20"/>
                <w:szCs w:val="20"/>
                <w:color w:val="auto"/>
              </w:rPr>
            </w:pPr>
            <w:r>
              <w:rPr>
                <w:rFonts w:ascii="Arial" w:cs="Arial" w:eastAsia="Arial" w:hAnsi="Arial"/>
                <w:sz w:val="18"/>
                <w:szCs w:val="18"/>
                <w:color w:val="auto"/>
              </w:rPr>
              <w:t>and outstanding as of December 31, 2022 and 2021, respectively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197"/>
        </w:trPr>
        <w:tc>
          <w:tcPr>
            <w:tcW w:w="79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Treasury voting common stock, 2,317,722 shares as of December 31, 2022 and</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9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2021, held at cost</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(748 )</w:t>
            </w:r>
          </w:p>
        </w:tc>
        <w:tc>
          <w:tcPr>
            <w:tcW w:w="4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(748 )</w:t>
            </w:r>
          </w:p>
        </w:tc>
      </w:tr>
      <w:tr>
        <w:trPr>
          <w:trHeight w:val="229"/>
        </w:trPr>
        <w:tc>
          <w:tcPr>
            <w:tcW w:w="7960" w:type="dxa"/>
            <w:vAlign w:val="bottom"/>
          </w:tcPr>
          <w:p>
            <w:pPr>
              <w:ind w:left="5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649,756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609,194</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(1,912 )</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(399 )</w:t>
            </w:r>
          </w:p>
        </w:tc>
      </w:tr>
      <w:tr>
        <w:trPr>
          <w:trHeight w:val="229"/>
        </w:trPr>
        <w:tc>
          <w:tcPr>
            <w:tcW w:w="7960" w:type="dxa"/>
            <w:vAlign w:val="bottom"/>
          </w:tcPr>
          <w:p>
            <w:pPr>
              <w:ind w:left="52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(165,204 )</w:t>
            </w:r>
          </w:p>
        </w:tc>
        <w:tc>
          <w:tcPr>
            <w:tcW w:w="4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(125,857 )</w:t>
            </w:r>
          </w:p>
        </w:tc>
      </w:tr>
      <w:tr>
        <w:trPr>
          <w:trHeight w:val="223"/>
        </w:trPr>
        <w:tc>
          <w:tcPr>
            <w:tcW w:w="79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481,903</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7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674,287</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639,845</w:t>
            </w:r>
          </w:p>
        </w:tc>
        <w:tc>
          <w:tcPr>
            <w:tcW w:w="1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-4768850</wp:posOffset>
            </wp:positionV>
            <wp:extent cx="6858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-4768850</wp:posOffset>
            </wp:positionV>
            <wp:extent cx="68580"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-3569970</wp:posOffset>
            </wp:positionV>
            <wp:extent cx="6858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-3569970</wp:posOffset>
            </wp:positionV>
            <wp:extent cx="6858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-2679700</wp:posOffset>
            </wp:positionV>
            <wp:extent cx="6858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-2679700</wp:posOffset>
            </wp:positionV>
            <wp:extent cx="6858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-179070</wp:posOffset>
            </wp:positionV>
            <wp:extent cx="68580"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40"/>
        <w:spacing w:after="0"/>
        <w:rPr>
          <w:sz w:val="20"/>
          <w:szCs w:val="20"/>
          <w:color w:val="auto"/>
        </w:rPr>
      </w:pPr>
      <w:r>
        <w:rPr>
          <w:rFonts w:ascii="Arial" w:cs="Arial" w:eastAsia="Arial" w:hAnsi="Arial"/>
          <w:sz w:val="18"/>
          <w:szCs w:val="18"/>
          <w:color w:val="auto"/>
        </w:rPr>
        <w:t>(Amounts 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289,375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201,149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 processing services costs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107,933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70,191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Technology and development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31,295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and marketing</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78,456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82,949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61,623</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costs and operating expenses</w:t>
            </w: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319,595</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214,406</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19"/>
              <w:spacing w:after="0"/>
              <w:rPr>
                <w:sz w:val="20"/>
                <w:szCs w:val="20"/>
                <w:color w:val="auto"/>
              </w:rPr>
            </w:pPr>
            <w:r>
              <w:rPr>
                <w:rFonts w:ascii="Arial" w:cs="Arial" w:eastAsia="Arial" w:hAnsi="Arial"/>
                <w:sz w:val="18"/>
                <w:szCs w:val="18"/>
                <w:color w:val="auto"/>
              </w:rPr>
              <w:t>(30,220 )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(13,257 )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(15,815 )</w:t>
            </w: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400" w:type="dxa"/>
            <w:vAlign w:val="bottom"/>
            <w:gridSpan w:val="2"/>
          </w:tcPr>
          <w:p>
            <w:pPr>
              <w:jc w:val="right"/>
              <w:ind w:right="119"/>
              <w:spacing w:after="0"/>
              <w:rPr>
                <w:sz w:val="20"/>
                <w:szCs w:val="20"/>
                <w:color w:val="auto"/>
              </w:rPr>
            </w:pPr>
            <w:r>
              <w:rPr>
                <w:rFonts w:ascii="Arial" w:cs="Arial" w:eastAsia="Arial" w:hAnsi="Arial"/>
                <w:sz w:val="18"/>
                <w:szCs w:val="18"/>
                <w:color w:val="auto"/>
              </w:rPr>
              <w:t>(1,211 )</w:t>
            </w:r>
          </w:p>
        </w:tc>
        <w:tc>
          <w:tcPr>
            <w:tcW w:w="240" w:type="dxa"/>
            <w:vAlign w:val="bottom"/>
          </w:tcPr>
          <w:p>
            <w:pPr>
              <w:spacing w:after="0"/>
              <w:rPr>
                <w:sz w:val="19"/>
                <w:szCs w:val="19"/>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(2,021 )</w:t>
            </w: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(2,533 )</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 preferred stock warrant liability</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(10,758 )</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(625 )</w:t>
            </w: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1400" w:type="dxa"/>
            <w:vAlign w:val="bottom"/>
            <w:gridSpan w:val="2"/>
          </w:tcPr>
          <w:p>
            <w:pPr>
              <w:jc w:val="right"/>
              <w:ind w:right="119"/>
              <w:spacing w:after="0"/>
              <w:rPr>
                <w:sz w:val="20"/>
                <w:szCs w:val="20"/>
                <w:color w:val="auto"/>
              </w:rPr>
            </w:pPr>
            <w:r>
              <w:rPr>
                <w:rFonts w:ascii="Arial" w:cs="Arial" w:eastAsia="Arial" w:hAnsi="Arial"/>
                <w:sz w:val="18"/>
                <w:szCs w:val="18"/>
                <w:color w:val="auto"/>
              </w:rPr>
              <w:t>(5,928 )</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(7,139</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Loss before provision for (benefit from) income taxes</w:t>
            </w:r>
          </w:p>
        </w:tc>
        <w:tc>
          <w:tcPr>
            <w:tcW w:w="220" w:type="dxa"/>
            <w:vAlign w:val="bottom"/>
          </w:tcPr>
          <w:p>
            <w:pPr>
              <w:spacing w:after="0"/>
              <w:rPr>
                <w:sz w:val="19"/>
                <w:szCs w:val="19"/>
                <w:color w:val="auto"/>
              </w:rPr>
            </w:pPr>
          </w:p>
        </w:tc>
        <w:tc>
          <w:tcPr>
            <w:tcW w:w="1400" w:type="dxa"/>
            <w:vAlign w:val="bottom"/>
            <w:gridSpan w:val="2"/>
          </w:tcPr>
          <w:p>
            <w:pPr>
              <w:jc w:val="right"/>
              <w:ind w:right="119"/>
              <w:spacing w:after="0"/>
              <w:rPr>
                <w:sz w:val="20"/>
                <w:szCs w:val="20"/>
                <w:color w:val="auto"/>
              </w:rPr>
            </w:pPr>
            <w:r>
              <w:rPr>
                <w:rFonts w:ascii="Arial" w:cs="Arial" w:eastAsia="Arial" w:hAnsi="Arial"/>
                <w:sz w:val="18"/>
                <w:szCs w:val="18"/>
                <w:color w:val="auto"/>
              </w:rPr>
              <w:t>(37,359 )</w:t>
            </w:r>
          </w:p>
        </w:tc>
        <w:tc>
          <w:tcPr>
            <w:tcW w:w="240" w:type="dxa"/>
            <w:vAlign w:val="bottom"/>
          </w:tcPr>
          <w:p>
            <w:pPr>
              <w:spacing w:after="0"/>
              <w:rPr>
                <w:sz w:val="19"/>
                <w:szCs w:val="19"/>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(25,927 )</w:t>
            </w: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(18,276 )</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(7,169 )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19"/>
              <w:spacing w:after="0"/>
              <w:rPr>
                <w:sz w:val="20"/>
                <w:szCs w:val="20"/>
                <w:color w:val="auto"/>
              </w:rPr>
            </w:pPr>
            <w:r>
              <w:rPr>
                <w:rFonts w:ascii="Arial" w:cs="Arial" w:eastAsia="Arial" w:hAnsi="Arial"/>
                <w:sz w:val="18"/>
                <w:szCs w:val="18"/>
                <w:color w:val="auto"/>
              </w:rPr>
              <w:t>(39,347 )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(28,085 )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(11,107 )</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(1,513 )</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(185 )</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19"/>
              <w:spacing w:after="0"/>
              <w:rPr>
                <w:sz w:val="20"/>
                <w:szCs w:val="20"/>
                <w:color w:val="auto"/>
              </w:rPr>
            </w:pPr>
            <w:r>
              <w:rPr>
                <w:rFonts w:ascii="Arial" w:cs="Arial" w:eastAsia="Arial" w:hAnsi="Arial"/>
                <w:sz w:val="18"/>
                <w:szCs w:val="18"/>
                <w:color w:val="auto"/>
              </w:rPr>
              <w:t>(40,860 )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(28,270 )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(11,423 )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2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Net loss attributable to common stockholders - basic and</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8"/>
                <w:szCs w:val="18"/>
                <w:color w:val="auto"/>
              </w:rPr>
              <w:t>(39,347 )</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(28,098 )</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(11,121 )</w:t>
            </w:r>
          </w:p>
        </w:tc>
        <w:tc>
          <w:tcPr>
            <w:tcW w:w="0" w:type="dxa"/>
            <w:vAlign w:val="bottom"/>
          </w:tcPr>
          <w:p>
            <w:pPr>
              <w:spacing w:after="0"/>
              <w:rPr>
                <w:sz w:val="1"/>
                <w:szCs w:val="1"/>
                <w:color w:val="auto"/>
              </w:rPr>
            </w:pPr>
          </w:p>
        </w:tc>
      </w:tr>
      <w:tr>
        <w:trPr>
          <w:trHeight w:val="214"/>
        </w:trPr>
        <w:tc>
          <w:tcPr>
            <w:tcW w:w="6620" w:type="dxa"/>
            <w:vAlign w:val="bottom"/>
            <w:shd w:val="clear" w:color="auto" w:fill="CFF0FC"/>
          </w:tcPr>
          <w:p>
            <w:pPr>
              <w:ind w:left="180"/>
              <w:spacing w:after="0" w:line="195" w:lineRule="exact"/>
              <w:rPr>
                <w:sz w:val="20"/>
                <w:szCs w:val="20"/>
                <w:color w:val="auto"/>
              </w:rPr>
            </w:pPr>
            <w:r>
              <w:rPr>
                <w:rFonts w:ascii="Arial" w:cs="Arial" w:eastAsia="Arial" w:hAnsi="Arial"/>
                <w:sz w:val="18"/>
                <w:szCs w:val="18"/>
                <w:color w:val="auto"/>
              </w:rPr>
              <w:t>diluted</w:t>
            </w:r>
          </w:p>
        </w:tc>
        <w:tc>
          <w:tcPr>
            <w:tcW w:w="220" w:type="dxa"/>
            <w:vAlign w:val="bottom"/>
            <w:vMerge w:val="continue"/>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20" w:type="dxa"/>
            <w:vAlign w:val="bottom"/>
          </w:tcPr>
          <w:p>
            <w:pPr>
              <w:ind w:left="20"/>
              <w:spacing w:after="0" w:line="177" w:lineRule="exact"/>
              <w:rPr>
                <w:sz w:val="20"/>
                <w:szCs w:val="20"/>
                <w:color w:val="auto"/>
              </w:rPr>
            </w:pPr>
            <w:r>
              <w:rPr>
                <w:rFonts w:ascii="Arial" w:cs="Arial" w:eastAsia="Arial" w:hAnsi="Arial"/>
                <w:sz w:val="18"/>
                <w:szCs w:val="18"/>
                <w:color w:val="auto"/>
              </w:rPr>
              <w:t>Net loss per share attributable to common stockholders - basic</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tcPr>
          <w:p>
            <w:pPr>
              <w:jc w:val="right"/>
              <w:ind w:right="119"/>
              <w:spacing w:after="0"/>
              <w:rPr>
                <w:sz w:val="20"/>
                <w:szCs w:val="20"/>
                <w:color w:val="auto"/>
              </w:rPr>
            </w:pPr>
            <w:r>
              <w:rPr>
                <w:rFonts w:ascii="Arial" w:cs="Arial" w:eastAsia="Arial" w:hAnsi="Arial"/>
                <w:sz w:val="18"/>
                <w:szCs w:val="18"/>
                <w:color w:val="auto"/>
              </w:rPr>
              <w:t>(0.36 )</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(0.39 )</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(0.60 )</w:t>
            </w:r>
          </w:p>
        </w:tc>
        <w:tc>
          <w:tcPr>
            <w:tcW w:w="0" w:type="dxa"/>
            <w:vAlign w:val="bottom"/>
          </w:tcPr>
          <w:p>
            <w:pPr>
              <w:spacing w:after="0"/>
              <w:rPr>
                <w:sz w:val="1"/>
                <w:szCs w:val="1"/>
                <w:color w:val="auto"/>
              </w:rPr>
            </w:pPr>
          </w:p>
        </w:tc>
      </w:tr>
      <w:tr>
        <w:trPr>
          <w:trHeight w:val="194"/>
        </w:trPr>
        <w:tc>
          <w:tcPr>
            <w:tcW w:w="6620" w:type="dxa"/>
            <w:vAlign w:val="bottom"/>
          </w:tcPr>
          <w:p>
            <w:pPr>
              <w:ind w:left="180"/>
              <w:spacing w:after="0" w:line="195" w:lineRule="exact"/>
              <w:rPr>
                <w:sz w:val="20"/>
                <w:szCs w:val="20"/>
                <w:color w:val="auto"/>
              </w:rPr>
            </w:pPr>
            <w:r>
              <w:rPr>
                <w:rFonts w:ascii="Arial" w:cs="Arial" w:eastAsia="Arial" w:hAnsi="Arial"/>
                <w:sz w:val="18"/>
                <w:szCs w:val="18"/>
                <w:color w:val="auto"/>
              </w:rPr>
              <w:t>and diluted</w:t>
            </w:r>
          </w:p>
        </w:tc>
        <w:tc>
          <w:tcPr>
            <w:tcW w:w="22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2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Weighted average common shares outstanding - basic and</w:t>
            </w:r>
          </w:p>
        </w:tc>
        <w:tc>
          <w:tcPr>
            <w:tcW w:w="2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107,935,514</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71,168,054</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18,389,898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20" w:type="dxa"/>
            <w:vAlign w:val="bottom"/>
            <w:tcBorders>
              <w:bottom w:val="single" w:sz="8" w:color="CFF0FC"/>
            </w:tcBorders>
            <w:shd w:val="clear" w:color="auto" w:fill="CFF0FC"/>
          </w:tcPr>
          <w:p>
            <w:pPr>
              <w:ind w:left="180"/>
              <w:spacing w:after="0" w:line="195"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-2499360</wp:posOffset>
            </wp:positionV>
            <wp:extent cx="76835"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-2499360</wp:posOffset>
            </wp:positionV>
            <wp:extent cx="6858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-1600835</wp:posOffset>
            </wp:positionV>
            <wp:extent cx="76835"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-1600835</wp:posOffset>
            </wp:positionV>
            <wp:extent cx="6858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-1301115</wp:posOffset>
            </wp:positionV>
            <wp:extent cx="76835"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-1301115</wp:posOffset>
            </wp:positionV>
            <wp:extent cx="6858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-1001395</wp:posOffset>
            </wp:positionV>
            <wp:extent cx="76835" cy="179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-1001395</wp:posOffset>
            </wp:positionV>
            <wp:extent cx="68580"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179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-572770</wp:posOffset>
            </wp:positionV>
            <wp:extent cx="2080895" cy="2997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080895" cy="2997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FLYWIRE CORPORATION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CONVERTIBLE PREFERRED STOCK, REDEEMABLE CONVERTIBLE PREFERRED STOCK AND</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STOCKHOLDERS’ EQUITY (DEFICIT)</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(Amounts in thousands, except share amounts)</w:t>
      </w:r>
    </w:p>
    <w:tbl>
      <w:tblPr>
        <w:tblLayout w:type="fixed"/>
        <w:tblInd w:w="0" w:type="dxa"/>
        <w:tblCellMar>
          <w:top w:w="0" w:type="dxa"/>
          <w:left w:w="0" w:type="dxa"/>
          <w:bottom w:w="0" w:type="dxa"/>
          <w:right w:w="0" w:type="dxa"/>
        </w:tblCellMar>
      </w:tblPr>
      <w:tr>
        <w:trPr>
          <w:trHeight w:val="125"/>
        </w:trPr>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3"/>
          </w:tcPr>
          <w:p>
            <w:pPr>
              <w:jc w:val="center"/>
              <w:ind w:right="200"/>
              <w:spacing w:after="0" w:line="125" w:lineRule="exact"/>
              <w:rPr>
                <w:sz w:val="20"/>
                <w:szCs w:val="20"/>
                <w:color w:val="auto"/>
              </w:rPr>
            </w:pPr>
            <w:r>
              <w:rPr>
                <w:rFonts w:ascii="Arial" w:cs="Arial" w:eastAsia="Arial" w:hAnsi="Arial"/>
                <w:sz w:val="11"/>
                <w:szCs w:val="11"/>
                <w:b w:val="1"/>
                <w:bCs w:val="1"/>
                <w:color w:val="auto"/>
                <w:w w:val="99"/>
              </w:rPr>
              <w:t>Accumulat</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rPr>
              <w:t>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8"/>
              </w:rPr>
              <w:t>Redeemable</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Additiona</w:t>
            </w:r>
          </w:p>
        </w:tc>
        <w:tc>
          <w:tcPr>
            <w:tcW w:w="80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95"/>
              </w:rPr>
              <w:t>Comprehe</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400" w:type="dxa"/>
            <w:vAlign w:val="bottom"/>
            <w:gridSpan w:val="4"/>
          </w:tcPr>
          <w:p>
            <w:pPr>
              <w:jc w:val="right"/>
              <w:ind w:right="346"/>
              <w:spacing w:after="0" w:line="122" w:lineRule="exact"/>
              <w:rPr>
                <w:sz w:val="20"/>
                <w:szCs w:val="20"/>
                <w:color w:val="auto"/>
              </w:rPr>
            </w:pPr>
            <w:r>
              <w:rPr>
                <w:rFonts w:ascii="Arial" w:cs="Arial" w:eastAsia="Arial" w:hAnsi="Arial"/>
                <w:sz w:val="11"/>
                <w:szCs w:val="11"/>
                <w:b w:val="1"/>
                <w:bCs w:val="1"/>
                <w:color w:val="auto"/>
              </w:rPr>
              <w:t>Convertible</w:t>
            </w:r>
          </w:p>
        </w:tc>
        <w:tc>
          <w:tcPr>
            <w:tcW w:w="220" w:type="dxa"/>
            <w:vAlign w:val="bottom"/>
          </w:tcPr>
          <w:p>
            <w:pPr>
              <w:spacing w:after="0"/>
              <w:rPr>
                <w:sz w:val="10"/>
                <w:szCs w:val="10"/>
                <w:color w:val="auto"/>
              </w:rPr>
            </w:pPr>
          </w:p>
        </w:tc>
        <w:tc>
          <w:tcPr>
            <w:tcW w:w="14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9"/>
              </w:rPr>
              <w:t>Convertible</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Voting</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ind w:left="180"/>
              <w:spacing w:after="0" w:line="122" w:lineRule="exact"/>
              <w:rPr>
                <w:sz w:val="20"/>
                <w:szCs w:val="20"/>
                <w:color w:val="auto"/>
              </w:rPr>
            </w:pPr>
            <w:r>
              <w:rPr>
                <w:rFonts w:ascii="Arial" w:cs="Arial" w:eastAsia="Arial" w:hAnsi="Arial"/>
                <w:sz w:val="11"/>
                <w:szCs w:val="11"/>
                <w:b w:val="1"/>
                <w:bCs w:val="1"/>
                <w:color w:val="auto"/>
              </w:rPr>
              <w:t>Non-Voting</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rPr>
              <w:t>l</w:t>
            </w:r>
          </w:p>
        </w:tc>
        <w:tc>
          <w:tcPr>
            <w:tcW w:w="100" w:type="dxa"/>
            <w:vAlign w:val="bottom"/>
          </w:tcPr>
          <w:p>
            <w:pPr>
              <w:spacing w:after="0"/>
              <w:rPr>
                <w:sz w:val="10"/>
                <w:szCs w:val="10"/>
                <w:color w:val="auto"/>
              </w:rPr>
            </w:pPr>
          </w:p>
        </w:tc>
        <w:tc>
          <w:tcPr>
            <w:tcW w:w="7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9"/>
              </w:rPr>
              <w:t>nsive</w:t>
            </w: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Accumulat</w:t>
            </w:r>
          </w:p>
        </w:tc>
        <w:tc>
          <w:tcPr>
            <w:tcW w:w="7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Stockholde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400" w:type="dxa"/>
            <w:vAlign w:val="bottom"/>
            <w:tcBorders>
              <w:bottom w:val="single" w:sz="8" w:color="auto"/>
            </w:tcBorders>
            <w:gridSpan w:val="4"/>
          </w:tcPr>
          <w:p>
            <w:pPr>
              <w:jc w:val="right"/>
              <w:ind w:right="246"/>
              <w:spacing w:after="0"/>
              <w:rPr>
                <w:sz w:val="20"/>
                <w:szCs w:val="20"/>
                <w:color w:val="auto"/>
              </w:rPr>
            </w:pPr>
            <w:r>
              <w:rPr>
                <w:rFonts w:ascii="Arial" w:cs="Arial" w:eastAsia="Arial" w:hAnsi="Arial"/>
                <w:sz w:val="11"/>
                <w:szCs w:val="11"/>
                <w:b w:val="1"/>
                <w:bCs w:val="1"/>
                <w:color w:val="auto"/>
              </w:rPr>
              <w:t>Preferred Stock</w:t>
            </w:r>
          </w:p>
        </w:tc>
        <w:tc>
          <w:tcPr>
            <w:tcW w:w="220" w:type="dxa"/>
            <w:vAlign w:val="bottom"/>
          </w:tcPr>
          <w:p>
            <w:pPr>
              <w:spacing w:after="0"/>
              <w:rPr>
                <w:sz w:val="12"/>
                <w:szCs w:val="12"/>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7"/>
              </w:rPr>
              <w:t>Preferred Stock</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bottom w:val="single" w:sz="8" w:color="auto"/>
            </w:tcBorders>
            <w:gridSpan w:val="4"/>
          </w:tcPr>
          <w:p>
            <w:pPr>
              <w:jc w:val="right"/>
              <w:ind w:right="166"/>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2"/>
                <w:szCs w:val="12"/>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2"/>
                <w:szCs w:val="12"/>
                <w:color w:val="auto"/>
              </w:rPr>
            </w:pPr>
          </w:p>
        </w:tc>
        <w:tc>
          <w:tcPr>
            <w:tcW w:w="1120" w:type="dxa"/>
            <w:vAlign w:val="bottom"/>
            <w:tcBorders>
              <w:bottom w:val="single" w:sz="8" w:color="auto"/>
            </w:tcBorders>
            <w:gridSpan w:val="4"/>
          </w:tcPr>
          <w:p>
            <w:pPr>
              <w:jc w:val="right"/>
              <w:ind w:right="126"/>
              <w:spacing w:after="0"/>
              <w:rPr>
                <w:sz w:val="20"/>
                <w:szCs w:val="20"/>
                <w:color w:val="auto"/>
              </w:rPr>
            </w:pPr>
            <w:r>
              <w:rPr>
                <w:rFonts w:ascii="Arial" w:cs="Arial" w:eastAsia="Arial" w:hAnsi="Arial"/>
                <w:sz w:val="11"/>
                <w:szCs w:val="11"/>
                <w:b w:val="1"/>
                <w:bCs w:val="1"/>
                <w:color w:val="auto"/>
              </w:rPr>
              <w:t>Treasury Stock</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12"/>
                <w:szCs w:val="12"/>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2"/>
                <w:szCs w:val="12"/>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ed</w:t>
            </w:r>
          </w:p>
        </w:tc>
        <w:tc>
          <w:tcPr>
            <w:tcW w:w="7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5"/>
              </w:rPr>
              <w:t>rs’ Equity</w:t>
            </w: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Amou</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ind w:left="20"/>
              <w:spacing w:after="0" w:line="115" w:lineRule="exact"/>
              <w:rPr>
                <w:sz w:val="20"/>
                <w:szCs w:val="20"/>
                <w:color w:val="auto"/>
              </w:rPr>
            </w:pPr>
            <w:r>
              <w:rPr>
                <w:rFonts w:ascii="Arial" w:cs="Arial" w:eastAsia="Arial" w:hAnsi="Arial"/>
                <w:sz w:val="11"/>
                <w:szCs w:val="11"/>
                <w:b w:val="1"/>
                <w:bCs w:val="1"/>
                <w:color w:val="auto"/>
                <w:w w:val="97"/>
              </w:rPr>
              <w:t>Amo</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rPr>
              <w:t>Amou</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b w:val="1"/>
                <w:bCs w:val="1"/>
                <w:color w:val="auto"/>
                <w:w w:val="91"/>
              </w:rPr>
              <w:t>Amount</w:t>
            </w:r>
          </w:p>
        </w:tc>
        <w:tc>
          <w:tcPr>
            <w:tcW w:w="220" w:type="dxa"/>
            <w:vAlign w:val="bottom"/>
          </w:tcPr>
          <w:p>
            <w:pPr>
              <w:spacing w:after="0"/>
              <w:rPr>
                <w:sz w:val="12"/>
                <w:szCs w:val="12"/>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260" w:type="dxa"/>
            <w:vAlign w:val="bottom"/>
          </w:tcPr>
          <w:p>
            <w:pPr>
              <w:jc w:val="right"/>
              <w:ind w:right="66"/>
              <w:spacing w:after="0"/>
              <w:rPr>
                <w:sz w:val="20"/>
                <w:szCs w:val="20"/>
                <w:color w:val="auto"/>
              </w:rPr>
            </w:pPr>
            <w:r>
              <w:rPr>
                <w:rFonts w:ascii="Arial" w:cs="Arial" w:eastAsia="Arial" w:hAnsi="Arial"/>
                <w:sz w:val="11"/>
                <w:szCs w:val="11"/>
                <w:b w:val="1"/>
                <w:bCs w:val="1"/>
                <w:color w:val="auto"/>
              </w:rPr>
              <w:t>nt</w:t>
            </w:r>
          </w:p>
        </w:tc>
        <w:tc>
          <w:tcPr>
            <w:tcW w:w="20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unt</w:t>
            </w:r>
          </w:p>
        </w:tc>
        <w:tc>
          <w:tcPr>
            <w:tcW w:w="20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5"/>
              </w:rPr>
              <w:t>nt</w:t>
            </w:r>
          </w:p>
        </w:tc>
        <w:tc>
          <w:tcPr>
            <w:tcW w:w="8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2"/>
                <w:szCs w:val="1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115"/>
        </w:trPr>
        <w:tc>
          <w:tcPr>
            <w:tcW w:w="1160" w:type="dxa"/>
            <w:vAlign w:val="bottom"/>
            <w:shd w:val="clear" w:color="auto" w:fill="CFF0FC"/>
          </w:tcPr>
          <w:p>
            <w:pPr>
              <w:ind w:left="20"/>
              <w:spacing w:after="0" w:line="115" w:lineRule="exact"/>
              <w:rPr>
                <w:sz w:val="20"/>
                <w:szCs w:val="20"/>
                <w:color w:val="auto"/>
              </w:rPr>
            </w:pPr>
            <w:r>
              <w:rPr>
                <w:rFonts w:ascii="Arial" w:cs="Arial" w:eastAsia="Arial" w:hAnsi="Arial"/>
                <w:sz w:val="11"/>
                <w:szCs w:val="11"/>
                <w:b w:val="1"/>
                <w:bCs w:val="1"/>
                <w:color w:val="auto"/>
              </w:rPr>
              <w:t>Balances at</w:t>
            </w: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b w:val="1"/>
                <w:bCs w:val="1"/>
                <w:color w:val="auto"/>
              </w:rPr>
              <w:t>December</w:t>
            </w:r>
          </w:p>
        </w:tc>
        <w:tc>
          <w:tcPr>
            <w:tcW w:w="6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54,208,46</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72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20,494,14</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(2,317,72</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(74</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FF0FC"/>
          </w:tcPr>
          <w:p>
            <w:pPr>
              <w:ind w:left="120"/>
              <w:spacing w:after="0"/>
              <w:rPr>
                <w:sz w:val="20"/>
                <w:szCs w:val="20"/>
                <w:color w:val="auto"/>
              </w:rPr>
            </w:pPr>
            <w:r>
              <w:rPr>
                <w:rFonts w:ascii="Arial" w:cs="Arial" w:eastAsia="Arial" w:hAnsi="Arial"/>
                <w:sz w:val="11"/>
                <w:szCs w:val="11"/>
                <w:b w:val="1"/>
                <w:bCs w:val="1"/>
                <w:color w:val="auto"/>
              </w:rPr>
              <w:t>31, 2019</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110,401</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98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2 )</w:t>
            </w: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8 )</w:t>
            </w: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12,031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(86,665 )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(75,278 )</w:t>
            </w:r>
          </w:p>
        </w:tc>
        <w:tc>
          <w:tcPr>
            <w:tcW w:w="0" w:type="dxa"/>
            <w:vAlign w:val="bottom"/>
          </w:tcPr>
          <w:p>
            <w:pPr>
              <w:spacing w:after="0"/>
              <w:rPr>
                <w:sz w:val="1"/>
                <w:szCs w:val="1"/>
                <w:color w:val="auto"/>
              </w:rPr>
            </w:pPr>
          </w:p>
        </w:tc>
      </w:tr>
      <w:tr>
        <w:trPr>
          <w:trHeight w:val="122"/>
        </w:trPr>
        <w:tc>
          <w:tcPr>
            <w:tcW w:w="1160" w:type="dxa"/>
            <w:vAlign w:val="bottom"/>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20"/>
              <w:spacing w:after="0" w:line="122" w:lineRule="exact"/>
              <w:rPr>
                <w:sz w:val="20"/>
                <w:szCs w:val="20"/>
                <w:color w:val="auto"/>
              </w:rPr>
            </w:pPr>
            <w:r>
              <w:rPr>
                <w:rFonts w:ascii="Arial" w:cs="Arial" w:eastAsia="Arial" w:hAnsi="Arial"/>
                <w:sz w:val="11"/>
                <w:szCs w:val="11"/>
                <w:color w:val="auto"/>
              </w:rPr>
              <w:t>stock upon the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20"/>
              <w:spacing w:after="0" w:line="122" w:lineRule="exact"/>
              <w:rPr>
                <w:sz w:val="20"/>
                <w:szCs w:val="20"/>
                <w:color w:val="auto"/>
              </w:rPr>
            </w:pPr>
            <w:r>
              <w:rPr>
                <w:rFonts w:ascii="Arial" w:cs="Arial" w:eastAsia="Arial" w:hAnsi="Arial"/>
                <w:sz w:val="11"/>
                <w:szCs w:val="11"/>
                <w:color w:val="auto"/>
              </w:rPr>
              <w:t>exercise of</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60" w:type="dxa"/>
            <w:vAlign w:val="bottom"/>
          </w:tcPr>
          <w:p>
            <w:pPr>
              <w:ind w:left="120"/>
              <w:spacing w:after="0"/>
              <w:rPr>
                <w:sz w:val="20"/>
                <w:szCs w:val="20"/>
                <w:color w:val="auto"/>
              </w:rPr>
            </w:pPr>
            <w:r>
              <w:rPr>
                <w:rFonts w:ascii="Arial" w:cs="Arial" w:eastAsia="Arial" w:hAnsi="Arial"/>
                <w:sz w:val="11"/>
                <w:szCs w:val="11"/>
                <w:color w:val="auto"/>
              </w:rPr>
              <w:t>stock options</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1,852,695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 *</w:t>
            </w:r>
          </w:p>
        </w:tc>
        <w:tc>
          <w:tcPr>
            <w:tcW w:w="200" w:type="dxa"/>
            <w:vAlign w:val="bottom"/>
          </w:tcPr>
          <w:p>
            <w:pPr>
              <w:spacing w:after="0"/>
              <w:rPr>
                <w:sz w:val="12"/>
                <w:szCs w:val="12"/>
                <w:color w:val="auto"/>
              </w:rPr>
            </w:pPr>
          </w:p>
        </w:tc>
        <w:tc>
          <w:tcPr>
            <w:tcW w:w="420" w:type="dxa"/>
            <w:vAlign w:val="bottom"/>
          </w:tcPr>
          <w:p>
            <w:pPr>
              <w:ind w:left="2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773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16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common</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FF0FC"/>
          </w:tcPr>
          <w:p>
            <w:pPr>
              <w:ind w:left="120"/>
              <w:spacing w:after="0"/>
              <w:rPr>
                <w:sz w:val="20"/>
                <w:szCs w:val="20"/>
                <w:color w:val="auto"/>
              </w:rPr>
            </w:pPr>
            <w:r>
              <w:rPr>
                <w:rFonts w:ascii="Arial" w:cs="Arial" w:eastAsia="Arial" w:hAnsi="Arial"/>
                <w:sz w:val="11"/>
                <w:szCs w:val="11"/>
                <w:color w:val="auto"/>
              </w:rPr>
              <w:t>stock warrants</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60" w:type="dxa"/>
            <w:vAlign w:val="bottom"/>
          </w:tcPr>
          <w:p>
            <w:pPr>
              <w:ind w:left="20"/>
              <w:spacing w:after="0" w:line="122" w:lineRule="exact"/>
              <w:rPr>
                <w:sz w:val="20"/>
                <w:szCs w:val="20"/>
                <w:color w:val="auto"/>
              </w:rPr>
            </w:pPr>
            <w:r>
              <w:rPr>
                <w:rFonts w:ascii="Arial" w:cs="Arial" w:eastAsia="Arial" w:hAnsi="Arial"/>
                <w:sz w:val="11"/>
                <w:szCs w:val="11"/>
                <w:color w:val="auto"/>
              </w:rPr>
              <w:t>Forfeiture of</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20"/>
              <w:spacing w:after="0" w:line="122" w:lineRule="exact"/>
              <w:rPr>
                <w:sz w:val="20"/>
                <w:szCs w:val="20"/>
                <w:color w:val="auto"/>
              </w:rPr>
            </w:pPr>
            <w:r>
              <w:rPr>
                <w:rFonts w:ascii="Arial" w:cs="Arial" w:eastAsia="Arial" w:hAnsi="Arial"/>
                <w:sz w:val="11"/>
                <w:szCs w:val="11"/>
                <w:color w:val="auto"/>
              </w:rPr>
              <w:t>unvested</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20"/>
              <w:spacing w:after="0" w:line="122" w:lineRule="exact"/>
              <w:rPr>
                <w:sz w:val="20"/>
                <w:szCs w:val="20"/>
                <w:color w:val="auto"/>
              </w:rPr>
            </w:pPr>
            <w:r>
              <w:rPr>
                <w:rFonts w:ascii="Arial" w:cs="Arial" w:eastAsia="Arial" w:hAnsi="Arial"/>
                <w:sz w:val="11"/>
                <w:szCs w:val="11"/>
                <w:color w:val="auto"/>
              </w:rPr>
              <w:t>restricted stock</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60" w:type="dxa"/>
            <w:vAlign w:val="bottom"/>
          </w:tcPr>
          <w:p>
            <w:pPr>
              <w:ind w:left="120"/>
              <w:spacing w:after="0"/>
              <w:rPr>
                <w:sz w:val="20"/>
                <w:szCs w:val="20"/>
                <w:color w:val="auto"/>
              </w:rPr>
            </w:pPr>
            <w:r>
              <w:rPr>
                <w:rFonts w:ascii="Arial" w:cs="Arial" w:eastAsia="Arial" w:hAnsi="Arial"/>
                <w:sz w:val="11"/>
                <w:szCs w:val="11"/>
                <w:color w:val="auto"/>
              </w:rPr>
              <w:t>awards</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2"/>
                <w:szCs w:val="12"/>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(105,969 )</w:t>
            </w: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 *</w:t>
            </w:r>
          </w:p>
        </w:tc>
        <w:tc>
          <w:tcPr>
            <w:tcW w:w="200" w:type="dxa"/>
            <w:vAlign w:val="bottom"/>
          </w:tcPr>
          <w:p>
            <w:pPr>
              <w:spacing w:after="0"/>
              <w:rPr>
                <w:sz w:val="12"/>
                <w:szCs w:val="12"/>
                <w:color w:val="auto"/>
              </w:rPr>
            </w:pPr>
          </w:p>
        </w:tc>
        <w:tc>
          <w:tcPr>
            <w:tcW w:w="420" w:type="dxa"/>
            <w:vAlign w:val="bottom"/>
          </w:tcPr>
          <w:p>
            <w:pPr>
              <w:ind w:left="2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16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Series E</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redeemable</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convertible</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preferred stock, net</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of issuance costs</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11,239,92</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FF0FC"/>
          </w:tcPr>
          <w:p>
            <w:pPr>
              <w:ind w:left="120"/>
              <w:spacing w:after="0"/>
              <w:rPr>
                <w:sz w:val="20"/>
                <w:szCs w:val="20"/>
                <w:color w:val="auto"/>
              </w:rPr>
            </w:pPr>
            <w:r>
              <w:rPr>
                <w:rFonts w:ascii="Arial" w:cs="Arial" w:eastAsia="Arial" w:hAnsi="Arial"/>
                <w:sz w:val="11"/>
                <w:szCs w:val="11"/>
                <w:color w:val="auto"/>
              </w:rPr>
              <w:t>of $245</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119,755</w:t>
            </w: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160" w:type="dxa"/>
            <w:vAlign w:val="bottom"/>
          </w:tcPr>
          <w:p>
            <w:pPr>
              <w:ind w:left="20"/>
              <w:spacing w:after="0" w:line="122" w:lineRule="exact"/>
              <w:rPr>
                <w:sz w:val="20"/>
                <w:szCs w:val="20"/>
                <w:color w:val="auto"/>
              </w:rPr>
            </w:pPr>
            <w:r>
              <w:rPr>
                <w:rFonts w:ascii="Arial" w:cs="Arial" w:eastAsia="Arial" w:hAnsi="Arial"/>
                <w:sz w:val="11"/>
                <w:szCs w:val="11"/>
                <w:color w:val="auto"/>
              </w:rPr>
              <w:t>Accretion of</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20"/>
              <w:spacing w:after="0" w:line="122" w:lineRule="exact"/>
              <w:rPr>
                <w:sz w:val="20"/>
                <w:szCs w:val="20"/>
                <w:color w:val="auto"/>
              </w:rPr>
            </w:pPr>
            <w:r>
              <w:rPr>
                <w:rFonts w:ascii="Arial" w:cs="Arial" w:eastAsia="Arial" w:hAnsi="Arial"/>
                <w:sz w:val="11"/>
                <w:szCs w:val="11"/>
                <w:color w:val="auto"/>
              </w:rPr>
              <w:t>redeemable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20"/>
              <w:spacing w:after="0" w:line="122" w:lineRule="exact"/>
              <w:rPr>
                <w:sz w:val="20"/>
                <w:szCs w:val="20"/>
                <w:color w:val="auto"/>
              </w:rPr>
            </w:pPr>
            <w:r>
              <w:rPr>
                <w:rFonts w:ascii="Arial" w:cs="Arial" w:eastAsia="Arial" w:hAnsi="Arial"/>
                <w:sz w:val="11"/>
                <w:szCs w:val="11"/>
                <w:color w:val="auto"/>
              </w:rPr>
              <w:t>convertible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20"/>
              <w:spacing w:after="0" w:line="122" w:lineRule="exact"/>
              <w:rPr>
                <w:sz w:val="20"/>
                <w:szCs w:val="20"/>
                <w:color w:val="auto"/>
              </w:rPr>
            </w:pPr>
            <w:r>
              <w:rPr>
                <w:rFonts w:ascii="Arial" w:cs="Arial" w:eastAsia="Arial" w:hAnsi="Arial"/>
                <w:sz w:val="11"/>
                <w:szCs w:val="11"/>
                <w:color w:val="auto"/>
              </w:rPr>
              <w:t>preferred</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60" w:type="dxa"/>
            <w:vAlign w:val="bottom"/>
          </w:tcPr>
          <w:p>
            <w:pPr>
              <w:ind w:left="120"/>
              <w:spacing w:after="0"/>
              <w:rPr>
                <w:sz w:val="20"/>
                <w:szCs w:val="20"/>
                <w:color w:val="auto"/>
              </w:rPr>
            </w:pPr>
            <w:r>
              <w:rPr>
                <w:rFonts w:ascii="Arial" w:cs="Arial" w:eastAsia="Arial" w:hAnsi="Arial"/>
                <w:sz w:val="11"/>
                <w:szCs w:val="11"/>
                <w:color w:val="auto"/>
              </w:rPr>
              <w:t>stock</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20" w:type="dxa"/>
            <w:vAlign w:val="bottom"/>
          </w:tcPr>
          <w:p>
            <w:pPr>
              <w:ind w:left="2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(14 )</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25"/>
        </w:trPr>
        <w:tc>
          <w:tcPr>
            <w:tcW w:w="116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Foreign currency</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translation</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FF0FC"/>
          </w:tcPr>
          <w:p>
            <w:pPr>
              <w:ind w:left="120"/>
              <w:spacing w:after="0"/>
              <w:rPr>
                <w:sz w:val="20"/>
                <w:szCs w:val="20"/>
                <w:color w:val="auto"/>
              </w:rPr>
            </w:pPr>
            <w:r>
              <w:rPr>
                <w:rFonts w:ascii="Arial" w:cs="Arial" w:eastAsia="Arial" w:hAnsi="Arial"/>
                <w:sz w:val="11"/>
                <w:szCs w:val="11"/>
                <w:color w:val="auto"/>
              </w:rPr>
              <w:t>adjustment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(316 )</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(316 )</w:t>
            </w:r>
          </w:p>
        </w:tc>
        <w:tc>
          <w:tcPr>
            <w:tcW w:w="0" w:type="dxa"/>
            <w:vAlign w:val="bottom"/>
          </w:tcPr>
          <w:p>
            <w:pPr>
              <w:spacing w:after="0"/>
              <w:rPr>
                <w:sz w:val="1"/>
                <w:szCs w:val="1"/>
                <w:color w:val="auto"/>
              </w:rPr>
            </w:pPr>
          </w:p>
        </w:tc>
      </w:tr>
      <w:tr>
        <w:trPr>
          <w:trHeight w:val="122"/>
        </w:trPr>
        <w:tc>
          <w:tcPr>
            <w:tcW w:w="1160" w:type="dxa"/>
            <w:vAlign w:val="bottom"/>
          </w:tcPr>
          <w:p>
            <w:pPr>
              <w:ind w:left="20"/>
              <w:spacing w:after="0" w:line="122" w:lineRule="exact"/>
              <w:rPr>
                <w:sz w:val="20"/>
                <w:szCs w:val="20"/>
                <w:color w:val="auto"/>
              </w:rPr>
            </w:pPr>
            <w:r>
              <w:rPr>
                <w:rFonts w:ascii="Arial" w:cs="Arial" w:eastAsia="Arial" w:hAnsi="Arial"/>
                <w:sz w:val="11"/>
                <w:szCs w:val="11"/>
                <w:color w:val="auto"/>
              </w:rPr>
              <w:t>Stock-based</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20"/>
              <w:spacing w:after="0" w:line="122" w:lineRule="exact"/>
              <w:rPr>
                <w:sz w:val="20"/>
                <w:szCs w:val="20"/>
                <w:color w:val="auto"/>
              </w:rPr>
            </w:pPr>
            <w:r>
              <w:rPr>
                <w:rFonts w:ascii="Arial" w:cs="Arial" w:eastAsia="Arial" w:hAnsi="Arial"/>
                <w:sz w:val="11"/>
                <w:szCs w:val="11"/>
                <w:color w:val="auto"/>
              </w:rPr>
              <w:t>compensation</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60" w:type="dxa"/>
            <w:vAlign w:val="bottom"/>
          </w:tcPr>
          <w:p>
            <w:pPr>
              <w:ind w:left="120"/>
              <w:spacing w:after="0"/>
              <w:rPr>
                <w:sz w:val="20"/>
                <w:szCs w:val="20"/>
                <w:color w:val="auto"/>
              </w:rPr>
            </w:pPr>
            <w:r>
              <w:rPr>
                <w:rFonts w:ascii="Arial" w:cs="Arial" w:eastAsia="Arial" w:hAnsi="Arial"/>
                <w:sz w:val="11"/>
                <w:szCs w:val="11"/>
                <w:color w:val="auto"/>
              </w:rPr>
              <w:t>expense</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20" w:type="dxa"/>
            <w:vAlign w:val="bottom"/>
          </w:tcPr>
          <w:p>
            <w:pPr>
              <w:ind w:left="2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3,844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(11,107 )</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(11,107 )</w:t>
            </w:r>
          </w:p>
        </w:tc>
        <w:tc>
          <w:tcPr>
            <w:tcW w:w="0" w:type="dxa"/>
            <w:vAlign w:val="bottom"/>
          </w:tcPr>
          <w:p>
            <w:pPr>
              <w:spacing w:after="0"/>
              <w:rPr>
                <w:sz w:val="1"/>
                <w:szCs w:val="1"/>
                <w:color w:val="auto"/>
              </w:rPr>
            </w:pPr>
          </w:p>
        </w:tc>
      </w:tr>
      <w:tr>
        <w:trPr>
          <w:trHeight w:val="118"/>
        </w:trPr>
        <w:tc>
          <w:tcPr>
            <w:tcW w:w="1160" w:type="dxa"/>
            <w:vAlign w:val="bottom"/>
            <w:tcBorders>
              <w:top w:val="single" w:sz="8" w:color="CFF0FC"/>
            </w:tcBorders>
          </w:tcPr>
          <w:p>
            <w:pPr>
              <w:ind w:left="20"/>
              <w:spacing w:after="0" w:line="119" w:lineRule="exact"/>
              <w:rPr>
                <w:sz w:val="20"/>
                <w:szCs w:val="20"/>
                <w:color w:val="auto"/>
              </w:rPr>
            </w:pPr>
            <w:r>
              <w:rPr>
                <w:rFonts w:ascii="Arial" w:cs="Arial" w:eastAsia="Arial" w:hAnsi="Arial"/>
                <w:sz w:val="11"/>
                <w:szCs w:val="11"/>
                <w:b w:val="1"/>
                <w:bCs w:val="1"/>
                <w:color w:val="auto"/>
              </w:rPr>
              <w:t>Balances at</w:t>
            </w: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CFF0FC"/>
              <w:right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December</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54,208,46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11,239,92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22,240,87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(2,317,72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(74</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ind w:left="120"/>
              <w:spacing w:after="0"/>
              <w:rPr>
                <w:sz w:val="20"/>
                <w:szCs w:val="20"/>
                <w:color w:val="auto"/>
              </w:rPr>
            </w:pPr>
            <w:r>
              <w:rPr>
                <w:rFonts w:ascii="Arial" w:cs="Arial" w:eastAsia="Arial" w:hAnsi="Arial"/>
                <w:sz w:val="11"/>
                <w:szCs w:val="11"/>
                <w:b w:val="1"/>
                <w:bCs w:val="1"/>
                <w:color w:val="auto"/>
              </w:rPr>
              <w:t>31, 2020</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110,401</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119,769</w:t>
            </w:r>
          </w:p>
        </w:tc>
        <w:tc>
          <w:tcPr>
            <w:tcW w:w="140" w:type="dxa"/>
            <w:vAlign w:val="bottom"/>
            <w:tcBorders>
              <w:right w:val="single" w:sz="8" w:color="auto"/>
            </w:tcBorders>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420" w:type="dxa"/>
            <w:vAlign w:val="bottom"/>
          </w:tcPr>
          <w:p>
            <w:pPr>
              <w:ind w:left="2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2 )</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8 )</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16,970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(214 )</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(97,772 )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(81,762 )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-256540</wp:posOffset>
            </wp:positionV>
            <wp:extent cx="76835" cy="2571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1623060</wp:posOffset>
            </wp:positionH>
            <wp:positionV relativeFrom="paragraph">
              <wp:posOffset>-256540</wp:posOffset>
            </wp:positionV>
            <wp:extent cx="76835" cy="2571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-256540</wp:posOffset>
            </wp:positionV>
            <wp:extent cx="76835" cy="2571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-256540</wp:posOffset>
            </wp:positionV>
            <wp:extent cx="76835" cy="2571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-256540</wp:posOffset>
            </wp:positionV>
            <wp:extent cx="76835" cy="2571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-256540</wp:posOffset>
            </wp:positionV>
            <wp:extent cx="76835" cy="2571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-256540</wp:posOffset>
            </wp:positionV>
            <wp:extent cx="76835" cy="2571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-256540</wp:posOffset>
            </wp:positionV>
            <wp:extent cx="68580" cy="2571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-256540</wp:posOffset>
            </wp:positionV>
            <wp:extent cx="68580" cy="2571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-256540</wp:posOffset>
            </wp:positionV>
            <wp:extent cx="68580" cy="2571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-256540</wp:posOffset>
            </wp:positionV>
            <wp:extent cx="68580" cy="2571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-256540</wp:posOffset>
            </wp:positionV>
            <wp:extent cx="68580" cy="2571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-256540</wp:posOffset>
            </wp:positionV>
            <wp:extent cx="68580" cy="2571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2571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25717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common</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exercise</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of stock options,</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net</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of 17,374 shares</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withheld</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5,893,600</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6,582</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6,583</w:t>
            </w:r>
          </w:p>
        </w:tc>
        <w:tc>
          <w:tcPr>
            <w:tcW w:w="100" w:type="dxa"/>
            <w:vAlign w:val="bottom"/>
            <w:shd w:val="clear" w:color="auto" w:fill="CFF0FC"/>
          </w:tcPr>
          <w:p>
            <w:pPr>
              <w:spacing w:after="0"/>
              <w:rPr>
                <w:sz w:val="12"/>
                <w:szCs w:val="12"/>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Issuance of Series</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F-1</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redeemable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convertible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preferred stock,</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net of issuance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2,571,93</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costs of $265</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59,735</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Exercise of</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common</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stock warrants</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417,021</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294</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294</w:t>
            </w:r>
          </w:p>
        </w:tc>
        <w:tc>
          <w:tcPr>
            <w:tcW w:w="100" w:type="dxa"/>
            <w:vAlign w:val="bottom"/>
            <w:shd w:val="clear" w:color="auto" w:fill="CFF0FC"/>
          </w:tcPr>
          <w:p>
            <w:pPr>
              <w:spacing w:after="0"/>
              <w:rPr>
                <w:sz w:val="12"/>
                <w:szCs w:val="12"/>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Accretion of</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redeemable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convertible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preferred</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stock</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13</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(13 )</w:t>
            </w:r>
          </w:p>
        </w:tc>
        <w:tc>
          <w:tcPr>
            <w:tcW w:w="22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Foreign currency</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translation</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adjustment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(185 )</w:t>
            </w:r>
          </w:p>
        </w:tc>
        <w:tc>
          <w:tcPr>
            <w:tcW w:w="92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(185 )</w:t>
            </w: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Stock-based</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compensation</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expense</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18,928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18,928</w:t>
            </w:r>
          </w:p>
        </w:tc>
        <w:tc>
          <w:tcPr>
            <w:tcW w:w="100" w:type="dxa"/>
            <w:vAlign w:val="bottom"/>
          </w:tcPr>
          <w:p>
            <w:pPr>
              <w:spacing w:after="0"/>
              <w:rPr>
                <w:sz w:val="12"/>
                <w:szCs w:val="12"/>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common</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in</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connection</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with IPO, net of</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underwriting</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discounts and</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72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12,006,00</w:t>
            </w: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commissions</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268,693</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268,694</w:t>
            </w:r>
          </w:p>
        </w:tc>
        <w:tc>
          <w:tcPr>
            <w:tcW w:w="100" w:type="dxa"/>
            <w:vAlign w:val="bottom"/>
            <w:shd w:val="clear" w:color="auto" w:fill="CFF0FC"/>
          </w:tcPr>
          <w:p>
            <w:pPr>
              <w:spacing w:after="0"/>
              <w:rPr>
                <w:sz w:val="12"/>
                <w:szCs w:val="12"/>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Costs incurred in</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connection with</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IPO</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(4,860 )</w:t>
            </w:r>
          </w:p>
        </w:tc>
        <w:tc>
          <w:tcPr>
            <w:tcW w:w="22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(4,860 )</w:t>
            </w: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Series</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preferred stock</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upon net</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exercise</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of Series C</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preferred stock</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warrants</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182,467</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6,417</w:t>
            </w:r>
          </w:p>
        </w:tc>
        <w:tc>
          <w:tcPr>
            <w:tcW w:w="2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Conversion of</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convertible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preferred stock</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upon</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(54,390,9</w:t>
            </w: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(116,8</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54,390,92</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IPO</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28 )</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18 )</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8</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116,813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116,818</w:t>
            </w:r>
          </w:p>
        </w:tc>
        <w:tc>
          <w:tcPr>
            <w:tcW w:w="100" w:type="dxa"/>
            <w:vAlign w:val="bottom"/>
          </w:tcPr>
          <w:p>
            <w:pPr>
              <w:spacing w:after="0"/>
              <w:rPr>
                <w:sz w:val="12"/>
                <w:szCs w:val="12"/>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Conversion of</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redeemable</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convertible</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preferred</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(13,811,8</w:t>
            </w: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(179,5</w:t>
            </w: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5,988,3</w:t>
            </w: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stock upon IPO</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56 )</w:t>
            </w:r>
          </w:p>
        </w:tc>
        <w:tc>
          <w:tcPr>
            <w:tcW w:w="62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17 )</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7,823,478</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78</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179,515</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179,517</w:t>
            </w:r>
          </w:p>
        </w:tc>
        <w:tc>
          <w:tcPr>
            <w:tcW w:w="100" w:type="dxa"/>
            <w:vAlign w:val="bottom"/>
            <w:shd w:val="clear" w:color="auto" w:fill="CFF0FC"/>
          </w:tcPr>
          <w:p>
            <w:pPr>
              <w:spacing w:after="0"/>
              <w:rPr>
                <w:sz w:val="12"/>
                <w:szCs w:val="12"/>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Reclassification of</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warrant liability</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to additional</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paid-in capital</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upon IPO</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6,272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6,272</w:t>
            </w:r>
          </w:p>
        </w:tc>
        <w:tc>
          <w:tcPr>
            <w:tcW w:w="100" w:type="dxa"/>
            <w:vAlign w:val="bottom"/>
          </w:tcPr>
          <w:p>
            <w:pPr>
              <w:spacing w:after="0"/>
              <w:rPr>
                <w:sz w:val="12"/>
                <w:szCs w:val="12"/>
                <w:color w:val="auto"/>
              </w:rPr>
            </w:pPr>
          </w:p>
        </w:tc>
      </w:tr>
      <w:tr>
        <w:trPr>
          <w:trHeight w:val="148"/>
        </w:trPr>
        <w:tc>
          <w:tcPr>
            <w:tcW w:w="1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(28,085 )</w:t>
            </w: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(28,085 )</w:t>
            </w:r>
          </w:p>
        </w:tc>
      </w:tr>
      <w:tr>
        <w:trPr>
          <w:trHeight w:val="118"/>
        </w:trPr>
        <w:tc>
          <w:tcPr>
            <w:tcW w:w="1080" w:type="dxa"/>
            <w:vAlign w:val="bottom"/>
            <w:tcBorders>
              <w:top w:val="single" w:sz="8" w:color="CFF0FC"/>
            </w:tcBorders>
          </w:tcPr>
          <w:p>
            <w:pPr>
              <w:ind w:left="20"/>
              <w:spacing w:after="0" w:line="119" w:lineRule="exact"/>
              <w:rPr>
                <w:sz w:val="20"/>
                <w:szCs w:val="20"/>
                <w:color w:val="auto"/>
              </w:rPr>
            </w:pPr>
            <w:r>
              <w:rPr>
                <w:rFonts w:ascii="Arial" w:cs="Arial" w:eastAsia="Arial" w:hAnsi="Arial"/>
                <w:sz w:val="11"/>
                <w:szCs w:val="11"/>
                <w:b w:val="1"/>
                <w:bCs w:val="1"/>
                <w:color w:val="auto"/>
              </w:rPr>
              <w:t>Balances at</w:t>
            </w: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December</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102,771,8</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5,988,3</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(2,317,7</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8"/>
        </w:trPr>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31, 2021</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99</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  10</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78</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   1</w:t>
            </w:r>
          </w:p>
        </w:tc>
        <w:tc>
          <w:tcPr>
            <w:tcW w:w="960" w:type="dxa"/>
            <w:vAlign w:val="bottom"/>
            <w:gridSpan w:val="3"/>
          </w:tcPr>
          <w:p>
            <w:pPr>
              <w:jc w:val="right"/>
              <w:ind w:right="160"/>
              <w:spacing w:after="0"/>
              <w:rPr>
                <w:sz w:val="20"/>
                <w:szCs w:val="20"/>
                <w:color w:val="auto"/>
              </w:rPr>
            </w:pPr>
            <w:r>
              <w:rPr>
                <w:rFonts w:ascii="Arial" w:cs="Arial" w:eastAsia="Arial" w:hAnsi="Arial"/>
                <w:sz w:val="11"/>
                <w:szCs w:val="11"/>
                <w:color w:val="auto"/>
              </w:rPr>
              <w:t>22 )</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 (748 )</w:t>
            </w:r>
          </w:p>
        </w:tc>
        <w:tc>
          <w:tcPr>
            <w:tcW w:w="560" w:type="dxa"/>
            <w:vAlign w:val="bottom"/>
          </w:tcPr>
          <w:p>
            <w:pPr>
              <w:jc w:val="right"/>
              <w:spacing w:after="0"/>
              <w:rPr>
                <w:sz w:val="20"/>
                <w:szCs w:val="20"/>
                <w:color w:val="auto"/>
              </w:rPr>
            </w:pPr>
            <w:r>
              <w:rPr>
                <w:rFonts w:ascii="Arial" w:cs="Arial" w:eastAsia="Arial" w:hAnsi="Arial"/>
                <w:sz w:val="11"/>
                <w:szCs w:val="11"/>
                <w:color w:val="auto"/>
              </w:rPr>
              <w:t>$  609,194</w:t>
            </w:r>
          </w:p>
        </w:tc>
        <w:tc>
          <w:tcPr>
            <w:tcW w:w="20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(399 )</w:t>
            </w:r>
          </w:p>
        </w:tc>
        <w:tc>
          <w:tcPr>
            <w:tcW w:w="920" w:type="dxa"/>
            <w:vAlign w:val="bottom"/>
            <w:gridSpan w:val="3"/>
          </w:tcPr>
          <w:p>
            <w:pPr>
              <w:jc w:val="right"/>
              <w:ind w:right="80"/>
              <w:spacing w:after="0"/>
              <w:rPr>
                <w:sz w:val="20"/>
                <w:szCs w:val="20"/>
                <w:color w:val="auto"/>
              </w:rPr>
            </w:pPr>
            <w:r>
              <w:rPr>
                <w:rFonts w:ascii="Arial" w:cs="Arial" w:eastAsia="Arial" w:hAnsi="Arial"/>
                <w:sz w:val="11"/>
                <w:szCs w:val="11"/>
                <w:color w:val="auto"/>
              </w:rPr>
              <w:t>$ (125,857 )   $</w:t>
            </w:r>
          </w:p>
        </w:tc>
        <w:tc>
          <w:tcPr>
            <w:tcW w:w="500" w:type="dxa"/>
            <w:vAlign w:val="bottom"/>
          </w:tcPr>
          <w:p>
            <w:pPr>
              <w:jc w:val="right"/>
              <w:spacing w:after="0"/>
              <w:rPr>
                <w:sz w:val="20"/>
                <w:szCs w:val="20"/>
                <w:color w:val="auto"/>
              </w:rPr>
            </w:pPr>
            <w:r>
              <w:rPr>
                <w:rFonts w:ascii="Arial" w:cs="Arial" w:eastAsia="Arial" w:hAnsi="Arial"/>
                <w:sz w:val="11"/>
                <w:szCs w:val="11"/>
                <w:color w:val="auto"/>
              </w:rPr>
              <w:t>482,201</w:t>
            </w: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-255905</wp:posOffset>
            </wp:positionV>
            <wp:extent cx="76835" cy="2571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-255905</wp:posOffset>
            </wp:positionV>
            <wp:extent cx="76835" cy="2571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-255905</wp:posOffset>
            </wp:positionV>
            <wp:extent cx="76835" cy="2571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-255905</wp:posOffset>
            </wp:positionV>
            <wp:extent cx="76835" cy="2571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-255905</wp:posOffset>
            </wp:positionV>
            <wp:extent cx="76835" cy="2571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-255905</wp:posOffset>
            </wp:positionV>
            <wp:extent cx="76835" cy="2571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-255905</wp:posOffset>
            </wp:positionV>
            <wp:extent cx="68580" cy="2571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-255905</wp:posOffset>
            </wp:positionV>
            <wp:extent cx="68580" cy="2571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-255905</wp:posOffset>
            </wp:positionV>
            <wp:extent cx="68580" cy="2571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-255905</wp:posOffset>
            </wp:positionV>
            <wp:extent cx="68580" cy="2571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-255905</wp:posOffset>
            </wp:positionV>
            <wp:extent cx="68580" cy="2571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-255905</wp:posOffset>
            </wp:positionV>
            <wp:extent cx="68580" cy="2571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-255905</wp:posOffset>
            </wp:positionV>
            <wp:extent cx="68580" cy="2571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-255905</wp:posOffset>
            </wp:positionV>
            <wp:extent cx="68580" cy="2571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25717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60" w:type="dxa"/>
            <w:vAlign w:val="bottom"/>
            <w:shd w:val="clear" w:color="auto" w:fill="CFF0FC"/>
          </w:tcPr>
          <w:p>
            <w:pPr>
              <w:spacing w:after="0"/>
              <w:rPr>
                <w:sz w:val="20"/>
                <w:szCs w:val="20"/>
                <w:color w:val="auto"/>
              </w:rPr>
            </w:pPr>
            <w:r>
              <w:rPr>
                <w:rFonts w:ascii="Arial" w:cs="Arial" w:eastAsia="Arial" w:hAnsi="Arial"/>
                <w:sz w:val="11"/>
                <w:szCs w:val="11"/>
                <w:color w:val="auto"/>
              </w:rPr>
              <w:t>Issuance of</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common</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stock upon</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exercise</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of stock options,</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net</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of</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133,012 shares</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withheld</w:t>
            </w:r>
          </w:p>
        </w:tc>
        <w:tc>
          <w:tcPr>
            <w:tcW w:w="1100" w:type="dxa"/>
            <w:vAlign w:val="bottom"/>
            <w:gridSpan w:val="3"/>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ind w:left="1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2,507,070</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4,745</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1"/>
                <w:szCs w:val="11"/>
                <w:color w:val="auto"/>
              </w:rPr>
              <w:t>Conversion of</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ind w:left="100"/>
              <w:spacing w:after="0" w:line="122" w:lineRule="exact"/>
              <w:rPr>
                <w:sz w:val="20"/>
                <w:szCs w:val="20"/>
                <w:color w:val="auto"/>
              </w:rPr>
            </w:pPr>
            <w:r>
              <w:rPr>
                <w:rFonts w:ascii="Arial" w:cs="Arial" w:eastAsia="Arial" w:hAnsi="Arial"/>
                <w:sz w:val="11"/>
                <w:szCs w:val="11"/>
                <w:color w:val="auto"/>
              </w:rPr>
              <w:t>non-voting</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ind w:left="100"/>
              <w:spacing w:after="0" w:line="122" w:lineRule="exact"/>
              <w:rPr>
                <w:sz w:val="20"/>
                <w:szCs w:val="20"/>
                <w:color w:val="auto"/>
              </w:rPr>
            </w:pPr>
            <w:r>
              <w:rPr>
                <w:rFonts w:ascii="Arial" w:cs="Arial" w:eastAsia="Arial" w:hAnsi="Arial"/>
                <w:sz w:val="11"/>
                <w:szCs w:val="11"/>
                <w:color w:val="auto"/>
              </w:rPr>
              <w:t>common stock</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ind w:left="100"/>
              <w:spacing w:after="0" w:line="122" w:lineRule="exact"/>
              <w:rPr>
                <w:sz w:val="20"/>
                <w:szCs w:val="20"/>
                <w:color w:val="auto"/>
              </w:rPr>
            </w:pPr>
            <w:r>
              <w:rPr>
                <w:rFonts w:ascii="Arial" w:cs="Arial" w:eastAsia="Arial" w:hAnsi="Arial"/>
                <w:sz w:val="11"/>
                <w:szCs w:val="11"/>
                <w:color w:val="auto"/>
              </w:rPr>
              <w:t>to voting</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1"/>
                <w:szCs w:val="11"/>
                <w:color w:val="auto"/>
              </w:rPr>
              <w:t>common</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(4,115,0</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00"/>
              <w:spacing w:after="0"/>
              <w:rPr>
                <w:sz w:val="20"/>
                <w:szCs w:val="20"/>
                <w:color w:val="auto"/>
              </w:rPr>
            </w:pPr>
            <w:r>
              <w:rPr>
                <w:rFonts w:ascii="Arial" w:cs="Arial" w:eastAsia="Arial" w:hAnsi="Arial"/>
                <w:sz w:val="11"/>
                <w:szCs w:val="11"/>
                <w:color w:val="auto"/>
              </w:rPr>
              <w:t>stock</w:t>
            </w:r>
          </w:p>
        </w:tc>
        <w:tc>
          <w:tcPr>
            <w:tcW w:w="1100" w:type="dxa"/>
            <w:vAlign w:val="bottom"/>
            <w:gridSpan w:val="3"/>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3"/>
          </w:tcPr>
          <w:p>
            <w:pPr>
              <w:ind w:left="20"/>
              <w:spacing w:after="0"/>
              <w:rPr>
                <w:sz w:val="20"/>
                <w:szCs w:val="20"/>
                <w:color w:val="auto"/>
              </w:rPr>
            </w:pPr>
            <w:r>
              <w:rPr>
                <w:rFonts w:ascii="Arial" w:cs="Arial" w:eastAsia="Arial" w:hAnsi="Arial"/>
                <w:sz w:val="11"/>
                <w:szCs w:val="11"/>
                <w:color w:val="auto"/>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4,115,058</w:t>
            </w:r>
          </w:p>
        </w:tc>
        <w:tc>
          <w:tcPr>
            <w:tcW w:w="2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1"/>
                <w:szCs w:val="11"/>
                <w:color w:val="auto"/>
              </w:rPr>
              <w:t>58 )</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6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Issuance of</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common</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stock upon</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settlement</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of restricted</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stock</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units</w:t>
            </w:r>
          </w:p>
        </w:tc>
        <w:tc>
          <w:tcPr>
            <w:tcW w:w="1100" w:type="dxa"/>
            <w:vAlign w:val="bottom"/>
            <w:gridSpan w:val="3"/>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ind w:left="1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111,549</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1"/>
                <w:szCs w:val="11"/>
                <w:color w:val="auto"/>
              </w:rPr>
              <w:t>Issuance of</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1"/>
                <w:szCs w:val="11"/>
                <w:color w:val="auto"/>
              </w:rPr>
              <w:t>common</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ind w:left="100"/>
              <w:spacing w:after="0" w:line="122" w:lineRule="exact"/>
              <w:rPr>
                <w:sz w:val="20"/>
                <w:szCs w:val="20"/>
                <w:color w:val="auto"/>
              </w:rPr>
            </w:pPr>
            <w:r>
              <w:rPr>
                <w:rFonts w:ascii="Arial" w:cs="Arial" w:eastAsia="Arial" w:hAnsi="Arial"/>
                <w:sz w:val="11"/>
                <w:szCs w:val="11"/>
                <w:color w:val="auto"/>
              </w:rPr>
              <w:t>stock under</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ind w:left="100"/>
              <w:spacing w:after="0" w:line="122" w:lineRule="exact"/>
              <w:rPr>
                <w:sz w:val="20"/>
                <w:szCs w:val="20"/>
                <w:color w:val="auto"/>
              </w:rPr>
            </w:pPr>
            <w:r>
              <w:rPr>
                <w:rFonts w:ascii="Arial" w:cs="Arial" w:eastAsia="Arial" w:hAnsi="Arial"/>
                <w:sz w:val="11"/>
                <w:szCs w:val="11"/>
                <w:color w:val="auto"/>
              </w:rPr>
              <w:t>employee stock</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00"/>
              <w:spacing w:after="0"/>
              <w:rPr>
                <w:sz w:val="20"/>
                <w:szCs w:val="20"/>
                <w:color w:val="auto"/>
              </w:rPr>
            </w:pPr>
            <w:r>
              <w:rPr>
                <w:rFonts w:ascii="Arial" w:cs="Arial" w:eastAsia="Arial" w:hAnsi="Arial"/>
                <w:sz w:val="11"/>
                <w:szCs w:val="11"/>
                <w:color w:val="auto"/>
              </w:rPr>
              <w:t>purchase plan</w:t>
            </w:r>
          </w:p>
        </w:tc>
        <w:tc>
          <w:tcPr>
            <w:tcW w:w="1100" w:type="dxa"/>
            <w:vAlign w:val="bottom"/>
            <w:gridSpan w:val="3"/>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3"/>
          </w:tcPr>
          <w:p>
            <w:pPr>
              <w:ind w:left="20"/>
              <w:spacing w:after="0"/>
              <w:rPr>
                <w:sz w:val="20"/>
                <w:szCs w:val="20"/>
                <w:color w:val="auto"/>
              </w:rPr>
            </w:pPr>
            <w:r>
              <w:rPr>
                <w:rFonts w:ascii="Arial" w:cs="Arial" w:eastAsia="Arial" w:hAnsi="Arial"/>
                <w:sz w:val="11"/>
                <w:szCs w:val="11"/>
                <w:color w:val="auto"/>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84,812</w:t>
            </w:r>
          </w:p>
        </w:tc>
        <w:tc>
          <w:tcPr>
            <w:tcW w:w="2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1,271</w:t>
            </w:r>
          </w:p>
        </w:tc>
        <w:tc>
          <w:tcPr>
            <w:tcW w:w="2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40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1,271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6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Issuance of</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common</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stock as</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consideration</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for acquisition</w:t>
            </w:r>
          </w:p>
        </w:tc>
        <w:tc>
          <w:tcPr>
            <w:tcW w:w="1100" w:type="dxa"/>
            <w:vAlign w:val="bottom"/>
            <w:gridSpan w:val="3"/>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ind w:left="1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200,314</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4,287</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1"/>
                <w:szCs w:val="11"/>
                <w:color w:val="auto"/>
              </w:rPr>
              <w:t>Foreign currency</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ind w:left="100"/>
              <w:spacing w:after="0" w:line="122" w:lineRule="exact"/>
              <w:rPr>
                <w:sz w:val="20"/>
                <w:szCs w:val="20"/>
                <w:color w:val="auto"/>
              </w:rPr>
            </w:pPr>
            <w:r>
              <w:rPr>
                <w:rFonts w:ascii="Arial" w:cs="Arial" w:eastAsia="Arial" w:hAnsi="Arial"/>
                <w:sz w:val="11"/>
                <w:szCs w:val="11"/>
                <w:color w:val="auto"/>
              </w:rPr>
              <w:t>translation</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00"/>
              <w:spacing w:after="0"/>
              <w:rPr>
                <w:sz w:val="20"/>
                <w:szCs w:val="20"/>
                <w:color w:val="auto"/>
              </w:rPr>
            </w:pPr>
            <w:r>
              <w:rPr>
                <w:rFonts w:ascii="Arial" w:cs="Arial" w:eastAsia="Arial" w:hAnsi="Arial"/>
                <w:sz w:val="11"/>
                <w:szCs w:val="11"/>
                <w:color w:val="auto"/>
              </w:rPr>
              <w:t>adjustment</w:t>
            </w:r>
          </w:p>
        </w:tc>
        <w:tc>
          <w:tcPr>
            <w:tcW w:w="1100" w:type="dxa"/>
            <w:vAlign w:val="bottom"/>
            <w:gridSpan w:val="3"/>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3"/>
          </w:tcPr>
          <w:p>
            <w:pPr>
              <w:ind w:left="20"/>
              <w:spacing w:after="0"/>
              <w:rPr>
                <w:sz w:val="20"/>
                <w:szCs w:val="20"/>
                <w:color w:val="auto"/>
              </w:rPr>
            </w:pPr>
            <w:r>
              <w:rPr>
                <w:rFonts w:ascii="Arial" w:cs="Arial" w:eastAsia="Arial" w:hAnsi="Arial"/>
                <w:sz w:val="11"/>
                <w:szCs w:val="11"/>
                <w:color w:val="auto"/>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1"/>
                <w:szCs w:val="11"/>
                <w:color w:val="auto"/>
              </w:rPr>
              <w:t>(1,513 )</w:t>
            </w:r>
          </w:p>
        </w:tc>
        <w:tc>
          <w:tcPr>
            <w:tcW w:w="960" w:type="dxa"/>
            <w:vAlign w:val="bottom"/>
            <w:gridSpan w:val="3"/>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(1,513 )</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6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Stock-based</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compensation</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expense</w:t>
            </w:r>
          </w:p>
        </w:tc>
        <w:tc>
          <w:tcPr>
            <w:tcW w:w="1100" w:type="dxa"/>
            <w:vAlign w:val="bottom"/>
            <w:gridSpan w:val="3"/>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ind w:left="1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30,259</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30,259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1"/>
                <w:szCs w:val="11"/>
                <w:color w:val="auto"/>
              </w:rPr>
              <w:t>Net loss</w:t>
            </w: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(39,347 )</w:t>
            </w:r>
          </w:p>
        </w:tc>
        <w:tc>
          <w:tcPr>
            <w:tcW w:w="1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(39,347 )</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shd w:val="clear" w:color="auto" w:fill="CFF0FC"/>
          </w:tcPr>
          <w:p>
            <w:pPr>
              <w:spacing w:after="0" w:line="119" w:lineRule="exact"/>
              <w:rPr>
                <w:sz w:val="20"/>
                <w:szCs w:val="20"/>
                <w:color w:val="auto"/>
              </w:rPr>
            </w:pPr>
            <w:r>
              <w:rPr>
                <w:rFonts w:ascii="Arial" w:cs="Arial" w:eastAsia="Arial" w:hAnsi="Arial"/>
                <w:sz w:val="11"/>
                <w:szCs w:val="11"/>
                <w:b w:val="1"/>
                <w:bCs w:val="1"/>
                <w:color w:val="auto"/>
              </w:rPr>
              <w:t>Balances at</w:t>
            </w:r>
          </w:p>
        </w:tc>
        <w:tc>
          <w:tcPr>
            <w:tcW w:w="5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10"/>
                <w:szCs w:val="10"/>
                <w:color w:val="auto"/>
              </w:rPr>
            </w:pP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109,790,7</w:t>
            </w:r>
          </w:p>
        </w:tc>
        <w:tc>
          <w:tcPr>
            <w:tcW w:w="220" w:type="dxa"/>
            <w:vAlign w:val="bottom"/>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vMerge w:val="restart"/>
            <w:shd w:val="clear" w:color="auto" w:fill="CFF0FC"/>
          </w:tcPr>
          <w:p>
            <w:pPr>
              <w:spacing w:after="0"/>
              <w:rPr>
                <w:sz w:val="10"/>
                <w:szCs w:val="10"/>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1,873,3</w:t>
            </w:r>
          </w:p>
        </w:tc>
        <w:tc>
          <w:tcPr>
            <w:tcW w:w="220" w:type="dxa"/>
            <w:vAlign w:val="bottom"/>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00" w:type="dxa"/>
            <w:vAlign w:val="bottom"/>
            <w:vMerge w:val="restart"/>
            <w:shd w:val="clear" w:color="auto" w:fill="CFF0FC"/>
          </w:tcPr>
          <w:p>
            <w:pPr>
              <w:spacing w:after="0"/>
              <w:rPr>
                <w:sz w:val="10"/>
                <w:szCs w:val="10"/>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(2,317,7</w:t>
            </w:r>
          </w:p>
        </w:tc>
        <w:tc>
          <w:tcPr>
            <w:tcW w:w="220" w:type="dxa"/>
            <w:vAlign w:val="bottom"/>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60" w:type="dxa"/>
            <w:vAlign w:val="bottom"/>
            <w:vMerge w:val="restart"/>
            <w:shd w:val="clear" w:color="auto" w:fill="CFF0FC"/>
          </w:tcPr>
          <w:p>
            <w:pPr>
              <w:spacing w:after="0" w:line="122" w:lineRule="exact"/>
              <w:rPr>
                <w:sz w:val="20"/>
                <w:szCs w:val="20"/>
                <w:color w:val="auto"/>
              </w:rPr>
            </w:pPr>
            <w:r>
              <w:rPr>
                <w:rFonts w:ascii="Arial" w:cs="Arial" w:eastAsia="Arial" w:hAnsi="Arial"/>
                <w:sz w:val="11"/>
                <w:szCs w:val="11"/>
                <w:b w:val="1"/>
                <w:bCs w:val="1"/>
                <w:color w:val="auto"/>
              </w:rPr>
              <w:t>December</w:t>
            </w:r>
          </w:p>
        </w:tc>
        <w:tc>
          <w:tcPr>
            <w:tcW w:w="5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40" w:type="dxa"/>
            <w:vAlign w:val="bottom"/>
            <w:tcBorders>
              <w:right w:val="single" w:sz="8" w:color="auto"/>
            </w:tcBorders>
            <w:shd w:val="clear" w:color="auto" w:fill="CFF0FC"/>
          </w:tcPr>
          <w:p>
            <w:pPr>
              <w:spacing w:after="0"/>
              <w:rPr>
                <w:sz w:val="7"/>
                <w:szCs w:val="7"/>
                <w:color w:val="auto"/>
              </w:rPr>
            </w:pPr>
          </w:p>
        </w:tc>
        <w:tc>
          <w:tcPr>
            <w:tcW w:w="100" w:type="dxa"/>
            <w:vAlign w:val="bottom"/>
            <w:vMerge w:val="continue"/>
            <w:shd w:val="clear" w:color="auto" w:fill="CFF0FC"/>
          </w:tcPr>
          <w:p>
            <w:pPr>
              <w:spacing w:after="0"/>
              <w:rPr>
                <w:sz w:val="7"/>
                <w:szCs w:val="7"/>
                <w:color w:val="auto"/>
              </w:rPr>
            </w:pPr>
          </w:p>
        </w:tc>
        <w:tc>
          <w:tcPr>
            <w:tcW w:w="64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220" w:type="dxa"/>
            <w:vAlign w:val="bottom"/>
            <w:vMerge w:val="continue"/>
            <w:shd w:val="clear" w:color="auto" w:fill="CFF0FC"/>
          </w:tcPr>
          <w:p>
            <w:pPr>
              <w:spacing w:after="0"/>
              <w:rPr>
                <w:sz w:val="7"/>
                <w:szCs w:val="7"/>
                <w:color w:val="auto"/>
              </w:rPr>
            </w:pPr>
          </w:p>
        </w:tc>
        <w:tc>
          <w:tcPr>
            <w:tcW w:w="54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200" w:type="dxa"/>
            <w:vAlign w:val="bottom"/>
            <w:vMerge w:val="continue"/>
            <w:shd w:val="clear" w:color="auto" w:fill="CFF0FC"/>
          </w:tcPr>
          <w:p>
            <w:pPr>
              <w:spacing w:after="0"/>
              <w:rPr>
                <w:sz w:val="7"/>
                <w:szCs w:val="7"/>
                <w:color w:val="auto"/>
              </w:rPr>
            </w:pPr>
          </w:p>
        </w:tc>
        <w:tc>
          <w:tcPr>
            <w:tcW w:w="54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60" w:type="dxa"/>
            <w:vAlign w:val="bottom"/>
            <w:vMerge w:val="continue"/>
            <w:shd w:val="clear" w:color="auto" w:fill="CFF0FC"/>
          </w:tcPr>
          <w:p>
            <w:pPr>
              <w:spacing w:after="0"/>
              <w:rPr>
                <w:sz w:val="3"/>
                <w:szCs w:val="3"/>
                <w:color w:val="auto"/>
              </w:rPr>
            </w:pPr>
          </w:p>
        </w:tc>
        <w:tc>
          <w:tcPr>
            <w:tcW w:w="500" w:type="dxa"/>
            <w:vAlign w:val="bottom"/>
            <w:vMerge w:val="restart"/>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vMerge w:val="restart"/>
            <w:shd w:val="clear" w:color="auto" w:fill="CFF0FC"/>
          </w:tcPr>
          <w:p>
            <w:pPr>
              <w:spacing w:after="0"/>
              <w:rPr>
                <w:sz w:val="3"/>
                <w:szCs w:val="3"/>
                <w:color w:val="auto"/>
              </w:rPr>
            </w:pPr>
          </w:p>
        </w:tc>
        <w:tc>
          <w:tcPr>
            <w:tcW w:w="360" w:type="dxa"/>
            <w:vAlign w:val="bottom"/>
            <w:vMerge w:val="restart"/>
            <w:shd w:val="clear" w:color="auto" w:fill="CFF0FC"/>
          </w:tcPr>
          <w:p>
            <w:pPr>
              <w:spacing w:after="0"/>
              <w:rPr>
                <w:sz w:val="3"/>
                <w:szCs w:val="3"/>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1"/>
                <w:szCs w:val="11"/>
                <w:color w:val="auto"/>
                <w:w w:val="90"/>
              </w:rPr>
              <w:t>—</w:t>
            </w:r>
          </w:p>
        </w:tc>
        <w:tc>
          <w:tcPr>
            <w:tcW w:w="240" w:type="dxa"/>
            <w:vAlign w:val="bottom"/>
            <w:vMerge w:val="restart"/>
            <w:shd w:val="clear" w:color="auto" w:fill="CFF0FC"/>
          </w:tcPr>
          <w:p>
            <w:pPr>
              <w:spacing w:after="0"/>
              <w:rPr>
                <w:sz w:val="3"/>
                <w:szCs w:val="3"/>
                <w:color w:val="auto"/>
              </w:rPr>
            </w:pPr>
          </w:p>
        </w:tc>
        <w:tc>
          <w:tcPr>
            <w:tcW w:w="280" w:type="dxa"/>
            <w:vAlign w:val="bottom"/>
            <w:vMerge w:val="restart"/>
            <w:shd w:val="clear" w:color="auto" w:fill="CFF0FC"/>
          </w:tcPr>
          <w:p>
            <w:pPr>
              <w:spacing w:after="0"/>
              <w:rPr>
                <w:sz w:val="3"/>
                <w:szCs w:val="3"/>
                <w:color w:val="auto"/>
              </w:rPr>
            </w:pPr>
          </w:p>
        </w:tc>
        <w:tc>
          <w:tcPr>
            <w:tcW w:w="220" w:type="dxa"/>
            <w:vAlign w:val="bottom"/>
            <w:vMerge w:val="restart"/>
            <w:shd w:val="clear" w:color="auto" w:fill="CFF0FC"/>
          </w:tcPr>
          <w:p>
            <w:pPr>
              <w:ind w:left="1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3"/>
                <w:szCs w:val="3"/>
                <w:color w:val="auto"/>
              </w:rPr>
            </w:pPr>
          </w:p>
        </w:tc>
        <w:tc>
          <w:tcPr>
            <w:tcW w:w="500" w:type="dxa"/>
            <w:vAlign w:val="bottom"/>
            <w:vMerge w:val="restart"/>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3"/>
                <w:szCs w:val="3"/>
                <w:color w:val="auto"/>
              </w:rPr>
            </w:pPr>
          </w:p>
        </w:tc>
        <w:tc>
          <w:tcPr>
            <w:tcW w:w="100" w:type="dxa"/>
            <w:vAlign w:val="bottom"/>
            <w:vMerge w:val="restart"/>
            <w:shd w:val="clear" w:color="auto" w:fill="CFF0FC"/>
          </w:tcPr>
          <w:p>
            <w:pPr>
              <w:spacing w:after="0"/>
              <w:rPr>
                <w:sz w:val="3"/>
                <w:szCs w:val="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02</w:t>
            </w:r>
          </w:p>
        </w:tc>
        <w:tc>
          <w:tcPr>
            <w:tcW w:w="220" w:type="dxa"/>
            <w:vAlign w:val="bottom"/>
            <w:vMerge w:val="restart"/>
            <w:shd w:val="clear" w:color="auto" w:fill="CFF0FC"/>
          </w:tcPr>
          <w:p>
            <w:pPr>
              <w:spacing w:after="0"/>
              <w:rPr>
                <w:sz w:val="3"/>
                <w:szCs w:val="3"/>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  10</w:t>
            </w:r>
          </w:p>
        </w:tc>
        <w:tc>
          <w:tcPr>
            <w:tcW w:w="220" w:type="dxa"/>
            <w:vAlign w:val="bottom"/>
            <w:vMerge w:val="restart"/>
            <w:shd w:val="clear" w:color="auto" w:fill="CFF0FC"/>
          </w:tcPr>
          <w:p>
            <w:pPr>
              <w:spacing w:after="0"/>
              <w:rPr>
                <w:sz w:val="3"/>
                <w:szCs w:val="3"/>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20</w:t>
            </w:r>
          </w:p>
        </w:tc>
        <w:tc>
          <w:tcPr>
            <w:tcW w:w="220" w:type="dxa"/>
            <w:vAlign w:val="bottom"/>
            <w:shd w:val="clear" w:color="auto" w:fill="CFF0FC"/>
          </w:tcPr>
          <w:p>
            <w:pPr>
              <w:spacing w:after="0"/>
              <w:rPr>
                <w:sz w:val="3"/>
                <w:szCs w:val="3"/>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   1</w:t>
            </w:r>
          </w:p>
        </w:tc>
        <w:tc>
          <w:tcPr>
            <w:tcW w:w="200" w:type="dxa"/>
            <w:vAlign w:val="bottom"/>
            <w:vMerge w:val="restart"/>
            <w:shd w:val="clear" w:color="auto" w:fill="CFF0FC"/>
          </w:tcPr>
          <w:p>
            <w:pPr>
              <w:spacing w:after="0"/>
              <w:rPr>
                <w:sz w:val="3"/>
                <w:szCs w:val="3"/>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22 )</w:t>
            </w:r>
          </w:p>
        </w:tc>
        <w:tc>
          <w:tcPr>
            <w:tcW w:w="5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 (748 )</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  649,756</w:t>
            </w:r>
          </w:p>
        </w:tc>
        <w:tc>
          <w:tcPr>
            <w:tcW w:w="102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   (1,912 )</w:t>
            </w:r>
          </w:p>
        </w:tc>
        <w:tc>
          <w:tcPr>
            <w:tcW w:w="96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1"/>
                <w:szCs w:val="11"/>
                <w:color w:val="auto"/>
              </w:rPr>
              <w:t>$ (165,204 )   $</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481,903</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60" w:type="dxa"/>
            <w:vAlign w:val="bottom"/>
            <w:shd w:val="clear" w:color="auto" w:fill="CFF0FC"/>
          </w:tcPr>
          <w:p>
            <w:pPr>
              <w:ind w:left="100"/>
              <w:spacing w:after="0" w:line="88" w:lineRule="exact"/>
              <w:rPr>
                <w:sz w:val="20"/>
                <w:szCs w:val="20"/>
                <w:color w:val="auto"/>
              </w:rPr>
            </w:pPr>
            <w:r>
              <w:rPr>
                <w:rFonts w:ascii="Arial" w:cs="Arial" w:eastAsia="Arial" w:hAnsi="Arial"/>
                <w:sz w:val="10"/>
                <w:szCs w:val="10"/>
                <w:b w:val="1"/>
                <w:bCs w:val="1"/>
                <w:color w:val="auto"/>
              </w:rPr>
              <w:t>31, 2022</w:t>
            </w:r>
          </w:p>
        </w:tc>
        <w:tc>
          <w:tcPr>
            <w:tcW w:w="500" w:type="dxa"/>
            <w:vAlign w:val="bottom"/>
            <w:vMerge w:val="continue"/>
            <w:shd w:val="clear" w:color="auto" w:fill="CFF0FC"/>
          </w:tcPr>
          <w:p>
            <w:pPr>
              <w:spacing w:after="0"/>
              <w:rPr>
                <w:sz w:val="11"/>
                <w:szCs w:val="11"/>
                <w:color w:val="auto"/>
              </w:rPr>
            </w:pPr>
          </w:p>
        </w:tc>
        <w:tc>
          <w:tcPr>
            <w:tcW w:w="240" w:type="dxa"/>
            <w:vAlign w:val="bottom"/>
            <w:vMerge w:val="continue"/>
            <w:shd w:val="clear" w:color="auto" w:fill="CFF0FC"/>
          </w:tcPr>
          <w:p>
            <w:pPr>
              <w:spacing w:after="0"/>
              <w:rPr>
                <w:sz w:val="11"/>
                <w:szCs w:val="11"/>
                <w:color w:val="auto"/>
              </w:rPr>
            </w:pPr>
          </w:p>
        </w:tc>
        <w:tc>
          <w:tcPr>
            <w:tcW w:w="360" w:type="dxa"/>
            <w:vAlign w:val="bottom"/>
            <w:vMerge w:val="continue"/>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240" w:type="dxa"/>
            <w:vAlign w:val="bottom"/>
            <w:vMerge w:val="continue"/>
            <w:shd w:val="clear" w:color="auto" w:fill="CFF0FC"/>
          </w:tcPr>
          <w:p>
            <w:pPr>
              <w:spacing w:after="0"/>
              <w:rPr>
                <w:sz w:val="11"/>
                <w:szCs w:val="11"/>
                <w:color w:val="auto"/>
              </w:rPr>
            </w:pPr>
          </w:p>
        </w:tc>
        <w:tc>
          <w:tcPr>
            <w:tcW w:w="28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32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vMerge w:val="continue"/>
            <w:shd w:val="clear" w:color="auto" w:fill="CFF0FC"/>
          </w:tcPr>
          <w:p>
            <w:pPr>
              <w:spacing w:after="0"/>
              <w:rPr>
                <w:sz w:val="11"/>
                <w:szCs w:val="11"/>
                <w:color w:val="auto"/>
              </w:rPr>
            </w:pPr>
          </w:p>
        </w:tc>
        <w:tc>
          <w:tcPr>
            <w:tcW w:w="200" w:type="dxa"/>
            <w:vAlign w:val="bottom"/>
            <w:vMerge w:val="continue"/>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580" w:type="dxa"/>
            <w:vAlign w:val="bottom"/>
            <w:gridSpan w:val="2"/>
            <w:vMerge w:val="continue"/>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1020" w:type="dxa"/>
            <w:vAlign w:val="bottom"/>
            <w:gridSpan w:val="3"/>
            <w:vMerge w:val="continue"/>
            <w:shd w:val="clear" w:color="auto" w:fill="CFF0FC"/>
          </w:tcPr>
          <w:p>
            <w:pPr>
              <w:spacing w:after="0"/>
              <w:rPr>
                <w:sz w:val="11"/>
                <w:szCs w:val="11"/>
                <w:color w:val="auto"/>
              </w:rPr>
            </w:pPr>
          </w:p>
        </w:tc>
        <w:tc>
          <w:tcPr>
            <w:tcW w:w="960" w:type="dxa"/>
            <w:vAlign w:val="bottom"/>
            <w:gridSpan w:val="3"/>
            <w:vMerge w:val="continue"/>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2820" w:type="dxa"/>
            <w:vAlign w:val="bottom"/>
            <w:gridSpan w:val="7"/>
          </w:tcPr>
          <w:p>
            <w:pPr>
              <w:spacing w:after="0" w:line="133" w:lineRule="exact"/>
              <w:rPr>
                <w:sz w:val="20"/>
                <w:szCs w:val="20"/>
                <w:color w:val="auto"/>
              </w:rPr>
            </w:pPr>
            <w:r>
              <w:rPr>
                <w:rFonts w:ascii="Arial" w:cs="Arial" w:eastAsia="Arial" w:hAnsi="Arial"/>
                <w:sz w:val="14"/>
                <w:szCs w:val="14"/>
                <w:color w:val="auto"/>
              </w:rPr>
              <w:t>__________________________________</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80" w:type="dxa"/>
            <w:vAlign w:val="bottom"/>
            <w:gridSpan w:val="5"/>
          </w:tcPr>
          <w:p>
            <w:pPr>
              <w:spacing w:after="0"/>
              <w:rPr>
                <w:sz w:val="20"/>
                <w:szCs w:val="20"/>
                <w:color w:val="auto"/>
              </w:rPr>
            </w:pPr>
            <w:r>
              <w:rPr>
                <w:rFonts w:ascii="Arial" w:cs="Arial" w:eastAsia="Arial" w:hAnsi="Arial"/>
                <w:sz w:val="14"/>
                <w:szCs w:val="14"/>
                <w:color w:val="auto"/>
              </w:rPr>
              <w:t>* amount is less than $1 thousand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-231775</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1007110</wp:posOffset>
            </wp:positionH>
            <wp:positionV relativeFrom="paragraph">
              <wp:posOffset>-214630</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-231775</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-214630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-231775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-214630</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-231775</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-214630</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-231775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-214630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-231775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-214630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-231775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-214630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-231775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-214630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-231775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-214630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-231775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-214630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-231775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-214630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-231775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-214630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-231775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-214630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-231775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-214630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40"/>
        <w:spacing w:after="0"/>
        <w:rPr>
          <w:sz w:val="20"/>
          <w:szCs w:val="20"/>
          <w:color w:val="auto"/>
        </w:rPr>
      </w:pPr>
      <w:r>
        <w:rPr>
          <w:rFonts w:ascii="Arial" w:cs="Arial" w:eastAsia="Arial" w:hAnsi="Arial"/>
          <w:sz w:val="18"/>
          <w:szCs w:val="18"/>
          <w:color w:val="auto"/>
        </w:rPr>
        <w:t>(Amounts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auto"/>
              </w:rPr>
              <w:t>(39,347 )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(28,085 )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(11,107 )</w:t>
            </w:r>
          </w:p>
        </w:tc>
      </w:tr>
      <w:tr>
        <w:trPr>
          <w:trHeight w:val="197"/>
        </w:trPr>
        <w:tc>
          <w:tcPr>
            <w:tcW w:w="66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Adjustments to reconcile net loss to net cash provided by (used in)</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12,304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8,998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Amortization of deferred contract costs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 preferred stock warrant liability</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Pr>
          <w:p>
            <w:pPr>
              <w:spacing w:after="0"/>
              <w:rPr>
                <w:sz w:val="19"/>
                <w:szCs w:val="19"/>
                <w:color w:val="auto"/>
              </w:rPr>
            </w:pP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auto"/>
              </w:rPr>
              <w:t>(2,805 )</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tax provision</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(1,708 )</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(8,535 )</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Provision for uncollectible accounts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Non-cash interest expense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(323 )</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(587 )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(1,555 )</w:t>
            </w:r>
          </w:p>
        </w:tc>
      </w:tr>
      <w:tr>
        <w:trPr>
          <w:trHeight w:val="229"/>
        </w:trPr>
        <w:tc>
          <w:tcPr>
            <w:tcW w:w="6620" w:type="dxa"/>
            <w:vAlign w:val="bottom"/>
          </w:tcPr>
          <w:p>
            <w:pPr>
              <w:ind w:left="520"/>
              <w:spacing w:after="0"/>
              <w:rPr>
                <w:sz w:val="20"/>
                <w:szCs w:val="20"/>
                <w:color w:val="auto"/>
              </w:rPr>
            </w:pPr>
            <w:r>
              <w:rPr>
                <w:rFonts w:ascii="Arial" w:cs="Arial" w:eastAsia="Arial" w:hAnsi="Arial"/>
                <w:sz w:val="18"/>
                <w:szCs w:val="18"/>
                <w:color w:val="auto"/>
              </w:rPr>
              <w:t>Unbilled receivables</w:t>
            </w:r>
          </w:p>
        </w:tc>
        <w:tc>
          <w:tcPr>
            <w:tcW w:w="320" w:type="dxa"/>
            <w:vAlign w:val="bottom"/>
          </w:tcPr>
          <w:p>
            <w:pPr>
              <w:spacing w:after="0"/>
              <w:rPr>
                <w:sz w:val="19"/>
                <w:szCs w:val="19"/>
                <w:color w:val="auto"/>
              </w:rPr>
            </w:pP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auto"/>
              </w:rPr>
              <w:t>(1,928 )</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(1,642 )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(401 )</w:t>
            </w:r>
          </w:p>
        </w:tc>
      </w:tr>
      <w:tr>
        <w:trPr>
          <w:trHeight w:val="229"/>
        </w:trPr>
        <w:tc>
          <w:tcPr>
            <w:tcW w:w="66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Funds receivable from payment partners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(30,917 )</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(5,805 )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(6,033 )</w:t>
            </w:r>
          </w:p>
        </w:tc>
      </w:tr>
      <w:tr>
        <w:trPr>
          <w:trHeight w:val="229"/>
        </w:trPr>
        <w:tc>
          <w:tcPr>
            <w:tcW w:w="6620" w:type="dxa"/>
            <w:vAlign w:val="bottom"/>
          </w:tcPr>
          <w:p>
            <w:pPr>
              <w:ind w:left="520"/>
              <w:spacing w:after="0"/>
              <w:rPr>
                <w:sz w:val="20"/>
                <w:szCs w:val="20"/>
                <w:color w:val="auto"/>
              </w:rPr>
            </w:pPr>
            <w:r>
              <w:rPr>
                <w:rFonts w:ascii="Arial" w:cs="Arial" w:eastAsia="Arial" w:hAnsi="Arial"/>
                <w:sz w:val="18"/>
                <w:szCs w:val="18"/>
                <w:color w:val="auto"/>
              </w:rPr>
              <w:t>Prepaid expenses, other current assets and other assets</w:t>
            </w:r>
          </w:p>
        </w:tc>
        <w:tc>
          <w:tcPr>
            <w:tcW w:w="320" w:type="dxa"/>
            <w:vAlign w:val="bottom"/>
          </w:tcPr>
          <w:p>
            <w:pPr>
              <w:spacing w:after="0"/>
              <w:rPr>
                <w:sz w:val="19"/>
                <w:szCs w:val="19"/>
                <w:color w:val="auto"/>
              </w:rPr>
            </w:pP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auto"/>
              </w:rPr>
              <w:t>(11,318 )</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(7,854 )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(3,840 )</w:t>
            </w:r>
          </w:p>
        </w:tc>
      </w:tr>
      <w:tr>
        <w:trPr>
          <w:trHeight w:val="229"/>
        </w:trPr>
        <w:tc>
          <w:tcPr>
            <w:tcW w:w="66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Funds payable to clients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48,932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(5,279 )</w:t>
            </w:r>
          </w:p>
        </w:tc>
      </w:tr>
      <w:tr>
        <w:trPr>
          <w:trHeight w:val="229"/>
        </w:trPr>
        <w:tc>
          <w:tcPr>
            <w:tcW w:w="6620" w:type="dxa"/>
            <w:vAlign w:val="bottom"/>
          </w:tcPr>
          <w:p>
            <w:pPr>
              <w:ind w:left="520"/>
              <w:spacing w:after="0"/>
              <w:rPr>
                <w:sz w:val="20"/>
                <w:szCs w:val="20"/>
                <w:color w:val="auto"/>
              </w:rPr>
            </w:pPr>
            <w:r>
              <w:rPr>
                <w:rFonts w:ascii="Arial" w:cs="Arial" w:eastAsia="Arial" w:hAnsi="Arial"/>
                <w:sz w:val="18"/>
                <w:szCs w:val="18"/>
                <w:color w:val="auto"/>
              </w:rPr>
              <w:t>Accounts payable, accrued expenses and other current liabilities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11,230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5,669</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(4,510 )</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(3,212 )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(693 )</w:t>
            </w:r>
          </w:p>
        </w:tc>
      </w:tr>
      <w:tr>
        <w:trPr>
          <w:trHeight w:val="229"/>
        </w:trPr>
        <w:tc>
          <w:tcPr>
            <w:tcW w:w="662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auto"/>
              </w:rPr>
              <w:t>(1,872 )</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(400 )</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20" w:type="dxa"/>
            <w:vAlign w:val="bottom"/>
          </w:tcPr>
          <w:p>
            <w:pPr>
              <w:ind w:left="78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17,131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(14,223 )</w:t>
            </w: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auto"/>
              </w:rPr>
              <w:t>(7,070 )</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(6,684 )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(2,141 )</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Acquisitions of businesses, net of cash acquired</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(17,140 )</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(56,111 )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(79,401 )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Asset acquisition, net of cash acquired</w:t>
            </w:r>
          </w:p>
        </w:tc>
        <w:tc>
          <w:tcPr>
            <w:tcW w:w="320" w:type="dxa"/>
            <w:vAlign w:val="bottom"/>
          </w:tcPr>
          <w:p>
            <w:pPr>
              <w:spacing w:after="0"/>
              <w:rPr>
                <w:sz w:val="19"/>
                <w:szCs w:val="19"/>
                <w:color w:val="auto"/>
              </w:rPr>
            </w:pPr>
          </w:p>
        </w:tc>
        <w:tc>
          <w:tcPr>
            <w:tcW w:w="130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(119 )</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 paid for acquisitions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(453 )</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20" w:type="dxa"/>
            <w:vAlign w:val="bottom"/>
          </w:tcPr>
          <w:p>
            <w:pPr>
              <w:ind w:left="7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auto"/>
              </w:rPr>
              <w:t>(24,663 )</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(62,914 )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(81,542 )</w:t>
            </w: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6620" w:type="dxa"/>
            <w:vAlign w:val="bottom"/>
          </w:tcPr>
          <w:p>
            <w:pPr>
              <w:ind w:left="20"/>
              <w:spacing w:after="0" w:line="197" w:lineRule="exact"/>
              <w:rPr>
                <w:sz w:val="20"/>
                <w:szCs w:val="20"/>
                <w:color w:val="auto"/>
              </w:rPr>
            </w:pPr>
            <w:r>
              <w:rPr>
                <w:rFonts w:ascii="Arial" w:cs="Arial" w:eastAsia="Arial" w:hAnsi="Arial"/>
                <w:sz w:val="18"/>
                <w:szCs w:val="18"/>
                <w:color w:val="auto"/>
              </w:rPr>
              <w:t>Proceeds from initial public offering, net of underwriting discount and</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6620" w:type="dxa"/>
            <w:vAlign w:val="bottom"/>
          </w:tcPr>
          <w:p>
            <w:pPr>
              <w:ind w:left="180"/>
              <w:spacing w:after="0"/>
              <w:rPr>
                <w:sz w:val="20"/>
                <w:szCs w:val="20"/>
                <w:color w:val="auto"/>
              </w:rPr>
            </w:pPr>
            <w:r>
              <w:rPr>
                <w:rFonts w:ascii="Arial" w:cs="Arial" w:eastAsia="Arial" w:hAnsi="Arial"/>
                <w:sz w:val="18"/>
                <w:szCs w:val="18"/>
                <w:color w:val="auto"/>
              </w:rPr>
              <w:t>commissions</w:t>
            </w:r>
          </w:p>
        </w:tc>
        <w:tc>
          <w:tcPr>
            <w:tcW w:w="320" w:type="dxa"/>
            <w:vAlign w:val="bottom"/>
          </w:tcPr>
          <w:p>
            <w:pPr>
              <w:spacing w:after="0"/>
              <w:rPr>
                <w:sz w:val="20"/>
                <w:szCs w:val="20"/>
                <w:color w:val="auto"/>
              </w:rPr>
            </w:pPr>
          </w:p>
        </w:tc>
        <w:tc>
          <w:tcPr>
            <w:tcW w:w="130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268,694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deferred offering costs related to initial public offering</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(4,860 )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Pr>
          <w:p>
            <w:pPr>
              <w:spacing w:after="0"/>
              <w:rPr>
                <w:sz w:val="19"/>
                <w:szCs w:val="19"/>
                <w:color w:val="auto"/>
              </w:rPr>
            </w:pPr>
          </w:p>
        </w:tc>
        <w:tc>
          <w:tcPr>
            <w:tcW w:w="130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25,939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long-term debt issuance costs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(418 )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Repayment of long-term debt</w:t>
            </w:r>
          </w:p>
        </w:tc>
        <w:tc>
          <w:tcPr>
            <w:tcW w:w="320" w:type="dxa"/>
            <w:vAlign w:val="bottom"/>
          </w:tcPr>
          <w:p>
            <w:pPr>
              <w:spacing w:after="0"/>
              <w:rPr>
                <w:sz w:val="19"/>
                <w:szCs w:val="19"/>
                <w:color w:val="auto"/>
              </w:rPr>
            </w:pP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auto"/>
              </w:rPr>
              <w:t>(25,939 )</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(25,000 )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(4,167 )</w:t>
            </w:r>
          </w:p>
        </w:tc>
      </w:tr>
      <w:tr>
        <w:trPr>
          <w:trHeight w:val="197"/>
        </w:trPr>
        <w:tc>
          <w:tcPr>
            <w:tcW w:w="66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Proceeds from issuance of redeemable convertible preferred stock,</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of issuance costs</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119,755</w:t>
            </w:r>
          </w:p>
        </w:tc>
        <w:tc>
          <w:tcPr>
            <w:tcW w:w="100" w:type="dxa"/>
            <w:vAlign w:val="bottom"/>
            <w:shd w:val="clear" w:color="auto" w:fill="CFF0FC"/>
          </w:tcPr>
          <w:p>
            <w:pPr>
              <w:spacing w:after="0"/>
              <w:rPr>
                <w:sz w:val="20"/>
                <w:szCs w:val="20"/>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Proceeds from exercise of warrants</w:t>
            </w:r>
          </w:p>
        </w:tc>
        <w:tc>
          <w:tcPr>
            <w:tcW w:w="320" w:type="dxa"/>
            <w:vAlign w:val="bottom"/>
          </w:tcPr>
          <w:p>
            <w:pPr>
              <w:spacing w:after="0"/>
              <w:rPr>
                <w:sz w:val="19"/>
                <w:szCs w:val="19"/>
                <w:color w:val="auto"/>
              </w:rPr>
            </w:pPr>
          </w:p>
        </w:tc>
        <w:tc>
          <w:tcPr>
            <w:tcW w:w="130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 paid for acquisitions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(3,701 )</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(3,800 )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(1,307 )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Payments of tax withholdings for net settled option exercises</w:t>
            </w:r>
          </w:p>
        </w:tc>
        <w:tc>
          <w:tcPr>
            <w:tcW w:w="320" w:type="dxa"/>
            <w:vAlign w:val="bottom"/>
          </w:tcPr>
          <w:p>
            <w:pPr>
              <w:spacing w:after="0"/>
              <w:rPr>
                <w:sz w:val="19"/>
                <w:szCs w:val="19"/>
                <w:color w:val="auto"/>
              </w:rPr>
            </w:pP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auto"/>
              </w:rPr>
              <w:t>(2,564 )</w:t>
            </w:r>
          </w:p>
        </w:tc>
        <w:tc>
          <w:tcPr>
            <w:tcW w:w="3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66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Proceeds from the issuance of stock under Employee Stock</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Purchase Plan</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r>
      <w:tr>
        <w:trPr>
          <w:trHeight w:val="223"/>
        </w:trPr>
        <w:tc>
          <w:tcPr>
            <w:tcW w:w="662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(23,970</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327,512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Effect of exchange rates changes on cash and cash equivalents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(1,421 )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(259 )</w:t>
            </w:r>
          </w:p>
        </w:tc>
      </w:tr>
      <w:tr>
        <w:trPr>
          <w:trHeight w:val="190"/>
        </w:trPr>
        <w:tc>
          <w:tcPr>
            <w:tcW w:w="662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b w:val="1"/>
                <w:bCs w:val="1"/>
                <w:color w:val="auto"/>
              </w:rPr>
              <w:t>Net increase (decrease) in cash, cash equivalents and restricted</w:t>
            </w:r>
          </w:p>
        </w:tc>
        <w:tc>
          <w:tcPr>
            <w:tcW w:w="3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5"/>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cash</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(38,183 )</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280,308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23,025</w:t>
            </w:r>
          </w:p>
        </w:tc>
        <w:tc>
          <w:tcPr>
            <w:tcW w:w="100" w:type="dxa"/>
            <w:vAlign w:val="bottom"/>
            <w:shd w:val="clear" w:color="auto" w:fill="CFF0FC"/>
          </w:tcPr>
          <w:p>
            <w:pPr>
              <w:spacing w:after="0"/>
              <w:rPr>
                <w:sz w:val="20"/>
                <w:szCs w:val="20"/>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389,360</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109,052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86,027</w:t>
            </w:r>
          </w:p>
        </w:tc>
        <w:tc>
          <w:tcPr>
            <w:tcW w:w="100" w:type="dxa"/>
            <w:vAlign w:val="bottom"/>
          </w:tcPr>
          <w:p>
            <w:pPr>
              <w:spacing w:after="0"/>
              <w:rPr>
                <w:sz w:val="19"/>
                <w:szCs w:val="19"/>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351,177</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389,360</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109,052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-4100830</wp:posOffset>
            </wp:positionV>
            <wp:extent cx="76835" cy="162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-4100830</wp:posOffset>
            </wp:positionV>
            <wp:extent cx="68580" cy="1625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-4100830</wp:posOffset>
            </wp:positionV>
            <wp:extent cx="68580" cy="162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-3210560</wp:posOffset>
            </wp:positionV>
            <wp:extent cx="76835" cy="1625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-3210560</wp:posOffset>
            </wp:positionV>
            <wp:extent cx="68580" cy="162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-3210560</wp:posOffset>
            </wp:positionV>
            <wp:extent cx="68580" cy="162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-761365</wp:posOffset>
            </wp:positionV>
            <wp:extent cx="76835" cy="162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-761365</wp:posOffset>
            </wp:positionV>
            <wp:extent cx="68580" cy="162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-761365</wp:posOffset>
            </wp:positionV>
            <wp:extent cx="68580" cy="162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40"/>
        <w:spacing w:after="0"/>
        <w:rPr>
          <w:sz w:val="20"/>
          <w:szCs w:val="20"/>
          <w:color w:val="auto"/>
        </w:rPr>
      </w:pPr>
      <w:r>
        <w:rPr>
          <w:rFonts w:ascii="Arial" w:cs="Arial" w:eastAsia="Arial" w:hAnsi="Arial"/>
          <w:sz w:val="18"/>
          <w:szCs w:val="18"/>
          <w:color w:val="auto"/>
        </w:rPr>
        <w:t>(Amounts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and noncash information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Cash paid during the period for interest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for acquisition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Accretion of redeemable convertible preferred stock</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(14 )</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 in accounts payable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Issuance of common stock warrants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349,177</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385,360</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104,052</w:t>
            </w:r>
          </w:p>
        </w:tc>
        <w:tc>
          <w:tcPr>
            <w:tcW w:w="100" w:type="dxa"/>
            <w:vAlign w:val="bottom"/>
          </w:tcPr>
          <w:p>
            <w:pPr>
              <w:spacing w:after="0"/>
              <w:rPr>
                <w:sz w:val="19"/>
                <w:szCs w:val="19"/>
                <w:color w:val="auto"/>
              </w:rPr>
            </w:pPr>
          </w:p>
        </w:tc>
      </w:tr>
      <w:tr>
        <w:trPr>
          <w:trHeight w:val="22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20" w:type="dxa"/>
            <w:vAlign w:val="bottom"/>
          </w:tcPr>
          <w:p>
            <w:pPr>
              <w:ind w:left="280"/>
              <w:spacing w:after="0"/>
              <w:rPr>
                <w:sz w:val="20"/>
                <w:szCs w:val="20"/>
                <w:color w:val="auto"/>
              </w:rPr>
            </w:pPr>
            <w:r>
              <w:rPr>
                <w:rFonts w:ascii="Arial" w:cs="Arial" w:eastAsia="Arial" w:hAnsi="Arial"/>
                <w:sz w:val="18"/>
                <w:szCs w:val="18"/>
                <w:color w:val="auto"/>
              </w:rPr>
              <w:t>Cash, cash equivalents and restricted cash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351,177</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389,360</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109,052</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-179070</wp:posOffset>
            </wp:positionV>
            <wp:extent cx="76835" cy="1797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-179070</wp:posOffset>
            </wp:positionV>
            <wp:extent cx="68580" cy="1797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Overview and Summary of Significant Accounting Policies</w:t>
      </w:r>
    </w:p>
    <w:p>
      <w:pPr>
        <w:spacing w:after="0" w:line="184" w:lineRule="exact"/>
        <w:rPr>
          <w:sz w:val="20"/>
          <w:szCs w:val="20"/>
          <w:color w:val="auto"/>
        </w:rPr>
      </w:pPr>
    </w:p>
    <w:p>
      <w:pPr>
        <w:jc w:val="both"/>
        <w:ind w:right="80" w:firstLine="509"/>
        <w:spacing w:after="0" w:line="252"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14 countries across 5 continents.</w:t>
      </w:r>
    </w:p>
    <w:p>
      <w:pPr>
        <w:spacing w:after="0" w:line="130"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w:t>
      </w:r>
    </w:p>
    <w:p>
      <w:pPr>
        <w:spacing w:after="0" w:line="1" w:lineRule="exact"/>
        <w:rPr>
          <w:sz w:val="20"/>
          <w:szCs w:val="20"/>
          <w:color w:val="auto"/>
        </w:rPr>
      </w:pPr>
    </w:p>
    <w:p>
      <w:pPr>
        <w:ind w:right="420" w:firstLine="8"/>
        <w:spacing w:after="0" w:line="250" w:lineRule="auto"/>
        <w:tabs>
          <w:tab w:leader="none" w:pos="2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next-gen payments platform, (ii) a proprietary global payment network, and (iii) vertical-specific software backed by its deep industry expertise.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On May 28, 2021, in connection with the Company’s initial public offering (IPO), the Company filed an amended and restated certificate of incorporation, which became effective on that date. The amended and restated certificate of incorporation authorized the issuance of 2,000,000,000 shares of voting common stock, 10,000,000 shares of non-voting common stock and 10,000,000 shares of preferred stock. Each class of stock has a par value of $0.0001 per share.</w:t>
      </w:r>
    </w:p>
    <w:p>
      <w:pPr>
        <w:spacing w:after="0" w:line="13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On May 28, 2021, the Company completed its IPO, in which the Company issued and sold 12,006,000 shares of voting common stock at a public offering price of $24.00 per share, which included 1,566,000 shares of voting common stock issued pursuant to the exercise in full of the underwriters' option to purchase additional shares. The Company received $263.8 million in net proceeds from the IPO, after deducting underwriting discounts and commissions of $19.4 million and other offering costs of $4.9 million.</w:t>
      </w:r>
    </w:p>
    <w:p>
      <w:pPr>
        <w:spacing w:after="0" w:line="13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Prior to the IPO, the Company issued Series A convertible preferred stock, Series B convertible preferred stock, Series B1-NV convertible preferred stock, Series B1 convertible preferred stock, Series C convertible preferred stock, Series D convertible preferred stock, Series E-1 redeemable convertible preferred stock and Series E-2 redeemable convertible preferred stock. Immediately prior to the closing of the IPO, all shares of the Company’s outstanding convertible preferred stock and redeemable convertible preferred stock, including 182,467 shares of preferred stock issued upon exercise of a warrant immediately prior to the closing of the IPO, were converted into 62,214,406 shares of voting common stock and 5,988,378 shares of non-voting common stock. Prior to the closing of the IPO, the Company had warrants to purchase 190,500 shares of its convertible preferred stock outstanding, such warrants were converted immediately prior to the closing of the IPO into warrants to purchase 190,500 shares of the Company’s voting common stock and the associated preferred stock warrant liabilities were remeasured to its fair value of $6.3 million and reclassified to additional paid-in capital.</w:t>
      </w:r>
    </w:p>
    <w:p>
      <w:pPr>
        <w:spacing w:after="0" w:line="154"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Prior to the IPO, deferred offering costs, which consist of legal, accounting, consulting and other direct fees and costs relating to the IPO, were capitalized in other long-term assets. Upon the completion of the IPO, these costs were offset against the proceeds from the IPO and recorded as a reduction to additional paid-in capital.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6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May 2021, the Company filed an amendment to its amended and restated certificate of incorporation to effect a 3-for-1 forward stock split of its common stock, convertible preferred stock and redeemable convertible preferred stock. In connection with the forward stock split, each issued and outstanding share of common stock, automatically and without action on the part of the holders, became three shares of common stock, each issued and outstanding share of convertible preferred stock, automatically and without action on the part of the holders, became three shares of convertible preferred stock and each issued and outstanding share of redeemable convertible preferred stock, automatically and without action on the part of the holders, became three shares of redeemable convertible preferred stock. The par value per share of common stock, convertible preferred stock and redeemable convertible preferred stock was not adjusted. All references to the convertible preferred stock, redeemable convertible preferred stock, common stock, treasury stock, options to purchase common stock, restricted stock awards, warrants to purchase convertible preferred stock, warrants to purchase common stock, per share amounts and related information contained in the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060"/>
        <w:spacing w:after="0" w:line="445" w:lineRule="auto"/>
        <w:rPr>
          <w:sz w:val="20"/>
          <w:szCs w:val="20"/>
          <w:color w:val="auto"/>
        </w:rPr>
      </w:pPr>
      <w:r>
        <w:rPr>
          <w:rFonts w:ascii="Arial" w:cs="Arial" w:eastAsia="Arial" w:hAnsi="Arial"/>
          <w:sz w:val="18"/>
          <w:szCs w:val="18"/>
          <w:color w:val="auto"/>
        </w:rPr>
        <w:t xml:space="preserve">consolidated financial statements have been retroactively adjusted to reflect the effect of the stock split for all periods presented. </w:t>
      </w:r>
      <w:r>
        <w:rPr>
          <w:rFonts w:ascii="Arial" w:cs="Arial" w:eastAsia="Arial" w:hAnsi="Arial"/>
          <w:sz w:val="18"/>
          <w:szCs w:val="18"/>
          <w:b w:val="1"/>
          <w:bCs w:val="1"/>
          <w:i w:val="1"/>
          <w:iCs w:val="1"/>
          <w:color w:val="auto"/>
        </w:rPr>
        <w:t>Basis of Presentation and Principles of Consolidation</w:t>
      </w:r>
    </w:p>
    <w:p>
      <w:pPr>
        <w:spacing w:after="0" w:line="1"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and have been prepared in accordance with generally accepted accounting principles in the United States (GAAP). Intercompany accounts and transactions have been eliminated upon consolidation.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2"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 xml:space="preserve">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information regarding the Company's revenue by geographic area.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and disclosed in the consolidated financial statements and the accompanying notes. Significant estimates and assumptions reflected in these financial statements include, but are not limited to, the valuation of common stock and stock-based awards, the valuation of the preferred stock warrant liability up until the date of the Company’s IPO, impairment assessment of goodwill, intangibles and other long-lived assets, the valuation of acquired intangible assets and their useful lives, and the valuation of contingent consideration.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6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On March 11, 2020, the World Health Organization declared the outbreak of a novel coronavirus (COVID-19) as a global pandemic. The unprecedented and rapid spread of COVID-19 (including its variants and sub-variants) as well as the shelter-in-place orders, promotion of social distancing measures, restrictions to businesses deemed non-essential, and travel restrictions implemented throughout the United States and globally significantly impacted the verticals in which the Company has been predominantly focused over the last decade, including payment volumes, sales cycles and time to implementation in those verticals. However, during this period, the Company had not experienced any significant client attrition and our net dollar-based retention rate remained strong.</w:t>
      </w:r>
    </w:p>
    <w:p>
      <w:pPr>
        <w:spacing w:after="0" w:line="14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response to the COVID -19 pandemic, the Company executed a reduction in force in May of 2020, cut corporate bonus programs, suspended corporate travel and reduced professional service and other fees. Further, the Company implemented remote working capabilities and measures focused on the safety of the Company’s FlyMates. During the year ended December 31, 2022, the Company observed recoveries in total payment volume and revenue compared to the year ended December 31, 2021. The growth in both total payment volume and revenue was primarily a result of economies continuing to reopen, and the resumption of global travel. The Company’s revenue growth from students originating from China may have been negatively impacted by the combination of a decline in visa issuance and COVID-19 related travel obstacles, as well as changes in education destinations. Additionally, the Company has resumed hiring across all departments to meet growth and public company challenges. The Company does not currently foresee the need to take additional actions; however, as variants or sub-variants of COVID-19 emerge, the Company continues to evaluate the nature and extent of these potential impacts to the Company's business, consolidated financial statements, and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169"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Company does not have any operations, including long-lived assets, in Ukraine or Russia, and to the Company’s knowledge, clients do not receive material amounts of payments from payers in these regions. As of the issuance date of these consolidated financial statements, the current conflict between Russia and Ukraine has not had a material impact on the Company’s revenue, results of operations or financial position. However, the Company notes Ukraine is a major engineering hub and the conflict may create a global challenge in outsourcing or hiring engineering talent. In addition, a prolonged conflict or the spill-over of war into other European countries may in the future have an</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impact on macroeconomic conditions which could significantly impact the verticals in which the Company has been predominantly focused over the last decade. The Company’s payment volumes, sales cycles and time to implementation could be negatively affected and consequently, the Company’s revenue or results of operations or financial position could be adversely impacted as well.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69"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Company does not believe that inflation had a material effect on its cash flows and results of operations during the year ended December 31, 2022.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Out-of-period Adjustment</w:t>
      </w:r>
    </w:p>
    <w:p>
      <w:pPr>
        <w:spacing w:after="0" w:line="182"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During the fourth quarter of 2021, the Company identified immaterial errors related to direct and indirect taxes in its historical financial statements. The cumulative effect of the errors generated in the fiscal year 2017 through the third quarter of 2021 was corrected during the fourth quarter of 2021, resulting in an increase to net loss for the fiscal year 2021 of $1.0 million. The Company concluded that the errors were not material to any prior period consolidated financial statements and the correction of the errors was not material to the consolidated financial statements for the year ended December 31,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6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during the years ended December 31, 2022, 2021 and 2020.</w:t>
      </w:r>
    </w:p>
    <w:p>
      <w:pPr>
        <w:spacing w:after="0" w:line="158" w:lineRule="exact"/>
        <w:rPr>
          <w:sz w:val="20"/>
          <w:szCs w:val="20"/>
          <w:color w:val="auto"/>
        </w:rPr>
      </w:pPr>
    </w:p>
    <w:p>
      <w:pPr>
        <w:ind w:right="540" w:firstLine="509"/>
        <w:spacing w:after="0" w:line="252" w:lineRule="auto"/>
        <w:rPr>
          <w:sz w:val="20"/>
          <w:szCs w:val="20"/>
          <w:color w:val="auto"/>
        </w:rPr>
      </w:pPr>
      <w:r>
        <w:rPr>
          <w:rFonts w:ascii="Arial" w:cs="Arial" w:eastAsia="Arial" w:hAnsi="Arial"/>
          <w:sz w:val="18"/>
          <w:szCs w:val="18"/>
          <w:color w:val="auto"/>
        </w:rPr>
        <w:t>The Company has corporate deposit balances with financial institutions which exceed the Federal Deposit Insurance Corporation (FDIC) insurance limit of $250,000. As part of the cash management process, the Company performs periodic reviews of the financial institution credit standing.</w:t>
      </w:r>
    </w:p>
    <w:p>
      <w:pPr>
        <w:spacing w:after="0" w:line="130"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Significant clients are those that represent 10% or more of accounts receivable, net as set forth in the following table:</w:t>
      </w:r>
    </w:p>
    <w:p>
      <w:pPr>
        <w:spacing w:after="0" w:line="135"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Client A</w:t>
            </w:r>
          </w:p>
        </w:tc>
        <w:tc>
          <w:tcPr>
            <w:tcW w:w="1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Client B</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9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Client C</w:t>
            </w:r>
          </w:p>
        </w:tc>
        <w:tc>
          <w:tcPr>
            <w:tcW w:w="9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13 %</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238061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spacing w:after="0" w:line="166" w:lineRule="exact"/>
        <w:rPr>
          <w:sz w:val="20"/>
          <w:szCs w:val="20"/>
          <w:color w:val="auto"/>
        </w:rPr>
      </w:pPr>
    </w:p>
    <w:p>
      <w:pPr>
        <w:jc w:val="both"/>
        <w:ind w:right="460" w:firstLine="509"/>
        <w:spacing w:after="0" w:line="252" w:lineRule="auto"/>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53"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Partner A</w:t>
            </w:r>
          </w:p>
        </w:tc>
        <w:tc>
          <w:tcPr>
            <w:tcW w:w="1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Partner B</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16 %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Partner 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Partner D</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17 %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Partner E</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15 %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23806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spacing w:after="0" w:line="166" w:lineRule="exact"/>
        <w:rPr>
          <w:sz w:val="20"/>
          <w:szCs w:val="20"/>
          <w:color w:val="auto"/>
        </w:rPr>
      </w:pPr>
    </w:p>
    <w:p>
      <w:pPr>
        <w:ind w:left="5480" w:right="1660" w:hanging="4963"/>
        <w:spacing w:after="0" w:line="396" w:lineRule="auto"/>
        <w:rPr>
          <w:sz w:val="20"/>
          <w:szCs w:val="20"/>
          <w:color w:val="auto"/>
        </w:rPr>
      </w:pPr>
      <w:r>
        <w:rPr>
          <w:rFonts w:ascii="Arial" w:cs="Arial" w:eastAsia="Arial" w:hAnsi="Arial"/>
          <w:sz w:val="18"/>
          <w:szCs w:val="18"/>
          <w:color w:val="auto"/>
        </w:rPr>
        <w:t>During the years ended December 31, 2022, 2021 and 2020, no client accounted for 10% or more of total revenue.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 w:right="2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During the year ended December 31, 2022, revenue from clients located in the United States and Canada (Americas), Europe, the Middle East and Africa (EMEA) and Asia and Pacific (APAC) in the aggregate accounted for 67.2%, 23.9% and 8.9% of the Company’s total revenues, respectively.</w:t>
      </w:r>
    </w:p>
    <w:p>
      <w:pPr>
        <w:spacing w:after="0" w:line="14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During the year ended December 31, 2021, revenue from clients located in Americas, EMEA and APAC in the aggregate accounted for 79.4%, 16.9%, and 3.7% of the Company’s total revenues, respectively.</w:t>
      </w:r>
    </w:p>
    <w:p>
      <w:pPr>
        <w:spacing w:after="0" w:line="1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During the year ended December 31, 2020, revenue from clients located in Americas, EMEA and APAC in the aggregate accounted for 83.3%, 14.0% and 2.7% of the Company’s total revenues,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Restricted Cash</w:t>
      </w:r>
    </w:p>
    <w:p>
      <w:pPr>
        <w:spacing w:after="0" w:line="169" w:lineRule="exact"/>
        <w:rPr>
          <w:sz w:val="20"/>
          <w:szCs w:val="20"/>
          <w:color w:val="auto"/>
        </w:rPr>
      </w:pPr>
    </w:p>
    <w:p>
      <w:pPr>
        <w:ind w:right="700" w:firstLine="509"/>
        <w:spacing w:after="0" w:line="271" w:lineRule="auto"/>
        <w:rPr>
          <w:sz w:val="20"/>
          <w:szCs w:val="20"/>
          <w:color w:val="auto"/>
        </w:rPr>
      </w:pPr>
      <w:r>
        <w:rPr>
          <w:rFonts w:ascii="Arial" w:cs="Arial" w:eastAsia="Arial" w:hAnsi="Arial"/>
          <w:sz w:val="18"/>
          <w:szCs w:val="18"/>
          <w:color w:val="auto"/>
        </w:rPr>
        <w:t>Cash equivalents consist of short-term, highly liquid investments with stated maturities of three months or less from the date of purchase.</w:t>
      </w:r>
    </w:p>
    <w:p>
      <w:pPr>
        <w:spacing w:after="0" w:line="112"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Restricted cash consists of amounts required to be maintained to cover certain banks’ or clients’ credit risk exposure related to facilitating payments for the Company. As of December 31, 2022 and 2021, the Company had $2.0 million and $4.0 million of restricted cash,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6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Accounts receivable represent client obligations that are unconditional. Accounts receivable are presented net of an estimated allowance for credit losses for amounts that may not be collectible over the estimated life of the assets. The Company’s accounts receivable do not bear interest and generally does not require collateral or other security to support related receivables. The Company establishes an allowance for credit losses for estimated losses expected from amounts that may not be collectible, through a provision for expected credit losses.</w:t>
      </w:r>
    </w:p>
    <w:p>
      <w:pPr>
        <w:spacing w:after="0" w:line="139"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 xml:space="preserve">On January 1, 2022, Flywire adopted Accounting Standards Update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and subsequent related ASUs using January 1, 2022 as the date of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application. The adoption of ASU 2016-13 did not have a material impact on the Company's consolidated financial statements and disclosures. Refer to </w:t>
      </w:r>
      <w:r>
        <w:rPr>
          <w:rFonts w:ascii="Arial" w:cs="Arial" w:eastAsia="Arial" w:hAnsi="Arial"/>
          <w:sz w:val="18"/>
          <w:szCs w:val="18"/>
          <w:i w:val="1"/>
          <w:iCs w:val="1"/>
          <w:color w:val="auto"/>
        </w:rPr>
        <w:t>Accounting Pronouncements Adopted</w:t>
      </w:r>
      <w:r>
        <w:rPr>
          <w:rFonts w:ascii="Arial" w:cs="Arial" w:eastAsia="Arial" w:hAnsi="Arial"/>
          <w:sz w:val="18"/>
          <w:szCs w:val="18"/>
          <w:color w:val="auto"/>
        </w:rPr>
        <w:t xml:space="preserve"> section below for details on the adoption of ASU 2016-13.</w:t>
      </w:r>
    </w:p>
    <w:p>
      <w:pPr>
        <w:spacing w:after="0" w:line="149"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The allowance is determined by applying a loss-rate method based on an aging schedule using the Company's historical loss rates. The Company also considers reasonable and supportable current and forecasted information in determining its estimated loss rates, such as external forecasts, macroeconomic trends, or other factors that are associated with the credit quality of the Company’s customer base.</w:t>
      </w:r>
    </w:p>
    <w:p>
      <w:pPr>
        <w:spacing w:after="0" w:line="130"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adequacy of the allowance for credit losses is evaluated on a regular basis. Account balances are written off after all means of collection are exhausted and the balance is deemed uncollectible. Subsequent recoveries, if any, are credited to the allowance. Adjustments to the allowance for credit losses are recorded within general and administrative expenses in the consolidated statements of operations and comprehensive loss.</w:t>
      </w:r>
    </w:p>
    <w:p>
      <w:pPr>
        <w:spacing w:after="0" w:line="136"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Prior to January 1, 2022, accounts receivable was presented net of an allowance for doubtful accounts based on the credit risk of specific clients, past collection history and management’s evaluation of accounts receivable.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Property and equipment consist primarily of computer equipment and software, internal-use software, furniture and fixtures and leasehold improvements. Property and equipment are stated at historical cost less accumulated depreciation and amortization. Depreciation and amortization are computed using the straight-line method over the estimated useful lives of the assets, which is between three to five years for computer equipment and software, five years for internal-use software, three years for furniture and fixtures, and the lesser of the useful life or remaining non-cancelable term of the lease for leasehold improvements.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in loss from operations in the consolidated statements of operations and comprehensive loss.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Company continually evaluates the recoverability of long-lived asset (asset group) when events and changes in circumstances indicate that the carrying amount of the long-lived asset group may not be fully recoverable. Factors the Company considers in deciding when to perform an impairment review include significant underperformance of the business in relation to expectations, significant negative industry or economic trends and significant changes or planned changes in the use of the assets. When indicators of impairment are present, the Company compares forecasts of undiscounted future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There were no impairments recorded for the Company’s long-lived assets during any of the periods presented.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69" w:lineRule="exact"/>
        <w:rPr>
          <w:sz w:val="20"/>
          <w:szCs w:val="20"/>
          <w:color w:val="auto"/>
        </w:rPr>
      </w:pPr>
    </w:p>
    <w:p>
      <w:pPr>
        <w:jc w:val="both"/>
        <w:ind w:right="180" w:firstLine="509"/>
        <w:spacing w:after="0" w:line="252" w:lineRule="auto"/>
        <w:rPr>
          <w:sz w:val="20"/>
          <w:szCs w:val="20"/>
          <w:color w:val="auto"/>
        </w:rPr>
      </w:pPr>
      <w:r>
        <w:rPr>
          <w:rFonts w:ascii="Arial" w:cs="Arial" w:eastAsia="Arial" w:hAnsi="Arial"/>
          <w:sz w:val="18"/>
          <w:szCs w:val="18"/>
          <w:color w:val="auto"/>
        </w:rPr>
        <w:t>Intangible assets consist of acquired relationships, developed technology,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14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Company estimates the fair value of acquired intangible assets under the income approach using the relief-from-royalty method (for developed technology, trade name and trademarks) or using the multi-period excess earnings method (for acquired relationships). The relief-from-royalty method estimates the cost savings that accrue to the owner of an intangible asset who would otherwise have to pay royalties or a license fee on revenues earned through the use of the asset. The estimated royalty rate is determined based on the assessment of a reasonable royalty rate that a third party would negotiate in an arm’s-length license agreement for the use of the technology, trade name or trademark. The multi-period excess earnings method estimates the present value of the incremental after-tax cash flows solely attributable to the intangible asset. The estimated fair values of these intangible assets reflect various assumptions including discount rates, revenue growth rates, operating margins, terminal values and other prospective financial information.</w:t>
      </w:r>
    </w:p>
    <w:p>
      <w:pPr>
        <w:spacing w:after="0" w:line="14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Intangible assets are amortized using a method that reflects the pattern in which the economic benefits of the intangible asset are expected to be realized over their estimated useful lives ranging from one to fifteen years. The useful lives for developed technology are determined based on expectations regarding the evolution of existing technology and future investments. The useful lives for acquired related intangible assets are determined based primarily on forecasted cash flows, which include estimates for the revenues, expenses and customer attrition associated with the assets. The useful lives of definite-lived trademarks and trade names are based on the Company’s plans to phase out the trademarks and trade names in the applicable markets.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significant residual value is estimated for intangible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Developed for Internal-Use</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third-party consulting costs and compensation expenses related to FlyMates who devote time to the development of the projects. The Company records software development costs in property and equipment. Costs incurred in the preliminary stages of development activities and post implementation activities are expensed in the period incurred and are included in technology and development expense in the consolidated statements of operations and comprehensive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 Company periodically assesses whether triggering events are present to review internal-use software for impairment.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 Software developed for internal-use is amortized straight-line over its estimated useful life of five years.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82" w:lineRule="exact"/>
        <w:rPr>
          <w:sz w:val="20"/>
          <w:szCs w:val="20"/>
          <w:color w:val="auto"/>
        </w:rPr>
      </w:pPr>
    </w:p>
    <w:p>
      <w:pPr>
        <w:jc w:val="both"/>
        <w:ind w:right="340" w:firstLine="509"/>
        <w:spacing w:after="0" w:line="252" w:lineRule="auto"/>
        <w:rPr>
          <w:sz w:val="20"/>
          <w:szCs w:val="20"/>
          <w:color w:val="auto"/>
        </w:rPr>
      </w:pPr>
      <w:r>
        <w:rPr>
          <w:rFonts w:ascii="Arial" w:cs="Arial" w:eastAsia="Arial" w:hAnsi="Arial"/>
          <w:sz w:val="18"/>
          <w:szCs w:val="18"/>
          <w:color w:val="auto"/>
        </w:rPr>
        <w:t>The Company tests goodwill for impairment on an annual basis on the first day of the fourth quarter or more frequently if events or changes in circumstances indicate that goodwill may be impaired. The Company’s goodwill impairment test is performed at the enterprise level given it is the sole reporting unit. Events that could indicate goodwill</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impairment and trigger an interim impairment assessment include, but are not limited to, market conditions, economic conditions, entity-specific financial performance and other events such as significant adverse change in legal factors, business climate, operational performance of the business or key personnel, and an adverse action or assessment by a regulator. Goodwill is tested for impairment by first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including goodwill. Goodwill is considered impaired if the carrying value of the reporting unit exceeds its fair value. The fair value of the reporting unit is estimated using a combination of income and market approaches. The discounted cash flow method, a form of the income approach, uses expected future operating results and a market participant discount rate. The market approach uses comparable company prices and other relevant information generated by market transactions (either publicly traded entities or mergers and acquisitions) to develop pricing metrics to be applied to historical and expected future operating results of the reporting unit. Failure to achieve these expected results, changes in the discount rate or market pricing metrics, may cause a future impairment of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 xml:space="preserve">On January 1, 2022, Flywire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subsequent related ASUs using January 1, 2022 as the date of initial application. The new lease standard sets out the principles for the recognition, measurement, presentation and disclosure of leases for both parties to a contract (i.e., lessees and lessors). The Company elected the modified retrospective transition option which allows for application of Topic 842 at the adoption date. Therefore, comparative prior period financial information was not adjusted and will continue to be reported under the previous Accounting Standards Codification (ASC) 840, </w:t>
      </w:r>
      <w:r>
        <w:rPr>
          <w:rFonts w:ascii="Arial" w:cs="Arial" w:eastAsia="Arial" w:hAnsi="Arial"/>
          <w:sz w:val="18"/>
          <w:szCs w:val="18"/>
          <w:i w:val="1"/>
          <w:iCs w:val="1"/>
          <w:color w:val="auto"/>
        </w:rPr>
        <w:t>Leases</w:t>
      </w:r>
      <w:r>
        <w:rPr>
          <w:rFonts w:ascii="Arial" w:cs="Arial" w:eastAsia="Arial" w:hAnsi="Arial"/>
          <w:sz w:val="18"/>
          <w:szCs w:val="18"/>
          <w:color w:val="auto"/>
        </w:rPr>
        <w:t>. No cumulative-effect adjustment to the opening accumulated deficit balance as of January 1, 2022 was necessary as a result of adopting the new standard. The Company elected the “package of practical expedients” permitted under the transition guidance which allowed the Company not to reassess (i) whether any expired or existing contracts are, or contain, leases, (ii) the lease classification for any expired or existing leases and (iii) initial direct costs for any existing leases. The Company also elected the practical expedient not to separate lease and non-lease components, as well as the short-term lease recognition exemption and will not recognize right-of-use (ROU) assets or lease liabilities for leases with a term less than 12 months. As a result of the adoption, the Company recognized ROU assets of $3.0 million in Other assets and a corresponding lease liability of $3.6 million in Other liabilities as of January 1, 2022. The ROU assets were adjusted per Topic 842 transition guidance for the existing deferred rent balance.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 after the Adoption of ASC 842</w:t>
      </w:r>
    </w:p>
    <w:p>
      <w:pPr>
        <w:spacing w:after="0" w:line="18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 xml:space="preserve">The new leasing standard requires recognition of leases on the consolidated balance sheets as ROU assets and lease liabilities. ROU assets represent the Company's right to use underlying assets for the lease terms and lease liabilities represent our obligation to make lease payments arising from the leases. ROU assets are included in Other assets and lease liabilities are included in Other liabilities. Lease classification is determined at commencement date. All of the Company's leases are accounted for as operating leases. ROU assets and lease liabilities are recognized at the lease commencement date based on the estimated present value of lease payments over the lease term. As the implicit rate of the leases is not determinable, the Company uses its incremental borrowing rate in determining the present value of the lease payments. ROU assets are adjusted for deferred rent and any lease incentives. Variable lease payments for maintenance, property taxes and other operating expenses are recognized as expense in the period in which the obligation for the payment is incurred. The operating lease expense associated with operating leases is recognized as a single lease cost on a straight-line basis over the lease term and is included in general and administrative expenses in the consolidated statements of operations and comprehensive loss. Refer to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15 - Leases </w:t>
      </w:r>
      <w:r>
        <w:rPr>
          <w:rFonts w:ascii="Arial" w:cs="Arial" w:eastAsia="Arial" w:hAnsi="Arial"/>
          <w:sz w:val="18"/>
          <w:szCs w:val="18"/>
          <w:color w:val="auto"/>
        </w:rPr>
        <w:t>for more details on the Company's operating leases.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 for Periods Prior to Adoption of ASC 842</w:t>
      </w:r>
    </w:p>
    <w:p>
      <w:pPr>
        <w:spacing w:after="0" w:line="169" w:lineRule="exact"/>
        <w:rPr>
          <w:sz w:val="20"/>
          <w:szCs w:val="20"/>
          <w:color w:val="auto"/>
        </w:rPr>
      </w:pPr>
    </w:p>
    <w:p>
      <w:pPr>
        <w:ind w:right="340" w:firstLine="509"/>
        <w:spacing w:after="0" w:line="252" w:lineRule="auto"/>
        <w:rPr>
          <w:sz w:val="20"/>
          <w:szCs w:val="20"/>
          <w:color w:val="auto"/>
        </w:rPr>
      </w:pPr>
      <w:r>
        <w:rPr>
          <w:rFonts w:ascii="Arial" w:cs="Arial" w:eastAsia="Arial" w:hAnsi="Arial"/>
          <w:sz w:val="18"/>
          <w:szCs w:val="18"/>
          <w:color w:val="auto"/>
        </w:rPr>
        <w:t>Prior to ASC 842 adoption, operating lease arrangements were recorded off-balance sheet and ROU assets and liabilities were not recognized. Operating lease expense was recognized on a straight-line basis over the term of each lease and free rent periods were recorded as a deferred rent liability.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9"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In determining whether an acquisition should be accounted for as a business combination or an asset acquisition, the Company first determines whether substantially all of the fair value of the gross assets acquired is concentrated in a single identifiable asset or a group of similar identifiable assets. If substantially all of the fair value of the gross assets acquired is concentrated in a single identifiable asset or group of similar identifiable assets, the set is not considered a</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business acquisition. If substantially all of the fair value of the gross assets acquired is not concentrated in a single identifiable asset or group of similar identifiable assets, the Company further evaluates whether the integrated set of assets and activities include, at a minimum, an input and a substantive process that together significantly contribute to the ability to create outputs. If so, the Company concludes that the integrated set of assets and activities is a business acquisition.</w:t>
      </w:r>
    </w:p>
    <w:p>
      <w:pPr>
        <w:spacing w:after="0" w:line="149" w:lineRule="exact"/>
        <w:rPr>
          <w:sz w:val="20"/>
          <w:szCs w:val="20"/>
          <w:color w:val="auto"/>
        </w:rPr>
      </w:pPr>
    </w:p>
    <w:p>
      <w:pPr>
        <w:jc w:val="both"/>
        <w:ind w:right="140" w:firstLine="509"/>
        <w:spacing w:after="0" w:line="246" w:lineRule="auto"/>
        <w:rPr>
          <w:sz w:val="20"/>
          <w:szCs w:val="20"/>
          <w:color w:val="auto"/>
        </w:rPr>
      </w:pPr>
      <w:r>
        <w:rPr>
          <w:rFonts w:ascii="Arial" w:cs="Arial" w:eastAsia="Arial" w:hAnsi="Arial"/>
          <w:sz w:val="18"/>
          <w:szCs w:val="18"/>
          <w:color w:val="auto"/>
        </w:rPr>
        <w:t>The Company accounts for business acquisitions using the acquisition method of accounting. In accordance with this method,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36" w:lineRule="exact"/>
        <w:rPr>
          <w:sz w:val="20"/>
          <w:szCs w:val="20"/>
          <w:color w:val="auto"/>
        </w:rPr>
      </w:pPr>
    </w:p>
    <w:p>
      <w:pPr>
        <w:ind w:right="160" w:firstLine="509"/>
        <w:spacing w:after="0" w:line="253" w:lineRule="auto"/>
        <w:rPr>
          <w:sz w:val="20"/>
          <w:szCs w:val="20"/>
          <w:color w:val="auto"/>
        </w:rPr>
      </w:pPr>
      <w:r>
        <w:rPr>
          <w:rFonts w:ascii="Arial" w:cs="Arial" w:eastAsia="Arial" w:hAnsi="Arial"/>
          <w:sz w:val="17"/>
          <w:szCs w:val="17"/>
          <w:color w:val="auto"/>
        </w:rPr>
        <w:t xml:space="preserve">The Company early adopted ASU 2021-08, </w:t>
      </w:r>
      <w:r>
        <w:rPr>
          <w:rFonts w:ascii="Arial" w:cs="Arial" w:eastAsia="Arial" w:hAnsi="Arial"/>
          <w:sz w:val="17"/>
          <w:szCs w:val="17"/>
          <w:i w:val="1"/>
          <w:iCs w:val="1"/>
          <w:color w:val="auto"/>
        </w:rPr>
        <w:t>Business Combinations (Topic 805): Accounting for Contract Assets and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from Contracts with Customers </w:t>
      </w:r>
      <w:r>
        <w:rPr>
          <w:rFonts w:ascii="Arial" w:cs="Arial" w:eastAsia="Arial" w:hAnsi="Arial"/>
          <w:sz w:val="17"/>
          <w:szCs w:val="17"/>
          <w:color w:val="auto"/>
        </w:rPr>
        <w:t>as of October 1, 2021. ASU 2021-08 amends ASC 805 to add contract assets and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to the list of exceptions to the recognition and measurement principles that apply to business combinations and to require that an entity (acquirer) recognize and measure contract assets and contract liabilities acquired in a business combination in accordance with Topic</w:t>
      </w:r>
    </w:p>
    <w:p>
      <w:pPr>
        <w:spacing w:after="0" w:line="3" w:lineRule="exact"/>
        <w:rPr>
          <w:sz w:val="20"/>
          <w:szCs w:val="20"/>
          <w:color w:val="auto"/>
        </w:rPr>
      </w:pPr>
    </w:p>
    <w:p>
      <w:pPr>
        <w:ind w:right="460" w:firstLine="8"/>
        <w:spacing w:after="0" w:line="242"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 ASU 2021-08, contract assets and contract liabilities are accounted as if the acquirer entered into the original contract at the same time and same date as the acquiree. This is a shift from the previous guidance, which required the acquirer to recognize contract assets and contract liabilities at their fair value as of the acquisition date.</w:t>
      </w:r>
    </w:p>
    <w:p>
      <w:pPr>
        <w:spacing w:after="0" w:line="138"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Determining the fair value of assets acquired and liabilities assumed is judgmental in nature and can involve the use of significant estimates and assumptions. Fair value and useful life determinations are based on, among other factors, estimates of future expected cash flows, revenue growth rates, operating margins and appropriate discount rates used in computing present values. These estimates may materially impact the net income or loss in periods subsequent to acquisition through depreciation and amortization, and in certain instances through impairment charges, if assets become impaired in the future. Additionally, actual results may vary from these estimates that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w:t>
      </w:r>
    </w:p>
    <w:p>
      <w:pPr>
        <w:spacing w:after="0" w:line="15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Contingent consideration in business combinations is recognized at fair value on the acquisition date. Subsequent to the acquisition date, at each reporting date, the contingent consideration is remeasured and changes in the fair value resulting from changes in the underlying inputs are recognized in general and administrative expense in the consolidated statements of operations and comprehensive loss until the contingent consideration is settled.</w:t>
      </w:r>
    </w:p>
    <w:p>
      <w:pPr>
        <w:spacing w:after="0" w:line="136"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 xml:space="preserve">The fair value of the contingent consideration in the Company's consolidated balance sheets was determined using an option pricing model that reflects the Company’s expectations about the probability of payment, based on facts and circumstances that existed at the acquisition closing date. The option pricing model includes unobservable inputs such as a discount rate that equals risk-free rate plus a spread to reflect the credit risk as estimated by the Company’s cost of debt, the probability of achieving established revenue targets and the probability of retaining key customers. See </w:t>
      </w:r>
      <w:r>
        <w:rPr>
          <w:rFonts w:ascii="Arial" w:cs="Arial" w:eastAsia="Arial" w:hAnsi="Arial"/>
          <w:sz w:val="18"/>
          <w:szCs w:val="18"/>
          <w:i w:val="1"/>
          <w:iCs w:val="1"/>
          <w:color w:val="auto"/>
        </w:rPr>
        <w:t>Note 4 - Fair Value Measurements</w:t>
      </w:r>
      <w:r>
        <w:rPr>
          <w:rFonts w:ascii="Arial" w:cs="Arial" w:eastAsia="Arial" w:hAnsi="Arial"/>
          <w:sz w:val="18"/>
          <w:szCs w:val="18"/>
          <w:color w:val="auto"/>
        </w:rPr>
        <w:t xml:space="preserve"> for inputs used to fair value contingent consideration.</w:t>
      </w:r>
    </w:p>
    <w:p>
      <w:pPr>
        <w:spacing w:after="0" w:line="13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Transaction costs related to business combinations are expensed as incurred and are included in general and administrative expense in consolidated statements of operations and comprehensive loss.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w:t>
      </w:r>
    </w:p>
    <w:p>
      <w:pPr>
        <w:spacing w:after="0" w:line="169"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The Company measures and recognizes asset acquisitions that are not deemed to be business combinations based on the cost to acquire the assets, which includes transaction costs. Goodwill is not recognized in asset acquisitions.</w:t>
      </w:r>
    </w:p>
    <w:p>
      <w:pPr>
        <w:spacing w:after="0" w:line="112"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Contingent consideration in asset acquisitions payable in the form of cash is recognized when payment becomes probable and reasonably estimable, unless the contingent consideration meets the definition of a derivative, in which case the amount becomes part of the asset acquisition cost when acquired. Upon recognition of the contingent consideration payment, the amount is included in the cost of the acquired asset or group of assets.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an orderly transaction between market</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left="640" w:right="40"/>
        <w:spacing w:after="0" w:line="252"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30" w:lineRule="exact"/>
        <w:rPr>
          <w:sz w:val="20"/>
          <w:szCs w:val="20"/>
          <w:color w:val="auto"/>
        </w:rPr>
      </w:pPr>
    </w:p>
    <w:p>
      <w:pPr>
        <w:ind w:left="640" w:right="120"/>
        <w:spacing w:after="0" w:line="27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26"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are carried at fair value, determined using Level 3 inputs in the fair value hierarchy.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connection with the Company's financing arrangements, the Company issued warrants to purchase convertible preferred stock to a lender. The warrants to purchase preferred stock provided for net share settlement under which the maximum number of shares that could be issued represented the total amount of shares under the warrant agreements. These warrants were classified as liabilities on the Company's consolidated balance sheets as these were free standing instruments that could require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The preferred stock warrants were converted immediately prior to the closing of the IPO into warrants to purchase shares of the Company’s voting common stock and the associated preferred stock warrant liabilities were remeasured to its fair value of $6.3 million and reclassified to additional paid-in capital. As of December 31, 2022 and 2021, there were no preferred stock warrants outstanding.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69"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Company issued warrants to purchase common stock in conjunction with the refinancing of its long-term debt during the year ended December 31, 2020. The warrants were classified as equity based on the specific terms of the warrant agreement. The warrants were recorded at fair value upon issuance, as a discount to debt in the consolidated balance sheets and were not required to be remeasured after the issuance date. There were no common stock warrants outstanding as of December 31, 2022 and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8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Company’s reporting currency is the U.S. Dollar. The financial statements of the Company’s foreign subsidiaries are translated from local currency into U.S. dollars using the exchange rate at the balance sheet date for assets and liabilities, and the average exchange rate in effect during the period for revenue and expenses. The functional currency of the Company and its subsidiaries, with the exception of its U.K. and Australian subsidiaries, is the U.S. Dollar. The functional currency for the U.K. and the Australian subsidiaries is considered to be the local currency and, accordingly, translation adjustments for these entities are included as a component of accumulated other comprehensive loss in the Company’s consolidated balance sheets. Gains and losses from the remeasurement of foreign currency transactions into the functional currency are recognized as other income (expense), net in the consolidated statements of operations and comprehensive loss.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w:t>
      </w:r>
    </w:p>
    <w:p>
      <w:pPr>
        <w:spacing w:after="0" w:line="182"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The Company generates revenues and incurs expenses by processing payments in foreign currencies. Changes in the value of foreign currencies could impact the Company’s consolidated statements of operations and comprehensive loss. To mitigate the volatility related to fluctuations in the foreign exchange rates, the Company enters into non-deliverable forward foreign currency contracts.</w:t>
      </w:r>
    </w:p>
    <w:p>
      <w:pPr>
        <w:spacing w:after="0" w:line="130" w:lineRule="exact"/>
        <w:rPr>
          <w:sz w:val="20"/>
          <w:szCs w:val="20"/>
          <w:color w:val="auto"/>
        </w:rPr>
      </w:pPr>
    </w:p>
    <w:p>
      <w:pPr>
        <w:ind w:right="80" w:firstLine="559"/>
        <w:spacing w:after="0" w:line="243" w:lineRule="auto"/>
        <w:rPr>
          <w:sz w:val="20"/>
          <w:szCs w:val="20"/>
          <w:color w:val="auto"/>
        </w:rPr>
      </w:pPr>
      <w:r>
        <w:rPr>
          <w:rFonts w:ascii="Arial" w:cs="Arial" w:eastAsia="Arial" w:hAnsi="Arial"/>
          <w:sz w:val="18"/>
          <w:szCs w:val="18"/>
          <w:color w:val="auto"/>
        </w:rPr>
        <w:t>The Company’s foreign currency forward contracts economically hedge certain risk but are not designated as hedges for financial reporting purposes, and accordingly, all changes in the fair value of these derivative instruments are recorded as unrealized foreign currency transaction gains or losses and are included in the consolidated statements of operations and comprehensive loss as a component of payment processing services costs. The Company records all derivative instruments in the consolidated balance sheet at their fair values in prepaid expenses and other current assets and accrued expenses and other current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82"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The Company capitalized certain legal, accounting and other third-party fees that were directly associated with in-process equity financings as deferred offering costs until such financings were consummated. After consummation of the IPO, these costs were recorded in stockholder’s equity as a reduction of the additional paid-in capital generated as a result of the IPO. There were no deferred offering costs as of December 31, 2022 and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ind w:right="740" w:firstLine="509"/>
        <w:spacing w:after="0" w:line="252" w:lineRule="auto"/>
        <w:rPr>
          <w:sz w:val="20"/>
          <w:szCs w:val="20"/>
          <w:color w:val="auto"/>
        </w:rPr>
      </w:pPr>
      <w:r>
        <w:rPr>
          <w:rFonts w:ascii="Arial" w:cs="Arial" w:eastAsia="Arial" w:hAnsi="Arial"/>
          <w:sz w:val="18"/>
          <w:szCs w:val="18"/>
          <w:color w:val="auto"/>
        </w:rPr>
        <w:t>Revenue is recognized when a customer obtains control of the promised goods or services, in an amount that reflects the consideration which the entity expects to receive in exchange for those goods or services. In order to achieve this core principle, the Company applies the following five steps:</w:t>
      </w:r>
    </w:p>
    <w:p>
      <w:pPr>
        <w:spacing w:after="0" w:line="144" w:lineRule="exact"/>
        <w:rPr>
          <w:sz w:val="20"/>
          <w:szCs w:val="20"/>
          <w:color w:val="auto"/>
        </w:rPr>
      </w:pPr>
    </w:p>
    <w:p>
      <w:pPr>
        <w:ind w:left="2040" w:hanging="640"/>
        <w:spacing w:after="0"/>
        <w:tabs>
          <w:tab w:leader="none" w:pos="2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70" w:lineRule="exact"/>
        <w:rPr>
          <w:rFonts w:ascii="Arial" w:cs="Arial" w:eastAsia="Arial" w:hAnsi="Arial"/>
          <w:sz w:val="18"/>
          <w:szCs w:val="18"/>
          <w:color w:val="auto"/>
        </w:rPr>
      </w:pPr>
    </w:p>
    <w:p>
      <w:pPr>
        <w:ind w:left="2040" w:hanging="640"/>
        <w:spacing w:after="0"/>
        <w:tabs>
          <w:tab w:leader="none" w:pos="2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0" w:lineRule="exact"/>
        <w:rPr>
          <w:rFonts w:ascii="Arial" w:cs="Arial" w:eastAsia="Arial" w:hAnsi="Arial"/>
          <w:sz w:val="18"/>
          <w:szCs w:val="18"/>
          <w:color w:val="auto"/>
        </w:rPr>
      </w:pPr>
    </w:p>
    <w:p>
      <w:pPr>
        <w:ind w:left="2040" w:hanging="640"/>
        <w:spacing w:after="0"/>
        <w:tabs>
          <w:tab w:leader="none" w:pos="2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84" w:lineRule="exact"/>
        <w:rPr>
          <w:rFonts w:ascii="Arial" w:cs="Arial" w:eastAsia="Arial" w:hAnsi="Arial"/>
          <w:sz w:val="18"/>
          <w:szCs w:val="18"/>
          <w:color w:val="auto"/>
        </w:rPr>
      </w:pPr>
    </w:p>
    <w:p>
      <w:pPr>
        <w:ind w:left="2040" w:hanging="640"/>
        <w:spacing w:after="0"/>
        <w:tabs>
          <w:tab w:leader="none" w:pos="2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70" w:lineRule="exact"/>
        <w:rPr>
          <w:rFonts w:ascii="Arial" w:cs="Arial" w:eastAsia="Arial" w:hAnsi="Arial"/>
          <w:sz w:val="18"/>
          <w:szCs w:val="18"/>
          <w:color w:val="auto"/>
        </w:rPr>
      </w:pPr>
    </w:p>
    <w:p>
      <w:pPr>
        <w:ind w:left="2040" w:hanging="640"/>
        <w:spacing w:after="0"/>
        <w:tabs>
          <w:tab w:leader="none" w:pos="2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derives revenue primarily from transactions and platform and usage-based fees.</w:t>
      </w:r>
    </w:p>
    <w:p>
      <w:pPr>
        <w:spacing w:after="0" w:line="184" w:lineRule="exact"/>
        <w:rPr>
          <w:sz w:val="20"/>
          <w:szCs w:val="20"/>
          <w:color w:val="auto"/>
        </w:rPr>
      </w:pPr>
    </w:p>
    <w:p>
      <w:pPr>
        <w:ind w:left="640" w:right="60" w:firstLine="509"/>
        <w:spacing w:after="0" w:line="238"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 relate to fees charged for payment processing services provided to educational institutions,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and other commercial entities (each a client). The Company’s services relate to facilitating payments from individuals, such as students and patients, and organizations (client’s customer) to clients. Fees charged for payment processing services consist of a rate applied to the monetary value of the payment and can vary based on the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The Company does not recognize the underlying amount of the transaction being settled between the client and the client’s customer as revenue in the consolidated statements of operations and comprehensive loss, as the Company is not the responsible party for fulfilling the obligation between the client and the client’s customer. Therefore, revenue is only recognized for the fee to which the Company is entitled for processing the payment.</w:t>
      </w:r>
    </w:p>
    <w:p>
      <w:pPr>
        <w:spacing w:after="0" w:line="145" w:lineRule="exact"/>
        <w:rPr>
          <w:sz w:val="20"/>
          <w:szCs w:val="20"/>
          <w:color w:val="auto"/>
        </w:rPr>
      </w:pPr>
    </w:p>
    <w:p>
      <w:pPr>
        <w:ind w:left="640" w:right="160" w:firstLine="509"/>
        <w:spacing w:after="0" w:line="241" w:lineRule="auto"/>
        <w:rPr>
          <w:sz w:val="20"/>
          <w:szCs w:val="20"/>
          <w:color w:val="auto"/>
        </w:rPr>
      </w:pPr>
      <w:r>
        <w:rPr>
          <w:rFonts w:ascii="Arial" w:cs="Arial" w:eastAsia="Arial" w:hAnsi="Arial"/>
          <w:sz w:val="18"/>
          <w:szCs w:val="18"/>
          <w:color w:val="auto"/>
        </w:rPr>
        <w:t>The money can be wired directly from the client’s customer to the Company; however, in certain situations when the client’s customer resides in a country where the Company does not have an active bank account, the Company uses third-party service providers (Partners) to collect wired funds before remitting the funds to the Company. On a recurring basis, the Partner invoices the Company a fee for each payment processed and deposited into the Company’s bank account. The fee paid to Partners as well as any foreign exchange banking fees paid by the Company are reflected in the payment processing services costs line in the consolidated statements of operations and comprehensive loss.</w:t>
      </w:r>
    </w:p>
    <w:p>
      <w:pPr>
        <w:spacing w:after="0" w:line="142" w:lineRule="exact"/>
        <w:rPr>
          <w:sz w:val="20"/>
          <w:szCs w:val="20"/>
          <w:color w:val="auto"/>
        </w:rPr>
      </w:pPr>
    </w:p>
    <w:p>
      <w:pPr>
        <w:ind w:left="640" w:right="300" w:firstLine="509"/>
        <w:spacing w:after="0" w:line="271" w:lineRule="auto"/>
        <w:rPr>
          <w:sz w:val="20"/>
          <w:szCs w:val="20"/>
          <w:color w:val="auto"/>
        </w:rPr>
      </w:pPr>
      <w:r>
        <w:rPr>
          <w:rFonts w:ascii="Arial" w:cs="Arial" w:eastAsia="Arial" w:hAnsi="Arial"/>
          <w:sz w:val="18"/>
          <w:szCs w:val="18"/>
          <w:color w:val="auto"/>
        </w:rPr>
        <w:t>Once a Partner receives funds from a client’s customer, the Company has the right to receive those funds from the Partner. The funds are not remitted to the Company immediately. When the Partner receives funds from</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jc w:val="both"/>
        <w:ind w:left="640" w:right="460"/>
        <w:spacing w:after="0" w:line="246" w:lineRule="auto"/>
        <w:rPr>
          <w:sz w:val="20"/>
          <w:szCs w:val="20"/>
          <w:color w:val="auto"/>
        </w:rPr>
      </w:pPr>
      <w:r>
        <w:rPr>
          <w:rFonts w:ascii="Arial" w:cs="Arial" w:eastAsia="Arial" w:hAnsi="Arial"/>
          <w:sz w:val="18"/>
          <w:szCs w:val="18"/>
          <w:color w:val="auto"/>
        </w:rPr>
        <w:t>the client’s customer, the Company records a receivable, which is included in funds receivables from payment partners, and a corresponding liability, included in funds payable to customers, in the consolidated balance sheets. The amounts are generally collected or paid within one to 30 days. Partners report to the Company the funds received from the client’s customer on a daily basis. Revenue in transactions where Partners are involved is not recognized until the payment is remitted to clients.</w:t>
      </w:r>
    </w:p>
    <w:p>
      <w:pPr>
        <w:spacing w:after="0" w:line="149" w:lineRule="exact"/>
        <w:rPr>
          <w:sz w:val="20"/>
          <w:szCs w:val="20"/>
          <w:color w:val="auto"/>
        </w:rPr>
      </w:pPr>
    </w:p>
    <w:p>
      <w:pPr>
        <w:ind w:left="640" w:right="20" w:firstLine="509"/>
        <w:spacing w:after="0" w:line="261" w:lineRule="auto"/>
        <w:rPr>
          <w:sz w:val="20"/>
          <w:szCs w:val="20"/>
          <w:color w:val="auto"/>
        </w:rPr>
      </w:pPr>
      <w:r>
        <w:rPr>
          <w:rFonts w:ascii="Arial" w:cs="Arial" w:eastAsia="Arial" w:hAnsi="Arial"/>
          <w:sz w:val="17"/>
          <w:szCs w:val="17"/>
          <w:color w:val="auto"/>
        </w:rPr>
        <w:t>The Company also earns revenue from fees charged to credit card service providers for marketing arrangements in which the Company performs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 Marketing services provided leverages the Company’s existing network and transaction processing platform; therefore, these arrangements are considered part of the Company’s ordinary business activities.</w:t>
      </w:r>
    </w:p>
    <w:p>
      <w:pPr>
        <w:spacing w:after="0" w:line="124" w:lineRule="exact"/>
        <w:rPr>
          <w:sz w:val="20"/>
          <w:szCs w:val="20"/>
          <w:color w:val="auto"/>
        </w:rPr>
      </w:pPr>
    </w:p>
    <w:p>
      <w:pPr>
        <w:ind w:left="640" w:right="240" w:firstLine="509"/>
        <w:spacing w:after="0" w:line="266" w:lineRule="auto"/>
        <w:rPr>
          <w:sz w:val="20"/>
          <w:szCs w:val="20"/>
          <w:color w:val="auto"/>
        </w:rPr>
      </w:pPr>
      <w:r>
        <w:rPr>
          <w:rFonts w:ascii="Arial" w:cs="Arial" w:eastAsia="Arial" w:hAnsi="Arial"/>
          <w:sz w:val="17"/>
          <w:szCs w:val="17"/>
          <w:color w:val="auto"/>
        </w:rPr>
        <w:t>In certain circumstances, the Company provides marketing services to financial institutions that are considered both a client (for marketing services) and a service provider (for processing payments). Each one of these services are negotiated separately, each agreement is for distinct service and they are priced at fair value; therefore, fees included in the marketing arrangements are accounted for as revenue, while fees paid by the Company are accounted for as payment processing services cost.</w:t>
      </w:r>
    </w:p>
    <w:p>
      <w:pPr>
        <w:spacing w:after="0" w:line="118" w:lineRule="exact"/>
        <w:rPr>
          <w:sz w:val="20"/>
          <w:szCs w:val="20"/>
          <w:color w:val="auto"/>
        </w:rPr>
      </w:pPr>
    </w:p>
    <w:p>
      <w:pPr>
        <w:ind w:left="640" w:right="40" w:firstLine="509"/>
        <w:spacing w:after="0" w:line="246" w:lineRule="auto"/>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 relate to fees earned for utilizing the Company’s platform to collect their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from client’s customers, fees collected on payment plans established by the client for obligations due by client’s customer, subscription fees and fees related to printing and mailing statements. Fees charged consist of a fixed fee and a variable fee determined based on volume of transactions processed through the Company’s platform.</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Performance Obligations</w:t>
      </w:r>
    </w:p>
    <w:p>
      <w:pPr>
        <w:spacing w:after="0" w:line="169"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Substantially all of the Company’s arrangements represent a single promise to provide continuous access to the Company’s platform to perform payment processing services, cash collection optimization services, marketing, printing and mailing services, on an as-needed basis.</w:t>
      </w:r>
    </w:p>
    <w:p>
      <w:pPr>
        <w:spacing w:after="0" w:line="130"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As each day of providing these services is substantially the same and the client simultaneously receives and consumes the benefits as services are provided, these services are viewed as a single performance obligation comprised of a series of distinct daily services. The Company satisfies its performance obligation as these services are provided. Revenue is recognized in the month the service is complete.</w:t>
      </w:r>
    </w:p>
    <w:p>
      <w:pPr>
        <w:spacing w:after="0" w:line="144"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12"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The Company considers implementation services as an activity to fulfill a contract, rather than a distinct performance obligation as the client does not obtain benefits from the implementation service alone. The Company charges an immaterial amount for implementation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8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Company’s contracts contain variable consideration as the amount the Company expects to receive in a contract is based on the occurrence or non-occurrence of future events, such as processing services performed as a transaction-based pricing arrangement. The variable consideration relates specifically to the Company’s effort to transfer each distinct daily service, as such the Company allocates the variable consideration earned to the distinct day in which those activities are performed and it recognizes these fees as revenue in period earned, at which point the variable amount is known and it does not require estimation.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Terms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payment terms vary by type of client, client’s customer and services offered and ranges between one and 60 days.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Typically, the Company charges either a fixed fee, a fixed fee per transaction or percentage of transaction value or a combination of both.</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The Company does not assess whether a significant financing component exists if the period between performance obligations under the contract and payment is one year or less. None of the Company’s contracts contain a significant financing component as of December 31, 2022, 2021 and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Recognition Policies</w:t>
      </w:r>
    </w:p>
    <w:p>
      <w:pPr>
        <w:spacing w:after="0" w:line="16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Company incurs costs in processing payments which may include banking, credit card processing, foreign currency translation, partner fees, printing and mailing fees.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82"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 The Company does not have material remaining performance obligations associated with contracts with terms greater than one year.</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additional information on revenue recognition.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82"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to our FlyMates who provide implementation services to its clients.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Technology and development includes (a) costs incurred in connection with the development of the Company’s transaction processing and payments platform, new solutions, and the improvement of existing solutions, including the amortization of software and website development costs incurred in developing transaction processing and payments platform, which are capitalized, and acquired developed technology, (b) site operations and other infrastructure costs incurred to support the transaction processing and payments platform, (c) amortization related to capitalized cost to fulfill a contract, (d) personnel-related expenses, including salaries, stock based compensation and other expenses, (e) hardware and software engineering, consultant services and other costs associated with the Company’s technology platform and products, (f) research materials and facilities and (g) depreciation and maintenance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Selling and marketing expenses consist of personnel-related expenses, including stock-based compensation expense, sales commissions, amortization of acquired customer relationship intangible assets, marketing program expenses, travel-related expenses and costs to market and promote the Company's solutions through advertisements, marketing events, partnership arrangements, and direct client acquisition.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9"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For the year ended December 31, 2022, other income (expense), net consisted of $3.2 million of interest income and $(9.1) million of losses from the remeasurement of foreign currency transactions into its functional currency. For the year ended December 31, 2021, other income (expense), net consisted of $0.1 million of gains from the remeasurement of foreign currency transactions into its functional currency. For the year ended December 31, 2020, other income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(expense), net consisted of $0.1 million of interest income and $0.6 million of gains from the remeasurement of foreign currency transactions into its functional currency.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69"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 Advertising expenses were $4.9 million, $3.2 million and $1.3 million for the years ended December 31, 2022, 2021 and 2020,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recognizes compensation cost for all stock-based compensation awards made to employees.</w:t>
      </w:r>
    </w:p>
    <w:p>
      <w:pPr>
        <w:spacing w:after="0" w:line="171"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The Company determines compensation expense associated with restricted stock awards based on the fair value of the Company's common stock on the date of grant.</w:t>
      </w:r>
    </w:p>
    <w:p>
      <w:pPr>
        <w:spacing w:after="0" w:line="112" w:lineRule="exact"/>
        <w:rPr>
          <w:sz w:val="20"/>
          <w:szCs w:val="20"/>
          <w:color w:val="auto"/>
        </w:rPr>
      </w:pPr>
    </w:p>
    <w:p>
      <w:pPr>
        <w:ind w:right="740" w:firstLine="509"/>
        <w:spacing w:after="0" w:line="301" w:lineRule="auto"/>
        <w:rPr>
          <w:sz w:val="20"/>
          <w:szCs w:val="20"/>
          <w:color w:val="auto"/>
        </w:rPr>
      </w:pPr>
      <w:r>
        <w:rPr>
          <w:rFonts w:ascii="Arial" w:cs="Arial" w:eastAsia="Arial" w:hAnsi="Arial"/>
          <w:sz w:val="17"/>
          <w:szCs w:val="17"/>
          <w:color w:val="auto"/>
        </w:rPr>
        <w:t>The Company determines compensation expense associated with restricted stock units granted to the Company's executives, employees and nonemployee board members based on the fair value of the restricted stock units on the date of the grant.</w:t>
      </w:r>
    </w:p>
    <w:p>
      <w:pPr>
        <w:spacing w:after="0" w:line="103" w:lineRule="exact"/>
        <w:rPr>
          <w:sz w:val="20"/>
          <w:szCs w:val="20"/>
          <w:color w:val="auto"/>
        </w:rPr>
      </w:pPr>
    </w:p>
    <w:p>
      <w:pPr>
        <w:ind w:right="360" w:firstLine="509"/>
        <w:spacing w:after="0" w:line="266" w:lineRule="auto"/>
        <w:rPr>
          <w:sz w:val="20"/>
          <w:szCs w:val="20"/>
          <w:color w:val="auto"/>
        </w:rPr>
      </w:pPr>
      <w:r>
        <w:rPr>
          <w:rFonts w:ascii="Arial" w:cs="Arial" w:eastAsia="Arial" w:hAnsi="Arial"/>
          <w:sz w:val="17"/>
          <w:szCs w:val="17"/>
          <w:color w:val="auto"/>
        </w:rPr>
        <w:t>The Company determines compensation expense associated with stock options based on grant date fair value method using the Black-Scholes valuation model. Determining the fair value of each stock option grant requires judgements and estimates. Such estimates include the exercise price, option term, volatility, risk free rate and expected dividend yield. Any changes to those estimates may have a significant impact on the stock-based compensation expense recorded and could materially impact the Company’s results of operations.</w:t>
      </w:r>
    </w:p>
    <w:p>
      <w:pPr>
        <w:spacing w:after="0" w:line="118"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exercise price per share of stock options granted may not be less than the fair market value of the Company's common stock at the date of the grant.</w:t>
      </w:r>
    </w:p>
    <w:p>
      <w:pPr>
        <w:spacing w:after="0" w:line="112" w:lineRule="exact"/>
        <w:rPr>
          <w:sz w:val="20"/>
          <w:szCs w:val="20"/>
          <w:color w:val="auto"/>
        </w:rPr>
      </w:pPr>
    </w:p>
    <w:p>
      <w:pPr>
        <w:ind w:right="40" w:firstLine="559"/>
        <w:spacing w:after="0" w:line="239" w:lineRule="auto"/>
        <w:rPr>
          <w:sz w:val="20"/>
          <w:szCs w:val="20"/>
          <w:color w:val="auto"/>
        </w:rPr>
      </w:pPr>
      <w:r>
        <w:rPr>
          <w:rFonts w:ascii="Arial" w:cs="Arial" w:eastAsia="Arial" w:hAnsi="Arial"/>
          <w:sz w:val="18"/>
          <w:szCs w:val="18"/>
          <w:color w:val="auto"/>
        </w:rPr>
        <w:t>Prior to the Company's IPO, the fair value of shares of common stock was determined by the Company’s board of directors, with input from management and the assistance of a third-party valuation specialist. The Company’s board of directors exercised judgment in determining the estimated fair value of the Company’s common stock on the date of grant based on a number of objective and subjective factors, including the Company’s operating and financial performance, external market conditions affecting the Company’s industry sector, an analysis of publicly traded peer companies, the prices at which the Company sold shares of convertible preferred stock, the superior rights and preferences of securities senior to the Company’s common stock at the time of each grant, and the likelihood of achieving a liquidity event such as an IPO or sale of the Company. Following the Company’s IPO, its board of directors no longer estimate the fair value of the Company’s common stock in connection with granted stock options and other granted equity awards as the fair value of the Company’s common stock is determined based on the quoted market price of the Company’s common stock.</w:t>
      </w:r>
    </w:p>
    <w:p>
      <w:pPr>
        <w:spacing w:after="0" w:line="154" w:lineRule="exact"/>
        <w:rPr>
          <w:sz w:val="20"/>
          <w:szCs w:val="20"/>
          <w:color w:val="auto"/>
        </w:rPr>
      </w:pPr>
    </w:p>
    <w:p>
      <w:pPr>
        <w:ind w:firstLine="609"/>
        <w:spacing w:after="0"/>
        <w:rPr>
          <w:sz w:val="20"/>
          <w:szCs w:val="20"/>
          <w:color w:val="auto"/>
        </w:rPr>
      </w:pPr>
      <w:r>
        <w:rPr>
          <w:rFonts w:ascii="Arial" w:cs="Arial" w:eastAsia="Arial" w:hAnsi="Arial"/>
          <w:sz w:val="18"/>
          <w:szCs w:val="18"/>
          <w:color w:val="auto"/>
        </w:rPr>
        <w:t>Since the Company’s IPO occurred in 2021, the Company lacks sufficient Company-specific historical and implied volatility information for its stock; therefore, the Company estimates its expected stock volatility based on the historical volatility of publicly traded peer companies. The expected term of the Company’s stock options is determined utilizing the “simplified” method for awards that qualify as “plain-vanilla” options. The simplified method deems the term to be the average of the time-to-vesting and the contractual life of the stock-based awards. The risk-free interest rate is determined by reference to the U.S. Treasury yield curve in effect at the time of grant of the award for time periods approximately equal to the expected term of the award. Expected dividend yield is zero based on the fact that the Company does not have a history of declaring or paying cash dividends.</w:t>
      </w:r>
    </w:p>
    <w:p>
      <w:pPr>
        <w:spacing w:after="0" w:line="142"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Compensation expense is recognized using a straight-line amortization method over the requisite service period of the award, which is generally the vesting term of four years for stock options and restricted stock awards and one to four years for restricted stock units. The Company accounts for forfeitures as they occur.</w:t>
      </w:r>
    </w:p>
    <w:p>
      <w:pPr>
        <w:spacing w:after="0" w:line="130"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temporary differences between the financial</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statement and the tax basis of assets and liabilities, as measured by enacted tax rates anticipated to be in effect when these differences are expected to reverse.</w:t>
      </w:r>
    </w:p>
    <w:p>
      <w:pPr>
        <w:spacing w:after="0" w:line="126"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The measurement of deferred tax assets is reduced by a valuation allowance if, based upon available evidence, it is more-likely-than-not that some or all of the deferred tax assets will not be realized. The Company classifies deferred tax assets and liabilities as noncurrent within the consolidated balance sheets.</w:t>
      </w:r>
    </w:p>
    <w:p>
      <w:pPr>
        <w:spacing w:after="0" w:line="130"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Company accounts for uncertain tax positions using a two-step process to determine the amount of tax benefit to be recognized. First, the tax position is evaluated to determine the likelihood that it will be sustained upon external examination. If the tax position is deemed “more-likely-than -not”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Interest and penalties related to uncertain tax positions are recognized in the provision for income taxes.</w:t>
      </w:r>
    </w:p>
    <w:p>
      <w:pPr>
        <w:spacing w:after="0" w:line="139"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Company accounts for the earnings of its foreign subsidiaries, if any, as permanently reinvested and therefore does not provide for U.S. income taxes that could result from the distribution of those earnings to the U.S. parent.</w:t>
      </w:r>
    </w:p>
    <w:p>
      <w:pPr>
        <w:spacing w:after="0" w:line="126"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Company is open to future tax examinations from 2018 to the present; however, carryforward attributes that were generated prior to 2018 may still be adjusted upon examination by federal, state or local tax authorities to the extent they will be used in a future period. In 2021, the U.S. Internal Revenue Service commenced a corporate income tax audit with respect to the 2018 calendar year, which was completed in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9" w:lineRule="exact"/>
        <w:rPr>
          <w:sz w:val="20"/>
          <w:szCs w:val="20"/>
          <w:color w:val="auto"/>
        </w:rPr>
      </w:pPr>
    </w:p>
    <w:p>
      <w:pPr>
        <w:ind w:right="300" w:firstLine="509"/>
        <w:spacing w:after="0" w:line="252"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 comprehensive loss for the Company equals its net loss plus changes in foreign currency translation for all periods presented.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Prior to the automatic conversion of all of its convertible preferred stock and redeemable convertible preferred stock into voting and non-voting common stock upon the completion of the IPO, the Company considered all series of its preferred stock and unvested common stock to be participating securities as the holders of such stock had the right to receive nonforfeitable dividends on a pari passu basis in the event that a dividend was paid on common stock. Under the two-class method, the net income (loss) attributable to common stockholders was not allocated to the convertible preferred stock or the redeemable convertible preferred stock as the preferred stockholders did not have a contractual obligation to share in the Company’s losses.</w:t>
      </w:r>
    </w:p>
    <w:p>
      <w:pPr>
        <w:spacing w:after="0" w:line="14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shares of common stock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weighted-average number of common shares outstanding, including all potentially dilutive common shares, if the effect of such shares is dilutive.</w:t>
      </w:r>
    </w:p>
    <w:p>
      <w:pPr>
        <w:spacing w:after="0" w:line="155"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2022, 2021 and 2020; accordingly, basic net loss per share attributable to common stockholders is the same as diluted net loss per share attributable to common stockholders.</w:t>
      </w:r>
    </w:p>
    <w:p>
      <w:pPr>
        <w:spacing w:after="0" w:line="13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loss per share attributable to common stockholders are, therefore, the same for both voting and non-voting common stock on both individual and combined basis.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82" w:lineRule="exact"/>
        <w:rPr>
          <w:sz w:val="20"/>
          <w:szCs w:val="20"/>
          <w:color w:val="auto"/>
        </w:rPr>
      </w:pPr>
    </w:p>
    <w:p>
      <w:pPr>
        <w:jc w:val="both"/>
        <w:ind w:right="220" w:firstLine="509"/>
        <w:spacing w:after="0" w:line="246" w:lineRule="auto"/>
        <w:rPr>
          <w:sz w:val="20"/>
          <w:szCs w:val="20"/>
          <w:color w:val="auto"/>
        </w:rPr>
      </w:pPr>
      <w:r>
        <w:rPr>
          <w:rFonts w:ascii="Arial" w:cs="Arial" w:eastAsia="Arial" w:hAnsi="Arial"/>
          <w:sz w:val="18"/>
          <w:szCs w:val="18"/>
          <w:color w:val="auto"/>
        </w:rPr>
        <w:t>The Company previously qualified as an “emerging growth company” as defined in the Jumpstart Our Business Startups Act of 2012 and had elected to “opt in” to the extended transition related to complying with new or revised financial accounting standards, which meant that when a standard was issued or revised and it had different application dates for public and nonpublic companies, the Company would adopt the new or revised standard at the time nonpublic companies adopted the new or revised standard.</w:t>
      </w:r>
    </w:p>
    <w:p>
      <w:pPr>
        <w:spacing w:after="0" w:line="13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 xml:space="preserve">As of June 30, 2022, the Company determined that it would become a large accelerated filer under Rule 12b-2 of the Exchange Act as of December 31, 2022 and would no longer be classified as an emerging growth company. Accordingly, the Company is required to comply with the new or revised accounting pronouncements effective for public companies that are not emerging growth companies within this Annual Report on Form 10-K for the year ended December 31, 2022. Refer to </w:t>
      </w:r>
      <w:r>
        <w:rPr>
          <w:rFonts w:ascii="Arial" w:cs="Arial" w:eastAsia="Arial" w:hAnsi="Arial"/>
          <w:sz w:val="18"/>
          <w:szCs w:val="18"/>
          <w:i w:val="1"/>
          <w:iCs w:val="1"/>
          <w:color w:val="auto"/>
        </w:rPr>
        <w:t>Accounting Pronouncements Adopted</w:t>
      </w:r>
      <w:r>
        <w:rPr>
          <w:rFonts w:ascii="Arial" w:cs="Arial" w:eastAsia="Arial" w:hAnsi="Arial"/>
          <w:sz w:val="18"/>
          <w:szCs w:val="18"/>
          <w:color w:val="auto"/>
        </w:rPr>
        <w:t xml:space="preserve"> section below for details on accounting pronouncements that were adopted in this Annual Report on Form 10-K for the year ended December 31, 2022 for which adoption had been previously deferred under the emerging growth company status.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w:t>
      </w:r>
    </w:p>
    <w:p>
      <w:pPr>
        <w:spacing w:after="0" w:line="182" w:lineRule="exact"/>
        <w:rPr>
          <w:sz w:val="20"/>
          <w:szCs w:val="20"/>
          <w:color w:val="auto"/>
        </w:rPr>
      </w:pPr>
    </w:p>
    <w:p>
      <w:pPr>
        <w:ind w:right="760" w:firstLine="509"/>
        <w:spacing w:after="0" w:line="271" w:lineRule="auto"/>
        <w:rPr>
          <w:sz w:val="20"/>
          <w:szCs w:val="20"/>
          <w:color w:val="auto"/>
        </w:rPr>
      </w:pPr>
      <w:r>
        <w:rPr>
          <w:rFonts w:ascii="Arial" w:cs="Arial" w:eastAsia="Arial" w:hAnsi="Arial"/>
          <w:sz w:val="18"/>
          <w:szCs w:val="18"/>
          <w:color w:val="auto"/>
        </w:rPr>
        <w:t xml:space="preserve">In addition to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described above, the following pronouncements were issued by the Financial Accounting Standards Board (FASB) and adopted by Flywire as of January 1, 2022:</w:t>
      </w:r>
    </w:p>
    <w:p>
      <w:pPr>
        <w:spacing w:after="0" w:line="11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 xml:space="preserve">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simplifies the accounting for income taxes by removing certain exceptions for intra period tax allocations and deferred tax liabilities for equity method investments and adds guidance on whether a step-up in tax basis of goodwill relates to a business combination or a separate transaction. The adoption of this standard did not have a material impact on Flywire's consolidated financial statements and disclosures.</w:t>
      </w:r>
    </w:p>
    <w:p>
      <w:pPr>
        <w:spacing w:after="0" w:line="13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 xml:space="preserve">ASU 2021-04, </w:t>
      </w:r>
      <w:r>
        <w:rPr>
          <w:rFonts w:ascii="Arial" w:cs="Arial" w:eastAsia="Arial" w:hAnsi="Arial"/>
          <w:sz w:val="18"/>
          <w:szCs w:val="18"/>
          <w:i w:val="1"/>
          <w:iCs w:val="1"/>
          <w:color w:val="auto"/>
        </w:rPr>
        <w:t>Earnings Per Share (Topic 260), Debt - Modifications and Extinguishments (Subtopic 470-50), 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and Derivatives and Hedging - Contracts in Entity’s Own Equity (Subtopic 815-40)</w:t>
      </w:r>
      <w:r>
        <w:rPr>
          <w:rFonts w:ascii="Arial" w:cs="Arial" w:eastAsia="Arial" w:hAnsi="Arial"/>
          <w:sz w:val="18"/>
          <w:szCs w:val="18"/>
          <w:color w:val="auto"/>
        </w:rPr>
        <w:t>: ASU 2021-04 requires issuers</w:t>
      </w:r>
      <w:r>
        <w:rPr>
          <w:rFonts w:ascii="Arial" w:cs="Arial" w:eastAsia="Arial" w:hAnsi="Arial"/>
          <w:sz w:val="18"/>
          <w:szCs w:val="18"/>
          <w:i w:val="1"/>
          <w:iCs w:val="1"/>
          <w:color w:val="auto"/>
        </w:rPr>
        <w:t xml:space="preserve"> </w:t>
      </w:r>
      <w:r>
        <w:rPr>
          <w:rFonts w:ascii="Arial" w:cs="Arial" w:eastAsia="Arial" w:hAnsi="Arial"/>
          <w:sz w:val="18"/>
          <w:szCs w:val="18"/>
          <w:color w:val="auto"/>
        </w:rPr>
        <w:t>to account for modifications or exchanges of freestanding equity- classified written call options (e.g., warrants) that remain equity classified after the modification or exchange based on the substance of the modification or exchange (e.g., a financing transaction to raise equity versus one to raise debt). The adoption of this standard did not have any impact on Flywire's consolidated financial statements and disclosures as the Company currently does not have any freestanding equity-classified written call options within the scope of this standard.</w:t>
      </w:r>
    </w:p>
    <w:p>
      <w:pPr>
        <w:spacing w:after="0" w:line="155"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and subsequent related ASUs: ASU 2016-13 replaces the current incurred loss impairment model that recognizes losses when a probable threshold is met with a requirement to recognize lifetime expected credit losses immediately when a financial asset is originated or purchased. ASU 2016-13 is effective for emerging growth companies that have adopted the private company relief on January 1, 2023, with early adoption permitted. The Company adopted ASU 2016-13 and subsequent related ASUs using the modified retrospective approach as of January 1, 2022 as it no longer qualifies as an emerging growth company as of December 31, 2022. The Company's accounts receivable and unbilled receivables are within the scope of Topic 326. However, the adoption of this standard did not have a material impact on the Company's consolidated financial statements.</w:t>
      </w:r>
    </w:p>
    <w:p>
      <w:pPr>
        <w:spacing w:after="0" w:line="144"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 xml:space="preserve">ASU 2020-06, </w:t>
      </w:r>
      <w:r>
        <w:rPr>
          <w:rFonts w:ascii="Arial" w:cs="Arial" w:eastAsia="Arial" w:hAnsi="Arial"/>
          <w:sz w:val="18"/>
          <w:szCs w:val="18"/>
          <w:i w:val="1"/>
          <w:iCs w:val="1"/>
          <w:color w:val="auto"/>
        </w:rPr>
        <w:t>Debt - Debt with Conversion and Other Options (Subtopic 470-20) and Derivatives and Hedging - Contracts in Entity’s</w:t>
      </w:r>
      <w:r>
        <w:rPr>
          <w:rFonts w:ascii="Arial" w:cs="Arial" w:eastAsia="Arial" w:hAnsi="Arial"/>
          <w:sz w:val="18"/>
          <w:szCs w:val="18"/>
          <w:color w:val="auto"/>
        </w:rPr>
        <w:t xml:space="preserve"> </w:t>
      </w:r>
      <w:r>
        <w:rPr>
          <w:rFonts w:ascii="Arial" w:cs="Arial" w:eastAsia="Arial" w:hAnsi="Arial"/>
          <w:sz w:val="18"/>
          <w:szCs w:val="18"/>
          <w:i w:val="1"/>
          <w:iCs w:val="1"/>
          <w:color w:val="auto"/>
        </w:rPr>
        <w:t>Own Equity (Subtopic 815-40)</w:t>
      </w:r>
      <w:r>
        <w:rPr>
          <w:rFonts w:ascii="Arial" w:cs="Arial" w:eastAsia="Arial" w:hAnsi="Arial"/>
          <w:sz w:val="18"/>
          <w:szCs w:val="18"/>
          <w:color w:val="auto"/>
        </w:rPr>
        <w:t>:</w:t>
      </w:r>
      <w:r>
        <w:rPr>
          <w:rFonts w:ascii="Arial" w:cs="Arial" w:eastAsia="Arial" w:hAnsi="Arial"/>
          <w:sz w:val="18"/>
          <w:szCs w:val="18"/>
          <w:i w:val="1"/>
          <w:iCs w:val="1"/>
          <w:color w:val="auto"/>
        </w:rPr>
        <w:t xml:space="preserve"> Accounting for Convertible Instruments and Contracts in an Entity’s Own Equity</w:t>
      </w:r>
      <w:r>
        <w:rPr>
          <w:rFonts w:ascii="Arial" w:cs="Arial" w:eastAsia="Arial" w:hAnsi="Arial"/>
          <w:sz w:val="18"/>
          <w:szCs w:val="18"/>
          <w:color w:val="auto"/>
        </w:rPr>
        <w:t>: ASU 2020-06 reduces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accounting models used to account for convertible instruments, amends diluted earnings per share calculations for convertible instruments and removes some of the requirements for a contract that is potentially settled in an entity's own share to be classified in equity. ASU 2020-06 is effective for emerging growth companies that have adopted the private company relief on January 1, 2024, with early adoption permitted. The Company adopted ASU 2020-06 retroactively effective as of January 1, 2022 as it no longer qualifies as an emerging growth company as of December 31, 2022. The adoption of this standard did not have any impact on Flywire's consolidated financial statements and disclosures as the Company currently does not have convertible instruments and contracts in the Company's own equity that meet the amended requirements to be classified in equity.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 as of December 31, 2022</w:t>
      </w:r>
    </w:p>
    <w:p>
      <w:pPr>
        <w:spacing w:after="0" w:line="182"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As of December 31, 2022, there are no new accounting pronouncements issued by the FASB but not yet adopted by Flywire which would have a material impact on the Company’s financial statements and disclosures.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and Recognition</w:t>
      </w:r>
    </w:p>
    <w:p>
      <w:pPr>
        <w:spacing w:after="0" w:line="184"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following tables present revenue disaggregated by geographical area and major solutions. The categorization of revenue by geographical location is determined based on location of where the client resides.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Primary geographical markets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194,429</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159,621</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109,725</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EMEA</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69,185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18,472</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APAC</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25,761</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7,456</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19"/>
                <w:szCs w:val="19"/>
                <w:color w:val="auto"/>
              </w:rPr>
            </w:pPr>
          </w:p>
        </w:tc>
      </w:tr>
      <w:tr>
        <w:trPr>
          <w:trHeight w:val="263"/>
        </w:trPr>
        <w:tc>
          <w:tcPr>
            <w:tcW w:w="6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289,375</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201,149</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131,783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Major solutions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224,149</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147,994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89,607</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Platform and usage-based fees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65,226</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53,155</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42,176</w:t>
            </w:r>
          </w:p>
        </w:tc>
        <w:tc>
          <w:tcPr>
            <w:tcW w:w="100" w:type="dxa"/>
            <w:vAlign w:val="bottom"/>
          </w:tcPr>
          <w:p>
            <w:pPr>
              <w:spacing w:after="0"/>
              <w:rPr>
                <w:sz w:val="19"/>
                <w:szCs w:val="19"/>
                <w:color w:val="auto"/>
              </w:rPr>
            </w:pPr>
          </w:p>
        </w:tc>
      </w:tr>
      <w:tr>
        <w:trPr>
          <w:trHeight w:val="263"/>
        </w:trPr>
        <w:tc>
          <w:tcPr>
            <w:tcW w:w="6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289,375</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201,149</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131,783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-641350</wp:posOffset>
            </wp:positionV>
            <wp:extent cx="2080895" cy="1714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080895"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Clients</w:t>
      </w:r>
    </w:p>
    <w:p>
      <w:pPr>
        <w:spacing w:after="0" w:line="18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timing of revenue recognition, billing and cash collection results in billed receivables, unbilled receivables and deferred revenue on the consolidated balance sheet.</w:t>
      </w:r>
    </w:p>
    <w:p>
      <w:pPr>
        <w:spacing w:after="0" w:line="112"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When fees are received prior to transferring services to the client under the terms of a contract, deferred revenue, which is a contract liability, is recorded. Contract liabilities are recognized as revenue when services are performed and all other revenue recognition criteria have been met.</w:t>
      </w:r>
    </w:p>
    <w:p>
      <w:pPr>
        <w:spacing w:after="0" w:line="130"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In certain instances, the Company delivers services in advance of billing. In this case the Company recognizes unbilled receivables which is not a contract asset as the Company has an unconditional right for payment.</w:t>
      </w:r>
    </w:p>
    <w:p>
      <w:pPr>
        <w:spacing w:after="0" w:line="126"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clients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 of allowance</w:t>
            </w:r>
          </w:p>
        </w:tc>
        <w:tc>
          <w:tcPr>
            <w:tcW w:w="960" w:type="dxa"/>
            <w:vAlign w:val="bottom"/>
            <w:tcBorders>
              <w:top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28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5,268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 current</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100" w:type="dxa"/>
            <w:vAlign w:val="bottom"/>
            <w:shd w:val="clear" w:color="auto" w:fill="CFF0FC"/>
          </w:tcPr>
          <w:p>
            <w:pPr>
              <w:spacing w:after="0"/>
              <w:rPr>
                <w:sz w:val="19"/>
                <w:szCs w:val="19"/>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color w:val="auto"/>
              </w:rPr>
              <w:t>Deferred revenue – non-current</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For the year ended December 31, 2022, the Company recognized $3.7 million in revenue from amounts that were included in deferred revenue as of December 31, 2021.</w:t>
      </w:r>
    </w:p>
    <w:p>
      <w:pPr>
        <w:spacing w:after="0" w:line="126"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For the year ended December 31, 2021, the Company recognized $0.7 million in revenue from amounts that were included in deferred revenue as of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69"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Incremental costs for obtaining contracts that are deemed recoverable are capitalized as contract costs and are included in other assets in the consolidated balance sheets. Such costs result from the payment of sales incentives and totaled $4.0 million, $0.4 million and less than $0.1 million as of December 31, 2022, 2021 and 2020, respectively. Capitalized sales incentives are amortized over the period of benefits, which the Company has determined to be three years. The amortization is included in selling and marketing expense line in the consolidated statements of operations and comprehensive loss, and totaled $0.4 million, less than $0.1 million and $0 for the years ended December 31, 2022, 2021 and 2020, respectively.</w:t>
      </w:r>
    </w:p>
    <w:p>
      <w:pPr>
        <w:spacing w:after="0" w:line="15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Costs to fulfill a contract are capitalized when they relate directly to an existing contract or specific anticipated contract, generate or enhance resources that will be used to fulfill performance obligations and are recoverable. Such costs primarily represent set-up and implementation costs, which include any direct cost incurred at inception of a contract. The Company capitalized $2.0 million, $1.4 million and $1.5 million of costs in 2022, 2021 and 2020, respectively within other assets on the consolidated balance sheets. These capitalized costs are amortized on a straight-line basis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over the expected contract life, which generally is five years, starting on go-live date. The amortization is included in technology and development expense line in the consolidated statements of operations and comprehensive loss, and totaled $1.8 million, $0.2 million and $0.4 million for the years ended December 31, 2022, 2021 and 2020, respectively. Included in the amortization expense for the year ended December 31, 2022 is $1.5 million resulting from the impairment of customer set-up costs associated with technology integration. There was no impairment of capitalized contract costs during the years ended December 31, 2021 and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Allowance for Credit Losses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allowance for credit losses for the years ended December 31, 2022, 2021 and 2020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 at the beginning of the year</w:t>
            </w:r>
          </w:p>
        </w:tc>
        <w:tc>
          <w:tcPr>
            <w:tcW w:w="90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Provision for expected credit losses</w:t>
            </w:r>
          </w:p>
        </w:tc>
        <w:tc>
          <w:tcPr>
            <w:tcW w:w="900" w:type="dxa"/>
            <w:vAlign w:val="bottom"/>
          </w:tcPr>
          <w:p>
            <w:pPr>
              <w:spacing w:after="0"/>
              <w:rPr>
                <w:sz w:val="19"/>
                <w:szCs w:val="19"/>
                <w:color w:val="auto"/>
              </w:rPr>
            </w:pPr>
          </w:p>
        </w:tc>
        <w:tc>
          <w:tcPr>
            <w:tcW w:w="720" w:type="dxa"/>
            <w:vAlign w:val="bottom"/>
            <w:gridSpan w:val="2"/>
          </w:tcPr>
          <w:p>
            <w:pPr>
              <w:jc w:val="right"/>
              <w:ind w:right="119"/>
              <w:spacing w:after="0"/>
              <w:rPr>
                <w:sz w:val="20"/>
                <w:szCs w:val="20"/>
                <w:color w:val="auto"/>
              </w:rPr>
            </w:pPr>
            <w:r>
              <w:rPr>
                <w:rFonts w:ascii="Arial" w:cs="Arial" w:eastAsia="Arial" w:hAnsi="Arial"/>
                <w:sz w:val="18"/>
                <w:szCs w:val="18"/>
                <w:color w:val="auto"/>
              </w:rPr>
              <w:t>(152 )</w:t>
            </w:r>
          </w:p>
        </w:tc>
        <w:tc>
          <w:tcPr>
            <w:tcW w:w="300" w:type="dxa"/>
            <w:vAlign w:val="bottom"/>
          </w:tcPr>
          <w:p>
            <w:pPr>
              <w:spacing w:after="0"/>
              <w:rPr>
                <w:sz w:val="19"/>
                <w:szCs w:val="19"/>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(165 )</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(237 )</w:t>
            </w:r>
          </w:p>
        </w:tc>
      </w:tr>
      <w:tr>
        <w:trPr>
          <w:trHeight w:val="229"/>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Write-offs, net of recoveries</w:t>
            </w:r>
          </w:p>
        </w:tc>
        <w:tc>
          <w:tcPr>
            <w:tcW w:w="9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Allowance for credit losses at the end of the year</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19"/>
              <w:spacing w:after="0"/>
              <w:rPr>
                <w:sz w:val="20"/>
                <w:szCs w:val="20"/>
                <w:color w:val="auto"/>
              </w:rPr>
            </w:pPr>
            <w:r>
              <w:rPr>
                <w:rFonts w:ascii="Arial" w:cs="Arial" w:eastAsia="Arial" w:hAnsi="Arial"/>
                <w:sz w:val="18"/>
                <w:szCs w:val="18"/>
                <w:color w:val="auto"/>
              </w:rPr>
              <w:t>(212 )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(106 )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(481 )</w:t>
            </w:r>
          </w:p>
        </w:tc>
      </w:tr>
      <w:tr>
        <w:trPr>
          <w:trHeight w:val="20"/>
        </w:trPr>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-179070</wp:posOffset>
            </wp:positionV>
            <wp:extent cx="76835" cy="1797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-179070</wp:posOffset>
            </wp:positionV>
            <wp:extent cx="68580" cy="1797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71"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b w:val="1"/>
                <w:bCs w:val="1"/>
                <w:color w:val="auto"/>
              </w:rPr>
              <w:t>Measured at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79"/>
              <w:spacing w:after="0"/>
              <w:rPr>
                <w:sz w:val="20"/>
                <w:szCs w:val="20"/>
                <w:color w:val="auto"/>
              </w:rPr>
            </w:pPr>
            <w:r>
              <w:rPr>
                <w:rFonts w:ascii="Arial" w:cs="Arial" w:eastAsia="Arial" w:hAnsi="Arial"/>
                <w:sz w:val="14"/>
                <w:szCs w:val="14"/>
                <w:b w:val="1"/>
                <w:bCs w:val="1"/>
                <w:color w:val="auto"/>
                <w:w w:val="99"/>
              </w:rPr>
              <w:t>NAV as of</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0" w:type="dxa"/>
            <w:vAlign w:val="bottom"/>
            <w:gridSpan w:val="10"/>
            <w:vMerge w:val="restart"/>
          </w:tcPr>
          <w:p>
            <w:pPr>
              <w:jc w:val="right"/>
              <w:ind w:right="533"/>
              <w:spacing w:after="0"/>
              <w:rPr>
                <w:sz w:val="20"/>
                <w:szCs w:val="20"/>
                <w:color w:val="auto"/>
              </w:rPr>
            </w:pPr>
            <w:r>
              <w:rPr>
                <w:rFonts w:ascii="Arial" w:cs="Arial" w:eastAsia="Arial" w:hAnsi="Arial"/>
                <w:sz w:val="14"/>
                <w:szCs w:val="14"/>
                <w:b w:val="1"/>
                <w:bCs w:val="1"/>
                <w:color w:val="auto"/>
              </w:rPr>
              <w:t>Measured at Fair Value as of December 31, 2022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76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0" w:type="dxa"/>
            <w:vAlign w:val="bottom"/>
            <w:gridSpan w:val="10"/>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47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2022 Using:</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9,145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551"/>
        </w:trPr>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b w:val="1"/>
                <w:bCs w:val="1"/>
                <w:color w:val="auto"/>
              </w:rPr>
              <w:t>Measured at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79"/>
              <w:spacing w:after="0"/>
              <w:rPr>
                <w:sz w:val="20"/>
                <w:szCs w:val="20"/>
                <w:color w:val="auto"/>
              </w:rPr>
            </w:pPr>
            <w:r>
              <w:rPr>
                <w:rFonts w:ascii="Arial" w:cs="Arial" w:eastAsia="Arial" w:hAnsi="Arial"/>
                <w:sz w:val="14"/>
                <w:szCs w:val="14"/>
                <w:b w:val="1"/>
                <w:bCs w:val="1"/>
                <w:color w:val="auto"/>
                <w:w w:val="99"/>
              </w:rPr>
              <w:t>NAV as of</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0" w:type="dxa"/>
            <w:vAlign w:val="bottom"/>
            <w:gridSpan w:val="10"/>
            <w:vMerge w:val="restart"/>
          </w:tcPr>
          <w:p>
            <w:pPr>
              <w:jc w:val="right"/>
              <w:ind w:right="533"/>
              <w:spacing w:after="0"/>
              <w:rPr>
                <w:sz w:val="20"/>
                <w:szCs w:val="20"/>
                <w:color w:val="auto"/>
              </w:rPr>
            </w:pPr>
            <w:r>
              <w:rPr>
                <w:rFonts w:ascii="Arial" w:cs="Arial" w:eastAsia="Arial" w:hAnsi="Arial"/>
                <w:sz w:val="14"/>
                <w:szCs w:val="14"/>
                <w:b w:val="1"/>
                <w:bCs w:val="1"/>
                <w:color w:val="auto"/>
              </w:rPr>
              <w:t>Measured at Fair Value as of December 31, 2021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76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0" w:type="dxa"/>
            <w:vAlign w:val="bottom"/>
            <w:gridSpan w:val="10"/>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47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2021 Using:</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Contingent consideration</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11,309</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11,309</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-2559685</wp:posOffset>
            </wp:positionV>
            <wp:extent cx="76835" cy="3251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-2559685</wp:posOffset>
            </wp:positionV>
            <wp:extent cx="68580" cy="3251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-2559685</wp:posOffset>
            </wp:positionV>
            <wp:extent cx="68580" cy="3251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-2559685</wp:posOffset>
            </wp:positionV>
            <wp:extent cx="68580" cy="3251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3251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-1788795</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-1771650</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-1788795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-1771650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-1788795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-1771650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-1788795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-1771650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-1788795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-1771650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-495935</wp:posOffset>
            </wp:positionV>
            <wp:extent cx="3390900" cy="1714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90900" cy="171450"/>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-179070</wp:posOffset>
            </wp:positionV>
            <wp:extent cx="76835" cy="1797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-179070</wp:posOffset>
            </wp:positionV>
            <wp:extent cx="68580" cy="1797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-179070</wp:posOffset>
            </wp:positionV>
            <wp:extent cx="68580" cy="1797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-179070</wp:posOffset>
            </wp:positionV>
            <wp:extent cx="68580" cy="1797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36" w:lineRule="exact"/>
        <w:rPr>
          <w:sz w:val="20"/>
          <w:szCs w:val="20"/>
          <w:color w:val="auto"/>
        </w:rPr>
      </w:pPr>
    </w:p>
    <w:p>
      <w:pPr>
        <w:ind w:right="1620" w:firstLine="509"/>
        <w:spacing w:after="0" w:line="445" w:lineRule="auto"/>
        <w:rPr>
          <w:sz w:val="20"/>
          <w:szCs w:val="20"/>
          <w:color w:val="auto"/>
        </w:rPr>
      </w:pPr>
      <w:r>
        <w:rPr>
          <w:rFonts w:ascii="Arial" w:cs="Arial" w:eastAsia="Arial" w:hAnsi="Arial"/>
          <w:sz w:val="18"/>
          <w:szCs w:val="18"/>
          <w:color w:val="auto"/>
        </w:rPr>
        <w:t xml:space="preserve">During the years ended December 31, 2022 and 2021, there were no transfers between Level 1, Level 2 or Level 3. </w:t>
      </w:r>
      <w:r>
        <w:rPr>
          <w:rFonts w:ascii="Arial" w:cs="Arial" w:eastAsia="Arial" w:hAnsi="Arial"/>
          <w:sz w:val="18"/>
          <w:szCs w:val="18"/>
          <w:b w:val="1"/>
          <w:bCs w:val="1"/>
          <w:i w:val="1"/>
          <w:iCs w:val="1"/>
          <w:color w:val="auto"/>
        </w:rPr>
        <w:t>Contingent consideration</w:t>
      </w:r>
    </w:p>
    <w:p>
      <w:pPr>
        <w:spacing w:after="0" w:line="1"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 xml:space="preserve">The following table presents the unobservable inputs incorporated into the valuation of contingent consideration related to the Simplee acquisition as of December 31, 2021.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Simplee acquisition.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60" w:type="dxa"/>
            <w:vAlign w:val="bottom"/>
            <w:vMerge w:val="restart"/>
          </w:tcPr>
          <w:p>
            <w:pPr>
              <w:ind w:left="20"/>
              <w:spacing w:after="0"/>
              <w:rPr>
                <w:sz w:val="20"/>
                <w:szCs w:val="20"/>
                <w:color w:val="auto"/>
              </w:rPr>
            </w:pPr>
            <w:r>
              <w:rPr>
                <w:rFonts w:ascii="Arial" w:cs="Arial" w:eastAsia="Arial" w:hAnsi="Arial"/>
                <w:sz w:val="18"/>
                <w:szCs w:val="18"/>
                <w:color w:val="auto"/>
              </w:rPr>
              <w:t>Discount rate</w:t>
            </w:r>
          </w:p>
        </w:tc>
        <w:tc>
          <w:tcPr>
            <w:tcW w:w="29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223"/>
        </w:trPr>
        <w:tc>
          <w:tcPr>
            <w:tcW w:w="8360" w:type="dxa"/>
            <w:vAlign w:val="bottom"/>
            <w:vMerge w:val="continue"/>
          </w:tcPr>
          <w:p>
            <w:pPr>
              <w:spacing w:after="0"/>
              <w:rPr>
                <w:sz w:val="19"/>
                <w:szCs w:val="19"/>
                <w:color w:val="auto"/>
              </w:rPr>
            </w:pPr>
          </w:p>
        </w:tc>
        <w:tc>
          <w:tcPr>
            <w:tcW w:w="2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8360" w:type="dxa"/>
            <w:vAlign w:val="bottom"/>
          </w:tcPr>
          <w:p>
            <w:pPr>
              <w:ind w:left="20"/>
              <w:spacing w:after="0"/>
              <w:rPr>
                <w:sz w:val="20"/>
                <w:szCs w:val="20"/>
                <w:color w:val="auto"/>
              </w:rPr>
            </w:pPr>
            <w:r>
              <w:rPr>
                <w:rFonts w:ascii="Arial" w:cs="Arial" w:eastAsia="Arial" w:hAnsi="Arial"/>
                <w:sz w:val="18"/>
                <w:szCs w:val="18"/>
                <w:color w:val="auto"/>
              </w:rPr>
              <w:t>Probability of successful achievement*</w:t>
            </w:r>
          </w:p>
        </w:tc>
        <w:tc>
          <w:tcPr>
            <w:tcW w:w="2780" w:type="dxa"/>
            <w:vAlign w:val="bottom"/>
          </w:tcPr>
          <w:p>
            <w:pPr>
              <w:jc w:val="right"/>
              <w:spacing w:after="0"/>
              <w:rPr>
                <w:sz w:val="20"/>
                <w:szCs w:val="20"/>
                <w:color w:val="auto"/>
              </w:rPr>
            </w:pPr>
            <w:r>
              <w:rPr>
                <w:rFonts w:ascii="Arial" w:cs="Arial" w:eastAsia="Arial" w:hAnsi="Arial"/>
                <w:sz w:val="18"/>
                <w:szCs w:val="18"/>
                <w:color w:val="auto"/>
              </w:rPr>
              <w:t>0% - 100%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238061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380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80" w:lineRule="exact"/>
        <w:rPr>
          <w:sz w:val="20"/>
          <w:szCs w:val="20"/>
          <w:color w:val="auto"/>
        </w:rPr>
      </w:pPr>
    </w:p>
    <w:p>
      <w:pPr>
        <w:jc w:val="both"/>
        <w:ind w:right="200" w:firstLine="509"/>
        <w:spacing w:after="0" w:line="252" w:lineRule="auto"/>
        <w:rPr>
          <w:sz w:val="20"/>
          <w:szCs w:val="20"/>
          <w:color w:val="auto"/>
        </w:rPr>
      </w:pPr>
      <w:r>
        <w:rPr>
          <w:rFonts w:ascii="Arial" w:cs="Arial" w:eastAsia="Arial" w:hAnsi="Arial"/>
          <w:sz w:val="18"/>
          <w:szCs w:val="18"/>
          <w:color w:val="auto"/>
        </w:rPr>
        <w:t>Increases or decreases in any of the probabilities of success in which revenue targets were expected to be achieved would result in a higher or lower fair value measurement, respectively. Increases or decreases in the discount rate would result in a lower or higher fair value measurement, respectively.</w:t>
      </w:r>
    </w:p>
    <w:p>
      <w:pPr>
        <w:spacing w:after="0" w:line="130"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 xml:space="preserve">The following table presents the unobservable inputs incorporated into the valuation of contingent consideration related to the WPM acquisition as of the dates presented.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WPM acquisition.</w:t>
      </w:r>
    </w:p>
    <w:p>
      <w:pPr>
        <w:spacing w:after="0" w:line="135"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15240</wp:posOffset>
            </wp:positionV>
            <wp:extent cx="31769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17690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gridSpan w:val="2"/>
          </w:tcPr>
          <w:p>
            <w:pPr>
              <w:ind w:left="7160"/>
              <w:spacing w:after="0"/>
              <w:rPr>
                <w:sz w:val="20"/>
                <w:szCs w:val="20"/>
                <w:color w:val="auto"/>
              </w:rPr>
            </w:pPr>
            <w:r>
              <w:rPr>
                <w:rFonts w:ascii="Arial" w:cs="Arial" w:eastAsia="Arial" w:hAnsi="Arial"/>
                <w:sz w:val="14"/>
                <w:szCs w:val="14"/>
                <w:b w:val="1"/>
                <w:bCs w:val="1"/>
                <w:color w:val="auto"/>
              </w:rPr>
              <w:t>2022</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tcPr>
          <w:p>
            <w:pPr>
              <w:jc w:val="right"/>
              <w:ind w:right="9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Market price of risk adjustment for revenue</w:t>
            </w:r>
          </w:p>
        </w:tc>
        <w:tc>
          <w:tcPr>
            <w:tcW w:w="14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Revenue volatility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22.7 %</w:t>
            </w: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rPr>
              <w:t>21.6 %</w:t>
            </w:r>
          </w:p>
        </w:tc>
      </w:tr>
      <w:tr>
        <w:trPr>
          <w:trHeight w:val="229"/>
        </w:trPr>
        <w:tc>
          <w:tcPr>
            <w:tcW w:w="7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Probability of successful achievement*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 - 100%</w:t>
            </w:r>
          </w:p>
        </w:tc>
        <w:tc>
          <w:tcPr>
            <w:tcW w:w="26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 - 100%</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Performance period</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1.25 years</w:t>
            </w:r>
          </w:p>
        </w:tc>
        <w:tc>
          <w:tcPr>
            <w:tcW w:w="2460" w:type="dxa"/>
            <w:vAlign w:val="bottom"/>
            <w:gridSpan w:val="2"/>
          </w:tcPr>
          <w:p>
            <w:pPr>
              <w:ind w:left="1500"/>
              <w:spacing w:after="0"/>
              <w:rPr>
                <w:sz w:val="20"/>
                <w:szCs w:val="20"/>
                <w:color w:val="auto"/>
              </w:rPr>
            </w:pPr>
            <w:r>
              <w:rPr>
                <w:rFonts w:ascii="Arial" w:cs="Arial" w:eastAsia="Arial" w:hAnsi="Arial"/>
                <w:sz w:val="18"/>
                <w:szCs w:val="18"/>
                <w:color w:val="auto"/>
              </w:rPr>
              <w:t>2.25 years</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454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238061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66"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Increases or decreases in expectations regarding the level at which payment volumes are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spacing w:after="0" w:line="136"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 xml:space="preserve">The following table presents the unobservable inputs incorporated into the valuation of contingent consideration related to the Cohort Solutions Pty Ltd. (Cohort Go) acquisition as of December 31, 2022.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Cohort Go acquisition.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60" w:type="dxa"/>
            <w:vAlign w:val="bottom"/>
            <w:vMerge w:val="restart"/>
          </w:tcPr>
          <w:p>
            <w:pPr>
              <w:ind w:left="20"/>
              <w:spacing w:after="0"/>
              <w:rPr>
                <w:sz w:val="20"/>
                <w:szCs w:val="20"/>
                <w:color w:val="auto"/>
              </w:rPr>
            </w:pPr>
            <w:r>
              <w:rPr>
                <w:rFonts w:ascii="Arial" w:cs="Arial" w:eastAsia="Arial" w:hAnsi="Arial"/>
                <w:sz w:val="18"/>
                <w:szCs w:val="18"/>
                <w:color w:val="auto"/>
              </w:rPr>
              <w:t>Discount rate</w:t>
            </w:r>
          </w:p>
        </w:tc>
        <w:tc>
          <w:tcPr>
            <w:tcW w:w="29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Year Ended December 31, 2022</w:t>
            </w:r>
          </w:p>
        </w:tc>
        <w:tc>
          <w:tcPr>
            <w:tcW w:w="0" w:type="dxa"/>
            <w:vAlign w:val="bottom"/>
          </w:tcPr>
          <w:p>
            <w:pPr>
              <w:spacing w:after="0"/>
              <w:rPr>
                <w:sz w:val="1"/>
                <w:szCs w:val="1"/>
                <w:color w:val="auto"/>
              </w:rPr>
            </w:pPr>
          </w:p>
        </w:tc>
      </w:tr>
      <w:tr>
        <w:trPr>
          <w:trHeight w:val="223"/>
        </w:trPr>
        <w:tc>
          <w:tcPr>
            <w:tcW w:w="8360" w:type="dxa"/>
            <w:vAlign w:val="bottom"/>
            <w:vMerge w:val="continue"/>
          </w:tcPr>
          <w:p>
            <w:pPr>
              <w:spacing w:after="0"/>
              <w:rPr>
                <w:sz w:val="19"/>
                <w:szCs w:val="19"/>
                <w:color w:val="auto"/>
              </w:rPr>
            </w:pPr>
          </w:p>
        </w:tc>
        <w:tc>
          <w:tcPr>
            <w:tcW w:w="2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8360" w:type="dxa"/>
            <w:vAlign w:val="bottom"/>
          </w:tcPr>
          <w:p>
            <w:pPr>
              <w:ind w:left="20"/>
              <w:spacing w:after="0"/>
              <w:rPr>
                <w:sz w:val="20"/>
                <w:szCs w:val="20"/>
                <w:color w:val="auto"/>
              </w:rPr>
            </w:pPr>
            <w:r>
              <w:rPr>
                <w:rFonts w:ascii="Arial" w:cs="Arial" w:eastAsia="Arial" w:hAnsi="Arial"/>
                <w:sz w:val="18"/>
                <w:szCs w:val="18"/>
                <w:color w:val="auto"/>
              </w:rPr>
              <w:t>Probability of successful achievement*</w:t>
            </w:r>
          </w:p>
        </w:tc>
        <w:tc>
          <w:tcPr>
            <w:tcW w:w="2780" w:type="dxa"/>
            <w:vAlign w:val="bottom"/>
          </w:tcPr>
          <w:p>
            <w:pPr>
              <w:jc w:val="right"/>
              <w:spacing w:after="0"/>
              <w:rPr>
                <w:sz w:val="20"/>
                <w:szCs w:val="20"/>
                <w:color w:val="auto"/>
              </w:rPr>
            </w:pPr>
            <w:r>
              <w:rPr>
                <w:rFonts w:ascii="Arial" w:cs="Arial" w:eastAsia="Arial" w:hAnsi="Arial"/>
                <w:sz w:val="18"/>
                <w:szCs w:val="18"/>
                <w:color w:val="auto"/>
              </w:rPr>
              <w:t>75% - 100%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23806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66"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Increases or decreases in any of the probabilities of success in which the specific post-acquisition milestones are expected to be achieved would result in a higher or lower fair value measurement, respectively. Increases or decreases in the discount rate would result in a lower or higher fair value measurement, respectively.</w:t>
      </w:r>
    </w:p>
    <w:p>
      <w:pPr>
        <w:spacing w:after="0" w:line="144"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following table summarizes the changes in the carrying value of the contingent consideration for the years ended December 31, 2022, 2021 and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37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Additions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19"/>
                <w:szCs w:val="19"/>
                <w:color w:val="auto"/>
              </w:rPr>
            </w:pPr>
          </w:p>
        </w:tc>
      </w:tr>
      <w:tr>
        <w:trPr>
          <w:trHeight w:val="229"/>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(2,805 )</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 paid*</w:t>
            </w:r>
          </w:p>
        </w:tc>
        <w:tc>
          <w:tcPr>
            <w:tcW w:w="320" w:type="dxa"/>
            <w:vAlign w:val="bottom"/>
          </w:tcPr>
          <w:p>
            <w:pPr>
              <w:spacing w:after="0"/>
              <w:rPr>
                <w:sz w:val="19"/>
                <w:szCs w:val="19"/>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(8,664 )</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(7,012 )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29"/>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(203 )</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top w:val="single" w:sz="8" w:color="CFF0FC"/>
            </w:tcBorders>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2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-273050</wp:posOffset>
            </wp:positionV>
            <wp:extent cx="76835" cy="1797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-273050</wp:posOffset>
            </wp:positionV>
            <wp:extent cx="68580" cy="1797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-273050</wp:posOffset>
            </wp:positionV>
            <wp:extent cx="68580" cy="1797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5" w:lineRule="exact"/>
        <w:rPr>
          <w:sz w:val="20"/>
          <w:szCs w:val="20"/>
          <w:color w:val="auto"/>
        </w:rPr>
      </w:pPr>
    </w:p>
    <w:p>
      <w:pPr>
        <w:ind w:left="120" w:right="140" w:firstLine="8"/>
        <w:spacing w:after="0" w:line="250" w:lineRule="auto"/>
        <w:tabs>
          <w:tab w:leader="none" w:pos="21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the year ended December 31, 2022, contingent consideration paid within three months after the acquisition date of Cohort Go of $453 thousand was classified as investing cash flows in the consolidated statement of cash flows given the proximity to the acquisition date. For the years ended December 31, 2022, 2021, and 2020, the timing of contingent consideration paid was in excess of three months of the acquisition date of Cohort Go, WPM and Simplee; accordingly, the cash payments have been bifurcated between the financing and operating sections of the consolidated statement of cash flows. Amounts paid up to the fair value initially recorded in purchase accounting is reported in the financing section of the consolidated statement of cash flows, while any excess is reported in the operating section of the consolidated statement of cash flows.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Instruments</w:t>
      </w:r>
    </w:p>
    <w:p>
      <w:pPr>
        <w:spacing w:after="0" w:line="171" w:lineRule="exact"/>
        <w:rPr>
          <w:sz w:val="20"/>
          <w:szCs w:val="20"/>
          <w:color w:val="auto"/>
        </w:rPr>
      </w:pPr>
    </w:p>
    <w:p>
      <w:pPr>
        <w:ind w:right="720" w:firstLine="509"/>
        <w:spacing w:after="0" w:line="271"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These foreign currency forward</w:t>
      </w:r>
    </w:p>
    <w:p>
      <w:pPr>
        <w:spacing w:after="0" w:line="4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 w:right="2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December 31, 2022 and 2021, respectively, the Company had 11,816 and 8,653 open foreign exchange contracts. As of December 31, 2022 and 2021, the Company had foreign currency forward contracts outstanding with a notional amount of $54.7 million and $27.9 million, respectively.</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records all derivative instruments in the consolidated balance sheets at their fair values. For the year ended December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 2022, the Company recorded a liability of $0.1 million and for the year ended December 31, 2021, the Company recorded an asset of</w:t>
      </w:r>
    </w:p>
    <w:p>
      <w:pPr>
        <w:spacing w:after="0" w:line="234" w:lineRule="auto"/>
        <w:rPr>
          <w:sz w:val="20"/>
          <w:szCs w:val="20"/>
          <w:color w:val="auto"/>
        </w:rPr>
      </w:pPr>
      <w:r>
        <w:rPr>
          <w:rFonts w:ascii="Arial" w:cs="Arial" w:eastAsia="Arial" w:hAnsi="Arial"/>
          <w:sz w:val="18"/>
          <w:szCs w:val="18"/>
          <w:color w:val="auto"/>
        </w:rPr>
        <w:t>less than $0.1 million related to outstanding foreign exchange contracts. The Company recognized a loss of $1.6 million, $0.8 million and</w:t>
      </w:r>
    </w:p>
    <w:p>
      <w:pPr>
        <w:spacing w:after="0" w:line="235" w:lineRule="auto"/>
        <w:rPr>
          <w:sz w:val="20"/>
          <w:szCs w:val="20"/>
          <w:color w:val="auto"/>
        </w:rPr>
      </w:pPr>
      <w:r>
        <w:rPr>
          <w:rFonts w:ascii="Arial" w:cs="Arial" w:eastAsia="Arial" w:hAnsi="Arial"/>
          <w:sz w:val="18"/>
          <w:szCs w:val="18"/>
          <w:color w:val="auto"/>
        </w:rPr>
        <w:t>$0.5 million during the years ended December 31, 2022, 2021 and 2020, respectively, which was included in the general and administrative</w:t>
      </w:r>
    </w:p>
    <w:p>
      <w:pPr>
        <w:spacing w:after="0"/>
        <w:rPr>
          <w:sz w:val="20"/>
          <w:szCs w:val="20"/>
          <w:color w:val="auto"/>
        </w:rPr>
      </w:pPr>
      <w:r>
        <w:rPr>
          <w:rFonts w:ascii="Arial" w:cs="Arial" w:eastAsia="Arial" w:hAnsi="Arial"/>
          <w:sz w:val="18"/>
          <w:szCs w:val="18"/>
          <w:color w:val="auto"/>
        </w:rPr>
        <w:t>line within the consolidated statements of operations and comprehensive loss.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Expenses and Other Current Liabilities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 and related taxes</w:t>
            </w: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16,944</w:t>
            </w:r>
          </w:p>
        </w:tc>
        <w:tc>
          <w:tcPr>
            <w:tcW w:w="28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13,854</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income and other non-employee related taxes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w:t>
            </w:r>
          </w:p>
        </w:tc>
        <w:tc>
          <w:tcPr>
            <w:tcW w:w="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33,109</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22,726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 net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Estimated Useful Life</w:t>
            </w: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380" w:type="dxa"/>
            <w:vAlign w:val="bottom"/>
          </w:tcPr>
          <w:p>
            <w:pPr>
              <w:spacing w:after="0"/>
              <w:rPr>
                <w:sz w:val="15"/>
                <w:szCs w:val="15"/>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rPr>
              <w:t>(Years)</w:t>
            </w:r>
          </w:p>
        </w:tc>
        <w:tc>
          <w:tcPr>
            <w:tcW w:w="280" w:type="dxa"/>
            <w:vAlign w:val="bottom"/>
          </w:tcPr>
          <w:p>
            <w:pPr>
              <w:spacing w:after="0"/>
              <w:rPr>
                <w:sz w:val="15"/>
                <w:szCs w:val="15"/>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3 - 5</w:t>
            </w:r>
          </w:p>
        </w:tc>
        <w:tc>
          <w:tcPr>
            <w:tcW w:w="16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3,195</w:t>
            </w:r>
          </w:p>
        </w:tc>
        <w:tc>
          <w:tcPr>
            <w:tcW w:w="26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FF0FC"/>
          </w:tcPr>
          <w:p>
            <w:pPr>
              <w:spacing w:after="0"/>
              <w:rPr>
                <w:sz w:val="19"/>
                <w:szCs w:val="19"/>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Internal-use software</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13,131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7,414</w:t>
            </w:r>
          </w:p>
        </w:tc>
        <w:tc>
          <w:tcPr>
            <w:tcW w:w="100" w:type="dxa"/>
            <w:vAlign w:val="bottom"/>
          </w:tcPr>
          <w:p>
            <w:pPr>
              <w:spacing w:after="0"/>
              <w:rPr>
                <w:sz w:val="19"/>
                <w:szCs w:val="19"/>
                <w:color w:val="auto"/>
              </w:rPr>
            </w:pPr>
          </w:p>
        </w:tc>
      </w:tr>
      <w:tr>
        <w:trPr>
          <w:trHeight w:val="229"/>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19"/>
                <w:szCs w:val="19"/>
                <w:color w:val="auto"/>
              </w:rPr>
            </w:pPr>
          </w:p>
        </w:tc>
      </w:tr>
      <w:tr>
        <w:trPr>
          <w:trHeight w:val="197"/>
        </w:trPr>
        <w:tc>
          <w:tcPr>
            <w:tcW w:w="6380" w:type="dxa"/>
            <w:vAlign w:val="bottom"/>
          </w:tcPr>
          <w:p>
            <w:pPr>
              <w:ind w:left="20"/>
              <w:spacing w:after="0" w:line="197" w:lineRule="exact"/>
              <w:rPr>
                <w:sz w:val="20"/>
                <w:szCs w:val="20"/>
                <w:color w:val="auto"/>
              </w:rPr>
            </w:pPr>
            <w:r>
              <w:rPr>
                <w:rFonts w:ascii="Arial" w:cs="Arial" w:eastAsia="Arial" w:hAnsi="Arial"/>
                <w:sz w:val="18"/>
                <w:szCs w:val="18"/>
                <w:color w:val="auto"/>
              </w:rPr>
              <w:t>Leasehold improvements</w:t>
            </w:r>
          </w:p>
        </w:tc>
        <w:tc>
          <w:tcPr>
            <w:tcW w:w="1980" w:type="dxa"/>
            <w:vAlign w:val="bottom"/>
            <w:gridSpan w:val="2"/>
          </w:tcPr>
          <w:p>
            <w:pPr>
              <w:jc w:val="center"/>
              <w:ind w:right="180"/>
              <w:spacing w:after="0" w:line="197" w:lineRule="exact"/>
              <w:rPr>
                <w:sz w:val="20"/>
                <w:szCs w:val="20"/>
                <w:color w:val="auto"/>
              </w:rPr>
            </w:pPr>
            <w:r>
              <w:rPr>
                <w:rFonts w:ascii="Arial" w:cs="Arial" w:eastAsia="Arial" w:hAnsi="Arial"/>
                <w:sz w:val="18"/>
                <w:szCs w:val="18"/>
                <w:color w:val="auto"/>
                <w:w w:val="99"/>
              </w:rPr>
              <w:t>Shorter of lease term</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6380" w:type="dxa"/>
            <w:vAlign w:val="bottom"/>
          </w:tcPr>
          <w:p>
            <w:pPr>
              <w:spacing w:after="0"/>
              <w:rPr>
                <w:sz w:val="20"/>
                <w:szCs w:val="20"/>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or useful life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4,704</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20"/>
                <w:szCs w:val="20"/>
                <w:color w:val="auto"/>
              </w:rPr>
            </w:pPr>
          </w:p>
        </w:tc>
      </w:tr>
      <w:tr>
        <w:trPr>
          <w:trHeight w:val="229"/>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380" w:type="dxa"/>
            <w:vAlign w:val="bottom"/>
            <w:tcBorders>
              <w:top w:val="single" w:sz="8" w:color="CFF0FC"/>
            </w:tcBorders>
          </w:tcPr>
          <w:p>
            <w:pPr>
              <w:spacing w:after="0"/>
              <w:rPr>
                <w:sz w:val="19"/>
                <w:szCs w:val="19"/>
                <w:color w:val="auto"/>
              </w:rPr>
            </w:pPr>
          </w:p>
        </w:tc>
        <w:tc>
          <w:tcPr>
            <w:tcW w:w="18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22,213</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15,573</w:t>
            </w:r>
          </w:p>
        </w:tc>
        <w:tc>
          <w:tcPr>
            <w:tcW w:w="100" w:type="dxa"/>
            <w:vAlign w:val="bottom"/>
            <w:tcBorders>
              <w:top w:val="single" w:sz="8" w:color="CFF0FC"/>
            </w:tcBorders>
          </w:tcPr>
          <w:p>
            <w:pPr>
              <w:spacing w:after="0"/>
              <w:rPr>
                <w:sz w:val="19"/>
                <w:szCs w:val="19"/>
                <w:color w:val="auto"/>
              </w:rPr>
            </w:pPr>
          </w:p>
        </w:tc>
      </w:tr>
      <w:tr>
        <w:trPr>
          <w:trHeight w:val="229"/>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(8,896 )</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(6,131 )</w:t>
            </w:r>
          </w:p>
        </w:tc>
      </w:tr>
      <w:tr>
        <w:trPr>
          <w:trHeight w:val="223"/>
        </w:trPr>
        <w:tc>
          <w:tcPr>
            <w:tcW w:w="6380" w:type="dxa"/>
            <w:vAlign w:val="bottom"/>
            <w:tcBorders>
              <w:top w:val="single" w:sz="8" w:color="CFF0FC"/>
            </w:tcBorders>
          </w:tcPr>
          <w:p>
            <w:pPr>
              <w:spacing w:after="0"/>
              <w:rPr>
                <w:sz w:val="19"/>
                <w:szCs w:val="19"/>
                <w:color w:val="auto"/>
              </w:rPr>
            </w:pPr>
          </w:p>
        </w:tc>
        <w:tc>
          <w:tcPr>
            <w:tcW w:w="18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13,317</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9,442</w:t>
            </w:r>
          </w:p>
        </w:tc>
        <w:tc>
          <w:tcPr>
            <w:tcW w:w="100" w:type="dxa"/>
            <w:vAlign w:val="bottom"/>
            <w:tcBorders>
              <w:top w:val="single" w:sz="8" w:color="CFF0FC"/>
            </w:tcBorders>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-478790</wp:posOffset>
            </wp:positionV>
            <wp:extent cx="68580" cy="154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1543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-179070</wp:posOffset>
            </wp:positionV>
            <wp:extent cx="68580" cy="1797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36"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Depreciation and amortization expense was $3.2 million, $2.3 million and $1.9 million for the years ended December 31, 2022, 2021 and 2020, respectively.</w:t>
      </w:r>
    </w:p>
    <w:p>
      <w:pPr>
        <w:spacing w:after="0" w:line="112"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Company capitalized $5.7 million and $5.6 million in costs related to internal-use software during the years ended December 31, 2022 and 2021.</w:t>
      </w:r>
    </w:p>
    <w:p>
      <w:pPr>
        <w:spacing w:after="0" w:line="126"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As of December 31, 2022 and 2021, the carrying value of internal-used software was $10.6 million and $ 6.5 million, respectively. Amortization expense related to internal-used software was $1.6 million, $0.8 million and $0.1 for the years ended December 31, 2022, 2021 and 2020, respectively.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property and equipment, net based on geography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Long-lived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U.S.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11,655</w:t>
            </w: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U.K.</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countries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13,317</w:t>
            </w:r>
          </w:p>
        </w:tc>
        <w:tc>
          <w:tcPr>
            <w:tcW w:w="2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Business Combinations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Cohort Go</w:t>
      </w:r>
    </w:p>
    <w:p>
      <w:pPr>
        <w:spacing w:after="0" w:line="169"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On July 13, 2022, Flywire acquired all of the issued and outstanding shares of Cohort Go, an Australian-based education payments provider that simplifies the student recruitment process by bringing together students, agents and essential student services such as health insurance into one platform. The acquisition of Cohort Go contributed to the Company's global expansion and accelerated the growth of Flywire's agent related revenue, in which Flywire partners with agents who refer students to the Company. The agent related revenue is reported as transaction revenue for Flywire, while the health insurance related revenue is reported as platform revenue. The acquisition of Cohort Go has been accounted for as a business combination.</w:t>
      </w:r>
    </w:p>
    <w:p>
      <w:pPr>
        <w:spacing w:after="0" w:line="142"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While the Company uses its best estimates and assumptions as part of the purchase price allocation process to value the assets acquired and liabilities assumed on the acquisition date, its estimates and assumptions are subject to refinement. The net fair value of the acquired intangible assets was determined using the income approach. In performing these valuations, the key underlying judgments and assumptions used included revenue and earnings before interest and taxes growth rates, discount rates, technology royalty rate and attrition rate.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results of operations. The finalization of the purchase accounting assessment may result in a change in the valuation of assets acquired and liabilities assumed and may have a material impact on the Company’s results of operations and financial position. As a result, during the measurement period, which may be up to one year from the acquisition date, the Company records adjustments to the assets acquired and liabilities assumed with a corresponding offset to goodwill to reflect additional information received about facts and circumstances which existed at the date of acquisition. The Company records adjustments to the assets acquired and liabilities assumed subsequent to the purchase price allocation period in the Company’s operating results in the period in which the adjustments are determined. Any potential adjustments made could be material in relation to the preliminary values presented.</w:t>
      </w:r>
    </w:p>
    <w:p>
      <w:pPr>
        <w:spacing w:after="0" w:line="15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During the fourth quarter of 2022, the cash consideration, net of cash acquired and the purchase price allocation was adjusted to reflect a working capital true-up and a change to the deferred tax liability, which was due to additional tax basis associated with the acquired technology intangible asset. This resulted in a $0.2 million increase in the cash consideration, net of cash acquired, a $1.4 million decrease to deferred tax liability and a $1.2 million decrease to goodwill from the quarter ended September 30, 2022 to the year ended December 31, 2022. The adjusted purchase price allocation is reflected in the consolidated balance sheet as of December 31, 2022 and purchase price allocation below.</w:t>
      </w:r>
    </w:p>
    <w:p>
      <w:pPr>
        <w:spacing w:after="0" w:line="142" w:lineRule="exact"/>
        <w:rPr>
          <w:sz w:val="20"/>
          <w:szCs w:val="20"/>
          <w:color w:val="auto"/>
        </w:rPr>
      </w:pPr>
    </w:p>
    <w:p>
      <w:pPr>
        <w:ind w:right="760" w:firstLine="509"/>
        <w:spacing w:after="0" w:line="271" w:lineRule="auto"/>
        <w:rPr>
          <w:sz w:val="20"/>
          <w:szCs w:val="20"/>
          <w:color w:val="auto"/>
        </w:rPr>
      </w:pPr>
      <w:r>
        <w:rPr>
          <w:rFonts w:ascii="Arial" w:cs="Arial" w:eastAsia="Arial" w:hAnsi="Arial"/>
          <w:sz w:val="18"/>
          <w:szCs w:val="18"/>
          <w:color w:val="auto"/>
        </w:rPr>
        <w:t>Pursuant to the terms of the business combination agreement, the Company acquired Cohort Go for estimated total purchase consideration of $33.0 million or $23.1 million, net of cash acquired, which consisted of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17,140</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Estimated fair value of shares of common stock</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9"/>
                <w:szCs w:val="19"/>
                <w:color w:val="auto"/>
              </w:rPr>
            </w:pPr>
          </w:p>
        </w:tc>
      </w:tr>
      <w:tr>
        <w:trPr>
          <w:trHeight w:val="229"/>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7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00" w:type="dxa"/>
            <w:vAlign w:val="bottom"/>
          </w:tcPr>
          <w:p>
            <w:pPr>
              <w:ind w:left="280"/>
              <w:spacing w:after="0"/>
              <w:rPr>
                <w:sz w:val="20"/>
                <w:szCs w:val="20"/>
                <w:color w:val="auto"/>
              </w:rPr>
            </w:pPr>
            <w:r>
              <w:rPr>
                <w:rFonts w:ascii="Arial" w:cs="Arial" w:eastAsia="Arial" w:hAnsi="Arial"/>
                <w:sz w:val="18"/>
                <w:szCs w:val="18"/>
                <w:color w:val="auto"/>
              </w:rPr>
              <w:t>Total purchase consideration, net of cash acquired</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23,122</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0"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Contingent consideration, which totals up to $1.7 million represents additional payments that Flywire may be required to make in the future which are dependent upon Cohort Go's achievement of specific post-acquisition milestones established through a period ending March 31, 2023. Contingent consideration will be settled upon completion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post-acquisition milestones at various intervals through May 2023 in the form of cash or shares of common stock at the Company's option and it is subject to exchange rate fluctuation adjustment between the U.S. Dollar and Australian Dollar.</w:t>
      </w:r>
    </w:p>
    <w:p>
      <w:pPr>
        <w:spacing w:after="0" w:line="126"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As of December 31, 2022, Flywire had paid $0.5 million in contingent consideration based on Cohort Go's successful and timely achievement of contracted milestones.</w:t>
      </w:r>
    </w:p>
    <w:p>
      <w:pPr>
        <w:spacing w:after="0" w:line="11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During the year ended December 31, 2022, the Company incurred $0.6 million in transaction costs, which are included in general and administrative expenses in the consolidated statements of operations and comprehensive loss.</w:t>
      </w:r>
    </w:p>
    <w:p>
      <w:pPr>
        <w:spacing w:after="0" w:line="112"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 table summarizes the preliminary allocation of the purchase consideration to the assets acquired and liabilities assumed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9,880</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Funds receivable from payment partners</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19"/>
                <w:szCs w:val="19"/>
                <w:color w:val="auto"/>
              </w:rPr>
            </w:pPr>
          </w:p>
        </w:tc>
      </w:tr>
      <w:tr>
        <w:trPr>
          <w:trHeight w:val="229"/>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Identifiable intangible assets</w:t>
            </w:r>
          </w:p>
        </w:tc>
        <w:tc>
          <w:tcPr>
            <w:tcW w:w="7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00" w:type="dxa"/>
            <w:vAlign w:val="bottom"/>
          </w:tcPr>
          <w:p>
            <w:pPr>
              <w:ind w:left="14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47,618</w:t>
            </w:r>
          </w:p>
        </w:tc>
        <w:tc>
          <w:tcPr>
            <w:tcW w:w="100" w:type="dxa"/>
            <w:vAlign w:val="bottom"/>
          </w:tcPr>
          <w:p>
            <w:pPr>
              <w:spacing w:after="0"/>
              <w:rPr>
                <w:sz w:val="19"/>
                <w:szCs w:val="19"/>
                <w:color w:val="auto"/>
              </w:rPr>
            </w:pPr>
          </w:p>
        </w:tc>
      </w:tr>
      <w:tr>
        <w:trPr>
          <w:trHeight w:val="22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5,012</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Funds payable to clients</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r>
      <w:tr>
        <w:trPr>
          <w:trHeight w:val="229"/>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0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w:t>
            </w:r>
          </w:p>
        </w:tc>
        <w:tc>
          <w:tcPr>
            <w:tcW w:w="100" w:type="dxa"/>
            <w:vAlign w:val="bottom"/>
          </w:tcPr>
          <w:p>
            <w:pPr>
              <w:spacing w:after="0"/>
              <w:rPr>
                <w:sz w:val="19"/>
                <w:szCs w:val="19"/>
                <w:color w:val="auto"/>
              </w:rPr>
            </w:pPr>
          </w:p>
        </w:tc>
      </w:tr>
      <w:tr>
        <w:trPr>
          <w:trHeight w:val="22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33,002</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80"/>
              <w:spacing w:after="0"/>
              <w:rPr>
                <w:sz w:val="20"/>
                <w:szCs w:val="20"/>
                <w:color w:val="auto"/>
              </w:rPr>
            </w:pPr>
            <w:r>
              <w:rPr>
                <w:rFonts w:ascii="Arial" w:cs="Arial" w:eastAsia="Arial" w:hAnsi="Arial"/>
                <w:sz w:val="18"/>
                <w:szCs w:val="18"/>
                <w:color w:val="auto"/>
              </w:rPr>
              <w:t>Less: cash acquired</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w:t>
            </w:r>
          </w:p>
        </w:tc>
        <w:tc>
          <w:tcPr>
            <w:tcW w:w="100" w:type="dxa"/>
            <w:vAlign w:val="bottom"/>
          </w:tcPr>
          <w:p>
            <w:pPr>
              <w:spacing w:after="0"/>
              <w:rPr>
                <w:sz w:val="19"/>
                <w:szCs w:val="19"/>
                <w:color w:val="auto"/>
              </w:rPr>
            </w:pPr>
          </w:p>
        </w:tc>
      </w:tr>
      <w:tr>
        <w:trPr>
          <w:trHeight w:val="263"/>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less cash acquired</w:t>
            </w: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-1523365</wp:posOffset>
            </wp:positionV>
            <wp:extent cx="68580" cy="1625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1625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480" w:firstLine="509"/>
        <w:spacing w:after="0" w:line="252" w:lineRule="auto"/>
        <w:rPr>
          <w:sz w:val="20"/>
          <w:szCs w:val="20"/>
          <w:color w:val="auto"/>
        </w:rPr>
      </w:pPr>
      <w:r>
        <w:rPr>
          <w:rFonts w:ascii="Arial" w:cs="Arial" w:eastAsia="Arial" w:hAnsi="Arial"/>
          <w:sz w:val="18"/>
          <w:szCs w:val="18"/>
          <w:color w:val="auto"/>
        </w:rPr>
        <w:t>Goodwill arising from the acquisition of $16.2 million was attributable to the assembled workforce of Cohort Go and the synergies expected to arise from the acquisition. The Company expects that no goodwill from this acquisition will be deductible for income tax purposes.</w:t>
      </w:r>
    </w:p>
    <w:p>
      <w:pPr>
        <w:spacing w:after="0" w:line="130"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following table reflects the estimated fair values of the identified intangible assets of Cohort Go and their respective weighted-average estimated amortization periods.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9"/>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r>
      <w:tr>
        <w:trPr>
          <w:trHeight w:val="162"/>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9"/>
              <w:spacing w:after="0"/>
              <w:rPr>
                <w:sz w:val="20"/>
                <w:szCs w:val="20"/>
                <w:color w:val="auto"/>
              </w:rPr>
            </w:pPr>
            <w:r>
              <w:rPr>
                <w:rFonts w:ascii="Arial" w:cs="Arial" w:eastAsia="Arial" w:hAnsi="Arial"/>
                <w:sz w:val="14"/>
                <w:szCs w:val="14"/>
                <w:b w:val="1"/>
                <w:bCs w:val="1"/>
                <w:color w:val="auto"/>
              </w:rPr>
              <w:t>Fair Values</w:t>
            </w:r>
          </w:p>
        </w:tc>
        <w:tc>
          <w:tcPr>
            <w:tcW w:w="2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r>
      <w:tr>
        <w:trPr>
          <w:trHeight w:val="162"/>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r>
      <w:tr>
        <w:trPr>
          <w:trHeight w:val="162"/>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r>
      <w:tr>
        <w:trPr>
          <w:trHeight w:val="185"/>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100" w:type="dxa"/>
            <w:vAlign w:val="bottom"/>
          </w:tcPr>
          <w:p>
            <w:pPr>
              <w:spacing w:after="0"/>
              <w:rPr>
                <w:sz w:val="16"/>
                <w:szCs w:val="16"/>
                <w:color w:val="auto"/>
              </w:rPr>
            </w:pPr>
          </w:p>
        </w:tc>
      </w:tr>
      <w:tr>
        <w:trPr>
          <w:trHeight w:val="182"/>
        </w:trPr>
        <w:tc>
          <w:tcPr>
            <w:tcW w:w="7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99"/>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5"/>
                <w:szCs w:val="15"/>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0"/>
                <w:szCs w:val="20"/>
                <w:color w:val="auto"/>
              </w:rPr>
            </w:pPr>
          </w:p>
        </w:tc>
      </w:tr>
      <w:tr>
        <w:trPr>
          <w:trHeight w:val="193"/>
        </w:trPr>
        <w:tc>
          <w:tcPr>
            <w:tcW w:w="7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40" w:type="dxa"/>
            <w:vAlign w:val="bottom"/>
            <w:gridSpan w:val="2"/>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9"/>
        </w:trPr>
        <w:tc>
          <w:tcPr>
            <w:tcW w:w="7780" w:type="dxa"/>
            <w:vAlign w:val="bottom"/>
          </w:tcPr>
          <w:p>
            <w:pPr>
              <w:ind w:left="20"/>
              <w:spacing w:after="0"/>
              <w:rPr>
                <w:sz w:val="20"/>
                <w:szCs w:val="20"/>
                <w:color w:val="auto"/>
              </w:rPr>
            </w:pPr>
            <w:r>
              <w:rPr>
                <w:rFonts w:ascii="Arial" w:cs="Arial" w:eastAsia="Arial" w:hAnsi="Arial"/>
                <w:sz w:val="18"/>
                <w:szCs w:val="18"/>
                <w:color w:val="auto"/>
              </w:rPr>
              <w:t>Agent and customer relationships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11,052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193"/>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7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16,408</w:t>
            </w: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3"/>
        </w:trPr>
        <w:tc>
          <w:tcPr>
            <w:tcW w:w="77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36"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results of Cohort Go have been included in the consolidated financial statements since the date of the acquisition. Cohort Go’s consolidated revenue included in the consolidated financial statements since the acquisition date was $9.7 million. The Company has not disclosed net income or loss since the acquisition date as the business was fully integrated into the consolidated Company’s operations and therefore it was impracticable to determine this amount.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8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years ended December 31, 2022 and 2021 as if the acquisition had occurred on January 1, 2021.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Cohort Go. The unaudited pro forma information reflects the effects of applying the Company’s accounting policies and a pro forma adjustment to the</w:t>
      </w:r>
    </w:p>
    <w:p>
      <w:pPr>
        <w:sectPr>
          <w:pgSz w:w="11900" w:h="16838" w:orient="portrait"/>
          <w:cols w:equalWidth="0" w:num="1">
            <w:col w:w="11240"/>
          </w:cols>
          <w:pgMar w:left="320" w:top="121" w:right="3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combined historical financial information of the Company and Cohort Go, which includes incremental amortization expense associated with the estimated fair value of identified intangible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Year Ended December 31, 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Year Ended December 31, 2021</w:t>
            </w:r>
          </w:p>
        </w:tc>
        <w:tc>
          <w:tcPr>
            <w:tcW w:w="100" w:type="dxa"/>
            <w:vAlign w:val="bottom"/>
          </w:tcPr>
          <w:p>
            <w:pPr>
              <w:spacing w:after="0"/>
              <w:rPr>
                <w:sz w:val="16"/>
                <w:szCs w:val="16"/>
                <w:color w:val="auto"/>
              </w:rPr>
            </w:pPr>
          </w:p>
        </w:tc>
      </w:tr>
      <w:tr>
        <w:trPr>
          <w:trHeight w:val="182"/>
        </w:trPr>
        <w:tc>
          <w:tcPr>
            <w:tcW w:w="5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5"/>
                <w:szCs w:val="15"/>
                <w:color w:val="auto"/>
              </w:rPr>
            </w:pPr>
          </w:p>
        </w:tc>
      </w:tr>
      <w:tr>
        <w:trPr>
          <w:trHeight w:val="182"/>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289,375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301,892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201,149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213,576</w:t>
            </w:r>
          </w:p>
        </w:tc>
        <w:tc>
          <w:tcPr>
            <w:tcW w:w="100" w:type="dxa"/>
            <w:vAlign w:val="bottom"/>
            <w:shd w:val="clear" w:color="auto" w:fill="CFF0FC"/>
          </w:tcPr>
          <w:p>
            <w:pPr>
              <w:spacing w:after="0"/>
              <w:rPr>
                <w:sz w:val="19"/>
                <w:szCs w:val="19"/>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(39,347 )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(37,798 )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(28,085 )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(30,155 )</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WPM</w:t>
      </w:r>
    </w:p>
    <w:p>
      <w:pPr>
        <w:spacing w:after="0" w:line="169"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On December 14, 2021, Flywire completed its acquisition of WPM, a leading software provider that enables seamless and secure receivables payment experiences for universities and colleges across the U.K. The acquisition of WPM was intended to build on Flywire’s existing education payments business and is expected to further accelerate the Company's market share in the U.K. education sector. The acquisition of WPM has been accounted for as a business combination.</w:t>
      </w:r>
    </w:p>
    <w:p>
      <w:pPr>
        <w:spacing w:after="0" w:line="14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terms of the business combination agreement, the Company acquired all outstanding equity of WPM for estimated total purchase consideration of $59.6 million, which consisted of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56,111</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9"/>
                <w:szCs w:val="19"/>
                <w:color w:val="auto"/>
              </w:rPr>
            </w:pPr>
          </w:p>
        </w:tc>
      </w:tr>
      <w:tr>
        <w:trPr>
          <w:trHeight w:val="263"/>
        </w:trPr>
        <w:tc>
          <w:tcPr>
            <w:tcW w:w="92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purchase consideration, net of cash acquired</w:t>
            </w: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contingent consideration is payable at various intervals through March 2024 in the form of cash or up to approximately 225,000 shares of common stock at the Company's option and is dependent upon the Company's achievement of specified minimum payment volume targets and integration targets established for the years ending December 31, 2022 and 2023. A portion of the contingent consideration is also tied to continuing employment of certain key employees; accordingly, approximately 56,000 shares of common stock have been excluded from the purchase consideration. Therefore, total common stock included in the purchase consideration totals up to approximately 169,000 shares of common stock. During the year ended December 31, 2022 and 2021, the Company expensed $0.9 million and less than $0.1 million, respectively, in personnel costs associated with the retention portion of contingent consideration. These personnel costs are included in the Company’s consolidated statements of operations and comprehensive loss and a liability is recorded in accrued expenses and other current liabilities on the consolidated balance sheet. Contingent consideration related to minimum payment volume targets will be settled at 15 months and 27 months after acquisition date based on the 15 months and subsequent 12 months result. Contingent consideration related to integration targets will be settled in common stock upon completion. The contingent consideration related to continuing employment of certain key employees is payable at the two-year acquisition anniversary date.</w:t>
      </w:r>
    </w:p>
    <w:p>
      <w:pPr>
        <w:spacing w:after="0" w:line="153"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As of December 31, 2022, the Company had paid $0.4 million in contingent consideration related to the completion of integration targets. There was no contingent consideration paid during the year ended December 31, 2021.</w:t>
      </w:r>
    </w:p>
    <w:p>
      <w:pPr>
        <w:spacing w:after="0" w:line="112" w:lineRule="exact"/>
        <w:rPr>
          <w:sz w:val="20"/>
          <w:szCs w:val="20"/>
          <w:color w:val="auto"/>
        </w:rPr>
      </w:pPr>
    </w:p>
    <w:p>
      <w:pPr>
        <w:ind w:right="180" w:firstLine="509"/>
        <w:spacing w:after="0" w:line="301" w:lineRule="auto"/>
        <w:rPr>
          <w:sz w:val="20"/>
          <w:szCs w:val="20"/>
          <w:color w:val="auto"/>
        </w:rPr>
      </w:pPr>
      <w:r>
        <w:rPr>
          <w:rFonts w:ascii="Arial" w:cs="Arial" w:eastAsia="Arial" w:hAnsi="Arial"/>
          <w:sz w:val="17"/>
          <w:szCs w:val="17"/>
          <w:color w:val="auto"/>
        </w:rPr>
        <w:t>During the year ended December 31, 2022 and 2021, the Company incurred $0.1 million and $0.6 million, respectively, in transaction costs, which are included in general and administrative expenses in the consolidated statements of operations and comprehensive loss.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table summarizes the allocation of the purchase consideration to the assets acquired and liabilities assumed (in thousands):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92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400" w:type="dxa"/>
            <w:vAlign w:val="bottom"/>
            <w:tcBorders>
              <w:top w:val="single" w:sz="8" w:color="0000FF"/>
            </w:tcBorders>
          </w:tcPr>
          <w:p>
            <w:pPr>
              <w:spacing w:after="0"/>
              <w:rPr>
                <w:sz w:val="18"/>
                <w:szCs w:val="18"/>
                <w:color w:val="auto"/>
              </w:rPr>
            </w:pPr>
          </w:p>
        </w:tc>
        <w:tc>
          <w:tcPr>
            <w:tcW w:w="7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9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r>
      <w:tr>
        <w:trPr>
          <w:trHeight w:val="229"/>
        </w:trPr>
        <w:tc>
          <w:tcPr>
            <w:tcW w:w="9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9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Identifiable intangible assets</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31,301</w:t>
            </w:r>
          </w:p>
        </w:tc>
        <w:tc>
          <w:tcPr>
            <w:tcW w:w="100" w:type="dxa"/>
            <w:vAlign w:val="bottom"/>
          </w:tcPr>
          <w:p>
            <w:pPr>
              <w:spacing w:after="0"/>
              <w:rPr>
                <w:sz w:val="19"/>
                <w:szCs w:val="19"/>
                <w:color w:val="auto"/>
              </w:rPr>
            </w:pPr>
          </w:p>
        </w:tc>
      </w:tr>
      <w:tr>
        <w:trPr>
          <w:trHeight w:val="223"/>
        </w:trPr>
        <w:tc>
          <w:tcPr>
            <w:tcW w:w="926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Total assets acquired</w:t>
            </w:r>
          </w:p>
        </w:tc>
        <w:tc>
          <w:tcPr>
            <w:tcW w:w="7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9"/>
                <w:szCs w:val="19"/>
                <w:color w:val="auto"/>
              </w:rPr>
            </w:pPr>
          </w:p>
        </w:tc>
      </w:tr>
      <w:tr>
        <w:trPr>
          <w:trHeight w:val="229"/>
        </w:trPr>
        <w:tc>
          <w:tcPr>
            <w:tcW w:w="9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r>
        <w:trPr>
          <w:trHeight w:val="229"/>
        </w:trPr>
        <w:tc>
          <w:tcPr>
            <w:tcW w:w="92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7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Total liabilities assumed</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13,267</w:t>
            </w:r>
          </w:p>
        </w:tc>
        <w:tc>
          <w:tcPr>
            <w:tcW w:w="100" w:type="dxa"/>
            <w:vAlign w:val="bottom"/>
          </w:tcPr>
          <w:p>
            <w:pPr>
              <w:spacing w:after="0"/>
              <w:rPr>
                <w:sz w:val="19"/>
                <w:szCs w:val="19"/>
                <w:color w:val="auto"/>
              </w:rPr>
            </w:pPr>
          </w:p>
        </w:tc>
      </w:tr>
      <w:tr>
        <w:trPr>
          <w:trHeight w:val="223"/>
        </w:trPr>
        <w:tc>
          <w:tcPr>
            <w:tcW w:w="9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61,711</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Less: cash acquired</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9"/>
                <w:szCs w:val="19"/>
                <w:color w:val="auto"/>
              </w:rPr>
            </w:pPr>
          </w:p>
        </w:tc>
      </w:tr>
      <w:tr>
        <w:trPr>
          <w:trHeight w:val="263"/>
        </w:trPr>
        <w:tc>
          <w:tcPr>
            <w:tcW w:w="92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assets, less cash acquired</w:t>
            </w: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1543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1625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100" w:firstLine="509"/>
        <w:spacing w:after="0" w:line="301" w:lineRule="auto"/>
        <w:rPr>
          <w:sz w:val="20"/>
          <w:szCs w:val="20"/>
          <w:color w:val="auto"/>
        </w:rPr>
      </w:pPr>
      <w:r>
        <w:rPr>
          <w:rFonts w:ascii="Arial" w:cs="Arial" w:eastAsia="Arial" w:hAnsi="Arial"/>
          <w:sz w:val="17"/>
          <w:szCs w:val="17"/>
          <w:color w:val="auto"/>
        </w:rPr>
        <w:t>Goodwill arising from the acquisition of $40.4 million was attributable to the assembled workforce of WPM and the synergies expected to arise from the acquisition. The Company expects that no goodwill from this acquisition will be deductible for income tax purposes.</w:t>
      </w:r>
    </w:p>
    <w:p>
      <w:pPr>
        <w:spacing w:after="0" w:line="103"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following table reflects the estimated fair values of the identified intangible assets of WPM and their respective weighted-average estimated amortization periods.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4"/>
                <w:szCs w:val="14"/>
                <w:color w:val="auto"/>
              </w:rPr>
            </w:pPr>
          </w:p>
        </w:tc>
      </w:tr>
      <w:tr>
        <w:trPr>
          <w:trHeight w:val="162"/>
        </w:trPr>
        <w:tc>
          <w:tcPr>
            <w:tcW w:w="8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r>
      <w:tr>
        <w:trPr>
          <w:trHeight w:val="162"/>
        </w:trPr>
        <w:tc>
          <w:tcPr>
            <w:tcW w:w="8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9"/>
              <w:spacing w:after="0"/>
              <w:rPr>
                <w:sz w:val="20"/>
                <w:szCs w:val="20"/>
                <w:color w:val="auto"/>
              </w:rPr>
            </w:pPr>
            <w:r>
              <w:rPr>
                <w:rFonts w:ascii="Arial" w:cs="Arial" w:eastAsia="Arial" w:hAnsi="Arial"/>
                <w:sz w:val="14"/>
                <w:szCs w:val="14"/>
                <w:b w:val="1"/>
                <w:bCs w:val="1"/>
                <w:color w:val="auto"/>
              </w:rPr>
              <w:t>Estimated Fair</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r>
      <w:tr>
        <w:trPr>
          <w:trHeight w:val="185"/>
        </w:trPr>
        <w:tc>
          <w:tcPr>
            <w:tcW w:w="8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7"/>
              </w:rPr>
              <w:t>Values</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100" w:type="dxa"/>
            <w:vAlign w:val="bottom"/>
          </w:tcPr>
          <w:p>
            <w:pPr>
              <w:spacing w:after="0"/>
              <w:rPr>
                <w:sz w:val="16"/>
                <w:szCs w:val="16"/>
                <w:color w:val="auto"/>
              </w:rPr>
            </w:pPr>
          </w:p>
        </w:tc>
      </w:tr>
      <w:tr>
        <w:trPr>
          <w:trHeight w:val="182"/>
        </w:trPr>
        <w:tc>
          <w:tcPr>
            <w:tcW w:w="8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9"/>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5"/>
                <w:szCs w:val="15"/>
                <w:color w:val="auto"/>
              </w:rPr>
            </w:pPr>
          </w:p>
        </w:tc>
      </w:tr>
      <w:tr>
        <w:trPr>
          <w:trHeight w:val="229"/>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63"/>
        </w:trPr>
        <w:tc>
          <w:tcPr>
            <w:tcW w:w="80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31,301</w:t>
            </w:r>
          </w:p>
        </w:tc>
        <w:tc>
          <w:tcPr>
            <w:tcW w:w="1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results of WPM have been included in the consolidated financial statements since the date of the acquisition. WPM contributed $6.4 million and $0.3 million in platform revenue during the years ended December 31, 2022 and 2021, respectively. The Company has not disclosed net income or loss since the acquisition date as the business was fully integrated into the consolidated Company’s operations and therefore it was impracticable to determine this amount. The Company has not disclosed unaudited pro forma financial information that shows the results of the Company’s operations for the year ended December 31, 2021 as if the acquisition had occurred on January 1, 2020 as the historical results of WPM are not material to the Company’s consolidated financial statements in any period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Simplee</w:t>
      </w:r>
    </w:p>
    <w:p>
      <w:pPr>
        <w:spacing w:after="0" w:line="16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On February 13, 2020, the Company completed its acquisition of Simplee, a provider of healthcare payment and collections software. The acquisition of Simplee was intended to further expand the capabilities of the Company and to acquire additional clients in the healthcare market. The acquisition of Simplee has been accounted for as a business combination. Pursuant to the terms of the business combination agreement, the Company acquired all outstanding equity of Simplee for estimated total consideration of $86.5 million, which consisted of $79.4 million in cash, net of cash acquired and $7.1 million in estimated fair value of contingent consideration. Contingent consideration, which totaled up to $20.0 million was payable at various intervals provided that the Company retained key clients and achieved certain revenue and integration targets established for the years ended December 31, 2020 and 2021. A portion of the contingent consideration was also tied to continuing employment of certain key employees.</w:t>
      </w:r>
    </w:p>
    <w:p>
      <w:pPr>
        <w:spacing w:after="0" w:line="144"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During the years ended December 31, 2022, 2021 and 2020, the Company expensed $0.2 million, $1.4 million and $1.1 million, respectively, in personnel costs associated with the retention portion of contingent consideration. These personnel costs are included in the Company’s consolidated statements of operations and comprehensive loss and a liability is recorded in accrued expenses and other current liabilities on the consolidated balance sheet.</w:t>
      </w:r>
    </w:p>
    <w:p>
      <w:pPr>
        <w:spacing w:after="0" w:line="149" w:lineRule="exact"/>
        <w:rPr>
          <w:sz w:val="20"/>
          <w:szCs w:val="20"/>
          <w:color w:val="auto"/>
        </w:rPr>
      </w:pPr>
    </w:p>
    <w:p>
      <w:pPr>
        <w:jc w:val="both"/>
        <w:ind w:right="40" w:firstLine="509"/>
        <w:spacing w:after="0" w:line="252" w:lineRule="auto"/>
        <w:rPr>
          <w:sz w:val="20"/>
          <w:szCs w:val="20"/>
          <w:color w:val="auto"/>
        </w:rPr>
      </w:pPr>
      <w:r>
        <w:rPr>
          <w:rFonts w:ascii="Arial" w:cs="Arial" w:eastAsia="Arial" w:hAnsi="Arial"/>
          <w:sz w:val="18"/>
          <w:szCs w:val="18"/>
          <w:color w:val="auto"/>
        </w:rPr>
        <w:t>During the year ended December 31, 2020, the Company incurred $1.5 million in transaction costs, which are included in general and administrative expenses in the consolidated statements of operations and comprehensive loss. No transaction costs were incurred during the years ended December 31, 2022 and 2021.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20" w:firstLine="509"/>
        <w:spacing w:after="0" w:line="274" w:lineRule="auto"/>
        <w:rPr>
          <w:sz w:val="20"/>
          <w:szCs w:val="20"/>
          <w:color w:val="auto"/>
        </w:rPr>
      </w:pPr>
      <w:r>
        <w:rPr>
          <w:rFonts w:ascii="Arial" w:cs="Arial" w:eastAsia="Arial" w:hAnsi="Arial"/>
          <w:sz w:val="17"/>
          <w:szCs w:val="17"/>
          <w:color w:val="auto"/>
        </w:rPr>
        <w:t>During the years ended December 31, 2021 and 2020, the Company incurred $2.7 million and $3.4 million, respectively, of retention costs to compensate employees of Simplee for future services. No retention costs were incurred during the year ended December 31, 2022. These retention costs are included in personnel costs in the Company’s consolidated statements of operations and comprehensive loss.</w:t>
      </w:r>
    </w:p>
    <w:p>
      <w:pPr>
        <w:spacing w:after="0" w:line="126" w:lineRule="exact"/>
        <w:rPr>
          <w:sz w:val="20"/>
          <w:szCs w:val="20"/>
          <w:color w:val="auto"/>
        </w:rPr>
      </w:pPr>
    </w:p>
    <w:p>
      <w:pPr>
        <w:jc w:val="both"/>
        <w:ind w:right="280" w:firstLine="509"/>
        <w:spacing w:after="0" w:line="274" w:lineRule="auto"/>
        <w:rPr>
          <w:sz w:val="20"/>
          <w:szCs w:val="20"/>
          <w:color w:val="auto"/>
        </w:rPr>
      </w:pPr>
      <w:r>
        <w:rPr>
          <w:rFonts w:ascii="Arial" w:cs="Arial" w:eastAsia="Arial" w:hAnsi="Arial"/>
          <w:sz w:val="17"/>
          <w:szCs w:val="17"/>
          <w:color w:val="auto"/>
        </w:rPr>
        <w:t>During March 2022, the Company made the final payment of contingent consideration in the amount of $7.8 million. During the year ended December 31, 2021, the Company paid $7.0 million in contingent consideration. There was no contingent consideration paid during the year ended December 31, 2020. No additional contingent consideration is due or payable with respect to the Simplee acquisition.</w:t>
      </w:r>
    </w:p>
    <w:p>
      <w:pPr>
        <w:spacing w:after="0" w:line="113"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The results of Simplee have been included in the consolidated financial statements since the date of the acquisition. Simplee contributed $41.8 million, $41.9 million and $34.1 million in platform revenue during the years ended December 31, 2022, 2021 and 2020, respectively. The Company has not disclosed net income or loss since the acquisition date as the business was fully integrated into the consolidated Company’s operations and therefore it was impracticable to determine this amount.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8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year ended December 31, 2020 as if the acquisition had occurred on January 1, 2019.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Simplee. The unaudited pro forma information reflects the effects of applying the Company’s accounting policies and certain pro forma adjustments to the combined historical financial information of the Company and Simplee. The pro forma adjustments include:</w:t>
      </w:r>
    </w:p>
    <w:p>
      <w:pPr>
        <w:spacing w:after="0" w:line="142" w:lineRule="exact"/>
        <w:rPr>
          <w:sz w:val="20"/>
          <w:szCs w:val="20"/>
          <w:color w:val="auto"/>
        </w:rPr>
      </w:pPr>
    </w:p>
    <w:p>
      <w:pPr>
        <w:ind w:left="1280" w:right="320" w:hanging="254"/>
        <w:spacing w:after="0" w:line="270" w:lineRule="auto"/>
        <w:tabs>
          <w:tab w:leader="none" w:pos="12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estimated fair value of identified intangible assets and property and equipment;</w:t>
      </w:r>
    </w:p>
    <w:p>
      <w:pPr>
        <w:spacing w:after="0" w:line="113" w:lineRule="exact"/>
        <w:rPr>
          <w:rFonts w:ascii="Times New Roman" w:cs="Times New Roman" w:eastAsia="Times New Roman" w:hAnsi="Times New Roman"/>
          <w:sz w:val="18"/>
          <w:szCs w:val="18"/>
          <w:color w:val="auto"/>
        </w:rPr>
      </w:pPr>
    </w:p>
    <w:p>
      <w:pPr>
        <w:ind w:left="1280" w:right="660" w:hanging="254"/>
        <w:spacing w:after="0" w:line="270" w:lineRule="auto"/>
        <w:tabs>
          <w:tab w:leader="none" w:pos="12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revenue and cost of revenue adjustments as a result of the reduction in deferred revenue and the cost related to their estimated fair value;</w:t>
      </w:r>
    </w:p>
    <w:p>
      <w:pPr>
        <w:spacing w:after="0" w:line="126"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Simplee employees; and</w:t>
      </w:r>
    </w:p>
    <w:p>
      <w:pPr>
        <w:spacing w:after="0" w:line="183"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tcPr>
          <w:p>
            <w:pPr>
              <w:spacing w:after="0"/>
              <w:rPr>
                <w:sz w:val="16"/>
                <w:szCs w:val="16"/>
                <w:color w:val="auto"/>
              </w:rPr>
            </w:pPr>
          </w:p>
        </w:tc>
      </w:tr>
      <w:tr>
        <w:trPr>
          <w:trHeight w:val="182"/>
        </w:trPr>
        <w:tc>
          <w:tcPr>
            <w:tcW w:w="7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5"/>
                <w:szCs w:val="15"/>
                <w:color w:val="auto"/>
              </w:rPr>
            </w:pPr>
          </w:p>
        </w:tc>
      </w:tr>
      <w:tr>
        <w:trPr>
          <w:trHeight w:val="182"/>
        </w:trPr>
        <w:tc>
          <w:tcPr>
            <w:tcW w:w="7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131,783</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136,269</w:t>
            </w: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(11,107 )</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(13,444 )</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Acquired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following table summarizes the changes in the carrying amount of goodwill for the years ended December 31, 2022 and 2021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85,841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Goodwill related to acquisitions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16,197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40,389</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(4,272 )</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97,766</w:t>
            </w:r>
          </w:p>
        </w:tc>
        <w:tc>
          <w:tcPr>
            <w:tcW w:w="28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85,841</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1797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goodwill impairment was recorded during the years ended December 31, 2022, 2021 and 2020.</w:t>
      </w:r>
    </w:p>
    <w:p>
      <w:pPr>
        <w:spacing w:after="0" w:line="1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Acquired intangible assets subject to amortization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3"/>
                <w:szCs w:val="13"/>
                <w:color w:val="auto"/>
              </w:rPr>
            </w:pPr>
          </w:p>
        </w:tc>
      </w:tr>
      <w:tr>
        <w:trPr>
          <w:trHeight w:val="162"/>
        </w:trPr>
        <w:tc>
          <w:tcPr>
            <w:tcW w:w="3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r>
      <w:tr>
        <w:trPr>
          <w:trHeight w:val="162"/>
        </w:trPr>
        <w:tc>
          <w:tcPr>
            <w:tcW w:w="3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4"/>
                <w:szCs w:val="14"/>
                <w:b w:val="1"/>
                <w:bCs w:val="1"/>
                <w:color w:val="auto"/>
                <w:w w:val="99"/>
              </w:rPr>
              <w:t>Net Carrying</w:t>
            </w: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Remaining Life</w:t>
            </w:r>
          </w:p>
        </w:tc>
        <w:tc>
          <w:tcPr>
            <w:tcW w:w="100" w:type="dxa"/>
            <w:vAlign w:val="bottom"/>
          </w:tcPr>
          <w:p>
            <w:pPr>
              <w:spacing w:after="0"/>
              <w:rPr>
                <w:sz w:val="14"/>
                <w:szCs w:val="14"/>
                <w:color w:val="auto"/>
              </w:rPr>
            </w:pPr>
          </w:p>
        </w:tc>
      </w:tr>
      <w:tr>
        <w:trPr>
          <w:trHeight w:val="185"/>
        </w:trPr>
        <w:tc>
          <w:tcPr>
            <w:tcW w:w="3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6"/>
                <w:szCs w:val="16"/>
                <w:color w:val="auto"/>
              </w:rPr>
            </w:pPr>
          </w:p>
        </w:tc>
        <w:tc>
          <w:tcPr>
            <w:tcW w:w="136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980" w:type="dxa"/>
            <w:vAlign w:val="bottom"/>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60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31,848</w:t>
            </w: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16,419</w:t>
            </w:r>
          </w:p>
        </w:tc>
        <w:tc>
          <w:tcPr>
            <w:tcW w:w="140" w:type="dxa"/>
            <w:vAlign w:val="bottom"/>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Acquired Relationships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90,612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(9,423 )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81,189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r>
      <w:tr>
        <w:trPr>
          <w:trHeight w:val="229"/>
        </w:trPr>
        <w:tc>
          <w:tcPr>
            <w:tcW w:w="60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Non-Compete Agreement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(461 )</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FF0FC"/>
          </w:tcPr>
          <w:p>
            <w:pPr>
              <w:spacing w:after="0"/>
              <w:rPr>
                <w:sz w:val="19"/>
                <w:szCs w:val="19"/>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3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122,929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(25,313 )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97,616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-273050</wp:posOffset>
            </wp:positionV>
            <wp:extent cx="76835" cy="1797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-273050</wp:posOffset>
            </wp:positionV>
            <wp:extent cx="68580" cy="1797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-273050</wp:posOffset>
            </wp:positionV>
            <wp:extent cx="68580" cy="1797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5" w:lineRule="exact"/>
        <w:rPr>
          <w:sz w:val="20"/>
          <w:szCs w:val="20"/>
          <w:color w:val="auto"/>
        </w:rPr>
      </w:pPr>
    </w:p>
    <w:p>
      <w:pPr>
        <w:ind w:left="120" w:right="6480" w:firstLine="8"/>
        <w:spacing w:after="0" w:line="284" w:lineRule="auto"/>
        <w:tabs>
          <w:tab w:leader="none" w:pos="216"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$(3,416) thousand of foreign currency translation adjustments. ** Includes $154 thousand of foreign currency translation adjustments.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3"/>
                <w:szCs w:val="13"/>
                <w:color w:val="auto"/>
              </w:rPr>
            </w:pPr>
          </w:p>
        </w:tc>
      </w:tr>
      <w:tr>
        <w:trPr>
          <w:trHeight w:val="162"/>
        </w:trPr>
        <w:tc>
          <w:tcPr>
            <w:tcW w:w="3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r>
      <w:tr>
        <w:trPr>
          <w:trHeight w:val="162"/>
        </w:trPr>
        <w:tc>
          <w:tcPr>
            <w:tcW w:w="3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4"/>
                <w:szCs w:val="14"/>
                <w:b w:val="1"/>
                <w:bCs w:val="1"/>
                <w:color w:val="auto"/>
                <w:w w:val="99"/>
              </w:rPr>
              <w:t>Net Carrying</w:t>
            </w: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Remaining Life</w:t>
            </w:r>
          </w:p>
        </w:tc>
        <w:tc>
          <w:tcPr>
            <w:tcW w:w="100" w:type="dxa"/>
            <w:vAlign w:val="bottom"/>
          </w:tcPr>
          <w:p>
            <w:pPr>
              <w:spacing w:after="0"/>
              <w:rPr>
                <w:sz w:val="14"/>
                <w:szCs w:val="14"/>
                <w:color w:val="auto"/>
              </w:rPr>
            </w:pPr>
          </w:p>
        </w:tc>
      </w:tr>
      <w:tr>
        <w:trPr>
          <w:trHeight w:val="185"/>
        </w:trPr>
        <w:tc>
          <w:tcPr>
            <w:tcW w:w="3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980" w:type="dxa"/>
            <w:vAlign w:val="bottom"/>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60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26,600</w:t>
            </w: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(10,635</w:t>
            </w:r>
          </w:p>
        </w:tc>
        <w:tc>
          <w:tcPr>
            <w:tcW w:w="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15,965</w:t>
            </w:r>
          </w:p>
        </w:tc>
        <w:tc>
          <w:tcPr>
            <w:tcW w:w="140" w:type="dxa"/>
            <w:vAlign w:val="bottom"/>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Acquired Relationships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(5,356 )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77,531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r>
      <w:tr>
        <w:trPr>
          <w:trHeight w:val="229"/>
        </w:trPr>
        <w:tc>
          <w:tcPr>
            <w:tcW w:w="60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Non-Compete Agreement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(367 )</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19"/>
                <w:szCs w:val="19"/>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3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109,956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(16,358 )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93,598</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-273050</wp:posOffset>
            </wp:positionV>
            <wp:extent cx="76835" cy="1797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-273050</wp:posOffset>
            </wp:positionV>
            <wp:extent cx="68580" cy="1797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-273050</wp:posOffset>
            </wp:positionV>
            <wp:extent cx="68580" cy="1797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Includes $628 thousand of foreign currency translation adjustments and $119 thousand in acquired developed technology assets.</w:t>
      </w:r>
    </w:p>
    <w:p>
      <w:pPr>
        <w:spacing w:after="0" w:line="166" w:lineRule="exact"/>
        <w:rPr>
          <w:sz w:val="20"/>
          <w:szCs w:val="20"/>
          <w:color w:val="auto"/>
        </w:rPr>
      </w:pPr>
    </w:p>
    <w:p>
      <w:pPr>
        <w:ind w:right="780" w:firstLine="509"/>
        <w:spacing w:after="0" w:line="271" w:lineRule="auto"/>
        <w:rPr>
          <w:sz w:val="20"/>
          <w:szCs w:val="20"/>
          <w:color w:val="auto"/>
        </w:rPr>
      </w:pPr>
      <w:r>
        <w:rPr>
          <w:rFonts w:ascii="Arial" w:cs="Arial" w:eastAsia="Arial" w:hAnsi="Arial"/>
          <w:sz w:val="18"/>
          <w:szCs w:val="18"/>
          <w:color w:val="auto"/>
        </w:rPr>
        <w:t>Amortization expense for the years ended December 31, 2022, 2021 and 2020 was $9.1 million, $6.7 million and $4.9 million, respectively.</w:t>
      </w:r>
    </w:p>
    <w:p>
      <w:pPr>
        <w:spacing w:after="0" w:line="126"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As of December 31, 2022, the estimated annual amortization expense of intangible assets for each of the next five years and thereafter is expected to be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jc w:val="center"/>
              <w:ind w:right="236"/>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r>
      <w:tr>
        <w:trPr>
          <w:trHeight w:val="162"/>
        </w:trPr>
        <w:tc>
          <w:tcPr>
            <w:tcW w:w="9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jc w:val="center"/>
              <w:ind w:right="236"/>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r>
      <w:tr>
        <w:trPr>
          <w:trHeight w:val="185"/>
        </w:trPr>
        <w:tc>
          <w:tcPr>
            <w:tcW w:w="9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6"/>
                <w:szCs w:val="16"/>
                <w:color w:val="auto"/>
              </w:rPr>
            </w:pPr>
          </w:p>
        </w:tc>
      </w:tr>
      <w:tr>
        <w:trPr>
          <w:trHeight w:val="22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10,922</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10,769</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8,998</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8,631</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47,896</w:t>
            </w:r>
          </w:p>
        </w:tc>
        <w:tc>
          <w:tcPr>
            <w:tcW w:w="100" w:type="dxa"/>
            <w:vAlign w:val="bottom"/>
          </w:tcPr>
          <w:p>
            <w:pPr>
              <w:spacing w:after="0"/>
              <w:rPr>
                <w:sz w:val="19"/>
                <w:szCs w:val="19"/>
                <w:color w:val="auto"/>
              </w:rPr>
            </w:pPr>
          </w:p>
        </w:tc>
      </w:tr>
      <w:tr>
        <w:trPr>
          <w:trHeight w:val="263"/>
        </w:trPr>
        <w:tc>
          <w:tcPr>
            <w:tcW w:w="9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97,616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69"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On July 29, 2021, the Company entered into a three-year senior secured Revolving Credit Facility with three banks for a total commitment of $50.0 million. The Revolving Credit Facility includes a $5.0 million letter of credit sub-facility and a $5.0 million swingline sub-facility, with available borrowings under the Revolving Credit Facility reduced by the amount of any letters of credit and swingline borrowings outstanding from time to time. The Revolving Credit Facility is guaranteed by Flywire’s material domestic subsidiaries. One of the lenders in the syndicate was the existing debt holder under the LSA entered into in 2018 and amended in 2020.</w:t>
      </w:r>
    </w:p>
    <w:p>
      <w:pPr>
        <w:spacing w:after="0" w:line="139"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Revolving Credit Facility consists of ABR loans or Eurodollar Borrowings, at the Company’s option. ABR loans bear interest at the ABR plus the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LIBO Rate multiplied by (b) the Statutory Reserve Rate. The applicable rate is based upon the Company’s liquidity as of the most recent consolidated financial information and ranges from 0.75% to 2.25%. The Revolving Credit Facility incurs a commitment fee ranging from 0.25% to 0.35% based upon the Company’s liquidity as of the most recent consolidated financial information assessed on the average undrawn portion of the available commitment.</w:t>
      </w:r>
    </w:p>
    <w:p>
      <w:pPr>
        <w:spacing w:after="0" w:line="14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Revolving Credit Facility becoming immediately due and payable and termination of the commitments. The Company was in compliance with all covenants associated with the Revolving Credit Facility as of December 31, 2022 and 2021.</w:t>
      </w:r>
    </w:p>
    <w:p>
      <w:pPr>
        <w:spacing w:after="0" w:line="14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On July 29, 2021, the Company drew $25.9 million on the Revolving Credit Facility and used the proceeds to early prepay the LSA $25.0 million term loan. In connection with the transaction, the Company incurred $0.4 million in prepayment costs and $0.3 million in debt issuance costs. Debt issuance costs related to new lenders in the syndication are amortized on a straight-line basis over the term of the Revolving Credit Facility. Debt issuance costs related to the existing lender in the syndication were expensed. The exchange of the LSA term loan with the Revolving Credit Facility from the same lender was accounted for as a modification. Prior to entering into the Revolving Credit Facility, debt issuance costs and debt discounts were amortized to interest expense using the effective interest method over the repayment term of the debt and were presented as an offset to the outstanding debt balance on the consolidated balance sheets. Upon the execution of the Revolving Credit Facility, debt issuance costs and debt discount are amortized on a straight-line basis over the contractual term of the agreement and are presented as a component of other assets on the Company's consolidated balance sheets.</w:t>
      </w:r>
    </w:p>
    <w:p>
      <w:pPr>
        <w:spacing w:after="0" w:line="141" w:lineRule="exact"/>
        <w:rPr>
          <w:sz w:val="20"/>
          <w:szCs w:val="20"/>
          <w:color w:val="auto"/>
        </w:rPr>
      </w:pPr>
    </w:p>
    <w:p>
      <w:pPr>
        <w:jc w:val="both"/>
        <w:ind w:right="80" w:firstLine="509"/>
        <w:spacing w:after="0" w:line="252" w:lineRule="auto"/>
        <w:rPr>
          <w:sz w:val="20"/>
          <w:szCs w:val="20"/>
          <w:color w:val="auto"/>
        </w:rPr>
      </w:pPr>
      <w:r>
        <w:rPr>
          <w:rFonts w:ascii="Arial" w:cs="Arial" w:eastAsia="Arial" w:hAnsi="Arial"/>
          <w:sz w:val="18"/>
          <w:szCs w:val="18"/>
          <w:color w:val="auto"/>
        </w:rPr>
        <w:t>On October 28, 2022, the Company repaid the $25.9 million outstanding under the Revolving Credit Facility. Following the repayment, the Company continued to have access to a total commitment of $50.0 million under the Revolving Credit Facility. As of December 31, 2022 and 2021, the Company had $0 and $25.9 million outstanding under the Revolving Credit Facility, respectively.</w:t>
      </w:r>
    </w:p>
    <w:p>
      <w:pPr>
        <w:spacing w:after="0" w:line="144"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Interest expense for the years ended December 31, 2022, 2021 and 2020 was $1.2 million, $2.0 million and $2.5 million, respectively. Included in interest expense for the years ended December 31, 2022, 2021 and 2020 is $0.3 million, $0.3 million and $0.2 million of amortization of debt issuance cost and debt discount,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January 16, 2018, the Company entered into the LSA with a financial institution for a $25.0 million loan with interest at a rate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8.5% per annum. The LSA maturity date was January 22, 2022. The Company was obligated to make monthly interest payments on the loan.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LSA was interest only until February 1, 2020 pending on achieving certain revenue and margin targets. The Company incurred debt</w:t>
      </w:r>
    </w:p>
    <w:p>
      <w:pPr>
        <w:spacing w:after="0" w:line="234" w:lineRule="auto"/>
        <w:rPr>
          <w:sz w:val="20"/>
          <w:szCs w:val="20"/>
          <w:color w:val="auto"/>
        </w:rPr>
      </w:pPr>
      <w:r>
        <w:rPr>
          <w:rFonts w:ascii="Arial" w:cs="Arial" w:eastAsia="Arial" w:hAnsi="Arial"/>
          <w:sz w:val="18"/>
          <w:szCs w:val="18"/>
          <w:color w:val="auto"/>
        </w:rPr>
        <w:t>issuance costs of $0.2 million in connection with the issuance of the LSA, which were amortized to interest expense, using the effective</w:t>
      </w:r>
    </w:p>
    <w:p>
      <w:pPr>
        <w:spacing w:after="0"/>
        <w:rPr>
          <w:sz w:val="20"/>
          <w:szCs w:val="20"/>
          <w:color w:val="auto"/>
        </w:rPr>
      </w:pPr>
      <w:r>
        <w:rPr>
          <w:rFonts w:ascii="Arial" w:cs="Arial" w:eastAsia="Arial" w:hAnsi="Arial"/>
          <w:sz w:val="18"/>
          <w:szCs w:val="18"/>
          <w:color w:val="auto"/>
        </w:rPr>
        <w:t>interest method, over the term of the loan.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April 25, 2020, the Company entered into a Joinder and First Amendment to the LSA for administrative matters.</w:t>
      </w:r>
    </w:p>
    <w:p>
      <w:pPr>
        <w:spacing w:after="0" w:line="17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On May 18, 2020, the Company entered into a Joinder and Second Amendment to the LSA to refinance the LSA. As part of the amendment, the financial institution re-advanced $4.2 million of principal paid on the loan through May 1, 2020. The final maturity date of the LSA was extended to May 2025. The new stated interest rate was at a floating per annum rate equal to the greater of (i) 5.25% above the prime rate; or (ii) 8.50%. The LSA was interest only until May 2023. Beginning on June 1, 2023, the Company would make 24 equal principal payments. The Company incurred $0.2 million in commitment fees from the financial institution to close the refinancing. These commitment fees were recorded as a reduction to the loan balance on the balance sheet.</w:t>
      </w:r>
    </w:p>
    <w:p>
      <w:pPr>
        <w:spacing w:after="0" w:line="142"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On June 2, 2020, December 9, 2020 and May 19, 2021, the Company entered into a Third, Fourth and Fifth Amendment, respectively, to the LSA for administrative matters.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amendments were accounted for as debt modifications.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On July 29, 2021, the Company drew $25.9 million on its new Revolving Credit Facility and used the proceeds to early prepay the $25.0 million LSA. In connection with the transaction, the Company incurred $0.4 million of prepayment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(Deficit)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69" w:lineRule="exact"/>
        <w:rPr>
          <w:sz w:val="20"/>
          <w:szCs w:val="20"/>
          <w:color w:val="auto"/>
        </w:rPr>
      </w:pPr>
    </w:p>
    <w:p>
      <w:pPr>
        <w:jc w:val="both"/>
        <w:ind w:right="180" w:firstLine="509"/>
        <w:spacing w:after="0" w:line="252" w:lineRule="auto"/>
        <w:rPr>
          <w:sz w:val="20"/>
          <w:szCs w:val="20"/>
          <w:color w:val="auto"/>
        </w:rPr>
      </w:pPr>
      <w:r>
        <w:rPr>
          <w:rFonts w:ascii="Arial" w:cs="Arial" w:eastAsia="Arial" w:hAnsi="Arial"/>
          <w:sz w:val="18"/>
          <w:szCs w:val="18"/>
          <w:color w:val="auto"/>
        </w:rPr>
        <w:t>In connection with the IPO, the Company’s amended and restated certificate of incorporation became effective, which authorized the issuance of 10,000,000 shares of undesignated preferred stock with a par value of $0.0001 per share with rights and preferences, including voting rights, designated from time to time by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connection with the IPO, the Company’s current amended and restated certificate of incorporation authorized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 As of December 31, 2022 and 2021, no cash dividends have been declared or paid.</w:t>
      </w:r>
    </w:p>
    <w:p>
      <w:pPr>
        <w:spacing w:after="0" w:line="14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Holders of the Company's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58"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During the year ended December 31, 2022, 4,115,058 shares of the Company's non-voting common stock converted into shares of common stock on a one-to-one basis upon the sale of such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had reserved shares of common stock for future issuance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5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Year Ended December 31, 2022</w:t>
            </w:r>
          </w:p>
        </w:tc>
        <w:tc>
          <w:tcPr>
            <w:tcW w:w="100" w:type="dxa"/>
            <w:vAlign w:val="bottom"/>
          </w:tcPr>
          <w:p>
            <w:pPr>
              <w:spacing w:after="0"/>
              <w:rPr>
                <w:sz w:val="16"/>
                <w:szCs w:val="16"/>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and outstanding stock options</w:t>
            </w:r>
          </w:p>
        </w:tc>
        <w:tc>
          <w:tcPr>
            <w:tcW w:w="3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12,160,560</w:t>
            </w:r>
          </w:p>
        </w:tc>
        <w:tc>
          <w:tcPr>
            <w:tcW w:w="100" w:type="dxa"/>
            <w:vAlign w:val="bottom"/>
            <w:shd w:val="clear" w:color="auto" w:fill="CFF0FC"/>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Issued and outstanding restricted stock units</w:t>
            </w:r>
          </w:p>
        </w:tc>
        <w:tc>
          <w:tcPr>
            <w:tcW w:w="3540" w:type="dxa"/>
            <w:vAlign w:val="bottom"/>
          </w:tcPr>
          <w:p>
            <w:pPr>
              <w:jc w:val="right"/>
              <w:spacing w:after="0"/>
              <w:rPr>
                <w:sz w:val="20"/>
                <w:szCs w:val="20"/>
                <w:color w:val="auto"/>
              </w:rPr>
            </w:pPr>
            <w:r>
              <w:rPr>
                <w:rFonts w:ascii="Arial" w:cs="Arial" w:eastAsia="Arial" w:hAnsi="Arial"/>
                <w:sz w:val="18"/>
                <w:szCs w:val="18"/>
                <w:color w:val="auto"/>
              </w:rPr>
              <w:t>2,934,442</w:t>
            </w:r>
          </w:p>
        </w:tc>
        <w:tc>
          <w:tcPr>
            <w:tcW w:w="100" w:type="dxa"/>
            <w:vAlign w:val="bottom"/>
          </w:tcPr>
          <w:p>
            <w:pPr>
              <w:spacing w:after="0"/>
              <w:rPr>
                <w:sz w:val="19"/>
                <w:szCs w:val="19"/>
                <w:color w:val="auto"/>
              </w:rPr>
            </w:pPr>
          </w:p>
        </w:tc>
      </w:tr>
      <w:tr>
        <w:trPr>
          <w:trHeight w:val="22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issuance under the 2021 Equity Incentive Plan</w:t>
            </w:r>
          </w:p>
        </w:tc>
        <w:tc>
          <w:tcPr>
            <w:tcW w:w="3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11,815,329</w:t>
            </w:r>
          </w:p>
        </w:tc>
        <w:tc>
          <w:tcPr>
            <w:tcW w:w="100" w:type="dxa"/>
            <w:vAlign w:val="bottom"/>
            <w:shd w:val="clear" w:color="auto" w:fill="CFF0FC"/>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Available for issuance under Employee Stock Purchase Plan</w:t>
            </w:r>
          </w:p>
        </w:tc>
        <w:tc>
          <w:tcPr>
            <w:tcW w:w="3540" w:type="dxa"/>
            <w:vAlign w:val="bottom"/>
          </w:tcPr>
          <w:p>
            <w:pPr>
              <w:jc w:val="right"/>
              <w:spacing w:after="0"/>
              <w:rPr>
                <w:sz w:val="20"/>
                <w:szCs w:val="20"/>
                <w:color w:val="auto"/>
              </w:rPr>
            </w:pPr>
            <w:r>
              <w:rPr>
                <w:rFonts w:ascii="Arial" w:cs="Arial" w:eastAsia="Arial" w:hAnsi="Arial"/>
                <w:sz w:val="18"/>
                <w:szCs w:val="18"/>
                <w:color w:val="auto"/>
              </w:rPr>
              <w:t>2,618,718</w:t>
            </w:r>
          </w:p>
        </w:tc>
        <w:tc>
          <w:tcPr>
            <w:tcW w:w="100" w:type="dxa"/>
            <w:vAlign w:val="bottom"/>
          </w:tcPr>
          <w:p>
            <w:pPr>
              <w:spacing w:after="0"/>
              <w:rPr>
                <w:sz w:val="19"/>
                <w:szCs w:val="19"/>
                <w:color w:val="auto"/>
              </w:rPr>
            </w:pPr>
          </w:p>
        </w:tc>
      </w:tr>
      <w:tr>
        <w:trPr>
          <w:trHeight w:val="22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Available for conversion of non-voting common stock</w:t>
            </w:r>
          </w:p>
        </w:tc>
        <w:tc>
          <w:tcPr>
            <w:tcW w:w="3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1,873,320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3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31,402,369</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82"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Equity Incentive Plan (the 2021 Plan), which became effective in connection with the IPO.</w:t>
      </w:r>
    </w:p>
    <w:p>
      <w:pPr>
        <w:spacing w:after="0" w:line="112"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2009 Plan or 2018 Plan, an equal number of shares will become available for grant under the 2021 Plan. The 2021 Plan, 2018 Plan and 2009 Plan are collectively referred to as the “Equity Incentive Plans”.</w:t>
      </w:r>
    </w:p>
    <w:p>
      <w:pPr>
        <w:spacing w:after="0" w:line="126"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 14,523,284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voting common stock will become available under the 2021 Plan.</w:t>
      </w:r>
    </w:p>
    <w:p>
      <w:pPr>
        <w:spacing w:after="0" w:line="142"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As of December 31, 2022, a total of 11,815,329 shares of the Company's common stock were available for future issuance under the 2021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2" w:lineRule="exact"/>
        <w:rPr>
          <w:sz w:val="20"/>
          <w:szCs w:val="20"/>
          <w:color w:val="auto"/>
        </w:rPr>
      </w:pPr>
    </w:p>
    <w:p>
      <w:pPr>
        <w:jc w:val="both"/>
        <w:ind w:right="320" w:firstLine="509"/>
        <w:spacing w:after="0" w:line="252" w:lineRule="auto"/>
        <w:rPr>
          <w:sz w:val="20"/>
          <w:szCs w:val="20"/>
          <w:color w:val="auto"/>
        </w:rPr>
      </w:pPr>
      <w:r>
        <w:rPr>
          <w:rFonts w:ascii="Arial" w:cs="Arial" w:eastAsia="Arial" w:hAnsi="Arial"/>
          <w:sz w:val="18"/>
          <w:szCs w:val="18"/>
          <w:color w:val="auto"/>
        </w:rPr>
        <w:t>Stock options granted under the 2009 Plan, 2018 Plan and the 2021 Plan generally vest based on continued service over four years and expire within ten years from the date of grant. Any options that are canceled or forfeited before expiration become available for future grants.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a summary of stock option activity since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8"/>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r>
      <w:tr>
        <w:trPr>
          <w:trHeight w:val="162"/>
        </w:trPr>
        <w:tc>
          <w:tcPr>
            <w:tcW w:w="5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4"/>
                <w:szCs w:val="14"/>
                <w:color w:val="auto"/>
              </w:rPr>
            </w:pPr>
          </w:p>
        </w:tc>
      </w:tr>
      <w:tr>
        <w:trPr>
          <w:trHeight w:val="162"/>
        </w:trPr>
        <w:tc>
          <w:tcPr>
            <w:tcW w:w="572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r>
      <w:tr>
        <w:trPr>
          <w:trHeight w:val="185"/>
        </w:trPr>
        <w:tc>
          <w:tcPr>
            <w:tcW w:w="5720" w:type="dxa"/>
            <w:vAlign w:val="bottom"/>
          </w:tcPr>
          <w:p>
            <w:pPr>
              <w:spacing w:after="0"/>
              <w:rPr>
                <w:sz w:val="16"/>
                <w:szCs w:val="16"/>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 Per Share</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r>
      <w:tr>
        <w:trPr>
          <w:trHeight w:val="223"/>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14,855,292</w:t>
            </w: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487,264</w:t>
            </w: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333,500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30.08</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(2,640,082 )</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(388,150 )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17.83</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12,160,560</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229,349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8"/>
                <w:szCs w:val="18"/>
                <w:color w:val="auto"/>
              </w:rPr>
              <w:t>Exercisable as of December 31, 2022</w:t>
            </w:r>
          </w:p>
        </w:tc>
        <w:tc>
          <w:tcPr>
            <w:tcW w:w="1340" w:type="dxa"/>
            <w:vAlign w:val="bottom"/>
          </w:tcPr>
          <w:p>
            <w:pPr>
              <w:jc w:val="right"/>
              <w:spacing w:after="0"/>
              <w:rPr>
                <w:sz w:val="20"/>
                <w:szCs w:val="20"/>
                <w:color w:val="auto"/>
              </w:rPr>
            </w:pPr>
            <w:r>
              <w:rPr>
                <w:rFonts w:ascii="Arial" w:cs="Arial" w:eastAsia="Arial" w:hAnsi="Arial"/>
                <w:sz w:val="18"/>
                <w:szCs w:val="18"/>
                <w:color w:val="auto"/>
              </w:rPr>
              <w:t>8,447,996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174,009</w:t>
            </w:r>
          </w:p>
        </w:tc>
        <w:tc>
          <w:tcPr>
            <w:tcW w:w="100" w:type="dxa"/>
            <w:vAlign w:val="bottom"/>
          </w:tcPr>
          <w:p>
            <w:pPr>
              <w:spacing w:after="0"/>
              <w:rPr>
                <w:sz w:val="18"/>
                <w:szCs w:val="18"/>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or expected to vest as of December 31, 2022</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3,532,733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52,915</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-316230</wp:posOffset>
            </wp:positionV>
            <wp:extent cx="2654300" cy="1714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654300" cy="171450"/>
                    </a:xfrm>
                    <a:prstGeom prst="rect">
                      <a:avLst/>
                    </a:prstGeom>
                    <a:noFill/>
                  </pic:spPr>
                </pic:pic>
              </a:graphicData>
            </a:graphic>
          </wp:anchor>
        </w:drawing>
      </w:r>
    </w:p>
    <w:p>
      <w:pPr>
        <w:spacing w:after="0" w:line="150"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closing price of the Company’s common stock at December 31, 2022. The aggregate intrinsic value of stock options exercised during the years ended December 31, 2022, 2021 and 2020 was $56.1 million, $217.7 million and $6.6 million, respectively.</w:t>
      </w:r>
    </w:p>
    <w:p>
      <w:pPr>
        <w:spacing w:after="0" w:line="130"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2022, 2021 and 2020 was $30.08, $12.59, and $3.95 per share, respectively.</w:t>
      </w:r>
    </w:p>
    <w:p>
      <w:pPr>
        <w:spacing w:after="0" w:line="112"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Company received cash proceeds from the exercise of common stock options of $4.7 million, $6.9 million, and $0.8 million during the years ended December 31, 2022, 2021 and 2020, respectively.</w:t>
      </w:r>
    </w:p>
    <w:p>
      <w:pPr>
        <w:spacing w:after="0" w:line="126"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The table below quantifies the weighted average of the most significant inputs to determine the fair value of stock options granted.</w:t>
      </w:r>
    </w:p>
    <w:p>
      <w:pPr>
        <w:spacing w:after="0" w:line="135"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15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9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0 %</w:t>
            </w: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47.4 %</w:t>
            </w:r>
          </w:p>
        </w:tc>
        <w:tc>
          <w:tcPr>
            <w:tcW w:w="9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42.6 %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42.0 %</w:t>
            </w:r>
          </w:p>
        </w:tc>
      </w:tr>
      <w:tr>
        <w:trPr>
          <w:trHeight w:val="23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Expected terms (in years)</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34"/>
        </w:trPr>
        <w:tc>
          <w:tcPr>
            <w:tcW w:w="6600" w:type="dxa"/>
            <w:vAlign w:val="bottom"/>
          </w:tcPr>
          <w:p>
            <w:pPr>
              <w:ind w:left="5480"/>
              <w:spacing w:after="0"/>
              <w:rPr>
                <w:sz w:val="20"/>
                <w:szCs w:val="20"/>
                <w:color w:val="auto"/>
              </w:rPr>
            </w:pPr>
            <w:r>
              <w:rPr>
                <w:rFonts w:ascii="Arial" w:cs="Arial" w:eastAsia="Arial" w:hAnsi="Arial"/>
                <w:sz w:val="18"/>
                <w:szCs w:val="18"/>
                <w:color w:val="auto"/>
              </w:rPr>
              <w:t>136</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4"/>
        </w:trPr>
        <w:tc>
          <w:tcPr>
            <w:tcW w:w="66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1454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-701675</wp:posOffset>
            </wp:positionV>
            <wp:extent cx="7132320" cy="1454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2" w:right="2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As of December 31, 2022, there was $21.5 million of total unrecognized expense related to unvested stock options, which is expected to be recognized over a weighted-average period of 2.15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Units</w:t>
      </w:r>
    </w:p>
    <w:p>
      <w:pPr>
        <w:spacing w:after="0" w:line="169" w:lineRule="exact"/>
        <w:rPr>
          <w:sz w:val="20"/>
          <w:szCs w:val="20"/>
          <w:color w:val="auto"/>
        </w:rPr>
      </w:pPr>
    </w:p>
    <w:p>
      <w:pPr>
        <w:ind w:right="360" w:firstLine="509"/>
        <w:spacing w:after="0" w:line="252" w:lineRule="auto"/>
        <w:rPr>
          <w:sz w:val="20"/>
          <w:szCs w:val="20"/>
          <w:color w:val="auto"/>
        </w:rPr>
      </w:pPr>
      <w:r>
        <w:rPr>
          <w:rFonts w:ascii="Arial" w:cs="Arial" w:eastAsia="Arial" w:hAnsi="Arial"/>
          <w:sz w:val="18"/>
          <w:szCs w:val="18"/>
          <w:color w:val="auto"/>
        </w:rPr>
        <w:t>During 2018, the Company granted restricted stock awards to employees under the 2018 Plan. The restricted stock awards vested ratably over a four-year period from the date of grant. The fair value of each restricted stock award was the estimated fair value of the common stock on the date of grant. All restricted stock awards were fully vested as of January 2022.</w:t>
      </w:r>
    </w:p>
    <w:p>
      <w:pPr>
        <w:spacing w:after="0" w:line="130"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During 2021, the Company awarded restricted stock units to employees and certain nonemployee board members under the 2021 Plan. The fair value of the restricted stock units is estimated based on the fair value of the restricted stock units on the date of the grant. The restricted stock units vest over the requisite service period, which range between one and four years from the date of the grant, subject to the continued employment of the employees and service of the non-employee board members.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restricted stock units activity for the year ended December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62"/>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r>
      <w:tr>
        <w:trPr>
          <w:trHeight w:val="162"/>
        </w:trPr>
        <w:tc>
          <w:tcPr>
            <w:tcW w:w="6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Grant Date Fair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42"/>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r>
      <w:tr>
        <w:trPr>
          <w:trHeight w:val="185"/>
        </w:trPr>
        <w:tc>
          <w:tcPr>
            <w:tcW w:w="684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Number of Shares</w:t>
            </w:r>
          </w:p>
        </w:tc>
        <w:tc>
          <w:tcPr>
            <w:tcW w:w="280" w:type="dxa"/>
            <w:vAlign w:val="bottom"/>
          </w:tcPr>
          <w:p>
            <w:pPr>
              <w:spacing w:after="0"/>
              <w:rPr>
                <w:sz w:val="16"/>
                <w:szCs w:val="16"/>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4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182"/>
        </w:trPr>
        <w:tc>
          <w:tcPr>
            <w:tcW w:w="684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as of December 31, 2021</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208,480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2,979,339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76,658</w:t>
            </w:r>
          </w:p>
        </w:tc>
        <w:tc>
          <w:tcPr>
            <w:tcW w:w="100" w:type="dxa"/>
            <w:vAlign w:val="bottom"/>
          </w:tcPr>
          <w:p>
            <w:pPr>
              <w:spacing w:after="0"/>
              <w:rPr>
                <w:sz w:val="19"/>
                <w:szCs w:val="19"/>
                <w:color w:val="auto"/>
              </w:rPr>
            </w:pP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(158,559 )</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(94,818 )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6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December 31, 2022</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2,934,442</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25.91</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-24765</wp:posOffset>
            </wp:positionV>
            <wp:extent cx="768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768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-24765</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As of December 31, 2022, there was $53.3 million of total unrecognized compensation expense related to unvested restricted stock units, which is expected to be recognized over a weighted-average period of 3.26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April 2021, the Company’s board of directors adopted, and in May 2021 its stockholders approved, the 2021 Employee Stock Purchase Plan (ESPP), which became effective in connection with the IPO. The ESPP authorizes the issuance of shares of common stock pursuant to purchase rights granted to "eligible employees". A total of 2,618,718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15% of their eligible compensation. Offering periods are generally 6 months long.</w:t>
      </w:r>
    </w:p>
    <w:p>
      <w:pPr>
        <w:spacing w:after="0" w:line="142"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 first offering period commenced on January 1, 2022 and ended on June 30, 2022. The second offering period commenced on July 1, 2022 and ended on December 31, 2022. As of December 31, 2022, there was $0 of total unrecognized compensation expense related to the ESPP.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 Costs</w:t>
      </w:r>
    </w:p>
    <w:p>
      <w:pPr>
        <w:spacing w:after="0" w:line="169"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The following table summarizes the stock-based compensation expense for stock options, restricted stock units and ESPP granted to employees and nonemployee board members that was recorded in the Company’s consolidated statements of operations and comprehensive loss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development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7,856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r>
      <w:tr>
        <w:trPr>
          <w:trHeight w:val="22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17,487</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40" w:type="dxa"/>
            <w:vAlign w:val="bottom"/>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30,259</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18,928</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-179070</wp:posOffset>
            </wp:positionV>
            <wp:extent cx="76835" cy="1797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-179070</wp:posOffset>
            </wp:positionV>
            <wp:extent cx="68580" cy="1797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0" w:lineRule="exact"/>
        <w:rPr>
          <w:sz w:val="20"/>
          <w:szCs w:val="20"/>
          <w:color w:val="auto"/>
        </w:rPr>
      </w:pPr>
    </w:p>
    <w:p>
      <w:pPr>
        <w:ind w:right="880" w:firstLine="509"/>
        <w:spacing w:after="0" w:line="271" w:lineRule="auto"/>
        <w:rPr>
          <w:sz w:val="20"/>
          <w:szCs w:val="20"/>
          <w:color w:val="auto"/>
        </w:rPr>
      </w:pPr>
      <w:r>
        <w:rPr>
          <w:rFonts w:ascii="Arial" w:cs="Arial" w:eastAsia="Arial" w:hAnsi="Arial"/>
          <w:sz w:val="18"/>
          <w:szCs w:val="18"/>
          <w:color w:val="auto"/>
        </w:rPr>
        <w:t>In February 2021, certain of the Company’s existing investors acquired 1,205,118 outstanding shares of common stock from employees of the Company for a purchase price greater than the fair value of the common stock at the time of</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transaction. As a result, the Company recorded $8.4 million in stock-based compensation during the year ended December 31, 2021. The amount recorded as stock-based compensation represents the difference between the price paid and the estimated fair value at the date of the transaction.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171"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28"/>
              <w:spacing w:after="0"/>
              <w:rPr>
                <w:sz w:val="20"/>
                <w:szCs w:val="20"/>
                <w:color w:val="auto"/>
              </w:rPr>
            </w:pPr>
            <w:r>
              <w:rPr>
                <w:rFonts w:ascii="Arial" w:cs="Arial" w:eastAsia="Arial" w:hAnsi="Arial"/>
                <w:sz w:val="18"/>
                <w:szCs w:val="18"/>
                <w:color w:val="auto"/>
              </w:rPr>
              <w:t>(39,347 )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(28,085 )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(11,107 )</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Accretion of preferred stock to redemption value</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(13 )</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ind w:left="280"/>
              <w:spacing w:after="0"/>
              <w:rPr>
                <w:sz w:val="20"/>
                <w:szCs w:val="20"/>
                <w:color w:val="auto"/>
              </w:rPr>
            </w:pPr>
            <w:r>
              <w:rPr>
                <w:rFonts w:ascii="Arial" w:cs="Arial" w:eastAsia="Arial" w:hAnsi="Arial"/>
                <w:sz w:val="18"/>
                <w:szCs w:val="18"/>
                <w:color w:val="auto"/>
              </w:rPr>
              <w:t>Net loss attributable to common stockholders - basic and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28"/>
              <w:spacing w:after="0"/>
              <w:rPr>
                <w:sz w:val="20"/>
                <w:szCs w:val="20"/>
                <w:color w:val="auto"/>
              </w:rPr>
            </w:pPr>
            <w:r>
              <w:rPr>
                <w:rFonts w:ascii="Arial" w:cs="Arial" w:eastAsia="Arial" w:hAnsi="Arial"/>
                <w:sz w:val="18"/>
                <w:szCs w:val="18"/>
                <w:color w:val="auto"/>
              </w:rPr>
              <w:t>(39,347 )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(28,098 )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(11,121 )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Weighted average common shares outstanding - basic and diluted</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107,935,514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71,168,054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18,389,898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62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Net loss per share attributable to common stockholders - basic</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shd w:val="clear" w:color="auto" w:fill="CFF0FC"/>
          </w:tcPr>
          <w:p>
            <w:pPr>
              <w:jc w:val="right"/>
              <w:ind w:right="128"/>
              <w:spacing w:after="0"/>
              <w:rPr>
                <w:sz w:val="20"/>
                <w:szCs w:val="20"/>
                <w:color w:val="auto"/>
              </w:rPr>
            </w:pPr>
            <w:r>
              <w:rPr>
                <w:rFonts w:ascii="Arial" w:cs="Arial" w:eastAsia="Arial" w:hAnsi="Arial"/>
                <w:sz w:val="18"/>
                <w:szCs w:val="18"/>
                <w:color w:val="auto"/>
              </w:rPr>
              <w:t>(0.36 )</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(0.39 )</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(0.60 )</w:t>
            </w:r>
          </w:p>
        </w:tc>
        <w:tc>
          <w:tcPr>
            <w:tcW w:w="0" w:type="dxa"/>
            <w:vAlign w:val="bottom"/>
          </w:tcPr>
          <w:p>
            <w:pPr>
              <w:spacing w:after="0"/>
              <w:rPr>
                <w:sz w:val="1"/>
                <w:szCs w:val="1"/>
                <w:color w:val="auto"/>
              </w:rPr>
            </w:pPr>
          </w:p>
        </w:tc>
      </w:tr>
      <w:tr>
        <w:trPr>
          <w:trHeight w:val="214"/>
        </w:trPr>
        <w:tc>
          <w:tcPr>
            <w:tcW w:w="6620" w:type="dxa"/>
            <w:vAlign w:val="bottom"/>
            <w:shd w:val="clear" w:color="auto" w:fill="CFF0FC"/>
          </w:tcPr>
          <w:p>
            <w:pPr>
              <w:ind w:left="180"/>
              <w:spacing w:after="0" w:line="195" w:lineRule="exact"/>
              <w:rPr>
                <w:sz w:val="20"/>
                <w:szCs w:val="20"/>
                <w:color w:val="auto"/>
              </w:rPr>
            </w:pPr>
            <w:r>
              <w:rPr>
                <w:rFonts w:ascii="Arial" w:cs="Arial" w:eastAsia="Arial" w:hAnsi="Arial"/>
                <w:sz w:val="18"/>
                <w:szCs w:val="18"/>
                <w:color w:val="auto"/>
              </w:rPr>
              <w:t>and diluted</w:t>
            </w:r>
          </w:p>
        </w:tc>
        <w:tc>
          <w:tcPr>
            <w:tcW w:w="220" w:type="dxa"/>
            <w:vAlign w:val="bottom"/>
            <w:vMerge w:val="continue"/>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-753110</wp:posOffset>
            </wp:positionV>
            <wp:extent cx="76835" cy="1797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-753110</wp:posOffset>
            </wp:positionV>
            <wp:extent cx="68580" cy="1797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-753110</wp:posOffset>
            </wp:positionV>
            <wp:extent cx="68580" cy="1797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300" w:firstLine="509"/>
        <w:spacing w:after="0" w:line="252" w:lineRule="auto"/>
        <w:rPr>
          <w:sz w:val="20"/>
          <w:szCs w:val="20"/>
          <w:color w:val="auto"/>
        </w:rPr>
      </w:pPr>
      <w:r>
        <w:rPr>
          <w:rFonts w:ascii="Arial" w:cs="Arial" w:eastAsia="Arial" w:hAnsi="Arial"/>
          <w:sz w:val="18"/>
          <w:szCs w:val="18"/>
          <w:color w:val="auto"/>
        </w:rPr>
        <w:t>For periods in which the Company is in a loss position, basic net loss per share attributable to common stockholders is the same as diluted net loss per share attributable to common stockholders. Outstanding potentially dilutive securities, which were excluded from the diluted net loss per share calculations because they would have been antidilutive were as follows as of the dates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00" w:type="dxa"/>
            <w:vAlign w:val="bottom"/>
          </w:tcPr>
          <w:p>
            <w:pPr>
              <w:spacing w:after="0"/>
              <w:rPr>
                <w:sz w:val="15"/>
                <w:szCs w:val="15"/>
                <w:color w:val="auto"/>
              </w:rPr>
            </w:pPr>
          </w:p>
        </w:tc>
        <w:tc>
          <w:tcPr>
            <w:tcW w:w="13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5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Warrants for the purchase of common stock</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700" w:type="dxa"/>
            <w:vAlign w:val="bottom"/>
          </w:tcPr>
          <w:p>
            <w:pPr>
              <w:ind w:left="20"/>
              <w:spacing w:after="0" w:line="197" w:lineRule="exact"/>
              <w:rPr>
                <w:sz w:val="20"/>
                <w:szCs w:val="20"/>
                <w:color w:val="auto"/>
              </w:rPr>
            </w:pPr>
            <w:r>
              <w:rPr>
                <w:rFonts w:ascii="Arial" w:cs="Arial" w:eastAsia="Arial" w:hAnsi="Arial"/>
                <w:sz w:val="18"/>
                <w:szCs w:val="18"/>
                <w:color w:val="auto"/>
              </w:rPr>
              <w:t>Warrants for the purchase of convertible preferred stock (as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700" w:type="dxa"/>
            <w:vAlign w:val="bottom"/>
          </w:tcPr>
          <w:p>
            <w:pPr>
              <w:ind w:left="180"/>
              <w:spacing w:after="0"/>
              <w:rPr>
                <w:sz w:val="20"/>
                <w:szCs w:val="20"/>
                <w:color w:val="auto"/>
              </w:rPr>
            </w:pPr>
            <w:r>
              <w:rPr>
                <w:rFonts w:ascii="Arial" w:cs="Arial" w:eastAsia="Arial" w:hAnsi="Arial"/>
                <w:sz w:val="18"/>
                <w:szCs w:val="18"/>
                <w:color w:val="auto"/>
              </w:rPr>
              <w:t>converted into common stock)</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0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Redeemable convertible preferred stock (as converted into</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common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74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11,239,920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Convertible preferred stock (as converted into common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54,208,461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units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2,934,442</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213,121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700" w:type="dxa"/>
            <w:vAlign w:val="bottom"/>
          </w:tcPr>
          <w:p>
            <w:pPr>
              <w:ind w:left="20"/>
              <w:spacing w:after="0" w:line="197" w:lineRule="exact"/>
              <w:rPr>
                <w:sz w:val="20"/>
                <w:szCs w:val="20"/>
                <w:color w:val="auto"/>
              </w:rPr>
            </w:pPr>
            <w:r>
              <w:rPr>
                <w:rFonts w:ascii="Arial" w:cs="Arial" w:eastAsia="Arial" w:hAnsi="Arial"/>
                <w:sz w:val="18"/>
                <w:szCs w:val="18"/>
                <w:color w:val="auto"/>
              </w:rPr>
              <w:t>Stock options to purchase common stock (as converted to</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12,160,560</w:t>
            </w: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14,855,292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16,708,803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34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70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15,095,002</w:t>
            </w:r>
          </w:p>
        </w:tc>
        <w:tc>
          <w:tcPr>
            <w:tcW w:w="22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15,068,413</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83,473,872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-24765</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-7620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loss before provision for (benefit from) income taxes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32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3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(45,341</w:t>
            </w:r>
          </w:p>
        </w:tc>
        <w:tc>
          <w:tcPr>
            <w:tcW w:w="2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Foreign</w:t>
            </w:r>
          </w:p>
        </w:tc>
        <w:tc>
          <w:tcPr>
            <w:tcW w:w="3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7,982</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9"/>
                <w:szCs w:val="19"/>
                <w:color w:val="auto"/>
              </w:rPr>
            </w:pPr>
          </w:p>
        </w:tc>
      </w:tr>
      <w:tr>
        <w:trPr>
          <w:trHeight w:val="263"/>
        </w:trPr>
        <w:tc>
          <w:tcPr>
            <w:tcW w:w="3280" w:type="dxa"/>
            <w:vAlign w:val="bottom"/>
            <w:tcBorders>
              <w:bottom w:val="single" w:sz="8" w:color="CFF0FC"/>
            </w:tcBorders>
            <w:shd w:val="clear" w:color="auto" w:fill="CFF0FC"/>
          </w:tcPr>
          <w:p>
            <w:pPr>
              <w:spacing w:after="0"/>
              <w:rPr>
                <w:sz w:val="22"/>
                <w:szCs w:val="22"/>
                <w:color w:val="auto"/>
              </w:rPr>
            </w:pPr>
          </w:p>
        </w:tc>
        <w:tc>
          <w:tcPr>
            <w:tcW w:w="33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(37,359</w:t>
            </w:r>
          </w:p>
        </w:tc>
        <w:tc>
          <w:tcPr>
            <w:tcW w:w="280" w:type="dxa"/>
            <w:vAlign w:val="bottom"/>
            <w:tcBorders>
              <w:bottom w:val="single" w:sz="8" w:color="CFF0FC"/>
            </w:tcBorders>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(25,927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524"/>
        </w:trPr>
        <w:tc>
          <w:tcPr>
            <w:tcW w:w="3280" w:type="dxa"/>
            <w:vAlign w:val="bottom"/>
          </w:tcPr>
          <w:p>
            <w:pPr>
              <w:spacing w:after="0"/>
              <w:rPr>
                <w:sz w:val="24"/>
                <w:szCs w:val="24"/>
                <w:color w:val="auto"/>
              </w:rPr>
            </w:pPr>
          </w:p>
        </w:tc>
        <w:tc>
          <w:tcPr>
            <w:tcW w:w="3340" w:type="dxa"/>
            <w:vAlign w:val="bottom"/>
          </w:tcPr>
          <w:p>
            <w:pPr>
              <w:jc w:val="right"/>
              <w:ind w:right="75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4"/>
        </w:trPr>
        <w:tc>
          <w:tcPr>
            <w:tcW w:w="328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-1031240</wp:posOffset>
            </wp:positionV>
            <wp:extent cx="2106295" cy="16256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06295"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-436245</wp:posOffset>
            </wp:positionV>
            <wp:extent cx="7683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-419100</wp:posOffset>
            </wp:positionV>
            <wp:extent cx="768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-436245</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-419100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the Company’s provision for (benefit from) income taxes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66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2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CFF0FC"/>
            </w:tcBorders>
            <w:gridSpan w:val="2"/>
            <w:shd w:val="clear" w:color="auto" w:fill="CFF0FC"/>
          </w:tcPr>
          <w:p>
            <w:pPr>
              <w:jc w:val="right"/>
              <w:ind w:right="20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CFF0FC"/>
            </w:tcBorders>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40" w:type="dxa"/>
            <w:vAlign w:val="bottom"/>
            <w:tcBorders>
              <w:bottom w:val="single" w:sz="8" w:color="CFF0FC"/>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20" w:type="dxa"/>
            <w:vAlign w:val="bottom"/>
          </w:tcPr>
          <w:p>
            <w:pPr>
              <w:ind w:left="520"/>
              <w:spacing w:after="0"/>
              <w:rPr>
                <w:sz w:val="20"/>
                <w:szCs w:val="20"/>
                <w:color w:val="auto"/>
              </w:rPr>
            </w:pPr>
            <w:r>
              <w:rPr>
                <w:rFonts w:ascii="Arial" w:cs="Arial" w:eastAsia="Arial" w:hAnsi="Arial"/>
                <w:sz w:val="18"/>
                <w:szCs w:val="18"/>
                <w:color w:val="auto"/>
              </w:rPr>
              <w:t>Total current provision for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Deferred</w:t>
            </w:r>
          </w:p>
        </w:tc>
        <w:tc>
          <w:tcPr>
            <w:tcW w:w="32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2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(5,104 )</w:t>
            </w:r>
          </w:p>
        </w:tc>
        <w:tc>
          <w:tcPr>
            <w:tcW w:w="60" w:type="dxa"/>
            <w:vAlign w:val="bottom"/>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(3,243 )</w:t>
            </w:r>
          </w:p>
        </w:tc>
        <w:tc>
          <w:tcPr>
            <w:tcW w:w="60" w:type="dxa"/>
            <w:vAlign w:val="bottom"/>
          </w:tcPr>
          <w:p>
            <w:pPr>
              <w:spacing w:after="0"/>
              <w:rPr>
                <w:sz w:val="19"/>
                <w:szCs w:val="19"/>
                <w:color w:val="auto"/>
              </w:rPr>
            </w:pPr>
          </w:p>
        </w:tc>
      </w:tr>
      <w:tr>
        <w:trPr>
          <w:trHeight w:val="229"/>
        </w:trPr>
        <w:tc>
          <w:tcPr>
            <w:tcW w:w="66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22"/>
              <w:spacing w:after="0"/>
              <w:rPr>
                <w:sz w:val="20"/>
                <w:szCs w:val="20"/>
                <w:color w:val="auto"/>
              </w:rPr>
            </w:pPr>
            <w:r>
              <w:rPr>
                <w:rFonts w:ascii="Arial" w:cs="Arial" w:eastAsia="Arial" w:hAnsi="Arial"/>
                <w:sz w:val="18"/>
                <w:szCs w:val="18"/>
                <w:color w:val="auto"/>
              </w:rPr>
              <w:t>(1,750 )</w:t>
            </w:r>
          </w:p>
        </w:tc>
        <w:tc>
          <w:tcPr>
            <w:tcW w:w="30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(188 )</w:t>
            </w:r>
          </w:p>
        </w:tc>
        <w:tc>
          <w:tcPr>
            <w:tcW w:w="60" w:type="dxa"/>
            <w:vAlign w:val="bottom"/>
          </w:tcPr>
          <w:p>
            <w:pPr>
              <w:spacing w:after="0"/>
              <w:rPr>
                <w:sz w:val="19"/>
                <w:szCs w:val="19"/>
                <w:color w:val="auto"/>
              </w:rPr>
            </w:pPr>
          </w:p>
        </w:tc>
      </w:tr>
      <w:tr>
        <w:trPr>
          <w:trHeight w:val="20"/>
        </w:trPr>
        <w:tc>
          <w:tcPr>
            <w:tcW w:w="662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620" w:type="dxa"/>
            <w:vAlign w:val="bottom"/>
          </w:tcPr>
          <w:p>
            <w:pPr>
              <w:ind w:left="520"/>
              <w:spacing w:after="0"/>
              <w:rPr>
                <w:sz w:val="20"/>
                <w:szCs w:val="20"/>
                <w:color w:val="auto"/>
              </w:rPr>
            </w:pPr>
            <w:r>
              <w:rPr>
                <w:rFonts w:ascii="Arial" w:cs="Arial" w:eastAsia="Arial" w:hAnsi="Arial"/>
                <w:sz w:val="18"/>
                <w:szCs w:val="18"/>
                <w:color w:val="auto"/>
              </w:rPr>
              <w:t>Total deferred income tax provision (benefit)</w:t>
            </w:r>
          </w:p>
        </w:tc>
        <w:tc>
          <w:tcPr>
            <w:tcW w:w="320" w:type="dxa"/>
            <w:vAlign w:val="bottom"/>
          </w:tcPr>
          <w:p>
            <w:pPr>
              <w:spacing w:after="0"/>
              <w:rPr>
                <w:sz w:val="19"/>
                <w:szCs w:val="19"/>
                <w:color w:val="auto"/>
              </w:rPr>
            </w:pPr>
          </w:p>
        </w:tc>
        <w:tc>
          <w:tcPr>
            <w:tcW w:w="1300" w:type="dxa"/>
            <w:vAlign w:val="bottom"/>
            <w:gridSpan w:val="2"/>
          </w:tcPr>
          <w:p>
            <w:pPr>
              <w:jc w:val="right"/>
              <w:ind w:right="122"/>
              <w:spacing w:after="0"/>
              <w:rPr>
                <w:sz w:val="20"/>
                <w:szCs w:val="20"/>
                <w:color w:val="auto"/>
              </w:rPr>
            </w:pPr>
            <w:r>
              <w:rPr>
                <w:rFonts w:ascii="Arial" w:cs="Arial" w:eastAsia="Arial" w:hAnsi="Arial"/>
                <w:sz w:val="18"/>
                <w:szCs w:val="18"/>
                <w:color w:val="auto"/>
              </w:rPr>
              <w:t>(1,708 )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(8,535 )</w:t>
            </w:r>
          </w:p>
        </w:tc>
        <w:tc>
          <w:tcPr>
            <w:tcW w:w="60" w:type="dxa"/>
            <w:vAlign w:val="bottom"/>
          </w:tcPr>
          <w:p>
            <w:pPr>
              <w:spacing w:after="0"/>
              <w:rPr>
                <w:sz w:val="19"/>
                <w:szCs w:val="19"/>
                <w:color w:val="auto"/>
              </w:rPr>
            </w:pPr>
          </w:p>
        </w:tc>
      </w:tr>
      <w:tr>
        <w:trPr>
          <w:trHeight w:val="263"/>
        </w:trPr>
        <w:tc>
          <w:tcPr>
            <w:tcW w:w="6620" w:type="dxa"/>
            <w:vAlign w:val="bottom"/>
            <w:tcBorders>
              <w:bottom w:val="single" w:sz="8" w:color="CFF0FC"/>
              <w:right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income tax provision (benefit)</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260" w:type="dxa"/>
            <w:vAlign w:val="bottom"/>
            <w:tcBorders>
              <w:bottom w:val="single" w:sz="8" w:color="CFF0FC"/>
              <w:right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240" w:type="dxa"/>
            <w:vAlign w:val="bottom"/>
            <w:tcBorders>
              <w:bottom w:val="single" w:sz="8" w:color="CFF0FC"/>
              <w:right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(7,169</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376"/>
        </w:trPr>
        <w:tc>
          <w:tcPr>
            <w:tcW w:w="9800" w:type="dxa"/>
            <w:vAlign w:val="bottom"/>
            <w:gridSpan w:val="7"/>
          </w:tcPr>
          <w:p>
            <w:pPr>
              <w:ind w:left="520"/>
              <w:spacing w:after="0"/>
              <w:rPr>
                <w:sz w:val="20"/>
                <w:szCs w:val="20"/>
                <w:color w:val="auto"/>
              </w:rPr>
            </w:pPr>
            <w:r>
              <w:rPr>
                <w:rFonts w:ascii="Arial" w:cs="Arial" w:eastAsia="Arial" w:hAnsi="Arial"/>
                <w:sz w:val="18"/>
                <w:szCs w:val="18"/>
                <w:color w:val="auto"/>
                <w:w w:val="99"/>
              </w:rPr>
              <w:t>A reconciliation of the U.S. federal statutory income tax rate to the Company’s effective income tax rate is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7"/>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Federal statutory income tax rate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jc w:val="right"/>
              <w:ind w:right="2"/>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gridSpan w:val="2"/>
          </w:tcPr>
          <w:p>
            <w:pPr>
              <w:spacing w:after="0"/>
              <w:rPr>
                <w:sz w:val="20"/>
                <w:szCs w:val="20"/>
                <w:color w:val="auto"/>
              </w:rPr>
            </w:pPr>
            <w:r>
              <w:rPr>
                <w:rFonts w:ascii="Arial" w:cs="Arial" w:eastAsia="Arial" w:hAnsi="Arial"/>
                <w:sz w:val="18"/>
                <w:szCs w:val="18"/>
                <w:color w:val="auto"/>
                <w:w w:val="87"/>
              </w:rPr>
              <w:t>%</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2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Permanent differences</w:t>
            </w:r>
          </w:p>
        </w:tc>
        <w:tc>
          <w:tcPr>
            <w:tcW w:w="3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60" w:type="dxa"/>
            <w:vAlign w:val="bottom"/>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Imputed interest</w:t>
            </w:r>
          </w:p>
        </w:tc>
        <w:tc>
          <w:tcPr>
            <w:tcW w:w="320" w:type="dxa"/>
            <w:vAlign w:val="bottom"/>
          </w:tcPr>
          <w:p>
            <w:pPr>
              <w:spacing w:after="0"/>
              <w:rPr>
                <w:sz w:val="19"/>
                <w:szCs w:val="19"/>
                <w:color w:val="auto"/>
              </w:rPr>
            </w:pP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(1.2 )</w:t>
            </w:r>
          </w:p>
        </w:tc>
        <w:tc>
          <w:tcPr>
            <w:tcW w:w="30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662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Fair value of contingent consideration</w:t>
            </w:r>
          </w:p>
        </w:tc>
        <w:tc>
          <w:tcPr>
            <w:tcW w:w="32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(1.8 )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(6.2 )</w:t>
            </w:r>
          </w:p>
        </w:tc>
        <w:tc>
          <w:tcPr>
            <w:tcW w:w="60" w:type="dxa"/>
            <w:vAlign w:val="bottom"/>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Non-deductible transaction costs</w:t>
            </w:r>
          </w:p>
        </w:tc>
        <w:tc>
          <w:tcPr>
            <w:tcW w:w="320" w:type="dxa"/>
            <w:vAlign w:val="bottom"/>
          </w:tcPr>
          <w:p>
            <w:pPr>
              <w:spacing w:after="0"/>
              <w:rPr>
                <w:sz w:val="19"/>
                <w:szCs w:val="19"/>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60" w:type="dxa"/>
            <w:vAlign w:val="bottom"/>
          </w:tcPr>
          <w:p>
            <w:pPr>
              <w:spacing w:after="0"/>
              <w:rPr>
                <w:sz w:val="19"/>
                <w:szCs w:val="19"/>
                <w:color w:val="auto"/>
              </w:rPr>
            </w:pPr>
          </w:p>
        </w:tc>
      </w:tr>
      <w:tr>
        <w:trPr>
          <w:trHeight w:val="229"/>
        </w:trPr>
        <w:tc>
          <w:tcPr>
            <w:tcW w:w="662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Equity-based compensation</w:t>
            </w:r>
          </w:p>
        </w:tc>
        <w:tc>
          <w:tcPr>
            <w:tcW w:w="32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60" w:type="dxa"/>
            <w:vAlign w:val="bottom"/>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Change in fair value of preferred stock warrant liability</w:t>
            </w:r>
          </w:p>
        </w:tc>
        <w:tc>
          <w:tcPr>
            <w:tcW w:w="320" w:type="dxa"/>
            <w:vAlign w:val="bottom"/>
          </w:tcPr>
          <w:p>
            <w:pPr>
              <w:spacing w:after="0"/>
              <w:rPr>
                <w:sz w:val="19"/>
                <w:szCs w:val="19"/>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(8.7 )</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60" w:type="dxa"/>
            <w:vAlign w:val="bottom"/>
          </w:tcPr>
          <w:p>
            <w:pPr>
              <w:spacing w:after="0"/>
              <w:rPr>
                <w:sz w:val="19"/>
                <w:szCs w:val="19"/>
                <w:color w:val="auto"/>
              </w:rPr>
            </w:pPr>
          </w:p>
        </w:tc>
      </w:tr>
      <w:tr>
        <w:trPr>
          <w:trHeight w:val="229"/>
        </w:trPr>
        <w:tc>
          <w:tcPr>
            <w:tcW w:w="662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Excess executive compensation</w:t>
            </w:r>
          </w:p>
        </w:tc>
        <w:tc>
          <w:tcPr>
            <w:tcW w:w="3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(3.4 )</w:t>
            </w:r>
          </w:p>
        </w:tc>
        <w:tc>
          <w:tcPr>
            <w:tcW w:w="30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(6.7 )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Change in uncertain tax position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(2.2 )</w:t>
            </w:r>
          </w:p>
        </w:tc>
        <w:tc>
          <w:tcPr>
            <w:tcW w:w="300" w:type="dxa"/>
            <w:vAlign w:val="bottom"/>
          </w:tcPr>
          <w:p>
            <w:pPr>
              <w:spacing w:after="0"/>
              <w:rPr>
                <w:sz w:val="19"/>
                <w:szCs w:val="19"/>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662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Change in valuation allowance</w:t>
            </w:r>
          </w:p>
        </w:tc>
        <w:tc>
          <w:tcPr>
            <w:tcW w:w="3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(36.9 )</w:t>
            </w:r>
          </w:p>
        </w:tc>
        <w:tc>
          <w:tcPr>
            <w:tcW w:w="30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(24.7 )</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Foreign rate differential</w:t>
            </w:r>
          </w:p>
        </w:tc>
        <w:tc>
          <w:tcPr>
            <w:tcW w:w="320" w:type="dxa"/>
            <w:vAlign w:val="bottom"/>
          </w:tcPr>
          <w:p>
            <w:pPr>
              <w:spacing w:after="0"/>
              <w:rPr>
                <w:sz w:val="19"/>
                <w:szCs w:val="19"/>
                <w:color w:val="auto"/>
              </w:rPr>
            </w:pP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(1.3 )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2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Deferred statutory rate changes</w:t>
            </w:r>
          </w:p>
        </w:tc>
        <w:tc>
          <w:tcPr>
            <w:tcW w:w="32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(0.3 )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60" w:type="dxa"/>
            <w:vAlign w:val="bottom"/>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(1.8 )</w:t>
            </w:r>
          </w:p>
        </w:tc>
        <w:tc>
          <w:tcPr>
            <w:tcW w:w="300" w:type="dxa"/>
            <w:vAlign w:val="bottom"/>
          </w:tcPr>
          <w:p>
            <w:pPr>
              <w:spacing w:after="0"/>
              <w:rPr>
                <w:sz w:val="19"/>
                <w:szCs w:val="19"/>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(0.6 )</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60" w:type="dxa"/>
            <w:vAlign w:val="bottom"/>
          </w:tcPr>
          <w:p>
            <w:pPr>
              <w:spacing w:after="0"/>
              <w:rPr>
                <w:sz w:val="19"/>
                <w:szCs w:val="19"/>
                <w:color w:val="auto"/>
              </w:rPr>
            </w:pPr>
          </w:p>
        </w:tc>
      </w:tr>
      <w:tr>
        <w:trPr>
          <w:trHeight w:val="223"/>
        </w:trPr>
        <w:tc>
          <w:tcPr>
            <w:tcW w:w="6620" w:type="dxa"/>
            <w:vAlign w:val="bottom"/>
          </w:tcPr>
          <w:p>
            <w:pPr>
              <w:ind w:left="520"/>
              <w:spacing w:after="0"/>
              <w:rPr>
                <w:sz w:val="20"/>
                <w:szCs w:val="20"/>
                <w:color w:val="auto"/>
              </w:rPr>
            </w:pPr>
            <w:r>
              <w:rPr>
                <w:rFonts w:ascii="Arial" w:cs="Arial" w:eastAsia="Arial" w:hAnsi="Arial"/>
                <w:sz w:val="18"/>
                <w:szCs w:val="18"/>
                <w:color w:val="auto"/>
              </w:rPr>
              <w:t>Effective income tax rate</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60" w:type="dxa"/>
            <w:vAlign w:val="bottom"/>
            <w:gridSpan w:val="2"/>
          </w:tcPr>
          <w:p>
            <w:pPr>
              <w:spacing w:after="0"/>
              <w:rPr>
                <w:sz w:val="20"/>
                <w:szCs w:val="20"/>
                <w:color w:val="auto"/>
              </w:rPr>
            </w:pPr>
            <w:r>
              <w:rPr>
                <w:rFonts w:ascii="Arial" w:cs="Arial" w:eastAsia="Arial" w:hAnsi="Arial"/>
                <w:sz w:val="18"/>
                <w:szCs w:val="18"/>
                <w:color w:val="auto"/>
                <w:w w:val="87"/>
              </w:rPr>
              <w:t>%</w:t>
            </w: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-4049395</wp:posOffset>
            </wp:positionV>
            <wp:extent cx="76835" cy="16256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-4049395</wp:posOffset>
            </wp:positionV>
            <wp:extent cx="68580" cy="16256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-4049395</wp:posOffset>
            </wp:positionV>
            <wp:extent cx="68580" cy="1625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-3159125</wp:posOffset>
            </wp:positionV>
            <wp:extent cx="76835" cy="1625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-3159125</wp:posOffset>
            </wp:positionV>
            <wp:extent cx="68580" cy="16256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-3159125</wp:posOffset>
            </wp:positionV>
            <wp:extent cx="68580" cy="16256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-2850515</wp:posOffset>
            </wp:positionV>
            <wp:extent cx="7683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-2833370</wp:posOffset>
            </wp:positionV>
            <wp:extent cx="7683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-2850515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-2833370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-2833370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-2216785</wp:posOffset>
            </wp:positionV>
            <wp:extent cx="7132320" cy="1454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0" w:lineRule="exact"/>
        <w:rPr>
          <w:sz w:val="20"/>
          <w:szCs w:val="20"/>
          <w:color w:val="auto"/>
        </w:rPr>
      </w:pPr>
    </w:p>
    <w:p>
      <w:pPr>
        <w:ind w:right="880" w:firstLine="509"/>
        <w:spacing w:after="0" w:line="271" w:lineRule="auto"/>
        <w:rPr>
          <w:sz w:val="20"/>
          <w:szCs w:val="20"/>
          <w:color w:val="auto"/>
        </w:rPr>
      </w:pPr>
      <w:r>
        <w:rPr>
          <w:rFonts w:ascii="Arial" w:cs="Arial" w:eastAsia="Arial" w:hAnsi="Arial"/>
          <w:sz w:val="18"/>
          <w:szCs w:val="18"/>
          <w:color w:val="auto"/>
        </w:rPr>
        <w:t>During the year ended December 31, 2022, the Company recorded an income tax provision of $2.0 million, which is primarily attributable to foreign activity and U.S. state taxes.</w:t>
      </w:r>
    </w:p>
    <w:p>
      <w:pPr>
        <w:spacing w:after="0" w:line="112" w:lineRule="exact"/>
        <w:rPr>
          <w:sz w:val="20"/>
          <w:szCs w:val="20"/>
          <w:color w:val="auto"/>
        </w:rPr>
      </w:pPr>
    </w:p>
    <w:p>
      <w:pPr>
        <w:ind w:right="880" w:firstLine="509"/>
        <w:spacing w:after="0" w:line="271" w:lineRule="auto"/>
        <w:rPr>
          <w:sz w:val="20"/>
          <w:szCs w:val="20"/>
          <w:color w:val="auto"/>
        </w:rPr>
      </w:pPr>
      <w:r>
        <w:rPr>
          <w:rFonts w:ascii="Arial" w:cs="Arial" w:eastAsia="Arial" w:hAnsi="Arial"/>
          <w:sz w:val="18"/>
          <w:szCs w:val="18"/>
          <w:color w:val="auto"/>
        </w:rPr>
        <w:t>During the year ended December 31, 2021, the Company recorded an income tax provision of $2.2 million, which is primarily attributable to income related to profitable foreign activity and U.S. state taxes.</w:t>
      </w:r>
    </w:p>
    <w:p>
      <w:pPr>
        <w:spacing w:after="0" w:line="112"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During the year ended December 31, 2020, the Company recorded an income tax benefit of $7.2 million, which is primarily attributable to a non-recurring benefit of $8.4 million relating to the release of a portion of the Company’s valuation allowance. This release was due to taxable temporary differences recorded as part of the Simplee acquisition which are a source of income to realize certain pre-existing federal and state deferred tax assets.</w:t>
      </w:r>
    </w:p>
    <w:p>
      <w:pPr>
        <w:spacing w:after="0" w:line="14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 w:right="2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deferred tax assets and liabilities consisted of the following components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33,078</w:t>
            </w:r>
          </w:p>
        </w:tc>
        <w:tc>
          <w:tcPr>
            <w:tcW w:w="280" w:type="dxa"/>
            <w:vAlign w:val="bottom"/>
          </w:tcPr>
          <w:p>
            <w:pPr>
              <w:spacing w:after="0"/>
              <w:rPr>
                <w:sz w:val="19"/>
                <w:szCs w:val="19"/>
                <w:color w:val="auto"/>
              </w:rPr>
            </w:pP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32,722</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Property and equipment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1,398</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Equity-based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Lease liability</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686</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limitation carryforward</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Capitalized research and development costs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10,360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foreign exchange loss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Other temporary differences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deferred tax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53,339</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37,171</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Deferred tax asset valuation allowance</w:t>
            </w:r>
          </w:p>
        </w:tc>
        <w:tc>
          <w:tcPr>
            <w:tcW w:w="94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w w:val="94"/>
              </w:rPr>
              <w:t>(37,627 )</w:t>
            </w:r>
          </w:p>
        </w:tc>
        <w:tc>
          <w:tcPr>
            <w:tcW w:w="9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(23,864 )</w:t>
            </w: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37"/>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15,712</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Intangible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4"/>
              </w:rPr>
              <w:t>(20,272 )</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(19,783 )</w:t>
            </w: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(1,033 )</w:t>
            </w:r>
          </w:p>
        </w:tc>
        <w:tc>
          <w:tcPr>
            <w:tcW w:w="9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(858 )</w:t>
            </w: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Right-of-use asset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(596 )</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(2,272 )</w:t>
            </w:r>
          </w:p>
        </w:tc>
        <w:tc>
          <w:tcPr>
            <w:tcW w:w="940" w:type="dxa"/>
            <w:vAlign w:val="bottom"/>
          </w:tcPr>
          <w:p>
            <w:pPr>
              <w:spacing w:after="0"/>
              <w:rPr>
                <w:sz w:val="19"/>
                <w:szCs w:val="19"/>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contract costs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(1,726 )</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(778 )</w:t>
            </w: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Other temporary differences</w:t>
            </w:r>
          </w:p>
        </w:tc>
        <w:tc>
          <w:tcPr>
            <w:tcW w:w="94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(163 )</w:t>
            </w:r>
          </w:p>
        </w:tc>
        <w:tc>
          <w:tcPr>
            <w:tcW w:w="9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(118 )</w:t>
            </w:r>
          </w:p>
        </w:tc>
      </w:tr>
      <w:tr>
        <w:trPr>
          <w:trHeight w:val="223"/>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deferred tax liabilities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(26,062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(21,537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Net deferred tax liabilities</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w w:val="94"/>
              </w:rPr>
              <w:t>(10,350 )</w:t>
            </w: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(8,230 )</w:t>
            </w: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-1360805</wp:posOffset>
            </wp:positionV>
            <wp:extent cx="68580" cy="1543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15430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1797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36"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As of December 31, 2022, the Company had gross federal and state NOL carryforwards of $119.2 million and $165.0 million, respectively, out of which $56.5 million of federal NOL carryforwards and $162.1 million of state NOL carryforwards begin to expire in 2030 and 2024, respectively. Additionally, $62.7 million of federal NOL carryforwards and $3.0 million of state NOL carryforwards have indefinite lives. As of December 31, 2022, the Company generated gross foreign NOL carryforwards of $4.7 million which have indefinite lives. The federal, state and foreign NOL carryforwards may be available to reduce future federal, state and foreign taxable income, respectively. Additionally, as of December 31, 2022, the Company had a gross interest limitation carryforward of $2.5 million.</w:t>
      </w:r>
    </w:p>
    <w:p>
      <w:pPr>
        <w:spacing w:after="0" w:line="142"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Ownership changes, as defined under Internal Revenue Code Section 382, and similar state provisions may limit the amount of federal and state NOL carryforwards that can be utilized annually to offset future federal and state taxable income. Generally, an ownership change occurs when the ownership percentage of 5% or greater stockholders increases by more than 50% over a three-year period. Accordingly, the purchase of the Company’s stock in amounts greater than specified levels could limit the Company’s ability to utilize federal and state NOL carryforwards for tax purposes. During 2022, the Company completed a Section 382 study from January 1, 2010, the first day of the first taxable year that Flywire had NOL carryforwards, through June 30, 2021. During this period, Flywire underwent two ownership changes for Section 382 purposes. The ownership changes occurred on June 29, 2011 (the June 2011 Change) and July 12, 2013 (the July 2013 Change) as result of Flywire's issuance and sale of preferred stock. Approximately $14.9 million of NOLs were generated through December 31, 2013. As a result of the ownership changes, all of Flywire's NOLs as of the June 2011 Change and the July 2013 Change are subject to limitation under Section 382, of which $1.6 million NOLs will expire unutilized, assuming sufficient taxable income is generated in the future. Additionally, the Company completed a Section 382 study for Simplee, which Flywire acquired in February 2020. The study was completed for the periods from August 26, 2010, the inception of Simplee, through February 13, 2020, the date that Flywire acquired Simplee. During this period, Simplee underwent four ownership changes. The ownership changes occurred on October 27, 2010, April 13, 2011, May 10,</w:t>
      </w:r>
    </w:p>
    <w:p>
      <w:pPr>
        <w:ind w:right="40"/>
        <w:spacing w:after="0" w:line="258" w:lineRule="auto"/>
        <w:rPr>
          <w:sz w:val="20"/>
          <w:szCs w:val="20"/>
          <w:color w:val="auto"/>
        </w:rPr>
      </w:pPr>
      <w:r>
        <w:rPr>
          <w:rFonts w:ascii="Arial" w:cs="Arial" w:eastAsia="Arial" w:hAnsi="Arial"/>
          <w:sz w:val="17"/>
          <w:szCs w:val="17"/>
          <w:color w:val="auto"/>
        </w:rPr>
        <w:t>2012 (the May 2012 Change), all in connection with the issuance and sale of preferred stock, and February 13, 2020 (the February 2020 Change), in connection with its complete acquisition by Flywire. Approximately $35.7 million of NOLs were generated through February 13, 2020. As a result of the ownership changes, all of Simplee’s NOLs as of the May 2012 Change and the February 2020 Change are subject to limitation under Section 382, of which $0.2 million NOLs will expire unutilized, assuming sufficient taxable income is generated in the future.</w:t>
      </w:r>
    </w:p>
    <w:p>
      <w:pPr>
        <w:spacing w:after="0" w:line="139"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The Company has evaluated the positive and negative evidence bearing</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upon the realizability and determined that it is more likely than not that the Company will not realize the benefits of the deferred tax assets, and as a result, a valuation allowance has been established against federal, state and certain foreign deferred tax assets as of December 31, 2022 and 2021.</w:t>
      </w:r>
    </w:p>
    <w:p>
      <w:pPr>
        <w:spacing w:after="0" w:line="14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During the year ended December 31, 2022, the Company recorded a net increase in the valuation allowance of $13.8 million, which is primarily due to an increase of $12.7 million related to capitalized research and development costs in the U.S. The Company also recorded a valuation allowance of $1.3 million related to a foreign subsidiary, offset by a decrease of $0.2 million due to the release of valuation allowance in foreign entities. During the year ended December 31, 2021, the Company recorded an increase in the valuation allowance of $6.4 million, which is primarily related to generating losses in the U.S. As of December 31, 2020, the Company recorded a net decrease in the valuation allowance of $3.1 million related primarily to a valuation allowance release with respect to the Simplee acquisition offset by a valuation allowance increase with respect to NOL carryforwards. Changes in the valuation allowance are summarized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 at beginning of year</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(23,864</w:t>
            </w:r>
          </w:p>
        </w:tc>
        <w:tc>
          <w:tcPr>
            <w:tcW w:w="2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(17,485</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6620" w:type="dxa"/>
            <w:vAlign w:val="bottom"/>
          </w:tcPr>
          <w:p>
            <w:pPr>
              <w:ind w:left="20"/>
              <w:spacing w:after="0" w:line="197" w:lineRule="exact"/>
              <w:rPr>
                <w:sz w:val="20"/>
                <w:szCs w:val="20"/>
                <w:color w:val="auto"/>
              </w:rPr>
            </w:pPr>
            <w:r>
              <w:rPr>
                <w:rFonts w:ascii="Arial" w:cs="Arial" w:eastAsia="Arial" w:hAnsi="Arial"/>
                <w:sz w:val="18"/>
                <w:szCs w:val="18"/>
                <w:color w:val="auto"/>
              </w:rPr>
              <w:t>Change recorded to income tax provision as part of</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0"/>
                <w:szCs w:val="20"/>
                <w:color w:val="auto"/>
              </w:rPr>
            </w:pPr>
          </w:p>
        </w:tc>
        <w:tc>
          <w:tcPr>
            <w:tcW w:w="1300" w:type="dxa"/>
            <w:vAlign w:val="bottom"/>
            <w:gridSpan w:val="2"/>
          </w:tcPr>
          <w:p>
            <w:pPr>
              <w:jc w:val="right"/>
              <w:ind w:right="116"/>
              <w:spacing w:after="0"/>
              <w:rPr>
                <w:sz w:val="20"/>
                <w:szCs w:val="20"/>
                <w:color w:val="auto"/>
              </w:rPr>
            </w:pPr>
            <w:r>
              <w:rPr>
                <w:rFonts w:ascii="Arial" w:cs="Arial" w:eastAsia="Arial" w:hAnsi="Arial"/>
                <w:sz w:val="18"/>
                <w:szCs w:val="18"/>
                <w:color w:val="auto"/>
              </w:rPr>
              <w:t>(13,763 )</w:t>
            </w:r>
          </w:p>
        </w:tc>
        <w:tc>
          <w:tcPr>
            <w:tcW w:w="30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(6,379 )</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(2,745 )</w:t>
            </w:r>
          </w:p>
        </w:tc>
        <w:tc>
          <w:tcPr>
            <w:tcW w:w="0" w:type="dxa"/>
            <w:vAlign w:val="bottom"/>
          </w:tcPr>
          <w:p>
            <w:pPr>
              <w:spacing w:after="0"/>
              <w:rPr>
                <w:sz w:val="1"/>
                <w:szCs w:val="1"/>
                <w:color w:val="auto"/>
              </w:rPr>
            </w:pPr>
          </w:p>
        </w:tc>
      </w:tr>
      <w:tr>
        <w:trPr>
          <w:trHeight w:val="197"/>
        </w:trPr>
        <w:tc>
          <w:tcPr>
            <w:tcW w:w="66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Change recorded to income tax benefit due to acquisition</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of Simplee</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96"/>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20" w:type="dxa"/>
            <w:vAlign w:val="bottom"/>
          </w:tcPr>
          <w:p>
            <w:pPr>
              <w:ind w:left="20"/>
              <w:spacing w:after="0" w:line="197" w:lineRule="exact"/>
              <w:rPr>
                <w:sz w:val="20"/>
                <w:szCs w:val="20"/>
                <w:color w:val="auto"/>
              </w:rPr>
            </w:pPr>
            <w:r>
              <w:rPr>
                <w:rFonts w:ascii="Arial" w:cs="Arial" w:eastAsia="Arial" w:hAnsi="Arial"/>
                <w:sz w:val="18"/>
                <w:szCs w:val="18"/>
                <w:color w:val="auto"/>
              </w:rPr>
              <w:t>Current year increase established through goodwill due to</w:t>
            </w:r>
          </w:p>
        </w:tc>
        <w:tc>
          <w:tcPr>
            <w:tcW w:w="320" w:type="dxa"/>
            <w:vAlign w:val="bottom"/>
          </w:tcPr>
          <w:p>
            <w:pPr>
              <w:spacing w:after="0"/>
              <w:rPr>
                <w:sz w:val="17"/>
                <w:szCs w:val="17"/>
                <w:color w:val="auto"/>
              </w:rPr>
            </w:pPr>
          </w:p>
        </w:tc>
        <w:tc>
          <w:tcPr>
            <w:tcW w:w="1300" w:type="dxa"/>
            <w:vAlign w:val="bottom"/>
            <w:gridSpan w:val="2"/>
            <w:vMerge w:val="restart"/>
          </w:tcPr>
          <w:p>
            <w:pPr>
              <w:jc w:val="right"/>
              <w:ind w:right="19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6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(2,650 )</w:t>
            </w:r>
          </w:p>
        </w:tc>
        <w:tc>
          <w:tcPr>
            <w:tcW w:w="0" w:type="dxa"/>
            <w:vAlign w:val="bottom"/>
          </w:tcPr>
          <w:p>
            <w:pPr>
              <w:spacing w:after="0"/>
              <w:rPr>
                <w:sz w:val="1"/>
                <w:szCs w:val="1"/>
                <w:color w:val="auto"/>
              </w:rPr>
            </w:pPr>
          </w:p>
        </w:tc>
      </w:tr>
      <w:tr>
        <w:trPr>
          <w:trHeight w:val="221"/>
        </w:trPr>
        <w:tc>
          <w:tcPr>
            <w:tcW w:w="6620" w:type="dxa"/>
            <w:vAlign w:val="bottom"/>
          </w:tcPr>
          <w:p>
            <w:pPr>
              <w:ind w:left="180"/>
              <w:spacing w:after="0"/>
              <w:rPr>
                <w:sz w:val="20"/>
                <w:szCs w:val="20"/>
                <w:color w:val="auto"/>
              </w:rPr>
            </w:pPr>
            <w:r>
              <w:rPr>
                <w:rFonts w:ascii="Arial" w:cs="Arial" w:eastAsia="Arial" w:hAnsi="Arial"/>
                <w:sz w:val="18"/>
                <w:szCs w:val="18"/>
                <w:color w:val="auto"/>
              </w:rPr>
              <w:t>acquisition of Simplee</w:t>
            </w:r>
          </w:p>
        </w:tc>
        <w:tc>
          <w:tcPr>
            <w:tcW w:w="3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Valuation allowance at end of year</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(37,627</w:t>
            </w:r>
          </w:p>
        </w:tc>
        <w:tc>
          <w:tcPr>
            <w:tcW w:w="280" w:type="dxa"/>
            <w:vAlign w:val="bottom"/>
            <w:tcBorders>
              <w:bottom w:val="single" w:sz="8" w:color="CFF0FC"/>
            </w:tcBorders>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 Company permanently reinvests the earnings of its foreign subsidiaries. No additional income taxes have been provided on the indefinitely invested foreign earnings at December 31, 2022. The Company has approximately $15.3 million of unremitted earnings at December 31, 2022, which the Company believes to approximate the outside basis difference in its foreign subsidiaries. If these earnings were distributed, the Company could be subject to income taxes and foreign withholding taxes. As of December 31.2022, the amount of the unrecognized deferred taxes on these earnings are not material.</w:t>
      </w:r>
    </w:p>
    <w:p>
      <w:pPr>
        <w:spacing w:after="0" w:line="152" w:lineRule="exact"/>
        <w:rPr>
          <w:sz w:val="20"/>
          <w:szCs w:val="20"/>
          <w:color w:val="auto"/>
        </w:rPr>
      </w:pPr>
    </w:p>
    <w:p>
      <w:pPr>
        <w:ind w:right="280" w:firstLine="509"/>
        <w:spacing w:after="0" w:line="266" w:lineRule="auto"/>
        <w:rPr>
          <w:sz w:val="20"/>
          <w:szCs w:val="20"/>
          <w:color w:val="auto"/>
        </w:rPr>
      </w:pPr>
      <w:r>
        <w:rPr>
          <w:rFonts w:ascii="Arial" w:cs="Arial" w:eastAsia="Arial" w:hAnsi="Arial"/>
          <w:sz w:val="17"/>
          <w:szCs w:val="17"/>
          <w:color w:val="auto"/>
        </w:rPr>
        <w:t>As of December 31, 2022, 2021 and 2020, the Company accrued $0.8 million, $0.9 million and $0 related to uncertain tax positions, inclusive of interest and penalties, respectively, which includes potential tax benefits of $0.6 million, $0.6 million and $0, respectively, that, when recognized, would impact the effective tax rate. As of December 31, 2022, $0.3 million of the reserve is reflected as a reduction to deferred taxes and the remaining balance is recorded as a component of other liabilities in the consolidated balance sheet.</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year</w:t>
            </w:r>
          </w:p>
        </w:tc>
        <w:tc>
          <w:tcPr>
            <w:tcW w:w="90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Settlements with taxing authorities</w:t>
            </w:r>
          </w:p>
        </w:tc>
        <w:tc>
          <w:tcPr>
            <w:tcW w:w="900" w:type="dxa"/>
            <w:vAlign w:val="bottom"/>
          </w:tcPr>
          <w:p>
            <w:pPr>
              <w:spacing w:after="0"/>
              <w:rPr>
                <w:sz w:val="19"/>
                <w:szCs w:val="19"/>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Increases (decreases) related to tax positions taken during</w:t>
            </w:r>
          </w:p>
        </w:tc>
        <w:tc>
          <w:tcPr>
            <w:tcW w:w="9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prior years</w:t>
            </w:r>
          </w:p>
        </w:tc>
        <w:tc>
          <w:tcPr>
            <w:tcW w:w="9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(170 )</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Decreases related to lapses in statute of limitations</w:t>
            </w:r>
          </w:p>
        </w:tc>
        <w:tc>
          <w:tcPr>
            <w:tcW w:w="900" w:type="dxa"/>
            <w:vAlign w:val="bottom"/>
          </w:tcPr>
          <w:p>
            <w:pPr>
              <w:spacing w:after="0"/>
              <w:rPr>
                <w:sz w:val="19"/>
                <w:szCs w:val="19"/>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8"/>
                <w:szCs w:val="18"/>
                <w:color w:val="auto"/>
              </w:rPr>
              <w:t>(60 )</w:t>
            </w:r>
          </w:p>
        </w:tc>
        <w:tc>
          <w:tcPr>
            <w:tcW w:w="3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Increases related to tax positions taken</w:t>
            </w:r>
          </w:p>
        </w:tc>
        <w:tc>
          <w:tcPr>
            <w:tcW w:w="900" w:type="dxa"/>
            <w:vAlign w:val="bottom"/>
            <w:shd w:val="clear" w:color="auto" w:fill="CFF0FC"/>
          </w:tcPr>
          <w:p>
            <w:pPr>
              <w:spacing w:after="0"/>
              <w:rPr>
                <w:sz w:val="17"/>
                <w:szCs w:val="17"/>
                <w:color w:val="auto"/>
              </w:rPr>
            </w:pPr>
          </w:p>
        </w:tc>
        <w:tc>
          <w:tcPr>
            <w:tcW w:w="720" w:type="dxa"/>
            <w:vAlign w:val="bottom"/>
            <w:gridSpan w:val="2"/>
            <w:vMerge w:val="restart"/>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during the current year</w:t>
            </w:r>
          </w:p>
        </w:tc>
        <w:tc>
          <w:tcPr>
            <w:tcW w:w="900" w:type="dxa"/>
            <w:vAlign w:val="bottom"/>
            <w:shd w:val="clear" w:color="auto" w:fill="CFF0FC"/>
          </w:tcPr>
          <w:p>
            <w:pPr>
              <w:spacing w:after="0"/>
              <w:rPr>
                <w:sz w:val="19"/>
                <w:szCs w:val="19"/>
                <w:color w:val="auto"/>
              </w:rPr>
            </w:pPr>
          </w:p>
        </w:tc>
        <w:tc>
          <w:tcPr>
            <w:tcW w:w="720" w:type="dxa"/>
            <w:vAlign w:val="bottom"/>
            <w:gridSpan w:val="2"/>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end of year</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-179070</wp:posOffset>
            </wp:positionV>
            <wp:extent cx="76835" cy="1797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-179070</wp:posOffset>
            </wp:positionV>
            <wp:extent cx="68580" cy="17970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0" w:lineRule="exact"/>
        <w:rPr>
          <w:sz w:val="20"/>
          <w:szCs w:val="20"/>
          <w:color w:val="auto"/>
        </w:rPr>
      </w:pPr>
    </w:p>
    <w:p>
      <w:pPr>
        <w:ind w:right="720" w:firstLine="509"/>
        <w:spacing w:after="0" w:line="271" w:lineRule="auto"/>
        <w:rPr>
          <w:sz w:val="20"/>
          <w:szCs w:val="20"/>
          <w:color w:val="auto"/>
        </w:rPr>
      </w:pPr>
      <w:r>
        <w:rPr>
          <w:rFonts w:ascii="Arial" w:cs="Arial" w:eastAsia="Arial" w:hAnsi="Arial"/>
          <w:sz w:val="18"/>
          <w:szCs w:val="18"/>
          <w:color w:val="auto"/>
        </w:rPr>
        <w:t>The Company expects a decrease of $0.6 million in uncertain tax positions in the next 12 months due to the lapse of statute of limitations.</w:t>
      </w:r>
    </w:p>
    <w:p>
      <w:pPr>
        <w:spacing w:after="0" w:line="112" w:lineRule="exact"/>
        <w:rPr>
          <w:sz w:val="20"/>
          <w:szCs w:val="20"/>
          <w:color w:val="auto"/>
        </w:rPr>
      </w:pPr>
    </w:p>
    <w:p>
      <w:pPr>
        <w:ind w:right="80" w:firstLine="509"/>
        <w:spacing w:after="0" w:line="274" w:lineRule="auto"/>
        <w:rPr>
          <w:sz w:val="20"/>
          <w:szCs w:val="20"/>
          <w:color w:val="auto"/>
        </w:rPr>
      </w:pPr>
      <w:r>
        <w:rPr>
          <w:rFonts w:ascii="Arial" w:cs="Arial" w:eastAsia="Arial" w:hAnsi="Arial"/>
          <w:sz w:val="17"/>
          <w:szCs w:val="17"/>
          <w:color w:val="auto"/>
        </w:rPr>
        <w:t>The Company recognized accrued interest and penalties of $0, $0.2 million and $0 for the years ended December 31, 2022, 2021 and 2020, respectively, related to the reserves for uncertain tax positions in the income tax provision. Included in the total reserve for uncertain tax positions are accrued interest and penalties of $0.2 million, $0.2 million, and $0 at December 31, 2022, 2021 and 2020, respectively.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Company files income tax returns as prescribed by the tax laws of the jurisdiction in which it operates. In the normal course of its business, the Company is subject to examination by federal, state and foreign jurisdictions, where applicable. The Company is open to future tax examinations from 2018 to the present; however, carryforward attributes that were generated prior to 2018 may still be adjusted upon examination by federal, state or local tax authorities to the extent they will be used in a future period. In 2021, the U.S. Internal Revenue Service commenced a corporate income tax audit with respect to the 2018 calendar year, which was completed in 2022.</w:t>
      </w:r>
    </w:p>
    <w:p>
      <w:pPr>
        <w:spacing w:after="0" w:line="152"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color w:val="auto"/>
        </w:rPr>
        <w:t>On August 16, 2022, the Inflation Reduction Act of 2022 was signed into law. This legislation imposes a Corporate Alternative Minimum Tax among other tax law changes. The Company has not completed its analysis of this legislation as of December 31, 2022, but it is not expected to have a material impact on the Company's tax liability.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69"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of these lease agreements include free rent periods and annual rent increases. Operating lease expense is recognized on a straight-line basis over the term of the lease. There were no finance lease obligations as of December 31, 2022 and 2021.</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ROU assets are included in Other assets and operating lease liabilities are included in Other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ROU assets</w:t>
            </w:r>
          </w:p>
        </w:tc>
        <w:tc>
          <w:tcPr>
            <w:tcW w:w="24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2.12 years</w:t>
            </w:r>
          </w:p>
        </w:tc>
        <w:tc>
          <w:tcPr>
            <w:tcW w:w="60" w:type="dxa"/>
            <w:vAlign w:val="bottom"/>
          </w:tcPr>
          <w:p>
            <w:pPr>
              <w:spacing w:after="0"/>
              <w:rPr>
                <w:sz w:val="19"/>
                <w:szCs w:val="19"/>
                <w:color w:val="auto"/>
              </w:rPr>
            </w:pPr>
          </w:p>
        </w:tc>
      </w:tr>
      <w:tr>
        <w:trPr>
          <w:trHeight w:val="239"/>
        </w:trPr>
        <w:tc>
          <w:tcPr>
            <w:tcW w:w="90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4.5 %</w:t>
            </w:r>
          </w:p>
        </w:tc>
      </w:tr>
      <w:tr>
        <w:trPr>
          <w:trHeight w:val="386"/>
        </w:trPr>
        <w:tc>
          <w:tcPr>
            <w:tcW w:w="9000" w:type="dxa"/>
            <w:vAlign w:val="bottom"/>
          </w:tcPr>
          <w:p>
            <w:pPr>
              <w:ind w:left="5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0"/>
        </w:trPr>
        <w:tc>
          <w:tcPr>
            <w:tcW w:w="900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9000" w:type="dxa"/>
            <w:vAlign w:val="bottom"/>
          </w:tcPr>
          <w:p>
            <w:pPr>
              <w:ind w:left="20"/>
              <w:spacing w:after="0"/>
              <w:rPr>
                <w:sz w:val="20"/>
                <w:szCs w:val="20"/>
                <w:color w:val="auto"/>
              </w:rPr>
            </w:pPr>
            <w:r>
              <w:rPr>
                <w:rFonts w:ascii="Arial" w:cs="Arial" w:eastAsia="Arial" w:hAnsi="Arial"/>
                <w:sz w:val="18"/>
                <w:szCs w:val="18"/>
                <w:color w:val="auto"/>
              </w:rPr>
              <w:t>ROU assets obtained in exchange for operating lease liabilities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86"/>
        </w:trPr>
        <w:tc>
          <w:tcPr>
            <w:tcW w:w="9000" w:type="dxa"/>
            <w:vAlign w:val="bottom"/>
          </w:tcPr>
          <w:p>
            <w:pPr>
              <w:ind w:left="520"/>
              <w:spacing w:after="0"/>
              <w:rPr>
                <w:sz w:val="20"/>
                <w:szCs w:val="20"/>
                <w:color w:val="auto"/>
              </w:rPr>
            </w:pPr>
            <w:r>
              <w:rPr>
                <w:rFonts w:ascii="Arial" w:cs="Arial" w:eastAsia="Arial" w:hAnsi="Arial"/>
                <w:sz w:val="18"/>
                <w:szCs w:val="18"/>
                <w:color w:val="auto"/>
              </w:rPr>
              <w:t>Future minimum lease payments as of December 31, 2022, were as follows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1"/>
        </w:trPr>
        <w:tc>
          <w:tcPr>
            <w:tcW w:w="900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5"/>
        </w:trPr>
        <w:tc>
          <w:tcPr>
            <w:tcW w:w="900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9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9000" w:type="dxa"/>
            <w:vAlign w:val="bottom"/>
          </w:tcPr>
          <w:p>
            <w:pPr>
              <w:ind w:left="140"/>
              <w:spacing w:after="0"/>
              <w:rPr>
                <w:sz w:val="20"/>
                <w:szCs w:val="20"/>
                <w:color w:val="auto"/>
              </w:rPr>
            </w:pPr>
            <w:r>
              <w:rPr>
                <w:rFonts w:ascii="Arial" w:cs="Arial" w:eastAsia="Arial" w:hAnsi="Arial"/>
                <w:sz w:val="18"/>
                <w:szCs w:val="18"/>
                <w:color w:val="auto"/>
              </w:rPr>
              <w:t>Total undiscounted lease payments</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90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Less - present value discount</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9000" w:type="dxa"/>
            <w:vAlign w:val="bottom"/>
          </w:tcPr>
          <w:p>
            <w:pPr>
              <w:ind w:left="140"/>
              <w:spacing w:after="0"/>
              <w:rPr>
                <w:sz w:val="20"/>
                <w:szCs w:val="20"/>
                <w:color w:val="auto"/>
              </w:rPr>
            </w:pPr>
            <w:r>
              <w:rPr>
                <w:rFonts w:ascii="Arial" w:cs="Arial" w:eastAsia="Arial" w:hAnsi="Arial"/>
                <w:sz w:val="18"/>
                <w:szCs w:val="18"/>
                <w:color w:val="auto"/>
              </w:rPr>
              <w:t>Lease liability, at present value</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1625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0" w:lineRule="exact"/>
        <w:rPr>
          <w:sz w:val="20"/>
          <w:szCs w:val="20"/>
          <w:color w:val="auto"/>
        </w:rPr>
      </w:pPr>
    </w:p>
    <w:p>
      <w:pPr>
        <w:ind w:right="720" w:firstLine="509"/>
        <w:spacing w:after="0" w:line="271" w:lineRule="auto"/>
        <w:rPr>
          <w:sz w:val="20"/>
          <w:szCs w:val="20"/>
          <w:color w:val="auto"/>
        </w:rPr>
      </w:pPr>
      <w:r>
        <w:rPr>
          <w:rFonts w:ascii="Arial" w:cs="Arial" w:eastAsia="Arial" w:hAnsi="Arial"/>
          <w:sz w:val="18"/>
          <w:szCs w:val="18"/>
          <w:color w:val="auto"/>
        </w:rPr>
        <w:t xml:space="preserve">Future minimum lease payments as of December 31, 2021, prior to the adoption of ASC 842 as described in </w:t>
      </w:r>
      <w:r>
        <w:rPr>
          <w:rFonts w:ascii="Arial" w:cs="Arial" w:eastAsia="Arial" w:hAnsi="Arial"/>
          <w:sz w:val="18"/>
          <w:szCs w:val="18"/>
          <w:i w:val="1"/>
          <w:iCs w:val="1"/>
          <w:color w:val="auto"/>
        </w:rPr>
        <w:t>Note 1 -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Overview and Summary of Significant Accounting Policies, </w:t>
      </w:r>
      <w:r>
        <w:rPr>
          <w:rFonts w:ascii="Arial" w:cs="Arial" w:eastAsia="Arial" w:hAnsi="Arial"/>
          <w:sz w:val="18"/>
          <w:szCs w:val="18"/>
          <w:color w:val="auto"/>
        </w:rPr>
        <w:t>were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5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39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608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2023</w:t>
            </w:r>
          </w:p>
        </w:tc>
        <w:tc>
          <w:tcPr>
            <w:tcW w:w="5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5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2025</w:t>
            </w:r>
          </w:p>
        </w:tc>
        <w:tc>
          <w:tcPr>
            <w:tcW w:w="5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5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6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320" w:type="dxa"/>
            <w:vAlign w:val="bottom"/>
            <w:vMerge w:val="restart"/>
          </w:tcPr>
          <w:p>
            <w:pPr>
              <w:jc w:val="right"/>
              <w:ind w:right="3370"/>
              <w:spacing w:after="0"/>
              <w:rPr>
                <w:sz w:val="20"/>
                <w:szCs w:val="20"/>
                <w:color w:val="auto"/>
              </w:rPr>
            </w:pPr>
            <w:r>
              <w:rPr>
                <w:rFonts w:ascii="Arial" w:cs="Arial" w:eastAsia="Arial" w:hAnsi="Arial"/>
                <w:sz w:val="18"/>
                <w:szCs w:val="18"/>
                <w:color w:val="auto"/>
              </w:rPr>
              <w:t>142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392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920" w:type="dxa"/>
            <w:vAlign w:val="bottom"/>
            <w:tcBorders>
              <w:bottom w:val="single" w:sz="8" w:color="9A9A9A"/>
            </w:tcBorders>
          </w:tcPr>
          <w:p>
            <w:pPr>
              <w:spacing w:after="0"/>
              <w:rPr>
                <w:sz w:val="7"/>
                <w:szCs w:val="7"/>
                <w:color w:val="auto"/>
              </w:rPr>
            </w:pPr>
          </w:p>
        </w:tc>
        <w:tc>
          <w:tcPr>
            <w:tcW w:w="53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17970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2" w:right="27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components of operating lease expense during the year ended December 31, 2022 is shown on the table below (in thousands), while rent expense for the years ended December 31, 2021 and 2020 was $2.2 million and $2.3 million,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223"/>
        </w:trPr>
        <w:tc>
          <w:tcPr>
            <w:tcW w:w="9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FF0FC"/>
          </w:tcPr>
          <w:p>
            <w:pPr>
              <w:spacing w:after="0"/>
              <w:rPr>
                <w:sz w:val="19"/>
                <w:szCs w:val="19"/>
                <w:color w:val="auto"/>
              </w:rPr>
            </w:pP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r>
      <w:tr>
        <w:trPr>
          <w:trHeight w:val="229"/>
        </w:trPr>
        <w:tc>
          <w:tcPr>
            <w:tcW w:w="9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Variable lease expense</w:t>
            </w:r>
          </w:p>
        </w:tc>
        <w:tc>
          <w:tcPr>
            <w:tcW w:w="24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060" w:type="dxa"/>
            <w:vAlign w:val="bottom"/>
          </w:tcPr>
          <w:p>
            <w:pPr>
              <w:ind w:left="140"/>
              <w:spacing w:after="0"/>
              <w:rPr>
                <w:sz w:val="20"/>
                <w:szCs w:val="20"/>
                <w:color w:val="auto"/>
              </w:rPr>
            </w:pPr>
            <w:r>
              <w:rPr>
                <w:rFonts w:ascii="Arial" w:cs="Arial" w:eastAsia="Arial" w:hAnsi="Arial"/>
                <w:sz w:val="18"/>
                <w:szCs w:val="18"/>
                <w:color w:val="auto"/>
              </w:rPr>
              <w:t>Total operating lease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142"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As of December 31, 2022, the Company was not aware of any pending legal matters or claims, individually or in the aggregate, that are expected to have a material adverse effect on its financial position, results of operations, or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8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consolidated financial statements as of December 31, 2022 and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Employee Benefit Plan</w:t>
      </w:r>
    </w:p>
    <w:p>
      <w:pPr>
        <w:spacing w:after="0" w:line="17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 has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contributions of $1.2 million, $0.8 million and $0.5 million to the plan during the years ended December 31, 2022, 2021 and 2020, respectively.</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December 31, 2022, the end of the period covered by this Annual Report on Form 10-K, our disclosure controls and procedures were effective at the reasonable assurance level.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15d- 15(f) under the Exchange Act. Management, with the participation of our Chief Executive Officer and Chief Financial Officer, has assessed the effectiveness of our internal control over financial reporting as of December 31, 2022 based on the 2013 framework established in the “Internal Control-Integrated Framework,” issued by the Committee of Sponsoring Organizations of the Treadway Commission. Based on this evaluation under the framework, management has concluded that our internal control over financial reporting as of December 31, 2022 was effective.</w:t>
      </w:r>
    </w:p>
    <w:p>
      <w:pPr>
        <w:spacing w:after="0" w:line="155"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On July 13, 2022, Flywire acquired all of the issued and outstanding shares of Cohort Solutions Pty Ltd. (Cohort Go). As permitted by Securities and Exchange Commission staff guidance, companies are permitted to exclude acquisitions from their assessment of internal control over financial reporting for the first year of acquisition. We have excluded Cohort Go from our assessment of internal control over financial reporting as of December 31, 2022. Cohort Go accounted for approximately 8% of total assets as of December 31, 2022 and approximately 3% of revenues for the fiscal year ended on December 31, 2022.</w:t>
      </w:r>
    </w:p>
    <w:p>
      <w:pPr>
        <w:spacing w:after="0" w:line="139"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PricewaterhouseCoopers LLP, an independent registered public accounting firm, as stated in their report which appears in Part II, Item 8 of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4"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2022 that has materially affected, or is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2022.</w:t>
      </w:r>
    </w:p>
    <w:p>
      <w:pPr>
        <w:spacing w:after="0" w:line="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03" w:lineRule="exact"/>
        <w:rPr>
          <w:sz w:val="20"/>
          <w:szCs w:val="20"/>
          <w:color w:val="auto"/>
        </w:rPr>
      </w:pPr>
    </w:p>
    <w:p>
      <w:pPr>
        <w:ind w:left="1020" w:hanging="504"/>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70" w:lineRule="exact"/>
        <w:rPr>
          <w:rFonts w:ascii="Arial" w:cs="Arial" w:eastAsia="Arial" w:hAnsi="Arial"/>
          <w:sz w:val="18"/>
          <w:szCs w:val="18"/>
          <w:color w:val="auto"/>
        </w:rPr>
      </w:pPr>
    </w:p>
    <w:p>
      <w:pPr>
        <w:ind w:left="1020" w:right="140"/>
        <w:spacing w:after="0" w:line="271" w:lineRule="auto"/>
        <w:rPr>
          <w:rFonts w:ascii="Arial" w:cs="Arial" w:eastAsia="Arial" w:hAnsi="Arial"/>
          <w:sz w:val="18"/>
          <w:szCs w:val="18"/>
          <w:color w:val="auto"/>
        </w:rPr>
      </w:pPr>
      <w:r>
        <w:rPr>
          <w:rFonts w:ascii="Arial" w:cs="Arial" w:eastAsia="Arial" w:hAnsi="Arial"/>
          <w:sz w:val="18"/>
          <w:szCs w:val="18"/>
          <w:color w:val="auto"/>
        </w:rPr>
        <w:t>The consolidated financial statements are filed as part of this Annual Report on Form 10-K under “Item 8. Financial Statements and Supplementary Data.”</w:t>
      </w:r>
    </w:p>
    <w:p>
      <w:pPr>
        <w:spacing w:after="0" w:line="44" w:lineRule="exact"/>
        <w:rPr>
          <w:rFonts w:ascii="Arial" w:cs="Arial" w:eastAsia="Arial" w:hAnsi="Arial"/>
          <w:sz w:val="18"/>
          <w:szCs w:val="18"/>
          <w:color w:val="auto"/>
        </w:rPr>
      </w:pPr>
    </w:p>
    <w:p>
      <w:pPr>
        <w:ind w:left="1020" w:hanging="504"/>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0" w:lineRule="exact"/>
        <w:rPr>
          <w:rFonts w:ascii="Arial" w:cs="Arial" w:eastAsia="Arial" w:hAnsi="Arial"/>
          <w:sz w:val="18"/>
          <w:szCs w:val="18"/>
          <w:color w:val="auto"/>
        </w:rPr>
      </w:pPr>
    </w:p>
    <w:p>
      <w:pPr>
        <w:ind w:left="1020" w:right="260"/>
        <w:spacing w:after="0" w:line="252"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in the notes to those financial statements.</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Exhibits</w:t>
      </w:r>
    </w:p>
    <w:p>
      <w:pPr>
        <w:spacing w:after="0" w:line="184" w:lineRule="exact"/>
        <w:rPr>
          <w:sz w:val="20"/>
          <w:szCs w:val="20"/>
          <w:color w:val="auto"/>
        </w:rPr>
      </w:pPr>
    </w:p>
    <w:p>
      <w:pPr>
        <w:ind w:left="1020" w:right="240"/>
        <w:spacing w:after="0" w:line="271" w:lineRule="auto"/>
        <w:rPr>
          <w:sz w:val="20"/>
          <w:szCs w:val="20"/>
          <w:color w:val="auto"/>
        </w:rPr>
      </w:pPr>
      <w:r>
        <w:rPr>
          <w:rFonts w:ascii="Arial" w:cs="Arial" w:eastAsia="Arial" w:hAnsi="Arial"/>
          <w:sz w:val="18"/>
          <w:szCs w:val="18"/>
          <w:color w:val="auto"/>
        </w:rPr>
        <w:t>The exhibits listed in the following Exhibit Index are filed, furnished, or incorporated by reference as part of this Annual Report on Form 10-K.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2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0" w:type="dxa"/>
            <w:vAlign w:val="bottom"/>
            <w:gridSpan w:val="21"/>
          </w:tcPr>
          <w:p>
            <w:pPr>
              <w:ind w:left="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27"/>
        </w:trPr>
        <w:tc>
          <w:tcPr>
            <w:tcW w:w="12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160" w:type="dxa"/>
            <w:vAlign w:val="bottom"/>
            <w:tcBorders>
              <w:bottom w:val="single" w:sz="8" w:color="auto"/>
            </w:tcBorders>
            <w:gridSpan w:val="19"/>
          </w:tcPr>
          <w:p>
            <w:pPr>
              <w:ind w:left="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44"/>
        </w:trPr>
        <w:tc>
          <w:tcPr>
            <w:tcW w:w="1240" w:type="dxa"/>
            <w:vAlign w:val="bottom"/>
          </w:tcPr>
          <w:p>
            <w:pPr>
              <w:ind w:lef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FF"/>
              </w:rPr>
            </w:pPr>
            <w:hyperlink r:id="rId628">
              <w:r>
                <w:rPr>
                  <w:rFonts w:ascii="Arial" w:cs="Arial" w:eastAsia="Arial" w:hAnsi="Arial"/>
                  <w:sz w:val="18"/>
                  <w:szCs w:val="18"/>
                  <w:color w:val="0000FF"/>
                </w:rPr>
                <w:t>Amended and Restated Certificate of Incorporation of Flywire Corporation, incorporated by reference to Exhibit 3.1 to the</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628">
              <w:r>
                <w:rPr>
                  <w:rFonts w:ascii="Arial" w:cs="Arial" w:eastAsia="Arial" w:hAnsi="Arial"/>
                  <w:sz w:val="18"/>
                  <w:szCs w:val="18"/>
                  <w:color w:val="0000FF"/>
                  <w:w w:val="99"/>
                </w:rPr>
                <w:t>Registrant’s Current Report on Form 8-K filed on June 1,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462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FF"/>
              </w:rPr>
            </w:pPr>
            <w:hyperlink r:id="rId629">
              <w:r>
                <w:rPr>
                  <w:rFonts w:ascii="Arial" w:cs="Arial" w:eastAsia="Arial" w:hAnsi="Arial"/>
                  <w:sz w:val="18"/>
                  <w:szCs w:val="18"/>
                  <w:color w:val="0000FF"/>
                </w:rPr>
                <w:t>Amended and Restated Bylaws of Flywire Corporation, incorporated by reference to Exhibit 3.2 to the Registrant’s Current</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629">
              <w:r>
                <w:rPr>
                  <w:rFonts w:ascii="Arial" w:cs="Arial" w:eastAsia="Arial" w:hAnsi="Arial"/>
                  <w:sz w:val="18"/>
                  <w:szCs w:val="18"/>
                  <w:color w:val="0000FF"/>
                </w:rPr>
                <w:t>Report on Form 8-K filed on June 1, 2021.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FF"/>
              </w:rPr>
            </w:pPr>
            <w:hyperlink r:id="rId630">
              <w:r>
                <w:rPr>
                  <w:rFonts w:ascii="Arial" w:cs="Arial" w:eastAsia="Arial" w:hAnsi="Arial"/>
                  <w:sz w:val="18"/>
                  <w:szCs w:val="18"/>
                  <w:color w:val="0000FF"/>
                </w:rPr>
                <w:t>Description of Securities of Flywire Corporation, incorporated by reference to Exhibit 4.1 to the Registrant's Annual Report</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630">
              <w:r>
                <w:rPr>
                  <w:rFonts w:ascii="Arial" w:cs="Arial" w:eastAsia="Arial" w:hAnsi="Arial"/>
                  <w:sz w:val="18"/>
                  <w:szCs w:val="18"/>
                  <w:color w:val="0000FF"/>
                </w:rPr>
                <w:t>on Form 10-K for the year ended December 31, 2021 filed on March 29, 2022.</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FF"/>
              </w:rPr>
            </w:pPr>
            <w:hyperlink r:id="rId631">
              <w:r>
                <w:rPr>
                  <w:rFonts w:ascii="Arial" w:cs="Arial" w:eastAsia="Arial" w:hAnsi="Arial"/>
                  <w:sz w:val="18"/>
                  <w:szCs w:val="18"/>
                  <w:color w:val="0000FF"/>
                </w:rPr>
                <w:t>Amended and Restated Investors’ Rights Agreement, dated February 23, 2021, by and among the Registrant and certain</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631">
              <w:r>
                <w:rPr>
                  <w:rFonts w:ascii="Arial" w:cs="Arial" w:eastAsia="Arial" w:hAnsi="Arial"/>
                  <w:sz w:val="18"/>
                  <w:szCs w:val="18"/>
                  <w:color w:val="0000FF"/>
                </w:rPr>
                <w:t>security holders of the Registrant, as amended, incorporated by reference to Exhibit 4.2 to the Registrant's Registration</w:t>
              </w:r>
            </w:hyperlink>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631">
              <w:r>
                <w:rPr>
                  <w:rFonts w:ascii="Arial" w:cs="Arial" w:eastAsia="Arial" w:hAnsi="Arial"/>
                  <w:sz w:val="18"/>
                  <w:szCs w:val="18"/>
                  <w:color w:val="0000FF"/>
                  <w:w w:val="99"/>
                </w:rPr>
                <w:t>Statement on Form S-1 filed on May 3,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590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FF"/>
              </w:rPr>
            </w:pPr>
            <w:hyperlink r:id="rId632">
              <w:r>
                <w:rPr>
                  <w:rFonts w:ascii="Arial" w:cs="Arial" w:eastAsia="Arial" w:hAnsi="Arial"/>
                  <w:sz w:val="18"/>
                  <w:szCs w:val="18"/>
                  <w:color w:val="0000FF"/>
                </w:rPr>
                <w:t>Form of Indemnification Agreement, incorporated by reference to Exhibit 10.1 to the Registrant's Registration Statement</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632">
              <w:r>
                <w:rPr>
                  <w:rFonts w:ascii="Arial" w:cs="Arial" w:eastAsia="Arial" w:hAnsi="Arial"/>
                  <w:sz w:val="18"/>
                  <w:szCs w:val="18"/>
                  <w:color w:val="0000FF"/>
                  <w:w w:val="98"/>
                </w:rPr>
                <w:t>on Form S-1/A filed on May 18,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6560" w:type="dxa"/>
            <w:vAlign w:val="bottom"/>
            <w:tcBorders>
              <w:top w:val="single" w:sz="8" w:color="0000FF"/>
            </w:tcBorders>
            <w:gridSpan w:val="15"/>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0000FF"/>
            </w:tcBorders>
            <w:gridSpan w:val="14"/>
          </w:tcPr>
          <w:p>
            <w:pPr>
              <w:spacing w:after="0"/>
              <w:rPr>
                <w:rFonts w:ascii="Arial" w:cs="Arial" w:eastAsia="Arial" w:hAnsi="Arial"/>
                <w:sz w:val="18"/>
                <w:szCs w:val="18"/>
                <w:color w:val="0000FF"/>
              </w:rPr>
            </w:pPr>
            <w:hyperlink r:id="rId633">
              <w:r>
                <w:rPr>
                  <w:rFonts w:ascii="Arial" w:cs="Arial" w:eastAsia="Arial" w:hAnsi="Arial"/>
                  <w:sz w:val="18"/>
                  <w:szCs w:val="18"/>
                  <w:color w:val="0000FF"/>
                </w:rPr>
                <w:t>Amended and Restated 2009 Equity Incentive Plan and forms of agreements thereafter, incorporated by reference to</w:t>
              </w:r>
            </w:hyperlink>
          </w:p>
        </w:tc>
        <w:tc>
          <w:tcPr>
            <w:tcW w:w="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25"/>
          </w:tcPr>
          <w:p>
            <w:pPr>
              <w:spacing w:after="0" w:line="182" w:lineRule="exact"/>
              <w:rPr>
                <w:rFonts w:ascii="Arial" w:cs="Arial" w:eastAsia="Arial" w:hAnsi="Arial"/>
                <w:sz w:val="18"/>
                <w:szCs w:val="18"/>
                <w:color w:val="0000FF"/>
              </w:rPr>
            </w:pPr>
            <w:hyperlink r:id="rId633">
              <w:r>
                <w:rPr>
                  <w:rFonts w:ascii="Arial" w:cs="Arial" w:eastAsia="Arial" w:hAnsi="Arial"/>
                  <w:sz w:val="18"/>
                  <w:szCs w:val="18"/>
                  <w:color w:val="0000FF"/>
                </w:rPr>
                <w:t>Exhibit 10.2 to the Registrant's Annual Report on Form 10-K for the year ended December 31, 2021 filed on March 29,</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98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633">
              <w:r>
                <w:rPr>
                  <w:rFonts w:ascii="Arial" w:cs="Arial" w:eastAsia="Arial" w:hAnsi="Arial"/>
                  <w:sz w:val="18"/>
                  <w:szCs w:val="18"/>
                  <w:color w:val="0000FF"/>
                </w:rPr>
                <w:t>2022.</w:t>
              </w:r>
            </w:hyperlink>
          </w:p>
        </w:tc>
        <w:tc>
          <w:tcPr>
            <w:tcW w:w="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5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FF"/>
              </w:rPr>
            </w:pPr>
            <w:hyperlink r:id="rId634">
              <w:r>
                <w:rPr>
                  <w:rFonts w:ascii="Arial" w:cs="Arial" w:eastAsia="Arial" w:hAnsi="Arial"/>
                  <w:sz w:val="18"/>
                  <w:szCs w:val="18"/>
                  <w:color w:val="0000FF"/>
                </w:rPr>
                <w:t>2018 Stock Incentive Plan, as amended, and forms of equity agreements thereunder, incorporated by reference to Exhibit</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634">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Registrant's Registration Statement on Form S-1/A filed on May 18, 2021.</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2021 Equity Incentive Plan, and forms of equity agreements thereunder.</w:t>
            </w:r>
          </w:p>
        </w:tc>
        <w:tc>
          <w:tcPr>
            <w:tcW w:w="30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Borders>
              <w:right w:val="single" w:sz="8" w:color="0000EE"/>
            </w:tcBorders>
            <w:gridSpan w:val="9"/>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FF"/>
                <w:w w:val="99"/>
              </w:rPr>
            </w:pPr>
            <w:hyperlink r:id="rId635">
              <w:r>
                <w:rPr>
                  <w:rFonts w:ascii="Arial" w:cs="Arial" w:eastAsia="Arial" w:hAnsi="Arial"/>
                  <w:sz w:val="18"/>
                  <w:szCs w:val="18"/>
                  <w:color w:val="0000FF"/>
                  <w:w w:val="99"/>
                </w:rPr>
                <w:t>2021 Employee Stock Purchase Plan, and form of subscription agreement, incorporated by reference to Exhibit 10.5 to the</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635">
              <w:r>
                <w:rPr>
                  <w:rFonts w:ascii="Arial" w:cs="Arial" w:eastAsia="Arial" w:hAnsi="Arial"/>
                  <w:sz w:val="18"/>
                  <w:szCs w:val="18"/>
                  <w:color w:val="0000FF"/>
                </w:rPr>
                <w:t>Registrant's Registration Statement on Form S-1/A filed on May 18, 2021.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40" w:type="dxa"/>
            <w:vAlign w:val="bottom"/>
            <w:gridSpan w:val="10"/>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bottom w:val="single" w:sz="8" w:color="0000FF"/>
            </w:tcBorders>
            <w:gridSpan w:val="13"/>
          </w:tcPr>
          <w:p>
            <w:pPr>
              <w:spacing w:after="0"/>
              <w:rPr>
                <w:rFonts w:ascii="Arial" w:cs="Arial" w:eastAsia="Arial" w:hAnsi="Arial"/>
                <w:sz w:val="18"/>
                <w:szCs w:val="18"/>
                <w:color w:val="0000FF"/>
                <w:w w:val="99"/>
              </w:rPr>
            </w:pPr>
            <w:hyperlink r:id="rId636">
              <w:r>
                <w:rPr>
                  <w:rFonts w:ascii="Arial" w:cs="Arial" w:eastAsia="Arial" w:hAnsi="Arial"/>
                  <w:sz w:val="18"/>
                  <w:szCs w:val="18"/>
                  <w:color w:val="0000FF"/>
                  <w:w w:val="99"/>
                </w:rPr>
                <w:t>Loan and Security Agreement, by and between the Registrant and certain of its subsidiaries and Silicon Valley Bank,</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25"/>
          </w:tcPr>
          <w:p>
            <w:pPr>
              <w:spacing w:after="0" w:line="182" w:lineRule="exact"/>
              <w:rPr>
                <w:rFonts w:ascii="Arial" w:cs="Arial" w:eastAsia="Arial" w:hAnsi="Arial"/>
                <w:sz w:val="18"/>
                <w:szCs w:val="18"/>
                <w:color w:val="0000FF"/>
              </w:rPr>
            </w:pPr>
            <w:hyperlink r:id="rId636">
              <w:r>
                <w:rPr>
                  <w:rFonts w:ascii="Arial" w:cs="Arial" w:eastAsia="Arial" w:hAnsi="Arial"/>
                  <w:sz w:val="18"/>
                  <w:szCs w:val="18"/>
                  <w:color w:val="0000FF"/>
                </w:rPr>
                <w:t>dated January 16, 2018, as amended by the Joinder and First Amendment to Loan Security Agreement, dated April 25,</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r:id="rId636">
              <w:r>
                <w:rPr>
                  <w:rFonts w:ascii="Arial" w:cs="Arial" w:eastAsia="Arial" w:hAnsi="Arial"/>
                  <w:sz w:val="18"/>
                  <w:szCs w:val="18"/>
                  <w:color w:val="0000FF"/>
                  <w:w w:val="99"/>
                </w:rPr>
                <w:t>2018; the Joinder and Second Amendment to Loan and Security Agreement, dated May 15, 2020; the Third Amendment</w:t>
              </w:r>
            </w:hyperlink>
          </w:p>
        </w:tc>
        <w:tc>
          <w:tcPr>
            <w:tcW w:w="80" w:type="dxa"/>
            <w:vAlign w:val="bottom"/>
            <w:tcBorders>
              <w:bottom w:val="single" w:sz="8" w:color="0000FF"/>
            </w:tcBorders>
            <w:gridSpan w:val="2"/>
          </w:tcPr>
          <w:p>
            <w:pPr>
              <w:spacing w:after="0"/>
              <w:rPr>
                <w:sz w:val="15"/>
                <w:szCs w:val="15"/>
                <w:color w:val="auto"/>
              </w:rPr>
            </w:pPr>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bl>
    <w:p>
      <w:pPr>
        <w:ind w:left="1500" w:right="80"/>
        <w:spacing w:after="0" w:line="249" w:lineRule="auto"/>
        <w:rPr>
          <w:rFonts w:ascii="Arial" w:cs="Arial" w:eastAsia="Arial" w:hAnsi="Arial"/>
          <w:sz w:val="18"/>
          <w:szCs w:val="18"/>
          <w:u w:val="single" w:color="auto"/>
          <w:color w:val="0000FF"/>
        </w:rPr>
      </w:pPr>
      <w:hyperlink r:id="rId636">
        <w:r>
          <w:rPr>
            <w:rFonts w:ascii="Arial" w:cs="Arial" w:eastAsia="Arial" w:hAnsi="Arial"/>
            <w:sz w:val="18"/>
            <w:szCs w:val="18"/>
            <w:u w:val="single" w:color="auto"/>
            <w:color w:val="0000FF"/>
          </w:rPr>
          <w:t>to Loan and Security Agreement, dated June 2, 2020; and the Consent and Fourth Amendment to Loan and Security</w:t>
        </w:r>
      </w:hyperlink>
      <w:r>
        <w:rPr>
          <w:rFonts w:ascii="Arial" w:cs="Arial" w:eastAsia="Arial" w:hAnsi="Arial"/>
          <w:sz w:val="18"/>
          <w:szCs w:val="18"/>
          <w:u w:val="single" w:color="auto"/>
          <w:color w:val="0000FF"/>
        </w:rPr>
        <w:t xml:space="preserve"> </w:t>
      </w:r>
      <w:hyperlink r:id="rId636">
        <w:r>
          <w:rPr>
            <w:rFonts w:ascii="Arial" w:cs="Arial" w:eastAsia="Arial" w:hAnsi="Arial"/>
            <w:sz w:val="18"/>
            <w:szCs w:val="18"/>
            <w:u w:val="single" w:color="auto"/>
            <w:color w:val="0000FF"/>
          </w:rPr>
          <w:t>Agreement, dated December 9, 2020, incorporated by reference to Exhibit 10.6 to the Registrant's Registration Statement</w:t>
        </w:r>
      </w:hyperlink>
      <w:r>
        <w:rPr>
          <w:rFonts w:ascii="Arial" w:cs="Arial" w:eastAsia="Arial" w:hAnsi="Arial"/>
          <w:sz w:val="18"/>
          <w:szCs w:val="18"/>
          <w:u w:val="single" w:color="auto"/>
          <w:color w:val="0000FF"/>
        </w:rPr>
        <w:t xml:space="preserve"> </w:t>
      </w:r>
      <w:hyperlink r:id="rId636">
        <w:r>
          <w:rPr>
            <w:rFonts w:ascii="Arial" w:cs="Arial" w:eastAsia="Arial" w:hAnsi="Arial"/>
            <w:sz w:val="18"/>
            <w:szCs w:val="18"/>
            <w:u w:val="single" w:color="auto"/>
            <w:color w:val="0000FF"/>
          </w:rPr>
          <w:t>on Form S-1/A filed on May 18,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946785</wp:posOffset>
            </wp:positionH>
            <wp:positionV relativeFrom="paragraph">
              <wp:posOffset>-288290</wp:posOffset>
            </wp:positionV>
            <wp:extent cx="591883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7">
                      <a:extLst>
                        <a:ext uri="{28A0092B-C50C-407E-A947-70E740481C1C}"/>
                      </a:extLst>
                    </a:blip>
                    <a:srcRect/>
                    <a:stretch>
                      <a:fillRect/>
                    </a:stretch>
                  </pic:blipFill>
                  <pic:spPr bwMode="auto">
                    <a:xfrm>
                      <a:off x="0" y="0"/>
                      <a:ext cx="5918835" cy="825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-160020</wp:posOffset>
            </wp:positionV>
            <wp:extent cx="61683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8">
                      <a:extLst>
                        <a:ext uri="{28A0092B-C50C-407E-A947-70E740481C1C}"/>
                      </a:extLst>
                    </a:blip>
                    <a:srcRect/>
                    <a:stretch>
                      <a:fillRect/>
                    </a:stretch>
                  </pic:blipFill>
                  <pic:spPr bwMode="auto">
                    <a:xfrm>
                      <a:off x="0" y="0"/>
                      <a:ext cx="6168390" cy="825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-31750</wp:posOffset>
            </wp:positionV>
            <wp:extent cx="189674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9">
                      <a:extLst>
                        <a:ext uri="{28A0092B-C50C-407E-A947-70E740481C1C}"/>
                      </a:extLst>
                    </a:blip>
                    <a:srcRect/>
                    <a:stretch>
                      <a:fillRect/>
                    </a:stretch>
                  </pic:blipFill>
                  <pic:spPr bwMode="auto">
                    <a:xfrm>
                      <a:off x="0" y="0"/>
                      <a:ext cx="1896745" cy="8255"/>
                    </a:xfrm>
                    <a:prstGeom prst="rect">
                      <a:avLst/>
                    </a:prstGeom>
                    <a:noFill/>
                  </pic:spPr>
                </pic:pic>
              </a:graphicData>
            </a:graphic>
          </wp:anchor>
        </w:drawing>
      </w:r>
    </w:p>
    <w:p>
      <w:pPr>
        <w:spacing w:after="0" w:line="59"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0"/>
        </w:trPr>
        <w:tc>
          <w:tcPr>
            <w:tcW w:w="140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9740" w:type="dxa"/>
            <w:vAlign w:val="bottom"/>
            <w:gridSpan w:val="28"/>
          </w:tcPr>
          <w:p>
            <w:pPr>
              <w:spacing w:after="0"/>
              <w:rPr>
                <w:rFonts w:ascii="Arial" w:cs="Arial" w:eastAsia="Arial" w:hAnsi="Arial"/>
                <w:sz w:val="18"/>
                <w:szCs w:val="18"/>
                <w:color w:val="0000FF"/>
              </w:rPr>
            </w:pPr>
            <w:hyperlink r:id="rId641">
              <w:r>
                <w:rPr>
                  <w:rFonts w:ascii="Arial" w:cs="Arial" w:eastAsia="Arial" w:hAnsi="Arial"/>
                  <w:sz w:val="18"/>
                  <w:szCs w:val="18"/>
                  <w:color w:val="0000FF"/>
                </w:rPr>
                <w:t>Employment Agreement, dated as of May 14, 2021, by and between the Registrant and Michael Massaro, incorporated by</w:t>
              </w:r>
            </w:hyperlink>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2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641">
              <w:r>
                <w:rPr>
                  <w:rFonts w:ascii="Arial" w:cs="Arial" w:eastAsia="Arial" w:hAnsi="Arial"/>
                  <w:sz w:val="18"/>
                  <w:szCs w:val="18"/>
                  <w:color w:val="0000FF"/>
                </w:rPr>
                <w:t>reference to Exhibit 10.7 to the Registrant's Registration Statement on Form S-1/A filed on May 18, 2021.</w:t>
              </w:r>
            </w:hyperlink>
          </w:p>
        </w:tc>
        <w:tc>
          <w:tcPr>
            <w:tcW w:w="2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9740" w:type="dxa"/>
            <w:vAlign w:val="bottom"/>
            <w:gridSpan w:val="28"/>
          </w:tcPr>
          <w:p>
            <w:pPr>
              <w:spacing w:after="0"/>
              <w:rPr>
                <w:rFonts w:ascii="Arial" w:cs="Arial" w:eastAsia="Arial" w:hAnsi="Arial"/>
                <w:sz w:val="18"/>
                <w:szCs w:val="18"/>
                <w:color w:val="0000FF"/>
              </w:rPr>
            </w:pPr>
            <w:hyperlink r:id="rId642">
              <w:r>
                <w:rPr>
                  <w:rFonts w:ascii="Arial" w:cs="Arial" w:eastAsia="Arial" w:hAnsi="Arial"/>
                  <w:sz w:val="18"/>
                  <w:szCs w:val="18"/>
                  <w:color w:val="0000FF"/>
                </w:rPr>
                <w:t>Employment Agreement, dated as of May 14, 2021, by and between the Registrant and Rob Orgel, incorporated by</w:t>
              </w:r>
            </w:hyperlink>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642">
              <w:r>
                <w:rPr>
                  <w:rFonts w:ascii="Arial" w:cs="Arial" w:eastAsia="Arial" w:hAnsi="Arial"/>
                  <w:sz w:val="18"/>
                  <w:szCs w:val="18"/>
                  <w:color w:val="0000FF"/>
                </w:rPr>
                <w:t>reference to Exhibit 10.8 to the Registrant's Registration Statement on Form S-1/A filed on May 18, 2021.</w:t>
              </w:r>
            </w:hyperlink>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9740" w:type="dxa"/>
            <w:vAlign w:val="bottom"/>
            <w:gridSpan w:val="28"/>
          </w:tcPr>
          <w:p>
            <w:pPr>
              <w:spacing w:after="0"/>
              <w:rPr>
                <w:rFonts w:ascii="Arial" w:cs="Arial" w:eastAsia="Arial" w:hAnsi="Arial"/>
                <w:sz w:val="18"/>
                <w:szCs w:val="18"/>
                <w:color w:val="0000FF"/>
              </w:rPr>
            </w:pPr>
            <w:hyperlink r:id="rId643">
              <w:r>
                <w:rPr>
                  <w:rFonts w:ascii="Arial" w:cs="Arial" w:eastAsia="Arial" w:hAnsi="Arial"/>
                  <w:sz w:val="18"/>
                  <w:szCs w:val="18"/>
                  <w:color w:val="0000FF"/>
                </w:rPr>
                <w:t>Employment Agreement, dated as of May 14, 2021, by and between the Registrant and Michael Ellis, incorporated by</w:t>
              </w:r>
            </w:hyperlink>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8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643">
              <w:r>
                <w:rPr>
                  <w:rFonts w:ascii="Arial" w:cs="Arial" w:eastAsia="Arial" w:hAnsi="Arial"/>
                  <w:sz w:val="18"/>
                  <w:szCs w:val="18"/>
                  <w:color w:val="0000FF"/>
                </w:rPr>
                <w:t>reference to Exhibit 10.9 to the Registrant's Registration Statement on Form S-1/A filed on May 18, 2021.</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9740" w:type="dxa"/>
            <w:vAlign w:val="bottom"/>
            <w:gridSpan w:val="28"/>
          </w:tcPr>
          <w:p>
            <w:pPr>
              <w:spacing w:after="0"/>
              <w:rPr>
                <w:rFonts w:ascii="Arial" w:cs="Arial" w:eastAsia="Arial" w:hAnsi="Arial"/>
                <w:sz w:val="18"/>
                <w:szCs w:val="18"/>
                <w:color w:val="0000FF"/>
              </w:rPr>
            </w:pPr>
            <w:hyperlink r:id="rId644">
              <w:r>
                <w:rPr>
                  <w:rFonts w:ascii="Arial" w:cs="Arial" w:eastAsia="Arial" w:hAnsi="Arial"/>
                  <w:sz w:val="18"/>
                  <w:szCs w:val="18"/>
                  <w:color w:val="0000FF"/>
                </w:rPr>
                <w:t>Employment Agreement, dated as of May 14, 2021, by and between the Registrant and Peter Butterfield, incorporated by</w:t>
              </w:r>
            </w:hyperlink>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6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644">
              <w:r>
                <w:rPr>
                  <w:rFonts w:ascii="Arial" w:cs="Arial" w:eastAsia="Arial" w:hAnsi="Arial"/>
                  <w:sz w:val="18"/>
                  <w:szCs w:val="18"/>
                  <w:color w:val="0000FF"/>
                </w:rPr>
                <w:t>reference to Exhibit 10.10 to the Registrant's Registration Statement on Form S-1/A filed on May 18, 2021</w:t>
              </w:r>
              <w:r>
                <w:rPr>
                  <w:rFonts w:ascii="Arial" w:cs="Arial" w:eastAsia="Arial" w:hAnsi="Arial"/>
                  <w:sz w:val="18"/>
                  <w:szCs w:val="18"/>
                  <w:color w:val="000000"/>
                </w:rPr>
                <w:t>.</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9740" w:type="dxa"/>
            <w:vAlign w:val="bottom"/>
            <w:gridSpan w:val="28"/>
          </w:tcPr>
          <w:p>
            <w:pPr>
              <w:spacing w:after="0"/>
              <w:rPr>
                <w:rFonts w:ascii="Arial" w:cs="Arial" w:eastAsia="Arial" w:hAnsi="Arial"/>
                <w:sz w:val="18"/>
                <w:szCs w:val="18"/>
                <w:color w:val="0000FF"/>
              </w:rPr>
            </w:pPr>
            <w:hyperlink r:id="rId645">
              <w:r>
                <w:rPr>
                  <w:rFonts w:ascii="Arial" w:cs="Arial" w:eastAsia="Arial" w:hAnsi="Arial"/>
                  <w:sz w:val="18"/>
                  <w:szCs w:val="18"/>
                  <w:color w:val="0000FF"/>
                </w:rPr>
                <w:t>Employment Agreement, dated as of May 14, 2021, by and between the Registrant and David King, incorporated by</w:t>
              </w:r>
            </w:hyperlink>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4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645">
              <w:r>
                <w:rPr>
                  <w:rFonts w:ascii="Arial" w:cs="Arial" w:eastAsia="Arial" w:hAnsi="Arial"/>
                  <w:sz w:val="18"/>
                  <w:szCs w:val="18"/>
                  <w:color w:val="0000FF"/>
                </w:rPr>
                <w:t>reference to Exhibit 10.11 to the Registrant's Registration Statement on Form S-1/A filed on May 18, 2021</w:t>
              </w:r>
              <w:r>
                <w:rPr>
                  <w:rFonts w:ascii="Arial" w:cs="Arial" w:eastAsia="Arial" w:hAnsi="Arial"/>
                  <w:sz w:val="18"/>
                  <w:szCs w:val="18"/>
                  <w:color w:val="000000"/>
                </w:rPr>
                <w:t>.</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9740" w:type="dxa"/>
            <w:vAlign w:val="bottom"/>
            <w:gridSpan w:val="28"/>
          </w:tcPr>
          <w:p>
            <w:pPr>
              <w:spacing w:after="0"/>
              <w:rPr>
                <w:rFonts w:ascii="Arial" w:cs="Arial" w:eastAsia="Arial" w:hAnsi="Arial"/>
                <w:sz w:val="18"/>
                <w:szCs w:val="18"/>
                <w:color w:val="0000FF"/>
              </w:rPr>
            </w:pPr>
            <w:hyperlink r:id="rId646">
              <w:r>
                <w:rPr>
                  <w:rFonts w:ascii="Arial" w:cs="Arial" w:eastAsia="Arial" w:hAnsi="Arial"/>
                  <w:sz w:val="18"/>
                  <w:szCs w:val="18"/>
                  <w:color w:val="0000FF"/>
                </w:rPr>
                <w:t>Employment Agreement, dated as of May 14, 2021, by and between the Registrant and Sharon Butler, incorporated by</w:t>
              </w:r>
            </w:hyperlink>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646">
              <w:r>
                <w:rPr>
                  <w:rFonts w:ascii="Arial" w:cs="Arial" w:eastAsia="Arial" w:hAnsi="Arial"/>
                  <w:sz w:val="18"/>
                  <w:szCs w:val="18"/>
                  <w:color w:val="0000FF"/>
                </w:rPr>
                <w:t>reference to Exhibit 10.12 to the Registrant's Registration Statement on Form S-1/A filed on May 18, 2021.</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9740" w:type="dxa"/>
            <w:vAlign w:val="bottom"/>
            <w:gridSpan w:val="28"/>
          </w:tcPr>
          <w:p>
            <w:pPr>
              <w:spacing w:after="0"/>
              <w:rPr>
                <w:rFonts w:ascii="Arial" w:cs="Arial" w:eastAsia="Arial" w:hAnsi="Arial"/>
                <w:sz w:val="18"/>
                <w:szCs w:val="18"/>
                <w:color w:val="0000FF"/>
              </w:rPr>
            </w:pPr>
            <w:hyperlink r:id="rId647">
              <w:r>
                <w:rPr>
                  <w:rFonts w:ascii="Arial" w:cs="Arial" w:eastAsia="Arial" w:hAnsi="Arial"/>
                  <w:sz w:val="18"/>
                  <w:szCs w:val="18"/>
                  <w:color w:val="0000FF"/>
                </w:rPr>
                <w:t>Employment Agreement, dated as of May 14, 2021, by and between the Registrant and John Talaga, incorporated by</w:t>
              </w:r>
            </w:hyperlink>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647">
              <w:r>
                <w:rPr>
                  <w:rFonts w:ascii="Arial" w:cs="Arial" w:eastAsia="Arial" w:hAnsi="Arial"/>
                  <w:sz w:val="18"/>
                  <w:szCs w:val="18"/>
                  <w:color w:val="0000FF"/>
                </w:rPr>
                <w:t>reference to Exhibit 10.13 to the Registrant's Registration Statement on Form S-1/A filed on May 18, 2021.</w:t>
              </w:r>
            </w:hyperlink>
          </w:p>
        </w:tc>
        <w:tc>
          <w:tcPr>
            <w:tcW w:w="6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9740" w:type="dxa"/>
            <w:vAlign w:val="bottom"/>
            <w:gridSpan w:val="28"/>
          </w:tcPr>
          <w:p>
            <w:pPr>
              <w:spacing w:after="0"/>
              <w:rPr>
                <w:rFonts w:ascii="Arial" w:cs="Arial" w:eastAsia="Arial" w:hAnsi="Arial"/>
                <w:sz w:val="18"/>
                <w:szCs w:val="18"/>
                <w:color w:val="0000FF"/>
              </w:rPr>
            </w:pPr>
            <w:hyperlink r:id="rId648">
              <w:r>
                <w:rPr>
                  <w:rFonts w:ascii="Arial" w:cs="Arial" w:eastAsia="Arial" w:hAnsi="Arial"/>
                  <w:sz w:val="18"/>
                  <w:szCs w:val="18"/>
                  <w:color w:val="0000FF"/>
                </w:rPr>
                <w:t>Office Lease, dated April 8, 2015, as amended by that certain First Amendment to Office Lease dated April 7, 2016 and</w:t>
              </w:r>
            </w:hyperlink>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4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648">
              <w:r>
                <w:rPr>
                  <w:rFonts w:ascii="Arial" w:cs="Arial" w:eastAsia="Arial" w:hAnsi="Arial"/>
                  <w:sz w:val="18"/>
                  <w:szCs w:val="18"/>
                  <w:color w:val="0000FF"/>
                </w:rPr>
                <w:t>that certain Second Amendment to Office Lease dated October 23, 2018, by and between the Registrant and NS 141</w:t>
              </w:r>
            </w:hyperlink>
          </w:p>
        </w:tc>
        <w:tc>
          <w:tcPr>
            <w:tcW w:w="2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28"/>
          </w:tcPr>
          <w:p>
            <w:pPr>
              <w:spacing w:after="0" w:line="182" w:lineRule="exact"/>
              <w:rPr>
                <w:rFonts w:ascii="Arial" w:cs="Arial" w:eastAsia="Arial" w:hAnsi="Arial"/>
                <w:sz w:val="18"/>
                <w:szCs w:val="18"/>
                <w:color w:val="0000FF"/>
              </w:rPr>
            </w:pPr>
            <w:hyperlink r:id="rId648">
              <w:r>
                <w:rPr>
                  <w:rFonts w:ascii="Arial" w:cs="Arial" w:eastAsia="Arial" w:hAnsi="Arial"/>
                  <w:sz w:val="18"/>
                  <w:szCs w:val="18"/>
                  <w:color w:val="0000FF"/>
                </w:rPr>
                <w:t>Tremont LLC, incorporated by reference to Exhibit 10.14 to the Registrant's Registration Statement on Form S-1/A filed on</w:t>
              </w:r>
            </w:hyperlink>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2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648">
              <w:r>
                <w:rPr>
                  <w:rFonts w:ascii="Arial" w:cs="Arial" w:eastAsia="Arial" w:hAnsi="Arial"/>
                  <w:sz w:val="18"/>
                  <w:szCs w:val="18"/>
                  <w:color w:val="0000FF"/>
                </w:rPr>
                <w:t>May 18, 2021.</w:t>
              </w:r>
            </w:hyperlink>
          </w:p>
        </w:tc>
        <w:tc>
          <w:tcPr>
            <w:tcW w:w="2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9740" w:type="dxa"/>
            <w:vAlign w:val="bottom"/>
            <w:gridSpan w:val="28"/>
          </w:tcPr>
          <w:p>
            <w:pPr>
              <w:spacing w:after="0"/>
              <w:rPr>
                <w:rFonts w:ascii="Arial" w:cs="Arial" w:eastAsia="Arial" w:hAnsi="Arial"/>
                <w:sz w:val="18"/>
                <w:szCs w:val="18"/>
                <w:color w:val="0000FF"/>
              </w:rPr>
            </w:pPr>
            <w:hyperlink r:id="rId649">
              <w:r>
                <w:rPr>
                  <w:rFonts w:ascii="Arial" w:cs="Arial" w:eastAsia="Arial" w:hAnsi="Arial"/>
                  <w:sz w:val="18"/>
                  <w:szCs w:val="18"/>
                  <w:color w:val="0000FF"/>
                </w:rPr>
                <w:t>Credit Agreement, dated as of July 29, 2021, by and among Flywire Corporation, the other Loan Parties party thereto from</w:t>
              </w:r>
            </w:hyperlink>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2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649">
              <w:r>
                <w:rPr>
                  <w:rFonts w:ascii="Arial" w:cs="Arial" w:eastAsia="Arial" w:hAnsi="Arial"/>
                  <w:sz w:val="18"/>
                  <w:szCs w:val="18"/>
                  <w:color w:val="0000FF"/>
                </w:rPr>
                <w:t>time to time, the Lenders party thereto from time to time, the Issuing Banks party thereto from time to time, and Citibank,</w:t>
              </w:r>
            </w:hyperlink>
          </w:p>
        </w:tc>
        <w:tc>
          <w:tcPr>
            <w:tcW w:w="20" w:type="dxa"/>
            <w:vAlign w:val="bottom"/>
          </w:tcPr>
          <w:p>
            <w:pPr>
              <w:spacing w:after="0"/>
              <w:rPr>
                <w:sz w:val="15"/>
                <w:szCs w:val="15"/>
                <w:color w:val="auto"/>
              </w:rPr>
            </w:pP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649">
              <w:r>
                <w:rPr>
                  <w:rFonts w:ascii="Arial" w:cs="Arial" w:eastAsia="Arial" w:hAnsi="Arial"/>
                  <w:sz w:val="18"/>
                  <w:szCs w:val="18"/>
                  <w:color w:val="0000FF"/>
                </w:rPr>
                <w:t>incorporated by reference to Exhibit 10.1 to the Registrant’s Current Report on Form 8-K filed on August 4, 2021.</w:t>
              </w:r>
            </w:hyperlink>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tcBorders>
              <w:right w:val="single" w:sz="8" w:color="0000EE"/>
            </w:tcBorders>
            <w:gridSpan w:val="4"/>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9740" w:type="dxa"/>
            <w:vAlign w:val="bottom"/>
            <w:gridSpan w:val="28"/>
          </w:tcPr>
          <w:p>
            <w:pPr>
              <w:spacing w:after="0"/>
              <w:rPr>
                <w:rFonts w:ascii="Arial" w:cs="Arial" w:eastAsia="Arial" w:hAnsi="Arial"/>
                <w:sz w:val="18"/>
                <w:szCs w:val="18"/>
                <w:color w:val="0000FF"/>
              </w:rPr>
            </w:pPr>
            <w:hyperlink r:id="rId650">
              <w:r>
                <w:rPr>
                  <w:rFonts w:ascii="Arial" w:cs="Arial" w:eastAsia="Arial" w:hAnsi="Arial"/>
                  <w:sz w:val="18"/>
                  <w:szCs w:val="18"/>
                  <w:color w:val="0000FF"/>
                </w:rPr>
                <w:t>Pledge Agreement, dated as of July 29, 2021, by and among Flywire Corporation, the Grantors and the Administrative</w:t>
              </w:r>
            </w:hyperlink>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2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8"/>
              </w:rPr>
            </w:pPr>
            <w:hyperlink r:id="rId650">
              <w:r>
                <w:rPr>
                  <w:rFonts w:ascii="Arial" w:cs="Arial" w:eastAsia="Arial" w:hAnsi="Arial"/>
                  <w:sz w:val="18"/>
                  <w:szCs w:val="18"/>
                  <w:color w:val="0000FF"/>
                  <w:w w:val="98"/>
                </w:rPr>
                <w:t>Agent, incorporated by reference to Exhibit 10.2 to the Registrant’s Current Report on Form 8-K filed on August 4, 2021.</w:t>
              </w:r>
            </w:hyperlink>
          </w:p>
        </w:tc>
        <w:tc>
          <w:tcPr>
            <w:tcW w:w="100" w:type="dxa"/>
            <w:vAlign w:val="bottom"/>
            <w:tcBorders>
              <w:bottom w:val="single" w:sz="8" w:color="0000FF"/>
            </w:tcBorders>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9740" w:type="dxa"/>
            <w:vAlign w:val="bottom"/>
            <w:gridSpan w:val="28"/>
          </w:tcPr>
          <w:p>
            <w:pPr>
              <w:spacing w:after="0"/>
              <w:rPr>
                <w:sz w:val="20"/>
                <w:szCs w:val="20"/>
                <w:color w:val="auto"/>
              </w:rPr>
            </w:pPr>
            <w:r>
              <w:rPr>
                <w:rFonts w:ascii="Arial" w:cs="Arial" w:eastAsia="Arial" w:hAnsi="Arial"/>
                <w:sz w:val="18"/>
                <w:szCs w:val="18"/>
                <w:color w:val="0000FF"/>
              </w:rPr>
              <w:t>Management Cash Incentive Plan</w:t>
            </w: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1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2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List of Subsidiaries of the Registrant.</w:t>
            </w:r>
          </w:p>
        </w:tc>
        <w:tc>
          <w:tcPr>
            <w:tcW w:w="6820" w:type="dxa"/>
            <w:vAlign w:val="bottom"/>
            <w:gridSpan w:val="24"/>
          </w:tcPr>
          <w:p>
            <w:pPr>
              <w:spacing w:after="0"/>
              <w:rPr>
                <w:sz w:val="24"/>
                <w:szCs w:val="24"/>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70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Consent of PricewaterhouseCoopers LLP, independent registered public accounting firm.</w:t>
            </w:r>
          </w:p>
        </w:tc>
        <w:tc>
          <w:tcPr>
            <w:tcW w:w="20" w:type="dxa"/>
            <w:vAlign w:val="bottom"/>
            <w:tcBorders>
              <w:bottom w:val="single" w:sz="8" w:color="0000EE"/>
            </w:tcBorders>
          </w:tcPr>
          <w:p>
            <w:pPr>
              <w:spacing w:after="0"/>
              <w:rPr>
                <w:sz w:val="24"/>
                <w:szCs w:val="24"/>
                <w:color w:val="auto"/>
              </w:rPr>
            </w:pPr>
          </w:p>
        </w:tc>
        <w:tc>
          <w:tcPr>
            <w:tcW w:w="2660" w:type="dxa"/>
            <w:vAlign w:val="bottom"/>
            <w:gridSpan w:val="19"/>
          </w:tcPr>
          <w:p>
            <w:pPr>
              <w:spacing w:after="0"/>
              <w:rPr>
                <w:sz w:val="24"/>
                <w:szCs w:val="24"/>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9740" w:type="dxa"/>
            <w:vAlign w:val="bottom"/>
            <w:gridSpan w:val="28"/>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20" w:type="dxa"/>
            <w:vAlign w:val="bottom"/>
            <w:tcBorders>
              <w:top w:val="single" w:sz="8" w:color="0000FF"/>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of 1934, as Adopted Pursuant to Section 302 of the Sarbanes-Oxley Act of 2002.</w:t>
            </w:r>
          </w:p>
        </w:tc>
        <w:tc>
          <w:tcPr>
            <w:tcW w:w="3200" w:type="dxa"/>
            <w:vAlign w:val="bottom"/>
            <w:tcBorders>
              <w:top w:val="single" w:sz="8" w:color="0000FF"/>
            </w:tcBorders>
            <w:gridSpan w:val="17"/>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560"/>
        </w:trPr>
        <w:tc>
          <w:tcPr>
            <w:tcW w:w="14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740" w:type="dxa"/>
            <w:vAlign w:val="bottom"/>
            <w:gridSpan w:val="28"/>
          </w:tcPr>
          <w:p>
            <w:pPr>
              <w:spacing w:after="0"/>
              <w:rPr>
                <w:sz w:val="20"/>
                <w:szCs w:val="20"/>
                <w:color w:val="auto"/>
              </w:rPr>
            </w:pPr>
            <w:r>
              <w:rPr>
                <w:rFonts w:ascii="Arial" w:cs="Arial" w:eastAsia="Arial" w:hAnsi="Arial"/>
                <w:sz w:val="18"/>
                <w:szCs w:val="18"/>
                <w:color w:val="0000FF"/>
                <w:w w:val="99"/>
              </w:rPr>
              <w:t>Certification of Principal Financial Officer Pursuant to Rules 13a-14(a) and 15d-14(a) under the Securities Exchange Act of</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48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r>
      <w:tr>
        <w:trPr>
          <w:trHeight w:val="371"/>
        </w:trPr>
        <w:tc>
          <w:tcPr>
            <w:tcW w:w="14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740" w:type="dxa"/>
            <w:vAlign w:val="bottom"/>
            <w:gridSpan w:val="28"/>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00" w:type="dxa"/>
            <w:vAlign w:val="bottom"/>
            <w:tcBorders>
              <w:top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0" w:type="dxa"/>
            <w:vAlign w:val="bottom"/>
            <w:gridSpan w:val="2"/>
          </w:tcPr>
          <w:p>
            <w:pPr>
              <w:spacing w:after="0"/>
              <w:rPr>
                <w:sz w:val="15"/>
                <w:szCs w:val="15"/>
                <w:color w:val="auto"/>
              </w:rPr>
            </w:pPr>
          </w:p>
        </w:tc>
      </w:tr>
      <w:tr>
        <w:trPr>
          <w:trHeight w:val="348"/>
        </w:trPr>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Borders>
              <w:top w:val="single" w:sz="8" w:color="0000FF"/>
            </w:tcBorders>
            <w:gridSpan w:val="2"/>
          </w:tcPr>
          <w:p>
            <w:pPr>
              <w:spacing w:after="0"/>
              <w:rPr>
                <w:sz w:val="24"/>
                <w:szCs w:val="24"/>
                <w:color w:val="auto"/>
              </w:rPr>
            </w:pPr>
          </w:p>
        </w:tc>
        <w:tc>
          <w:tcPr>
            <w:tcW w:w="3940" w:type="dxa"/>
            <w:vAlign w:val="bottom"/>
            <w:gridSpan w:val="3"/>
          </w:tcPr>
          <w:p>
            <w:pPr>
              <w:jc w:val="right"/>
              <w:ind w:right="194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30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60"/>
        </w:trPr>
        <w:tc>
          <w:tcPr>
            <w:tcW w:w="140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4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0" w:type="dxa"/>
            <w:vAlign w:val="bottom"/>
          </w:tcPr>
          <w:p>
            <w:pPr>
              <w:spacing w:after="0"/>
              <w:rPr>
                <w:sz w:val="15"/>
                <w:szCs w:val="15"/>
                <w:color w:val="auto"/>
              </w:rPr>
            </w:pPr>
          </w:p>
        </w:tc>
      </w:tr>
      <w:tr>
        <w:trPr>
          <w:trHeight w:val="20"/>
        </w:trPr>
        <w:tc>
          <w:tcPr>
            <w:tcW w:w="1500" w:type="dxa"/>
            <w:vAlign w:val="bottom"/>
            <w:gridSpan w:val="2"/>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r>
      <w:tr>
        <w:trPr>
          <w:trHeight w:val="379"/>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9680" w:type="dxa"/>
            <w:vAlign w:val="bottom"/>
            <w:gridSpan w:val="3"/>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w:t>
            </w:r>
          </w:p>
        </w:tc>
      </w:tr>
      <w:tr>
        <w:trPr>
          <w:trHeight w:val="239"/>
        </w:trPr>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391"/>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96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68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96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1"/>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6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68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52" w:lineRule="exact"/>
        <w:rPr>
          <w:sz w:val="20"/>
          <w:szCs w:val="20"/>
          <w:color w:val="auto"/>
        </w:rPr>
      </w:pPr>
    </w:p>
    <w:p>
      <w:pPr>
        <w:ind w:left="1500" w:hanging="1479"/>
        <w:spacing w:after="0"/>
        <w:tabs>
          <w:tab w:leader="none" w:pos="15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6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143002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FLYWIRE CORPORATION</w:t>
      </w:r>
    </w:p>
    <w:p>
      <w:pPr>
        <w:spacing w:after="0" w:line="238" w:lineRule="exact"/>
        <w:rPr>
          <w:sz w:val="20"/>
          <w:szCs w:val="20"/>
          <w:color w:val="auto"/>
        </w:rPr>
      </w:pPr>
    </w:p>
    <w:p>
      <w:pPr>
        <w:ind w:left="180"/>
        <w:spacing w:after="0"/>
        <w:tabs>
          <w:tab w:leader="none" w:pos="4880" w:val="left"/>
          <w:tab w:leader="none" w:pos="7440" w:val="left"/>
        </w:tabs>
        <w:rPr>
          <w:sz w:val="20"/>
          <w:szCs w:val="20"/>
          <w:color w:val="auto"/>
        </w:rPr>
      </w:pPr>
      <w:r>
        <w:rPr>
          <w:rFonts w:ascii="Arial" w:cs="Arial" w:eastAsia="Arial" w:hAnsi="Arial"/>
          <w:sz w:val="18"/>
          <w:szCs w:val="18"/>
          <w:color w:val="auto"/>
        </w:rPr>
        <w:t>Date: March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Massaro</w:t>
      </w:r>
    </w:p>
    <w:p>
      <w:pPr>
        <w:spacing w:after="0" w:line="3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Michael Massaro</w:t>
      </w:r>
    </w:p>
    <w:p>
      <w:pPr>
        <w:spacing w:after="0" w:line="30"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2" w:lineRule="exact"/>
        <w:rPr>
          <w:sz w:val="20"/>
          <w:szCs w:val="20"/>
          <w:color w:val="auto"/>
        </w:rPr>
      </w:pPr>
    </w:p>
    <w:p>
      <w:pPr>
        <w:ind w:left="7140"/>
        <w:spacing w:after="0"/>
        <w:rPr>
          <w:sz w:val="20"/>
          <w:szCs w:val="20"/>
          <w:color w:val="auto"/>
        </w:rPr>
      </w:pPr>
      <w:r>
        <w:rPr>
          <w:rFonts w:ascii="Arial" w:cs="Arial" w:eastAsia="Arial" w:hAnsi="Arial"/>
          <w:sz w:val="17"/>
          <w:szCs w:val="17"/>
          <w:b w:val="1"/>
          <w:bCs w:val="1"/>
          <w:color w:val="auto"/>
        </w:rPr>
        <w:t>(Principal Executive Officer)</w:t>
      </w:r>
    </w:p>
    <w:p>
      <w:pPr>
        <w:spacing w:after="0" w:line="246" w:lineRule="exact"/>
        <w:rPr>
          <w:sz w:val="20"/>
          <w:szCs w:val="20"/>
          <w:color w:val="auto"/>
        </w:rPr>
      </w:pPr>
    </w:p>
    <w:p>
      <w:pPr>
        <w:ind w:left="180"/>
        <w:spacing w:after="0"/>
        <w:tabs>
          <w:tab w:leader="none" w:pos="4880" w:val="left"/>
          <w:tab w:leader="none" w:pos="7660" w:val="left"/>
        </w:tabs>
        <w:rPr>
          <w:sz w:val="20"/>
          <w:szCs w:val="20"/>
          <w:color w:val="auto"/>
        </w:rPr>
      </w:pPr>
      <w:r>
        <w:rPr>
          <w:rFonts w:ascii="Arial" w:cs="Arial" w:eastAsia="Arial" w:hAnsi="Arial"/>
          <w:sz w:val="18"/>
          <w:szCs w:val="18"/>
          <w:color w:val="auto"/>
        </w:rPr>
        <w:t>Date: March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Ellis</w:t>
      </w:r>
    </w:p>
    <w:p>
      <w:pPr>
        <w:spacing w:after="0" w:line="32" w:lineRule="exact"/>
        <w:rPr>
          <w:sz w:val="20"/>
          <w:szCs w:val="20"/>
          <w:color w:val="auto"/>
        </w:rPr>
      </w:pPr>
    </w:p>
    <w:p>
      <w:pPr>
        <w:jc w:val="center"/>
        <w:ind w:left="5280"/>
        <w:spacing w:after="0"/>
        <w:rPr>
          <w:sz w:val="20"/>
          <w:szCs w:val="20"/>
          <w:color w:val="auto"/>
        </w:rPr>
      </w:pPr>
      <w:r>
        <w:rPr>
          <w:rFonts w:ascii="Arial" w:cs="Arial" w:eastAsia="Arial" w:hAnsi="Arial"/>
          <w:sz w:val="17"/>
          <w:szCs w:val="17"/>
          <w:b w:val="1"/>
          <w:bCs w:val="1"/>
          <w:color w:val="auto"/>
        </w:rPr>
        <w:t>Michael Ellis</w:t>
      </w:r>
    </w:p>
    <w:p>
      <w:pPr>
        <w:spacing w:after="0" w:line="39"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Financial Officer</w:t>
      </w:r>
    </w:p>
    <w:p>
      <w:pPr>
        <w:spacing w:after="0" w:line="24" w:lineRule="exact"/>
        <w:rPr>
          <w:sz w:val="20"/>
          <w:szCs w:val="20"/>
          <w:color w:val="auto"/>
        </w:rPr>
      </w:pPr>
    </w:p>
    <w:p>
      <w:pPr>
        <w:ind w:left="650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32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2" w:right="7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w:t>
      </w:r>
      <w:r>
        <w:rPr>
          <w:rFonts w:ascii="Arial" w:cs="Arial" w:eastAsia="Arial" w:hAnsi="Arial"/>
          <w:sz w:val="18"/>
          <w:szCs w:val="18"/>
          <w:i w:val="1"/>
          <w:iCs w:val="1"/>
          <w:color w:val="auto"/>
        </w:rPr>
        <w:t xml:space="preserve"> </w:t>
      </w:r>
      <w:r>
        <w:rPr>
          <w:rFonts w:ascii="Arial" w:cs="Arial" w:eastAsia="Arial" w:hAnsi="Arial"/>
          <w:sz w:val="18"/>
          <w:szCs w:val="18"/>
          <w:color w:val="auto"/>
        </w:rPr>
        <w:t>Michael Massaro and Michael Ellis, and each of them, as his or her true and lawful attorneys-in-fact, proxies,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44"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this Annual Report on Form 10-K has been signed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Title</w:t>
            </w:r>
          </w:p>
        </w:tc>
        <w:tc>
          <w:tcPr>
            <w:tcW w:w="14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/s/ Michael Massaro</w:t>
            </w:r>
          </w:p>
        </w:tc>
        <w:tc>
          <w:tcPr>
            <w:tcW w:w="2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1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March 10, 2023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414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Pr>
          <w:p>
            <w:pPr>
              <w:jc w:val="center"/>
              <w:spacing w:after="0" w:line="177" w:lineRule="exact"/>
              <w:rPr>
                <w:sz w:val="20"/>
                <w:szCs w:val="20"/>
                <w:color w:val="auto"/>
              </w:rPr>
            </w:pPr>
            <w:r>
              <w:rPr>
                <w:rFonts w:ascii="Arial" w:cs="Arial" w:eastAsia="Arial" w:hAnsi="Arial"/>
                <w:sz w:val="18"/>
                <w:szCs w:val="18"/>
                <w:color w:val="auto"/>
                <w:w w:val="99"/>
              </w:rPr>
              <w:t>Michael Massaro</w:t>
            </w:r>
          </w:p>
        </w:tc>
        <w:tc>
          <w:tcPr>
            <w:tcW w:w="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
          </w:tcPr>
          <w:p>
            <w:pPr>
              <w:jc w:val="center"/>
              <w:ind w:right="20"/>
              <w:spacing w:after="0" w:line="204" w:lineRule="exact"/>
              <w:rPr>
                <w:sz w:val="20"/>
                <w:szCs w:val="20"/>
                <w:color w:val="auto"/>
              </w:rPr>
            </w:pPr>
            <w:r>
              <w:rPr>
                <w:rFonts w:ascii="Arial" w:cs="Arial" w:eastAsia="Arial" w:hAnsi="Arial"/>
                <w:sz w:val="18"/>
                <w:szCs w:val="18"/>
                <w:color w:val="auto"/>
                <w:w w:val="99"/>
              </w:rPr>
              <w:t>/s/ Michael Ellis</w:t>
            </w:r>
          </w:p>
        </w:tc>
        <w:tc>
          <w:tcPr>
            <w:tcW w:w="220" w:type="dxa"/>
            <w:vAlign w:val="bottom"/>
          </w:tcPr>
          <w:p>
            <w:pPr>
              <w:spacing w:after="0"/>
              <w:rPr>
                <w:sz w:val="17"/>
                <w:szCs w:val="17"/>
                <w:color w:val="auto"/>
              </w:rPr>
            </w:pPr>
          </w:p>
        </w:tc>
        <w:tc>
          <w:tcPr>
            <w:tcW w:w="4140" w:type="dxa"/>
            <w:vAlign w:val="bottom"/>
          </w:tcPr>
          <w:p>
            <w:pPr>
              <w:jc w:val="center"/>
              <w:spacing w:after="0" w:line="204" w:lineRule="exact"/>
              <w:rPr>
                <w:sz w:val="20"/>
                <w:szCs w:val="20"/>
                <w:color w:val="auto"/>
              </w:rPr>
            </w:pPr>
            <w:r>
              <w:rPr>
                <w:rFonts w:ascii="Arial" w:cs="Arial" w:eastAsia="Arial" w:hAnsi="Arial"/>
                <w:sz w:val="18"/>
                <w:szCs w:val="18"/>
                <w:color w:val="auto"/>
                <w:w w:val="99"/>
              </w:rPr>
              <w:t>Chief Financial Officer</w:t>
            </w:r>
          </w:p>
        </w:tc>
        <w:tc>
          <w:tcPr>
            <w:tcW w:w="140" w:type="dxa"/>
            <w:vAlign w:val="bottom"/>
          </w:tcPr>
          <w:p>
            <w:pPr>
              <w:spacing w:after="0"/>
              <w:rPr>
                <w:sz w:val="17"/>
                <w:szCs w:val="17"/>
                <w:color w:val="auto"/>
              </w:rPr>
            </w:pPr>
          </w:p>
        </w:tc>
        <w:tc>
          <w:tcPr>
            <w:tcW w:w="2120" w:type="dxa"/>
            <w:vAlign w:val="bottom"/>
          </w:tcPr>
          <w:p>
            <w:pPr>
              <w:jc w:val="center"/>
              <w:spacing w:after="0" w:line="204" w:lineRule="exact"/>
              <w:rPr>
                <w:sz w:val="20"/>
                <w:szCs w:val="20"/>
                <w:color w:val="auto"/>
              </w:rPr>
            </w:pPr>
            <w:r>
              <w:rPr>
                <w:rFonts w:ascii="Arial" w:cs="Arial" w:eastAsia="Arial" w:hAnsi="Arial"/>
                <w:sz w:val="18"/>
                <w:szCs w:val="18"/>
                <w:color w:val="auto"/>
                <w:w w:val="99"/>
              </w:rPr>
              <w:t>March 10, 2023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414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(Principal Financial and Accounting Officer)</w:t>
            </w: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Pr>
          <w:p>
            <w:pPr>
              <w:jc w:val="center"/>
              <w:spacing w:after="0" w:line="177" w:lineRule="exact"/>
              <w:rPr>
                <w:sz w:val="20"/>
                <w:szCs w:val="20"/>
                <w:color w:val="auto"/>
              </w:rPr>
            </w:pPr>
            <w:r>
              <w:rPr>
                <w:rFonts w:ascii="Arial" w:cs="Arial" w:eastAsia="Arial" w:hAnsi="Arial"/>
                <w:sz w:val="18"/>
                <w:szCs w:val="18"/>
                <w:color w:val="auto"/>
                <w:w w:val="99"/>
              </w:rPr>
              <w:t>Michael Ellis</w:t>
            </w:r>
          </w:p>
        </w:tc>
        <w:tc>
          <w:tcPr>
            <w:tcW w:w="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Phillip Riese</w:t>
            </w: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Chairman of the Board of Directors</w:t>
            </w:r>
          </w:p>
        </w:tc>
        <w:tc>
          <w:tcPr>
            <w:tcW w:w="1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March 10, 2023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8"/>
              </w:rPr>
              <w:t>Phillip Riese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/s/ Diane Offereins</w:t>
            </w: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March 10, 2023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6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9"/>
              </w:rPr>
              <w:t>Diane Offereins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Alex Finkelstein</w:t>
            </w: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March 10, 2023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Alex Finkelstein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/s/ Matt Harris</w:t>
            </w: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March 10, 2023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Matt Harris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Edwin Santos</w:t>
            </w: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March 10, 2023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Edwin Santos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
          </w:tcPr>
          <w:p>
            <w:pPr>
              <w:jc w:val="right"/>
              <w:ind w:right="261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LYWIRE CORPORATION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5"/>
          <w:szCs w:val="15"/>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DOPTED 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PRIL</w:t>
      </w:r>
      <w:r>
        <w:rPr>
          <w:rFonts w:ascii="Times New Roman" w:cs="Times New Roman" w:eastAsia="Times New Roman" w:hAnsi="Times New Roman"/>
          <w:sz w:val="18"/>
          <w:szCs w:val="18"/>
          <w:b w:val="1"/>
          <w:bCs w:val="1"/>
          <w:color w:val="auto"/>
        </w:rPr>
        <w:t xml:space="preserve"> 28, 2021)</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LYWIRE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5"/>
          <w:szCs w:val="15"/>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INTRODUCTION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Board adopted the Plan to become effective immediately, although no Awards may be granted prior to the IPO Date. The purpose of the Plan is to promote the long-term success of the Company and the creation of stockholder value by (a) encouraging Service Providers to focus on critical long-range corporate objectives, (b) encouraging the attraction and retention of Service Providers with exceptional qualifications and (c) linking Service Providers directly to stockholder interests through increased stock ownership. The Plan seeks to achieve this purpose by providing for Awards in the form of Options (which may be ISOs or NSOs), SARs, Restricted Shares and Restricted Stock Units. Capitalized terms used in this Plan are defined in Article 14.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ADMINISTRATION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General. </w:t>
      </w:r>
      <w:r>
        <w:rPr>
          <w:rFonts w:ascii="Times New Roman" w:cs="Times New Roman" w:eastAsia="Times New Roman" w:hAnsi="Times New Roman"/>
          <w:sz w:val="18"/>
          <w:szCs w:val="18"/>
          <w:color w:val="auto"/>
        </w:rPr>
        <w:t>The Plan may be administered by the Board or one or more Committees to which the Board (or an authorized Board committee)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delegated authority. If administration is delegated to a Committee, the Committee shall have the powers theretofore possessed by the Board, including, to the extent permitted by applicable law, the power to delegate to a subcommittee any of the administrative powers the Committee is authorized to exercise (and references in this Plan to either the Board or the Administrator shall hereafter also encompass the Committee or subcommittee, as applicable). The Board may abolish the Committee’s delegation at any time and the Board shall at all times also retain the authority it has delegated to the Committee. The Administrator shall comply with rules and regulations applicable to it, including under the rules of any exchange on which the Common Shares are traded, and shall have the authority and be responsible for such functions as have been assigned to it.</w:t>
      </w:r>
    </w:p>
    <w:p>
      <w:pPr>
        <w:spacing w:after="0" w:line="180" w:lineRule="exact"/>
        <w:rPr>
          <w:sz w:val="20"/>
          <w:szCs w:val="20"/>
          <w:color w:val="auto"/>
        </w:rPr>
      </w:pPr>
    </w:p>
    <w:p>
      <w:pPr>
        <w:ind w:right="2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2.2 Section 16</w:t>
      </w:r>
      <w:r>
        <w:rPr>
          <w:rFonts w:ascii="Times New Roman" w:cs="Times New Roman" w:eastAsia="Times New Roman" w:hAnsi="Times New Roman"/>
          <w:sz w:val="18"/>
          <w:szCs w:val="18"/>
          <w:color w:val="auto"/>
        </w:rPr>
        <w:t>. To the extent desirable to qualify transactions hereunder as exempt under Exchange Act Rule 16b-3,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hereunder will be approved by the entire Board or a Committee of two or more “non-employee directors” within the meaning of Exchange Act Rule 16b-3.</w:t>
      </w:r>
    </w:p>
    <w:p>
      <w:pPr>
        <w:spacing w:after="0" w:line="17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2.3 Powers of Administrator</w:t>
      </w:r>
      <w:r>
        <w:rPr>
          <w:rFonts w:ascii="Times New Roman" w:cs="Times New Roman" w:eastAsia="Times New Roman" w:hAnsi="Times New Roman"/>
          <w:sz w:val="18"/>
          <w:szCs w:val="18"/>
          <w:color w:val="auto"/>
        </w:rPr>
        <w:t>. Subject to the terms of the Plan, and in the case of a Committee, subject to the specific duties delegated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 Administrator shall have the authority to (a) select the Service Providers who are to receive Awards under the Plan, (b) determine the type, number, vesting requirements and other features and conditions of such Awards, (c) interpret the Plan and Awards granted under the Plan, (d) determine whether, when and to what extent an Award has become vested and/or exercisable and whether any performance-based vesting conditions have been satisfied, (e) make, amend and rescind rules relating to the Plan and Awards granted under the Plan, including rules relating to sub-plans established for the purposes of satisfying applicable foreign laws or for qualifying for favorable tax treatment under applicable foreign laws, (f) impose such restrictions, conditions or limitations as it determines appropriate as to the timing and manner of any resales by a Participant of any Common Shares issued pursuant to an Award, including restrictions under an insider trading policy and restrictions as to the use of a specified brokerage firm for such resales, and (g) make all other decisions relating to the operation of the Plan and Awards granted under the Plan. In addition, with regard to the terms and conditions of Awards granted to Service Providers outside of the United States, the Administrator may vary from the provisions of the Plan (other than any requiring stockholder approval pursuant to Section 13.3) to the extent it determines it necessary and appropriate to do so.</w:t>
      </w:r>
    </w:p>
    <w:p>
      <w:pPr>
        <w:spacing w:after="0" w:line="189" w:lineRule="exact"/>
        <w:rPr>
          <w:sz w:val="20"/>
          <w:szCs w:val="20"/>
          <w:color w:val="auto"/>
        </w:rPr>
      </w:pPr>
    </w:p>
    <w:p>
      <w:pPr>
        <w:ind w:right="3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2.4 Effect of Administrator’s Decisions</w:t>
      </w:r>
      <w:r>
        <w:rPr>
          <w:rFonts w:ascii="Times New Roman" w:cs="Times New Roman" w:eastAsia="Times New Roman" w:hAnsi="Times New Roman"/>
          <w:sz w:val="18"/>
          <w:szCs w:val="18"/>
          <w:color w:val="auto"/>
        </w:rPr>
        <w:t>. The Administrator’s decisions, determinations and interpretations shall be final and binding on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interested parties.</w:t>
      </w:r>
    </w:p>
    <w:p>
      <w:pPr>
        <w:spacing w:after="0" w:line="154" w:lineRule="exact"/>
        <w:rPr>
          <w:sz w:val="20"/>
          <w:szCs w:val="20"/>
          <w:color w:val="auto"/>
        </w:rPr>
      </w:pPr>
    </w:p>
    <w:p>
      <w:pPr>
        <w:ind w:right="2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2.5 Governing Law</w:t>
      </w:r>
      <w:r>
        <w:rPr>
          <w:rFonts w:ascii="Times New Roman" w:cs="Times New Roman" w:eastAsia="Times New Roman" w:hAnsi="Times New Roman"/>
          <w:sz w:val="18"/>
          <w:szCs w:val="18"/>
          <w:color w:val="auto"/>
        </w:rPr>
        <w:t>. The Plan shall be governed by, and construed in accordance with, the laws of the State of Delaware (except its choice-of-law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ARTICLE 3. SHARES AVAILABLE FOR GRANTS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3.1 Basic Limitation</w:t>
      </w:r>
      <w:r>
        <w:rPr>
          <w:rFonts w:ascii="Times New Roman" w:cs="Times New Roman" w:eastAsia="Times New Roman" w:hAnsi="Times New Roman"/>
          <w:sz w:val="18"/>
          <w:szCs w:val="18"/>
          <w:color w:val="auto"/>
        </w:rPr>
        <w:t>. Common Shares issued pursuant to the Plan may be authorized but unissued shares or treasury shares.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Common Shares issued under the Plan shall not exceed the sum of (a) 9,201,156 Common Shares, (b) any Common Shares subject to awards granted under the Predecessor Plan that are outstanding on the IPO Date that subsequently are forfeited, expire or lapse unexercised or unsettled and Common Shares issued pursuant to awards granted under the Predecessor Plan that are outstanding on the IPO Date and that are subsequently forfeited to or reacquired by the Company, (c) the number of Common Shares reserved under the Predecessor Plan that are not issued or subject to outstanding awards under the Predecessor Plan on the IPO Date and (d) the additional Common Shares described in Articles 3.2 and 3.3; provided, however, that no more than 6,047,227 Common Shares, in the aggregate, shall be added to the Plan pursuant to clauses (b) and (c). The Company shall reserve and keep available such number of Common Shares as will be sufficient to satisfy the requirements of the Plan. The numerical limitations in this Article 3.1 shall be subject to adjustment pursuant to Article 9.</w:t>
      </w:r>
    </w:p>
    <w:p>
      <w:pPr>
        <w:spacing w:after="0" w:line="186"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3.2 Annual Increase in Shares</w:t>
      </w:r>
      <w:r>
        <w:rPr>
          <w:rFonts w:ascii="Times New Roman" w:cs="Times New Roman" w:eastAsia="Times New Roman" w:hAnsi="Times New Roman"/>
          <w:sz w:val="18"/>
          <w:szCs w:val="18"/>
          <w:color w:val="auto"/>
        </w:rPr>
        <w:t>. On the first day of each fiscal year of the Company during the term of the Plan, commencing in 2022 and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(and including) 2031, the aggregate number of Common Shares that may be issued under the Plan shall automatically increase by a number equal to the lesser of (a) 5% of the total number of Common Shares actually issued and outstanding on the last day of the preceding fiscal year, or (b) a number of Common Shares determined by the Board.</w:t>
      </w:r>
    </w:p>
    <w:p>
      <w:pPr>
        <w:spacing w:after="0" w:line="17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3.3 Shares Returned to Reserve</w:t>
      </w:r>
      <w:r>
        <w:rPr>
          <w:rFonts w:ascii="Times New Roman" w:cs="Times New Roman" w:eastAsia="Times New Roman" w:hAnsi="Times New Roman"/>
          <w:sz w:val="18"/>
          <w:szCs w:val="18"/>
          <w:color w:val="auto"/>
        </w:rPr>
        <w:t>. To the extent that Options, SARs, Restricted Stock Units or other Awards are forfeited, cancelled or expire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reason before being exercised or settled in full, the Common Shares subject to such Awards shall again become available for issuance under the Plan. If SARs are exercised or Restricted Stock Units are settled, then only the number of Common Shares (if any) actually issued to the Participant upon exercise of such SARs or settlement of such Restricted Stock Units, as applicable, shall reduce the number of Common Shares available under Article 3.1 and the balance shall again become available for issuance under the Plan. If Restricted Shares or Common Shares issued upon the exercise of Options are reacquired by the Company pursuant to a forfeiture provision, repurchase right or for any other reason, then such Common Shares shall again become available for issuance under the Plan. Common Shares applied to pay the Exercise Price of Options or to satisfy tax withholding obligations related to any Award shall again become available for issuance under the Plan. To the extent that an Award is settled in cash rather than Common Shares, the cash settlement shall not reduce the number of Shares available for issuance under the Plan.</w:t>
      </w:r>
    </w:p>
    <w:p>
      <w:pPr>
        <w:spacing w:after="0" w:line="186"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3.4 Awards Not Reducing Share Reserve</w:t>
      </w:r>
      <w:r>
        <w:rPr>
          <w:rFonts w:ascii="Times New Roman" w:cs="Times New Roman" w:eastAsia="Times New Roman" w:hAnsi="Times New Roman"/>
          <w:sz w:val="18"/>
          <w:szCs w:val="18"/>
          <w:color w:val="auto"/>
        </w:rPr>
        <w:t>. To the extent permitted under applicable exchange listing standards, any dividend equivalents paid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credited under the Plan with respect to Restricted Stock Units shall not be applied against the number of Common Shares that may be issued under the Plan, whether or not such dividend equivalents are converted into Restricted Stock Units. In addition, Common Shares subject to Substitute Awards granted by the Company shall not reduce the number of Common Shares that may be issued under Article 3.1, nor shall shares subject to Substitute Awards again be available for Awards under the Plan in the event of any forfeiture, expiration or cash settlement of such Substitute Awards.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3.5 Code Section 422 and Other Limits. </w:t>
      </w:r>
      <w:r>
        <w:rPr>
          <w:rFonts w:ascii="Times New Roman" w:cs="Times New Roman" w:eastAsia="Times New Roman" w:hAnsi="Times New Roman"/>
          <w:sz w:val="18"/>
          <w:szCs w:val="18"/>
          <w:color w:val="auto"/>
        </w:rPr>
        <w:t>Subject to adjustment in accordance with Article 9:</w:t>
      </w:r>
    </w:p>
    <w:p>
      <w:pPr>
        <w:spacing w:after="0" w:line="229" w:lineRule="exact"/>
        <w:rPr>
          <w:sz w:val="20"/>
          <w:szCs w:val="20"/>
          <w:color w:val="auto"/>
        </w:rPr>
      </w:pPr>
    </w:p>
    <w:p>
      <w:pPr>
        <w:ind w:left="1000" w:hanging="243"/>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15,248,383 Common Shares may be issued under the Plan upon the exercise of ISOs.</w:t>
      </w:r>
    </w:p>
    <w:p>
      <w:pPr>
        <w:spacing w:after="0" w:line="224" w:lineRule="exact"/>
        <w:rPr>
          <w:rFonts w:ascii="Times New Roman" w:cs="Times New Roman" w:eastAsia="Times New Roman" w:hAnsi="Times New Roman"/>
          <w:sz w:val="18"/>
          <w:szCs w:val="18"/>
          <w:color w:val="auto"/>
        </w:rPr>
      </w:pPr>
    </w:p>
    <w:p>
      <w:pPr>
        <w:ind w:right="80" w:firstLine="757"/>
        <w:spacing w:after="0" w:line="256" w:lineRule="auto"/>
        <w:tabs>
          <w:tab w:leader="none" w:pos="10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grant date fair value of Awards granted to an Outside Director during any one fiscal year of the Company, together with the value of any cash compensation paid to the Outside Director during such fiscal year, may not exceed $750,000 (on a per-Director basis); provided however that the limitation that will apply in the fiscal year in which the Outside Director is initially appointed or elected to the Board shall instead be $1,000,000. For purposes of this limitation, the grant date fair value of an Award shall be determined in accordance with the assumptions that the Company uses to estimate the value of share-based payments for financial reporting purposes. For the sake of clarity, neither Awards granted, nor compensation paid, to an individual for his or her service as an Employee or Consultant, but not as an Outside Director, shall count towards this limitation.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ELIGIBILITY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4" w:name="page155"/>
    <w:bookmarkEnd w:id="154"/>
    <w:p>
      <w:pPr>
        <w:ind w:right="22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4.1 Incentive Stock Options</w:t>
      </w:r>
      <w:r>
        <w:rPr>
          <w:rFonts w:ascii="Times New Roman" w:cs="Times New Roman" w:eastAsia="Times New Roman" w:hAnsi="Times New Roman"/>
          <w:sz w:val="18"/>
          <w:szCs w:val="18"/>
          <w:color w:val="auto"/>
        </w:rPr>
        <w:t>. Only Employees who are common-law employees of the Company, a Parent or a Subsidiary shall be eligible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ISOs. In addition, an Employee who owns more than 10% of the total combined voting power of all classes of outstanding stock of the Company or any of its Parents or Subsidiaries shall not be eligible for the grant of an ISO unless the additional requirements set forth in Code Section 422(c)(5) are satisfied.</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4.2 Other Awards</w:t>
      </w:r>
      <w:r>
        <w:rPr>
          <w:rFonts w:ascii="Times New Roman" w:cs="Times New Roman" w:eastAsia="Times New Roman" w:hAnsi="Times New Roman"/>
          <w:sz w:val="18"/>
          <w:szCs w:val="18"/>
          <w:color w:val="auto"/>
        </w:rPr>
        <w:t>. Awards other than ISOs may be granted to both Employees and other Service Providers.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5.1 Stock Option Agreement</w:t>
      </w:r>
      <w:r>
        <w:rPr>
          <w:rFonts w:ascii="Times New Roman" w:cs="Times New Roman" w:eastAsia="Times New Roman" w:hAnsi="Times New Roman"/>
          <w:sz w:val="18"/>
          <w:szCs w:val="18"/>
          <w:color w:val="auto"/>
        </w:rPr>
        <w:t>. Each grant of an Option under the Plan shall be evidenced by a Stock Option Agreement between the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Such Option shall be subject to all applicable terms of the Plan and may be subject to any other terms that are not inconsistent with the Plan. The Stock Option Agreement shall specify whether the Option is intended to be an ISO or an NSO. The provisions of the various Stock Option Agreements entered into under the Plan need not be identical.</w:t>
      </w:r>
    </w:p>
    <w:p>
      <w:pPr>
        <w:spacing w:after="0" w:line="175" w:lineRule="exact"/>
        <w:rPr>
          <w:sz w:val="20"/>
          <w:szCs w:val="20"/>
          <w:color w:val="auto"/>
        </w:rPr>
      </w:pPr>
    </w:p>
    <w:p>
      <w:pPr>
        <w:ind w:right="24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5.2 Number of Shares</w:t>
      </w:r>
      <w:r>
        <w:rPr>
          <w:rFonts w:ascii="Times New Roman" w:cs="Times New Roman" w:eastAsia="Times New Roman" w:hAnsi="Times New Roman"/>
          <w:sz w:val="18"/>
          <w:szCs w:val="18"/>
          <w:color w:val="auto"/>
        </w:rPr>
        <w:t>. Each Stock Option Agreement shall specify the number of Common Shares subject to the Option, which number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 in accordance with Article 9.</w:t>
      </w:r>
    </w:p>
    <w:p>
      <w:pPr>
        <w:spacing w:after="0" w:line="15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5.3 Exercise Price</w:t>
      </w:r>
      <w:r>
        <w:rPr>
          <w:rFonts w:ascii="Times New Roman" w:cs="Times New Roman" w:eastAsia="Times New Roman" w:hAnsi="Times New Roman"/>
          <w:sz w:val="18"/>
          <w:szCs w:val="18"/>
          <w:color w:val="auto"/>
        </w:rPr>
        <w:t>. Each Stock Option Agreement shall specify the Exercise Price, which shall not be less than 100% of the Fair Market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Common Share on the date of grant. The preceding sentence shall not apply to an Option that is a Substitute Award granted in a manner that would satisfy the requirements of Code Section 409A and, if applicable, Code Section 424(a).</w:t>
      </w:r>
    </w:p>
    <w:p>
      <w:pPr>
        <w:spacing w:after="0" w:line="170" w:lineRule="exact"/>
        <w:rPr>
          <w:sz w:val="20"/>
          <w:szCs w:val="20"/>
          <w:color w:val="auto"/>
        </w:rPr>
      </w:pPr>
    </w:p>
    <w:p>
      <w:pPr>
        <w:ind w:right="18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5.4 Exercisability and Term</w:t>
      </w:r>
      <w:r>
        <w:rPr>
          <w:rFonts w:ascii="Times New Roman" w:cs="Times New Roman" w:eastAsia="Times New Roman" w:hAnsi="Times New Roman"/>
          <w:sz w:val="18"/>
          <w:szCs w:val="18"/>
          <w:color w:val="auto"/>
        </w:rPr>
        <w:t>. Each Stock Option Agreement shall specify the date or event when all or any installment of the Option 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vested and/or exercisable. The vesting and exercisability conditions applicable to the Option may include service-based conditions, performance-based conditions, such other conditions as the Administrator may determine, or any combination of such conditions. The Stock Option Agreement shall also specify the term of the Option; provided that, except to the extent necessary to comply with applicable foreign law, the term of an Option shall in no event exceed 10 years from the date of grant. A Stock Option Agreement may provide for accelerated vesting and/or exercisability upon certain specified events and may provide for expiration prior to the end of its term in the event of the termination of the Optionee’s service.</w:t>
      </w:r>
    </w:p>
    <w:p>
      <w:pPr>
        <w:spacing w:after="0" w:line="180" w:lineRule="exact"/>
        <w:rPr>
          <w:sz w:val="20"/>
          <w:szCs w:val="20"/>
          <w:color w:val="auto"/>
        </w:rPr>
      </w:pPr>
    </w:p>
    <w:p>
      <w:pPr>
        <w:ind w:right="12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5.5 Death of Optionee</w:t>
      </w:r>
      <w:r>
        <w:rPr>
          <w:rFonts w:ascii="Times New Roman" w:cs="Times New Roman" w:eastAsia="Times New Roman" w:hAnsi="Times New Roman"/>
          <w:sz w:val="18"/>
          <w:szCs w:val="18"/>
          <w:color w:val="auto"/>
        </w:rPr>
        <w:t>. After an Optionee’s death, any vested and exercisable Options held by such Optionee may be exercised by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beneficiary 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Options held by the Optionee may be exercised by his or her estate.</w:t>
      </w:r>
    </w:p>
    <w:p>
      <w:pPr>
        <w:spacing w:after="0" w:line="17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5.6 Modification or Assumption of Options</w:t>
      </w:r>
      <w:r>
        <w:rPr>
          <w:rFonts w:ascii="Times New Roman" w:cs="Times New Roman" w:eastAsia="Times New Roman" w:hAnsi="Times New Roman"/>
          <w:sz w:val="18"/>
          <w:szCs w:val="18"/>
          <w:color w:val="auto"/>
        </w:rPr>
        <w:t>. Within the limitations of the Plan, the Administrator may modify, extend or assume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The foregoing notwithstanding, no modification of an Option shall, without the consent of the Optionee, materially impair his or her rights or obligations under such Option. Notwithstanding anything in this Plan to the contrary, and except for the adjustments provided in Article 9, neither the Administrator nor any other person may (a) decrease the exercise price for any outstanding Option after the date of grant, (b) cancel or allow an Optionee to surrender an outstanding Option to the Company in exchange for cash or as consideration for the grant of a new Option with a lower exercise price or the grant of another type of Award the effect of which is to reduce the exercise price of any outstanding Option, or (c) take any other action with respect to an Option that would be treated as a repricing under the rules and regulations of the Nasdaq Stock Market (or such other principal U.S. national securities exchange on which the Common Shares are traded).</w:t>
      </w:r>
    </w:p>
    <w:p>
      <w:pPr>
        <w:spacing w:after="0" w:line="182" w:lineRule="exact"/>
        <w:rPr>
          <w:sz w:val="20"/>
          <w:szCs w:val="20"/>
          <w:color w:val="auto"/>
        </w:rPr>
      </w:pPr>
    </w:p>
    <w:p>
      <w:pPr>
        <w:ind w:right="14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5.7 Buyout Provisions</w:t>
      </w:r>
      <w:r>
        <w:rPr>
          <w:rFonts w:ascii="Times New Roman" w:cs="Times New Roman" w:eastAsia="Times New Roman" w:hAnsi="Times New Roman"/>
          <w:sz w:val="18"/>
          <w:szCs w:val="18"/>
          <w:color w:val="auto"/>
        </w:rPr>
        <w:t>. Except to the extent prohibited by Article 5.6, the Administrator may at any time (a) offer to buy out for a payment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or cash equivalents an Option previously granted or (b) authorize an Optionee to elect to cash out an Option previously granted, in either case at such time and based upon such terms and conditions as the Administrator shall establish.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55" w:name="page156"/>
    <w:bookmarkEnd w:id="155"/>
    <w:p>
      <w:pPr>
        <w:jc w:val="both"/>
        <w:ind w:right="120" w:firstLine="749"/>
        <w:spacing w:after="0" w:line="291" w:lineRule="auto"/>
        <w:rPr>
          <w:sz w:val="20"/>
          <w:szCs w:val="20"/>
          <w:color w:val="auto"/>
        </w:rPr>
      </w:pPr>
      <w:r>
        <w:rPr>
          <w:rFonts w:ascii="Times New Roman" w:cs="Times New Roman" w:eastAsia="Times New Roman" w:hAnsi="Times New Roman"/>
          <w:sz w:val="17"/>
          <w:szCs w:val="17"/>
          <w:b w:val="1"/>
          <w:bCs w:val="1"/>
          <w:color w:val="auto"/>
        </w:rPr>
        <w:t>5.8 Payment for Option Shares</w:t>
      </w:r>
      <w:r>
        <w:rPr>
          <w:rFonts w:ascii="Times New Roman" w:cs="Times New Roman" w:eastAsia="Times New Roman" w:hAnsi="Times New Roman"/>
          <w:sz w:val="17"/>
          <w:szCs w:val="17"/>
          <w:color w:val="auto"/>
        </w:rPr>
        <w:t>. The entire Exercise Price of Common Shares issued upon exercise of Options shall be payable in cash or cash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equivalents at the time when such Common Shares are purchased. In addition, the Administrator may, in its sole discretion and to the extent permitted by applicable law, accept payment of all or a portion of the Exercise Price through any one or a combination of the following forms or methods:</w:t>
      </w:r>
    </w:p>
    <w:p>
      <w:pPr>
        <w:spacing w:after="0" w:line="156" w:lineRule="exact"/>
        <w:rPr>
          <w:sz w:val="20"/>
          <w:szCs w:val="20"/>
          <w:color w:val="auto"/>
        </w:rPr>
      </w:pPr>
    </w:p>
    <w:p>
      <w:pPr>
        <w:ind w:right="120" w:firstLine="1505"/>
        <w:spacing w:after="0" w:line="265" w:lineRule="auto"/>
        <w:tabs>
          <w:tab w:leader="none" w:pos="17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conditions or limitations established by the Administrator, by surrendering, or attesting to the ownership of, Common Shares that are already owned by the Optionee with a value on the date of surrender equal to the aggregate exercise price of the Common Shares as to which such Option will be exercised;</w:t>
      </w:r>
    </w:p>
    <w:p>
      <w:pPr>
        <w:spacing w:after="0" w:line="177" w:lineRule="exact"/>
        <w:rPr>
          <w:rFonts w:ascii="Times New Roman" w:cs="Times New Roman" w:eastAsia="Times New Roman" w:hAnsi="Times New Roman"/>
          <w:sz w:val="18"/>
          <w:szCs w:val="18"/>
          <w:color w:val="auto"/>
        </w:rPr>
      </w:pPr>
    </w:p>
    <w:p>
      <w:pPr>
        <w:ind w:right="160" w:firstLine="1505"/>
        <w:spacing w:after="0" w:line="281" w:lineRule="auto"/>
        <w:tabs>
          <w:tab w:leader="none" w:pos="17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(on a form prescribed by the Company) an irrevocable direction to a securities broker approved by the Company to sell all or part of the Common Shares being purchased under the Plan and to deliver all or part of the sales proceeds to the Company;</w:t>
      </w:r>
    </w:p>
    <w:p>
      <w:pPr>
        <w:spacing w:after="0" w:line="162" w:lineRule="exact"/>
        <w:rPr>
          <w:rFonts w:ascii="Times New Roman" w:cs="Times New Roman" w:eastAsia="Times New Roman" w:hAnsi="Times New Roman"/>
          <w:sz w:val="18"/>
          <w:szCs w:val="18"/>
          <w:color w:val="auto"/>
        </w:rPr>
      </w:pPr>
    </w:p>
    <w:p>
      <w:pPr>
        <w:ind w:left="1740" w:hanging="235"/>
        <w:spacing w:after="0"/>
        <w:tabs>
          <w:tab w:leader="none" w:pos="17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conditions and requirements as the Administrator may impose from time to time, through a net exercise procedure;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form or method consistent with applicable laws, regulations and rules.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STOCK APPRECIATION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6.1 SAR Agreement</w:t>
      </w:r>
      <w:r>
        <w:rPr>
          <w:rFonts w:ascii="Times New Roman" w:cs="Times New Roman" w:eastAsia="Times New Roman" w:hAnsi="Times New Roman"/>
          <w:sz w:val="18"/>
          <w:szCs w:val="18"/>
          <w:color w:val="auto"/>
        </w:rPr>
        <w:t>. Each grant of a SAR under the Plan shall be evidenced by a SAR Agreement between the Optionee and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SAR shall be subject to all applicable terms of the Plan and may be subject to any other terms that are not inconsistent with the Plan. The provisions of the various SAR Agreements entered into under the Plan need not be identical.</w:t>
      </w:r>
    </w:p>
    <w:p>
      <w:pPr>
        <w:spacing w:after="0" w:line="170" w:lineRule="exact"/>
        <w:rPr>
          <w:sz w:val="20"/>
          <w:szCs w:val="20"/>
          <w:color w:val="auto"/>
        </w:rPr>
      </w:pPr>
    </w:p>
    <w:p>
      <w:pPr>
        <w:ind w:right="4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6.2 Number of Shares</w:t>
      </w:r>
      <w:r>
        <w:rPr>
          <w:rFonts w:ascii="Times New Roman" w:cs="Times New Roman" w:eastAsia="Times New Roman" w:hAnsi="Times New Roman"/>
          <w:sz w:val="18"/>
          <w:szCs w:val="18"/>
          <w:color w:val="auto"/>
        </w:rPr>
        <w:t>. Each SAR Agreement shall specify the number of Common Shares to which the SAR pertains, which number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 in accordance with Article 9.</w:t>
      </w:r>
    </w:p>
    <w:p>
      <w:pPr>
        <w:spacing w:after="0" w:line="154"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6.3 Exercise Price</w:t>
      </w:r>
      <w:r>
        <w:rPr>
          <w:rFonts w:ascii="Times New Roman" w:cs="Times New Roman" w:eastAsia="Times New Roman" w:hAnsi="Times New Roman"/>
          <w:sz w:val="18"/>
          <w:szCs w:val="18"/>
          <w:color w:val="auto"/>
        </w:rPr>
        <w:t>. Each SAR Agreement shall specify the Exercise Price, which shall in no event be less than 100% of the Fair Market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Common Share on the date of grant. The preceding sentence shall not apply to a SAR that is a Substitute Award granted in a manner that would satisfy the requirements of Code Section 409A.</w:t>
      </w:r>
    </w:p>
    <w:p>
      <w:pPr>
        <w:spacing w:after="0" w:line="170" w:lineRule="exact"/>
        <w:rPr>
          <w:sz w:val="20"/>
          <w:szCs w:val="20"/>
          <w:color w:val="auto"/>
        </w:rPr>
      </w:pPr>
    </w:p>
    <w:p>
      <w:pPr>
        <w:ind w:right="12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6.4 Exercisability and Term</w:t>
      </w:r>
      <w:r>
        <w:rPr>
          <w:rFonts w:ascii="Times New Roman" w:cs="Times New Roman" w:eastAsia="Times New Roman" w:hAnsi="Times New Roman"/>
          <w:sz w:val="18"/>
          <w:szCs w:val="18"/>
          <w:color w:val="auto"/>
        </w:rPr>
        <w:t>. Each SAR Agreement shall specify the date when all or any installment of the SAR is to become vested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The vesting and exercisability conditions applicable to the SAR may include service-based conditions, performance-based conditions, such other conditions as the Administrator may determine, or any combination thereof. The SAR Agreement shall also specify the term of the SAR; provided that except to the extent necessary to comply with applicable foreign law, the term of a SAR shall not exceed 10 years from the date of grant. A SAR Agreement may provide for accelerated vesting and exercisability upon certain specified events and may provide for expiration prior to the end of its term in the event of the termination of the Optionee’s service.</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6.5 Exercise of SARs</w:t>
      </w:r>
      <w:r>
        <w:rPr>
          <w:rFonts w:ascii="Times New Roman" w:cs="Times New Roman" w:eastAsia="Times New Roman" w:hAnsi="Times New Roman"/>
          <w:sz w:val="18"/>
          <w:szCs w:val="18"/>
          <w:color w:val="auto"/>
        </w:rPr>
        <w:t>. Upon exercise of a SAR, the Optionee (or any person having the right to exercise the SAR after his or her death)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from the Company (a) Common Shares, (b) cash or (c) a combination of Common Shares and cash, as the Administrator shall determine. The amount of cash and/or the Fair Market Value of Common Shares received upon exercise of SARs shall, in the aggregate, not exceed the amount by which the Fair Market Value (on the date of surrender) of the Common Shares subject to the SARs exceeds the Exercise Price. If, on the date when a SAR expires, the Exercise Price is less than the Fair Market Value on such date but any portion of such SAR has not been exercised or surrendered, then such SAR shall automatically be deemed to be exercised as of such date with respect to such portion. A SAR Agreement may also provide for an automatic exercise of the SAR on an earlier date.</w:t>
      </w:r>
    </w:p>
    <w:p>
      <w:pPr>
        <w:spacing w:after="0" w:line="180" w:lineRule="exact"/>
        <w:rPr>
          <w:sz w:val="20"/>
          <w:szCs w:val="20"/>
          <w:color w:val="auto"/>
        </w:rPr>
      </w:pPr>
    </w:p>
    <w:p>
      <w:pPr>
        <w:ind w:right="4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6.6 Death of Optionee</w:t>
      </w:r>
      <w:r>
        <w:rPr>
          <w:rFonts w:ascii="Times New Roman" w:cs="Times New Roman" w:eastAsia="Times New Roman" w:hAnsi="Times New Roman"/>
          <w:sz w:val="18"/>
          <w:szCs w:val="18"/>
          <w:color w:val="auto"/>
        </w:rPr>
        <w:t>. After an Optionee’s death, any vested and exercisable SARs held by such Optionee may be exercised by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beneficiary or beneficiaries. Each Optionee may designate one or more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56" w:name="page157"/>
    <w:bookmarkEnd w:id="156"/>
    <w:p>
      <w:pPr>
        <w:ind w:right="160"/>
        <w:spacing w:after="0" w:line="265" w:lineRule="auto"/>
        <w:rPr>
          <w:sz w:val="20"/>
          <w:szCs w:val="20"/>
          <w:color w:val="auto"/>
        </w:rPr>
      </w:pPr>
      <w:r>
        <w:rPr>
          <w:rFonts w:ascii="Times New Roman" w:cs="Times New Roman" w:eastAsia="Times New Roman" w:hAnsi="Times New Roman"/>
          <w:sz w:val="18"/>
          <w:szCs w:val="18"/>
          <w:color w:val="auto"/>
        </w:rPr>
        <w:t>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SARs held by the Optionee at the time of his or her death may be exercised by his or her estate.</w:t>
      </w:r>
    </w:p>
    <w:p>
      <w:pPr>
        <w:spacing w:after="0" w:line="17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6.7 Modification or Assumption of SARs</w:t>
      </w:r>
      <w:r>
        <w:rPr>
          <w:rFonts w:ascii="Times New Roman" w:cs="Times New Roman" w:eastAsia="Times New Roman" w:hAnsi="Times New Roman"/>
          <w:sz w:val="18"/>
          <w:szCs w:val="18"/>
          <w:color w:val="auto"/>
        </w:rPr>
        <w:t>. Within the limitations of the Plan, the Administrator may modify, extend or assume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The foregoing notwithstanding, no modification of a SAR shall, without the consent of the Optionee, materially impair his or her rights or obligations under such SAR. Notwithstanding anything in this Plan to the contrary, and except for the adjustments provided in Article 9, neither the Administrator nor any other person may (a) decrease the exercise price for any outstanding SAR after the date of grant, (b) cancel or allow an Optionee to surrender an outstanding SAR to the Company in exchange for cash or as consideration for the grant of a new SAR with a lower exercise price or the grant of another type of Award the effect of which is to reduce the exercise price of any outstanding SAR, or (c) take any other action with respect to a SAR that would be treated as a repricing under the rules and regulations of the Nasdaq Stock Market (or such other principal U.S. national securities exchange on which the Common Shares are traded).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RESTRICTED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7.1 Restricted Stock Agreement</w:t>
      </w:r>
      <w:r>
        <w:rPr>
          <w:rFonts w:ascii="Times New Roman" w:cs="Times New Roman" w:eastAsia="Times New Roman" w:hAnsi="Times New Roman"/>
          <w:sz w:val="18"/>
          <w:szCs w:val="18"/>
          <w:color w:val="auto"/>
        </w:rPr>
        <w:t>. Each grant of Restricted Shares under the Plan shall be evidenced by a Restricted Stock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170" w:lineRule="exact"/>
        <w:rPr>
          <w:sz w:val="20"/>
          <w:szCs w:val="20"/>
          <w:color w:val="auto"/>
        </w:rPr>
      </w:pPr>
    </w:p>
    <w:p>
      <w:pPr>
        <w:jc w:val="both"/>
        <w:ind w:right="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7.2 Payment for Awards</w:t>
      </w:r>
      <w:r>
        <w:rPr>
          <w:rFonts w:ascii="Times New Roman" w:cs="Times New Roman" w:eastAsia="Times New Roman" w:hAnsi="Times New Roman"/>
          <w:sz w:val="18"/>
          <w:szCs w:val="18"/>
          <w:color w:val="auto"/>
        </w:rPr>
        <w:t>. Restricted Shares may be sold or awarded under the Plan for such consideration as the Administrator may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cash, cash equivalents, property, cancellation of other equity awards, promissory notes, past services and future services, and such other methods of payment as are permitted by applicable law.</w:t>
      </w:r>
    </w:p>
    <w:p>
      <w:pPr>
        <w:spacing w:after="0" w:line="170"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7.3 Vesting Conditions</w:t>
      </w:r>
      <w:r>
        <w:rPr>
          <w:rFonts w:ascii="Times New Roman" w:cs="Times New Roman" w:eastAsia="Times New Roman" w:hAnsi="Times New Roman"/>
          <w:sz w:val="18"/>
          <w:szCs w:val="18"/>
          <w:color w:val="auto"/>
        </w:rPr>
        <w:t>. Each Award of Restricted Shares may or may not be subject to vesting and/or other conditions as the Administrator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Vesting shall occur, in full or in installments, upon satisfaction of the conditions specified in the Restricted Stock Agreement. A Restricted Stock Agreement may provide for accelerated vesting upon certain specified events.</w:t>
      </w:r>
    </w:p>
    <w:p>
      <w:pPr>
        <w:spacing w:after="0" w:line="170"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7.4 Voting and Dividend Rights</w:t>
      </w:r>
      <w:r>
        <w:rPr>
          <w:rFonts w:ascii="Times New Roman" w:cs="Times New Roman" w:eastAsia="Times New Roman" w:hAnsi="Times New Roman"/>
          <w:sz w:val="18"/>
          <w:szCs w:val="18"/>
          <w:color w:val="auto"/>
        </w:rPr>
        <w:t>. The holders of Restricted Shares awarded under the Plan shall have the same voting, dividend and other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Company’s other stockholders, unless the Administrator otherwise provides. A Restricted Stock Agreement, however, may require that any cash dividends paid on Restricted Shares (a) be accumulated and paid when such Restricted Shares vest, or (b) be invested in additional Restricted Shares. Such additional Restricted Shares shall be subject to the same conditions and restrictions as the shares subject to the Award with respect to which the dividends were paid. In addition, unless the Administrator provides otherwise, if any dividends or other distributions are paid in Common Shares, such Common Shares shall be subject to the same restrictions on transferability and forfeitability as the Restricted Shares with respect to which they were paid.</w:t>
      </w:r>
    </w:p>
    <w:p>
      <w:pPr>
        <w:spacing w:after="0" w:line="180" w:lineRule="exact"/>
        <w:rPr>
          <w:sz w:val="20"/>
          <w:szCs w:val="20"/>
          <w:color w:val="auto"/>
        </w:rPr>
      </w:pPr>
    </w:p>
    <w:p>
      <w:pPr>
        <w:ind w:right="2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7.5 Modification or Assumption of Restricted Shares</w:t>
      </w:r>
      <w:r>
        <w:rPr>
          <w:rFonts w:ascii="Times New Roman" w:cs="Times New Roman" w:eastAsia="Times New Roman" w:hAnsi="Times New Roman"/>
          <w:sz w:val="18"/>
          <w:szCs w:val="18"/>
          <w:color w:val="auto"/>
        </w:rPr>
        <w:t>. Within the limitations of the Plan, the Administrator may modify or assume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Shares or may accept the cancellation of outstanding restricted shares (whether granted by the Company or by another issuer) in return for the grant of new Restricted Shares for the same or a different number of shares or in return for the grant of a different type of Award. The foregoing notwithstanding, no modification of Restricted Shares shall, without the consent of the Participant, materially impair his or her rights or obligations under such Restricted Shares.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RESTRICTED STOCK UNITS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8.1 Restricted Stock Unit Agreement</w:t>
      </w:r>
      <w:r>
        <w:rPr>
          <w:rFonts w:ascii="Times New Roman" w:cs="Times New Roman" w:eastAsia="Times New Roman" w:hAnsi="Times New Roman"/>
          <w:sz w:val="18"/>
          <w:szCs w:val="18"/>
          <w:color w:val="auto"/>
        </w:rPr>
        <w:t>. Each grant of Restricted Stock Units under the Plan shall be evidenced by a Restricted Stock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recipient and the Company. Such Restricted Stock Units shall be subject to all applicable terms of the Plan and may be subject to any other terms that are not inconsistent with the Plan. The provisions of the various Restricted Stock Unit Agreements entered into under the Plan need not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7" w:name="page158"/>
    <w:bookmarkEnd w:id="157"/>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8.2 Payment for Awards</w:t>
      </w:r>
      <w:r>
        <w:rPr>
          <w:rFonts w:ascii="Times New Roman" w:cs="Times New Roman" w:eastAsia="Times New Roman" w:hAnsi="Times New Roman"/>
          <w:sz w:val="18"/>
          <w:szCs w:val="18"/>
          <w:color w:val="auto"/>
        </w:rPr>
        <w:t>. To the extent that an Award is granted in the form of Restricted Stock Units, no cash consideration shall be required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recipients.</w:t>
      </w:r>
    </w:p>
    <w:p>
      <w:pPr>
        <w:spacing w:after="0" w:line="154"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8.3 Vesting Conditions</w:t>
      </w:r>
      <w:r>
        <w:rPr>
          <w:rFonts w:ascii="Times New Roman" w:cs="Times New Roman" w:eastAsia="Times New Roman" w:hAnsi="Times New Roman"/>
          <w:sz w:val="18"/>
          <w:szCs w:val="18"/>
          <w:color w:val="auto"/>
        </w:rPr>
        <w:t>. Each Award of Restricted Stock Units may or may not be subject to vesting, as determined by 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shall occur, in full or in installments, upon satisfaction of the conditions specified in the Restricted Stock Unit Agreement. Vesting conditions may include service-based conditions, performance-based conditions, such other conditions as the Administrator may determine, or any combination thereof. A Restricted Stock Unit Agreement may provide for accelerated vesting upon certain specified events.</w:t>
      </w:r>
    </w:p>
    <w:p>
      <w:pPr>
        <w:spacing w:after="0" w:line="175"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8.4 Voting and Dividend Rights</w:t>
      </w:r>
      <w:r>
        <w:rPr>
          <w:rFonts w:ascii="Times New Roman" w:cs="Times New Roman" w:eastAsia="Times New Roman" w:hAnsi="Times New Roman"/>
          <w:sz w:val="18"/>
          <w:szCs w:val="18"/>
          <w:color w:val="auto"/>
        </w:rPr>
        <w:t>. The holders of Restricted Stock Units shall have no voting rights. Prior to settlement or forfeiture,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Units awarded under the Plan may, at the Administrator’s discretion, provide for a right to dividend equivalents. Such right entitles the holder to be credited with an amount equal to all cash dividends paid on one Common Share while the Restricted Stock Unit is outstanding. Dividend equivalents may be converted into additional Restricted Stock Units. Settlement of dividend equivalents may be made in the form of cash, in the form of Common Shares, or in a combination of both. Prior to distribution, any dividend equivalents shall be subject to the same conditions and restrictions as the Restricted Stock Units to which they attach.</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8.5 Form and Time of Settlement of Restricted Stock Units</w:t>
      </w:r>
      <w:r>
        <w:rPr>
          <w:rFonts w:ascii="Times New Roman" w:cs="Times New Roman" w:eastAsia="Times New Roman" w:hAnsi="Times New Roman"/>
          <w:sz w:val="18"/>
          <w:szCs w:val="18"/>
          <w:color w:val="auto"/>
        </w:rPr>
        <w:t>. Settlement of vested Restricted Stock Units may be made in the form of (a) cash,</w:t>
      </w:r>
    </w:p>
    <w:p>
      <w:pPr>
        <w:spacing w:after="0" w:line="31" w:lineRule="exact"/>
        <w:rPr>
          <w:sz w:val="20"/>
          <w:szCs w:val="20"/>
          <w:color w:val="auto"/>
        </w:rPr>
      </w:pPr>
    </w:p>
    <w:p>
      <w:pPr>
        <w:ind w:right="220" w:firstLine="8"/>
        <w:spacing w:after="0" w:line="252"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or (c) any combination of both, as determined by the Administrator.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value of Common Shares over a series of trading days. Vested Restricted Stock Units shall be settled in such manner and at such time(s) as specified in the Restricted Stock Unit Agreement. Until an Award of Restricted Stock Units is settled, the number of such Restricted Stock Units shall be subject to adjustment pursuant to Article 9.</w:t>
      </w:r>
    </w:p>
    <w:p>
      <w:pPr>
        <w:spacing w:after="0" w:line="185" w:lineRule="exact"/>
        <w:rPr>
          <w:sz w:val="20"/>
          <w:szCs w:val="20"/>
          <w:color w:val="auto"/>
        </w:rPr>
      </w:pPr>
    </w:p>
    <w:p>
      <w:pPr>
        <w:ind w:right="8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8.6 Death of Recipient</w:t>
      </w:r>
      <w:r>
        <w:rPr>
          <w:rFonts w:ascii="Times New Roman" w:cs="Times New Roman" w:eastAsia="Times New Roman" w:hAnsi="Times New Roman"/>
          <w:sz w:val="18"/>
          <w:szCs w:val="18"/>
          <w:color w:val="auto"/>
        </w:rPr>
        <w:t>. Any Restricted Stock Units that become payable after the recipient’s death shall be distributed to the recipient’s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beneficiary or beneficiaries. Each recipient of Restricted Stock Units under the Plan may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Restricted Stock Units that become payable after the recipient’s death shall be distributed to the recipient’s estate.</w:t>
      </w:r>
    </w:p>
    <w:p>
      <w:pPr>
        <w:spacing w:after="0" w:line="178" w:lineRule="exact"/>
        <w:rPr>
          <w:sz w:val="20"/>
          <w:szCs w:val="20"/>
          <w:color w:val="auto"/>
        </w:rPr>
      </w:pPr>
    </w:p>
    <w:p>
      <w:pPr>
        <w:ind w:right="8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8.7 Modification or Assumption of Restricted Stock Units</w:t>
      </w:r>
      <w:r>
        <w:rPr>
          <w:rFonts w:ascii="Times New Roman" w:cs="Times New Roman" w:eastAsia="Times New Roman" w:hAnsi="Times New Roman"/>
          <w:sz w:val="18"/>
          <w:szCs w:val="18"/>
          <w:color w:val="auto"/>
        </w:rPr>
        <w:t>. Within the limitations of the Plan, the Administrator may modify or assume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restricted stock units or may accept the cancellation of outstanding restricted stock units (whether granted by the Company or by another issuer) in return for the grant of new Restricted Stock Units for the same or a different number of shares or in return for the grant of a different type of Award. The foregoing notwithstanding, no modification of a Restricted Stock Unit shall, without the consent of the Participant, materially impair his or her rights or obligations under such Restricted Stock Unit.</w:t>
      </w:r>
    </w:p>
    <w:p>
      <w:pPr>
        <w:spacing w:after="0" w:line="178" w:lineRule="exact"/>
        <w:rPr>
          <w:sz w:val="20"/>
          <w:szCs w:val="20"/>
          <w:color w:val="auto"/>
        </w:rPr>
      </w:pPr>
    </w:p>
    <w:p>
      <w:pPr>
        <w:ind w:right="14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8.8 Creditors’ Rights</w:t>
      </w:r>
      <w:r>
        <w:rPr>
          <w:rFonts w:ascii="Times New Roman" w:cs="Times New Roman" w:eastAsia="Times New Roman" w:hAnsi="Times New Roman"/>
          <w:sz w:val="18"/>
          <w:szCs w:val="18"/>
          <w:color w:val="auto"/>
        </w:rPr>
        <w:t>. A holder of Restricted Stock Units shall have no rights other than those of a general creditor of the Company.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Units represent an unfunded and unsecured obligation of the Company, subject to the terms and conditions of the applicable Restricted Stock Unit Agreement.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ADJUSTMENTS; DISSOLUTIONS AND LIQUIDATIONS; CORPORATE TRANSACTIONS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9.1 Adjustments</w:t>
      </w:r>
      <w:r>
        <w:rPr>
          <w:rFonts w:ascii="Times New Roman" w:cs="Times New Roman" w:eastAsia="Times New Roman" w:hAnsi="Times New Roman"/>
          <w:sz w:val="18"/>
          <w:szCs w:val="18"/>
          <w:color w:val="auto"/>
        </w:rPr>
        <w:t>. In the event of a subdivision of the outstanding Common Shares, a declaration of a dividend payable in Common Shares,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or consolidation of the outstanding Common Shares (by reclassification or otherwise) into a lesser number of Common Shares or any other increase or decrease in the number of issued Common Shares effected without receipt of consideration by the Company, proportionate adjustments shall be made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8" w:name="page159"/>
    <w:bookmarkEnd w:id="158"/>
    <w:p>
      <w:pPr>
        <w:ind w:left="1740" w:hanging="235"/>
        <w:spacing w:after="0"/>
        <w:tabs>
          <w:tab w:leader="none" w:pos="1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available for issuance under Article 3, including the numerical share limits in Articles 3.1 and 3.5;</w:t>
      </w:r>
    </w:p>
    <w:p>
      <w:pPr>
        <w:spacing w:after="0" w:line="224"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covered by each outstanding Option, SAR, and Restricted Stock Unit; and/or</w:t>
      </w:r>
    </w:p>
    <w:p>
      <w:pPr>
        <w:spacing w:after="0" w:line="224" w:lineRule="exact"/>
        <w:rPr>
          <w:rFonts w:ascii="Times New Roman" w:cs="Times New Roman" w:eastAsia="Times New Roman" w:hAnsi="Times New Roman"/>
          <w:sz w:val="18"/>
          <w:szCs w:val="18"/>
          <w:color w:val="auto"/>
        </w:rPr>
      </w:pPr>
    </w:p>
    <w:p>
      <w:pPr>
        <w:ind w:left="1740" w:hanging="235"/>
        <w:spacing w:after="0"/>
        <w:tabs>
          <w:tab w:leader="none" w:pos="1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applicable to each outstanding Option and SAR, and the repurchase price, if any, applicable to Restricted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event of a declaration of an extraordinary dividend payable in a form other than Common Shares in an amount that has a material effect on the price of Common Shares, a recapitalization, a spin-off or a similar occurrence, the Administrator may make such adjustments as it, in its sole discretion, deems appropriate to the foregoing. Any adjustment in the number of shares subject to an Award under this Article 9.1 shall be rounded down to the nearest whole share, although the Administrator in its sole discretion may make a cash payment in lieu of a fractional share. Except as provided in this Article 9, a Participant shall have no rights by reason of any issuance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183" w:lineRule="exact"/>
        <w:rPr>
          <w:sz w:val="20"/>
          <w:szCs w:val="20"/>
          <w:color w:val="auto"/>
        </w:rPr>
      </w:pPr>
    </w:p>
    <w:p>
      <w:pPr>
        <w:ind w:right="4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9.2 Dissolution or Liquidation</w:t>
      </w:r>
      <w:r>
        <w:rPr>
          <w:rFonts w:ascii="Times New Roman" w:cs="Times New Roman" w:eastAsia="Times New Roman" w:hAnsi="Times New Roman"/>
          <w:sz w:val="18"/>
          <w:szCs w:val="18"/>
          <w:color w:val="auto"/>
        </w:rPr>
        <w:t>. To the extent not previously exercised or settled, Options, SARs and Restricted Stock Units shall terminate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dissolution or liquidation of the Company.</w:t>
      </w:r>
    </w:p>
    <w:p>
      <w:pPr>
        <w:spacing w:after="0" w:line="15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9.3 Corporate Transactions</w:t>
      </w:r>
      <w:r>
        <w:rPr>
          <w:rFonts w:ascii="Times New Roman" w:cs="Times New Roman" w:eastAsia="Times New Roman" w:hAnsi="Times New Roman"/>
          <w:sz w:val="18"/>
          <w:szCs w:val="18"/>
          <w:color w:val="auto"/>
        </w:rPr>
        <w:t>. In the event that the Company is a party to a merger, consolidation, or a Change in Control (other than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Article 14.6(d)), all Common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Administrator, with such determination having final and binding effect on all parties), which agreement or determination need not treat all Awards (or portions thereof) in an identical manner. Unless an Award Agreement provides otherwise, the treatment specified in the transaction agreement or by the Administrator may include (without limitation) one or more of the following with respect to each outstanding Award:</w:t>
      </w:r>
    </w:p>
    <w:p>
      <w:pPr>
        <w:spacing w:after="0" w:line="77" w:lineRule="exact"/>
        <w:rPr>
          <w:sz w:val="20"/>
          <w:szCs w:val="20"/>
          <w:color w:val="auto"/>
        </w:rPr>
      </w:pPr>
    </w:p>
    <w:p>
      <w:pPr>
        <w:ind w:left="1740" w:hanging="235"/>
        <w:spacing w:after="0"/>
        <w:tabs>
          <w:tab w:leader="none" w:pos="1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such outstanding Award by the Company (if the Company is the surviving entity);</w:t>
      </w:r>
    </w:p>
    <w:p>
      <w:pPr>
        <w:spacing w:after="0" w:line="116" w:lineRule="exact"/>
        <w:rPr>
          <w:rFonts w:ascii="Times New Roman" w:cs="Times New Roman" w:eastAsia="Times New Roman" w:hAnsi="Times New Roman"/>
          <w:sz w:val="18"/>
          <w:szCs w:val="18"/>
          <w:color w:val="auto"/>
        </w:rPr>
      </w:pPr>
    </w:p>
    <w:p>
      <w:pPr>
        <w:ind w:right="360" w:firstLine="1505"/>
        <w:spacing w:after="0" w:line="281" w:lineRule="auto"/>
        <w:tabs>
          <w:tab w:leader="none" w:pos="17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such outstanding Award by the surviving entity or its parent, provided that the assumption of an Option or a SAR shall comply with applicable tax requirements;</w:t>
      </w:r>
    </w:p>
    <w:p>
      <w:pPr>
        <w:spacing w:after="0" w:line="54" w:lineRule="exact"/>
        <w:rPr>
          <w:rFonts w:ascii="Times New Roman" w:cs="Times New Roman" w:eastAsia="Times New Roman" w:hAnsi="Times New Roman"/>
          <w:sz w:val="18"/>
          <w:szCs w:val="18"/>
          <w:color w:val="auto"/>
        </w:rPr>
      </w:pPr>
    </w:p>
    <w:p>
      <w:pPr>
        <w:ind w:right="100" w:firstLine="1505"/>
        <w:spacing w:after="0" w:line="265" w:lineRule="auto"/>
        <w:tabs>
          <w:tab w:leader="none" w:pos="17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by the surviving entity or its parent of an equivalent award for such outstanding Award (including, but not limited to, an award to acquire the same consideration paid to the holders of Common Shares in the transaction), provided that the substitution of an Option or a SAR shall comply with applicable tax requirements;</w:t>
      </w:r>
    </w:p>
    <w:p>
      <w:pPr>
        <w:spacing w:after="0" w:line="69" w:lineRule="exact"/>
        <w:rPr>
          <w:rFonts w:ascii="Times New Roman" w:cs="Times New Roman" w:eastAsia="Times New Roman" w:hAnsi="Times New Roman"/>
          <w:sz w:val="18"/>
          <w:szCs w:val="18"/>
          <w:color w:val="auto"/>
        </w:rPr>
      </w:pPr>
    </w:p>
    <w:p>
      <w:pPr>
        <w:ind w:right="140" w:firstLine="1505"/>
        <w:spacing w:after="0" w:line="258" w:lineRule="auto"/>
        <w:tabs>
          <w:tab w:leader="none" w:pos="17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Option or SAR, the cancellation of such Award without payment of any consideration. An Optionee shall be able to exercise his or her outstanding Option or SAR, to the extent such Option or SAR is then vested or become vested as of the effective time of the transaction, during a period of not less than five full business days preceding the closing date of the transaction, unless (i) a shorter period is required to permit a timely closing of the transaction and (ii) such shorter period still offers the Optionees a reasonable opportunity to exercise such Option or SAR. Any exercise of such Option or SAR during such period may be contingent on the closing of the transaction;</w:t>
      </w:r>
    </w:p>
    <w:p>
      <w:pPr>
        <w:spacing w:after="0" w:line="181" w:lineRule="exact"/>
        <w:rPr>
          <w:rFonts w:ascii="Times New Roman" w:cs="Times New Roman" w:eastAsia="Times New Roman" w:hAnsi="Times New Roman"/>
          <w:sz w:val="18"/>
          <w:szCs w:val="18"/>
          <w:color w:val="auto"/>
        </w:rPr>
      </w:pPr>
    </w:p>
    <w:p>
      <w:pPr>
        <w:ind w:right="60" w:firstLine="1505"/>
        <w:spacing w:after="0" w:line="256" w:lineRule="auto"/>
        <w:tabs>
          <w:tab w:leader="none" w:pos="17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such Award and a payment to the Participant with respect to each share subject to the portion of the Award that is vested or becomes vested as of the effective time of the transaction equal to the excess of (A) the value, as determined by the Administrator in its absolute discretion, of the property (including cash) received by the holder of a Common Share as a result of the transaction, over (if applicable) (B) the per-share Exercise Price of such Award (such excess, if any, the “</w:t>
      </w:r>
      <w:r>
        <w:rPr>
          <w:rFonts w:ascii="Times New Roman" w:cs="Times New Roman" w:eastAsia="Times New Roman" w:hAnsi="Times New Roman"/>
          <w:sz w:val="18"/>
          <w:szCs w:val="18"/>
          <w:b w:val="1"/>
          <w:bCs w:val="1"/>
          <w:color w:val="auto"/>
        </w:rPr>
        <w:t>Spread</w:t>
      </w:r>
      <w:r>
        <w:rPr>
          <w:rFonts w:ascii="Times New Roman" w:cs="Times New Roman" w:eastAsia="Times New Roman" w:hAnsi="Times New Roman"/>
          <w:sz w:val="18"/>
          <w:szCs w:val="18"/>
          <w:color w:val="auto"/>
        </w:rPr>
        <w:t>”). Such payment shall be made in the form of cash, cash equivalents, or securities of the surviving entity or its parent having a value equal to the Spread. In addition, any escrow, holdback, earn-out or similar provisions in the transaction agreement may apply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9" w:name="page160"/>
    <w:bookmarkEnd w:id="159"/>
    <w:p>
      <w:pPr>
        <w:ind w:right="280"/>
        <w:spacing w:after="0" w:line="260" w:lineRule="auto"/>
        <w:rPr>
          <w:sz w:val="20"/>
          <w:szCs w:val="20"/>
          <w:color w:val="auto"/>
        </w:rPr>
      </w:pPr>
      <w:r>
        <w:rPr>
          <w:rFonts w:ascii="Times New Roman" w:cs="Times New Roman" w:eastAsia="Times New Roman" w:hAnsi="Times New Roman"/>
          <w:sz w:val="18"/>
          <w:szCs w:val="18"/>
          <w:color w:val="auto"/>
        </w:rPr>
        <w:t>payment to the same extent and in the same manner as such provisions apply to the holders of Common Shares. If the Spread applicable to an Award (whether or not vested) is zero or a negative number, then the Award may be cancelled without making a payment to the Participant. In the event that an Award is subject to Code Section 409A, the payment described in this clause (e) shall be made on the settlement date specified in the applicable Award Agreement, provided that settlement may be accelerated in accordance with Treasury Regulation Section 1.409A-3(j)(4); or</w:t>
      </w:r>
    </w:p>
    <w:p>
      <w:pPr>
        <w:spacing w:after="0" w:line="74" w:lineRule="exact"/>
        <w:rPr>
          <w:sz w:val="20"/>
          <w:szCs w:val="20"/>
          <w:color w:val="auto"/>
        </w:rPr>
      </w:pPr>
    </w:p>
    <w:p>
      <w:pPr>
        <w:ind w:right="160" w:firstLine="1505"/>
        <w:spacing w:after="0" w:line="265" w:lineRule="auto"/>
        <w:tabs>
          <w:tab w:leader="none" w:pos="172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any reacquisition or repurchase rights held by the Company in respect of an Award of Restricted Shares to the surviving entity or its parent, with corresponding proportionate adjustments made to the price per share to be paid upon exercise of any such reacquisition or repurchase rights.</w:t>
      </w:r>
    </w:p>
    <w:p>
      <w:pPr>
        <w:spacing w:after="0" w:line="1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Unless an Award Agreement provides otherwise, each outstanding Award held by a Participant who remains a Service Provider as of the effective time of a merger, consolidation or Change in Control (other than one described in Article 14.6(d)) (a “</w:t>
      </w:r>
      <w:r>
        <w:rPr>
          <w:rFonts w:ascii="Times New Roman" w:cs="Times New Roman" w:eastAsia="Times New Roman" w:hAnsi="Times New Roman"/>
          <w:sz w:val="18"/>
          <w:szCs w:val="18"/>
          <w:b w:val="1"/>
          <w:bCs w:val="1"/>
          <w:color w:val="auto"/>
        </w:rPr>
        <w:t>Current Participant</w:t>
      </w:r>
      <w:r>
        <w:rPr>
          <w:rFonts w:ascii="Times New Roman" w:cs="Times New Roman" w:eastAsia="Times New Roman" w:hAnsi="Times New Roman"/>
          <w:sz w:val="18"/>
          <w:szCs w:val="18"/>
          <w:color w:val="auto"/>
        </w:rPr>
        <w:t xml:space="preserve">”) shall become fully vested and, if applicable, exercisable immediately prior to the effective time of the transaction and, in the case of an Award subject to performance-based vesting conditions, such performance-based vesting conditions shall be deemed achieved at 100% of target levels. However, the prior sentence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 and an outstanding Award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become vested and, if applicable, exercisable, if and to the extent the Award is continued, assumed or substituted as provided for in clauses (a), (b) or (c) above. In addition, the prior two sentences shall not apply to an Award held by a Participant who is not a Current Participant unless an Award Agreement provides otherwise or unless the Company and the acquirer agree otherwise.</w:t>
      </w:r>
    </w:p>
    <w:p>
      <w:pPr>
        <w:spacing w:after="0" w:line="18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For avoidance of doubt, the Administrator shall have the discretion, exercisable either at the time an Award is granted or at any time while the Award remains outstanding, to provide for the acceleration of vesting upon the occurrence of a Change in Control, whether or not the Award is to be assumed or replaced in the transaction, or in connection with a termination of the Participant’s service following a transaction.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action taken under this Article 9.3 shall either preserve an Award’s status as exempt from Code Section 409A or comply with Code Section 409A.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OTHER AWARDS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firstLine="749"/>
        <w:spacing w:after="0" w:line="260" w:lineRule="auto"/>
        <w:rPr>
          <w:sz w:val="20"/>
          <w:szCs w:val="20"/>
          <w:color w:val="auto"/>
        </w:rPr>
      </w:pPr>
      <w:r>
        <w:rPr>
          <w:rFonts w:ascii="Times New Roman" w:cs="Times New Roman" w:eastAsia="Times New Roman" w:hAnsi="Times New Roman"/>
          <w:sz w:val="18"/>
          <w:szCs w:val="18"/>
          <w:color w:val="auto"/>
        </w:rPr>
        <w:t>Subject in all events to the limitations under Article 3 above as to the number of Common Shares available for issuance under this Plan, the Company may grant other forms of Awards not specifically described herein and may grant awards under other plans or programs, where such awards are settled in the form of Common Shares issued under this Plan. Such Common Shares shall be treated for all purposes under the Plan like Common Shares issued in settlement of Restricted Stock Units and shall, when issued, reduce the number of Common Shares available under Article 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LIMITATION 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11.1 Retention Rights</w:t>
      </w:r>
      <w:r>
        <w:rPr>
          <w:rFonts w:ascii="Times New Roman" w:cs="Times New Roman" w:eastAsia="Times New Roman" w:hAnsi="Times New Roman"/>
          <w:sz w:val="18"/>
          <w:szCs w:val="18"/>
          <w:color w:val="auto"/>
        </w:rPr>
        <w:t>. Neither the Plan nor any Award granted under the Plan shall be deemed to give any individual a right to remain a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The Company and its Parents, Subsidiaries and Affiliates reserve the right to terminate the Service of any Service Provider at any time, with or without cause, subject to applicable laws, the Company’s certificate of incorporation and by-laws and a written employment agreement (if any).</w:t>
      </w:r>
    </w:p>
    <w:p>
      <w:pPr>
        <w:spacing w:after="0" w:line="170" w:lineRule="exact"/>
        <w:rPr>
          <w:sz w:val="20"/>
          <w:szCs w:val="20"/>
          <w:color w:val="auto"/>
        </w:rPr>
      </w:pPr>
    </w:p>
    <w:p>
      <w:pPr>
        <w:ind w:right="6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11.2 Stockholders’ Rights</w:t>
      </w:r>
      <w:r>
        <w:rPr>
          <w:rFonts w:ascii="Times New Roman" w:cs="Times New Roman" w:eastAsia="Times New Roman" w:hAnsi="Times New Roman"/>
          <w:sz w:val="18"/>
          <w:szCs w:val="18"/>
          <w:color w:val="auto"/>
        </w:rPr>
        <w:t>. Except as set forth in Article 7.4 or 8.4 above, a Participant shall have no dividend rights, voting rights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as a stockholder with respect to any Common Shares covered by his or her Award prior to the time when a stock certificate for such Common Shares is issued or, if applicable, the time when he or she becomes entitled to receive such Common Shares by filing any required notice of exercise and paying any required Exercise Price. No adjustment shall be made for cash dividends or other rights for which the record date is prior to such time, except as expressly provided in the Plan.</w:t>
      </w:r>
    </w:p>
    <w:p>
      <w:pPr>
        <w:spacing w:after="0" w:line="178"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11.3 Regulatory Requirements</w:t>
      </w:r>
      <w:r>
        <w:rPr>
          <w:rFonts w:ascii="Times New Roman" w:cs="Times New Roman" w:eastAsia="Times New Roman" w:hAnsi="Times New Roman"/>
          <w:sz w:val="18"/>
          <w:szCs w:val="18"/>
          <w:color w:val="auto"/>
        </w:rPr>
        <w:t>. Any other provision of the Plan notwithstanding, the obligation of the Company to issue Common Shares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shall be subject to all applicable laws, rules and regulations and such approval by any regulatory body as may be required. The Company reserves the right to restrict, in whole or in part, the delivery of Common Shares pursuant to any Award prior to the satisfaction of all legal requirements relating to the issuance of such Common Shares, to their registration, qualification or listing or to an exemption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60" w:name="page161"/>
    <w:bookmarkEnd w:id="160"/>
    <w:p>
      <w:pPr>
        <w:spacing w:after="0" w:line="265" w:lineRule="auto"/>
        <w:rPr>
          <w:sz w:val="20"/>
          <w:szCs w:val="20"/>
          <w:color w:val="auto"/>
        </w:rPr>
      </w:pPr>
      <w:r>
        <w:rPr>
          <w:rFonts w:ascii="Times New Roman" w:cs="Times New Roman" w:eastAsia="Times New Roman" w:hAnsi="Times New Roman"/>
          <w:sz w:val="18"/>
          <w:szCs w:val="18"/>
          <w:color w:val="auto"/>
        </w:rPr>
        <w:t>registration, qualification or listing. The inability of the Company to obtain authority from any regulatory body having jurisdiction, which authority is deemed necessary by the Company’s counsel to be necessary to the lawful issuance and sale of any Common Shares hereunder, will relieve the Company of any liability in respect of the failure to issue or sell such Common Shares as to which such requisite authority will not have been obtained.</w:t>
      </w:r>
    </w:p>
    <w:p>
      <w:pPr>
        <w:spacing w:after="0" w:line="173"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 Transferability of Awards. </w:t>
      </w:r>
      <w:r>
        <w:rPr>
          <w:rFonts w:ascii="Times New Roman" w:cs="Times New Roman" w:eastAsia="Times New Roman" w:hAnsi="Times New Roman"/>
          <w:sz w:val="18"/>
          <w:szCs w:val="18"/>
          <w:color w:val="auto"/>
        </w:rPr>
        <w:t>The Administrator may, in its sole discretion, permit transfer of an Award in a manner consistent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Unless otherwise determined by the Administrator, Awards shall be transferable by a Participant only by (a) beneficiary designation, (b) a will or (c) the laws of descent and distribution; provided that, in any event, an ISO may only be transferred by will or by the laws of descent and distribution and may be exercised during the lifetime of the Optionee only by the Optionee or by the Optionee’s guardian or legal representative.</w:t>
      </w:r>
    </w:p>
    <w:p>
      <w:pPr>
        <w:spacing w:after="0" w:line="175"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 Recoupment Policy. </w:t>
      </w:r>
      <w:r>
        <w:rPr>
          <w:rFonts w:ascii="Times New Roman" w:cs="Times New Roman" w:eastAsia="Times New Roman" w:hAnsi="Times New Roman"/>
          <w:sz w:val="18"/>
          <w:szCs w:val="18"/>
          <w:color w:val="auto"/>
        </w:rPr>
        <w:t>All Awards granted under the Plan, all amounts paid under the Plan and all Common Shares issued under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subject to recoupment, clawback or recovery by the Company in accordance with applicable law and with Company policy (whenever adopted) regarding same, whether or not such policy is intended to satisfy the requirements of the Dodd-Frank Wall Street Reform and Consumer Protection Act, the Sarbanes-Oxley Act, or other applicable law, as well as any implementing regulations and/or listing standards thereunder.</w:t>
      </w:r>
    </w:p>
    <w:p>
      <w:pPr>
        <w:spacing w:after="0" w:line="175"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11.6 Other Conditions and Restrictions on Common Shares</w:t>
      </w:r>
      <w:r>
        <w:rPr>
          <w:rFonts w:ascii="Times New Roman" w:cs="Times New Roman" w:eastAsia="Times New Roman" w:hAnsi="Times New Roman"/>
          <w:sz w:val="18"/>
          <w:szCs w:val="18"/>
          <w:color w:val="auto"/>
        </w:rPr>
        <w:t>. Any Common Shares issued under the Plan shall be subject to such forfeiture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rights of repurchase, rights of first refusal, other transfer restrictions and such other terms and conditions as the Administrator may determine. Such conditions and restrictions shall be set forth in the applicable Award Agreement and shall apply in addition to any restrictions that may apply to holders of Common Shares generally. In addition, Common Shares issued under the Plan shall be subject to such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 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12.1 General</w:t>
      </w:r>
      <w:r>
        <w:rPr>
          <w:rFonts w:ascii="Times New Roman" w:cs="Times New Roman" w:eastAsia="Times New Roman" w:hAnsi="Times New Roman"/>
          <w:sz w:val="18"/>
          <w:szCs w:val="18"/>
          <w:color w:val="auto"/>
        </w:rPr>
        <w:t>. It is a condition to each Award under the Plan that a Participant or his or her successor shall make arrangements satisfactory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the satisfaction of any federal, state, local or foreign withholding tax obligations that arise in connection with any Award granted under the Plan. The Company shall not be required to issue any Common Shares or make any cash payment under the Plan unless such obligations are satisfied.</w:t>
      </w:r>
    </w:p>
    <w:p>
      <w:pPr>
        <w:spacing w:after="0" w:line="170" w:lineRule="exact"/>
        <w:rPr>
          <w:sz w:val="20"/>
          <w:szCs w:val="20"/>
          <w:color w:val="auto"/>
        </w:rPr>
      </w:pPr>
    </w:p>
    <w:p>
      <w:pPr>
        <w:ind w:right="8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12.2 Share Withholding</w:t>
      </w:r>
      <w:r>
        <w:rPr>
          <w:rFonts w:ascii="Times New Roman" w:cs="Times New Roman" w:eastAsia="Times New Roman" w:hAnsi="Times New Roman"/>
          <w:sz w:val="18"/>
          <w:szCs w:val="18"/>
          <w:color w:val="auto"/>
        </w:rPr>
        <w:t>. To the extent that applicable law subjects a Participant to tax withholding obligations, the Administrator may permit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Participant to satisfy all or part of such obligations by having the Company withhold all or a portion of any Common Shares that otherwise would be issued to him or her or by surrendering all or a portion of any Common Shares that he or she previously acquired. Such Common Shares shall be valued on the date when they are withheld or surrendered. Any payment of taxes by assigning Common Shares to the Company may be subject to restrictions including any restrictions required by SEC, accounting or other rules.</w:t>
      </w:r>
    </w:p>
    <w:p>
      <w:pPr>
        <w:spacing w:after="0" w:line="178"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12.3 Section 409A Matters. </w:t>
      </w:r>
      <w:r>
        <w:rPr>
          <w:rFonts w:ascii="Times New Roman" w:cs="Times New Roman" w:eastAsia="Times New Roman" w:hAnsi="Times New Roman"/>
          <w:sz w:val="18"/>
          <w:szCs w:val="18"/>
          <w:color w:val="auto"/>
        </w:rPr>
        <w:t>Except as otherwise expressly set forth in an Award Agreement, it is intended that Awards granted under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be exempt from, or comply with, the requirements of Code Section 409A. To the extent an Award is subject to Code Section 409A (a “</w:t>
      </w:r>
      <w:r>
        <w:rPr>
          <w:rFonts w:ascii="Times New Roman" w:cs="Times New Roman" w:eastAsia="Times New Roman" w:hAnsi="Times New Roman"/>
          <w:sz w:val="18"/>
          <w:szCs w:val="18"/>
          <w:b w:val="1"/>
          <w:bCs w:val="1"/>
          <w:color w:val="auto"/>
        </w:rPr>
        <w:t>409A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the terms of the Plan, the Award and any written agreement governing the Award shall be interpreted to comply with the requirements of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so that the Award is not subject to additional tax or interest under Code Section 409A, unless the Administrator expressly provides otherwise. A 409A Award shall be subject to such additional rules and requirements as specified by the Administrator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Code Section 409A(a)(1).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1" w:name="page162"/>
    <w:bookmarkEnd w:id="161"/>
    <w:p>
      <w:pPr>
        <w:ind w:right="1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12.4 Limitation on Liability</w:t>
      </w:r>
      <w:r>
        <w:rPr>
          <w:rFonts w:ascii="Times New Roman" w:cs="Times New Roman" w:eastAsia="Times New Roman" w:hAnsi="Times New Roman"/>
          <w:sz w:val="18"/>
          <w:szCs w:val="18"/>
          <w:color w:val="auto"/>
        </w:rPr>
        <w:t>. Neither the Company nor any person serving as Administrator shall have any liability to a Participant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Award held by the Participant fails to achieve its intended characterization under applicable tax law.</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FUTURE OF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13.1 Term of the Plan</w:t>
      </w:r>
      <w:r>
        <w:rPr>
          <w:rFonts w:ascii="Times New Roman" w:cs="Times New Roman" w:eastAsia="Times New Roman" w:hAnsi="Times New Roman"/>
          <w:sz w:val="18"/>
          <w:szCs w:val="18"/>
          <w:color w:val="auto"/>
        </w:rPr>
        <w:t>. The Plan, as set forth herein, shall become effective on the date of its adoption by the Board, subject to approval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stockholders under Article 13.3 below. The Plan shall terminate automatically 10 years after the date when the Board adopted the Plan.</w:t>
      </w:r>
    </w:p>
    <w:p>
      <w:pPr>
        <w:spacing w:after="0" w:line="154" w:lineRule="exact"/>
        <w:rPr>
          <w:sz w:val="20"/>
          <w:szCs w:val="20"/>
          <w:color w:val="auto"/>
        </w:rPr>
      </w:pPr>
    </w:p>
    <w:p>
      <w:pPr>
        <w:jc w:val="both"/>
        <w:ind w:right="2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13.2 Amendment or Termination</w:t>
      </w:r>
      <w:r>
        <w:rPr>
          <w:rFonts w:ascii="Times New Roman" w:cs="Times New Roman" w:eastAsia="Times New Roman" w:hAnsi="Times New Roman"/>
          <w:sz w:val="18"/>
          <w:szCs w:val="18"/>
          <w:color w:val="auto"/>
        </w:rPr>
        <w:t>. The Board may, at any time and for any reason, amend or terminate the Plan. No Awards shall be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after the termination thereof. The termination of the Plan, or any amendment thereof, shall not affect any Award previously granted under the Plan.</w:t>
      </w:r>
    </w:p>
    <w:p>
      <w:pPr>
        <w:spacing w:after="0" w:line="170"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13.3 Stockholder Approval</w:t>
      </w:r>
      <w:r>
        <w:rPr>
          <w:rFonts w:ascii="Times New Roman" w:cs="Times New Roman" w:eastAsia="Times New Roman" w:hAnsi="Times New Roman"/>
          <w:sz w:val="18"/>
          <w:szCs w:val="18"/>
          <w:color w:val="auto"/>
        </w:rPr>
        <w:t>. To the extent required by applicable law, the Plan will be subject to the approval of the Company’s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12 months of its adoption date. An amendment of the Plan shall be subject to the approval of the Company’s stockholders only to the extent required by applicable laws, regulations or rules.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Committee administering the Plan in accordance with Article 2.</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entity other than a Subsidiary, if the Company and/or one or more Subsidiaries own not less than 50% of such entity.</w:t>
      </w:r>
    </w:p>
    <w:p>
      <w:pPr>
        <w:spacing w:after="0" w:line="225" w:lineRule="exact"/>
        <w:rPr>
          <w:sz w:val="20"/>
          <w:szCs w:val="20"/>
          <w:color w:val="auto"/>
        </w:rPr>
      </w:pPr>
    </w:p>
    <w:p>
      <w:pPr>
        <w:ind w:right="80" w:firstLine="749"/>
        <w:spacing w:after="0" w:line="286" w:lineRule="auto"/>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award granted under the Plan, including as an Option, a SAR, a Restricted Share award, a Restricted Stock Unit award or another form of equity-based compensation award.</w:t>
      </w:r>
    </w:p>
    <w:p>
      <w:pPr>
        <w:spacing w:after="0" w:line="154" w:lineRule="exact"/>
        <w:rPr>
          <w:sz w:val="20"/>
          <w:szCs w:val="20"/>
          <w:color w:val="auto"/>
        </w:rPr>
      </w:pPr>
    </w:p>
    <w:p>
      <w:pPr>
        <w:ind w:right="680" w:firstLine="749"/>
        <w:spacing w:after="0" w:line="286"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 Stock Option Agreement, a SAR Agreement, a Restricted Stock Agreement, a Restricted Stock Unit Agreement or such other agreement evidencing an Award granted under the Plan.</w:t>
      </w:r>
    </w:p>
    <w:p>
      <w:pPr>
        <w:spacing w:after="0" w:line="154" w:lineRule="exact"/>
        <w:rPr>
          <w:sz w:val="20"/>
          <w:szCs w:val="20"/>
          <w:color w:val="auto"/>
        </w:rPr>
      </w:pPr>
    </w:p>
    <w:p>
      <w:pPr>
        <w:ind w:right="380" w:firstLine="749"/>
        <w:spacing w:after="0" w:line="286" w:lineRule="auto"/>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Company’s Board of Directors, as constituted from time to time and, where the context so requires, reference to the “Board” may refer to a Committee to whom the Board has delegated authority to administer any aspect of this Plan.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firstLine="1505"/>
        <w:spacing w:after="0" w:line="265" w:lineRule="auto"/>
        <w:tabs>
          <w:tab w:leader="none" w:pos="174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w:t>
      </w:r>
    </w:p>
    <w:p>
      <w:pPr>
        <w:spacing w:after="0" w:line="177"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sale or disposition by the Company of all or substantially all of the Company’s assets;</w:t>
      </w:r>
    </w:p>
    <w:p>
      <w:pPr>
        <w:spacing w:after="0" w:line="224" w:lineRule="exact"/>
        <w:rPr>
          <w:rFonts w:ascii="Times New Roman" w:cs="Times New Roman" w:eastAsia="Times New Roman" w:hAnsi="Times New Roman"/>
          <w:sz w:val="18"/>
          <w:szCs w:val="18"/>
          <w:color w:val="auto"/>
        </w:rPr>
      </w:pPr>
    </w:p>
    <w:p>
      <w:pPr>
        <w:jc w:val="both"/>
        <w:ind w:right="80" w:firstLine="1505"/>
        <w:spacing w:after="0" w:line="280" w:lineRule="auto"/>
        <w:tabs>
          <w:tab w:leader="none" w:pos="1742"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2" w:name="page163"/>
    <w:bookmarkEnd w:id="162"/>
    <w:p>
      <w:pPr>
        <w:ind w:right="200" w:firstLine="1505"/>
        <w:spacing w:after="0" w:line="262" w:lineRule="auto"/>
        <w:tabs>
          <w:tab w:leader="none" w:pos="17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members of the Board (the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over a period of 12 months;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79"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 Change in Control constitutes a payment event with respect to any Award which provides for a deferral of compensation and is subject to Code Section 409A, then notwithstanding anything to the contrary in the Plan or applicable Award Agreement the transaction with respect to such Award must also constitute a “change in control event” as defined in Treasury Regulation Section 1.409A-3(i)(5) to the extent required by Code Section 409A.</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14.7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one or more members of the Board, or of other individuals satisfying applicable laws, appointed by the Board to administer the Plan.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b w:val="1"/>
          <w:bCs w:val="1"/>
          <w:color w:val="auto"/>
        </w:rPr>
        <w:t>Common Share</w:t>
      </w:r>
      <w:r>
        <w:rPr>
          <w:rFonts w:ascii="Times New Roman" w:cs="Times New Roman" w:eastAsia="Times New Roman" w:hAnsi="Times New Roman"/>
          <w:sz w:val="18"/>
          <w:szCs w:val="18"/>
          <w:color w:val="auto"/>
        </w:rPr>
        <w:t>” means one share of the Company’s common stock.</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14.10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Flywire Corporation, a Delaware corporation.</w:t>
      </w:r>
    </w:p>
    <w:p>
      <w:pPr>
        <w:spacing w:after="0" w:line="225" w:lineRule="exact"/>
        <w:rPr>
          <w:sz w:val="20"/>
          <w:szCs w:val="20"/>
          <w:color w:val="auto"/>
        </w:rPr>
      </w:pPr>
    </w:p>
    <w:p>
      <w:pPr>
        <w:ind w:right="160" w:firstLine="749"/>
        <w:spacing w:after="0" w:line="286" w:lineRule="auto"/>
        <w:rPr>
          <w:sz w:val="20"/>
          <w:szCs w:val="20"/>
          <w:color w:val="auto"/>
        </w:rPr>
      </w:pPr>
      <w:r>
        <w:rPr>
          <w:rFonts w:ascii="Times New Roman" w:cs="Times New Roman" w:eastAsia="Times New Roman" w:hAnsi="Times New Roman"/>
          <w:sz w:val="18"/>
          <w:szCs w:val="18"/>
          <w:color w:val="auto"/>
        </w:rPr>
        <w:t>14.11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xml:space="preserve">” means a consultant or adviser who provides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services to the Company, a Parent, a Subsidiary or an Affiliate as an independent contractor and who qualifies as a consultant or advisor under Instruction A.1.(a)(1) of Form S-8 under the Securities Act.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14.12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 common-law employee of the Company, a Parent, a Subsidiary or an Affiliate.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14.13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right="240" w:firstLine="749"/>
        <w:spacing w:after="0" w:line="291" w:lineRule="auto"/>
        <w:rPr>
          <w:sz w:val="20"/>
          <w:szCs w:val="20"/>
          <w:color w:val="auto"/>
        </w:rPr>
      </w:pPr>
      <w:r>
        <w:rPr>
          <w:rFonts w:ascii="Times New Roman" w:cs="Times New Roman" w:eastAsia="Times New Roman" w:hAnsi="Times New Roman"/>
          <w:sz w:val="17"/>
          <w:szCs w:val="17"/>
          <w:color w:val="auto"/>
        </w:rPr>
        <w:t>14.14 “</w:t>
      </w:r>
      <w:r>
        <w:rPr>
          <w:rFonts w:ascii="Times New Roman" w:cs="Times New Roman" w:eastAsia="Times New Roman" w:hAnsi="Times New Roman"/>
          <w:sz w:val="17"/>
          <w:szCs w:val="17"/>
          <w:b w:val="1"/>
          <w:bCs w:val="1"/>
          <w:color w:val="auto"/>
        </w:rPr>
        <w:t>Exercise Price</w:t>
      </w:r>
      <w:r>
        <w:rPr>
          <w:rFonts w:ascii="Times New Roman" w:cs="Times New Roman" w:eastAsia="Times New Roman" w:hAnsi="Times New Roman"/>
          <w:sz w:val="17"/>
          <w:szCs w:val="17"/>
          <w:color w:val="auto"/>
        </w:rPr>
        <w:t>,” in the case of an Option, means the amount for which one Common Share may be purchased upon exercise of such Option, as specified in the applicable Stock Option Agreement. “Exercise Price,” in the case of a SAR, means an amount, as specified in the applicable SAR Agreement, which is subtracted from the Fair Market Value of one Common Share in determining the amount payable upon exercise of such SAR.</w:t>
      </w:r>
    </w:p>
    <w:p>
      <w:pPr>
        <w:spacing w:after="0" w:line="152"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color w:val="auto"/>
        </w:rPr>
        <w:t>14.15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the closing price of a Common Share on any established stock exchange or a national market system on the applicable date or, if the applicable date is not a trading day, on the last trading day prior to the applicable date, as reported in a source that the Administrator deems reliable. If Common Shares are not traded on an established stock exchange or a national market system, the Fair Market Value shall be determined by the Administrator in good faith on such basis as it deems appropriate. The Administrator’s determination shall be conclusive and binding on all persons. Notwithstanding the foregoing, the determination of the Fair Market Value in all cases shall be in accordance with the requirements set forth under Section 409A of the Code to the extent necessary for an Award to comply with, or be exempt from, Section 409A of the Code.</w:t>
      </w:r>
    </w:p>
    <w:p>
      <w:pPr>
        <w:spacing w:after="0" w:line="180"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color w:val="auto"/>
        </w:rPr>
        <w:t>14.16 “</w:t>
      </w:r>
      <w:r>
        <w:rPr>
          <w:rFonts w:ascii="Times New Roman" w:cs="Times New Roman" w:eastAsia="Times New Roman" w:hAnsi="Times New Roman"/>
          <w:sz w:val="18"/>
          <w:szCs w:val="18"/>
          <w:b w:val="1"/>
          <w:bCs w:val="1"/>
          <w:color w:val="auto"/>
        </w:rPr>
        <w:t>IPO Date</w:t>
      </w:r>
      <w:r>
        <w:rPr>
          <w:rFonts w:ascii="Times New Roman" w:cs="Times New Roman" w:eastAsia="Times New Roman" w:hAnsi="Times New Roman"/>
          <w:sz w:val="18"/>
          <w:szCs w:val="18"/>
          <w:color w:val="auto"/>
        </w:rPr>
        <w:t>” means the effective date of the registration statement filed by the Company with the Securities and Exchange Commission for its initial offering of the Common Shares to the public.</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14.17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means an incentive stock option described in Code Section 422(b).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14.18 “</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means a stock option not described in Code Sections 422 or 423.</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14.19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ISO or NSO granted under the Plan and entitling the holder to purchase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63" w:name="page164"/>
    <w:bookmarkEnd w:id="163"/>
    <w:p>
      <w:pPr>
        <w:ind w:left="760"/>
        <w:spacing w:after="0"/>
        <w:rPr>
          <w:sz w:val="20"/>
          <w:szCs w:val="20"/>
          <w:color w:val="auto"/>
        </w:rPr>
      </w:pPr>
      <w:r>
        <w:rPr>
          <w:rFonts w:ascii="Times New Roman" w:cs="Times New Roman" w:eastAsia="Times New Roman" w:hAnsi="Times New Roman"/>
          <w:sz w:val="18"/>
          <w:szCs w:val="18"/>
          <w:color w:val="auto"/>
        </w:rPr>
        <w:t>14.20 “</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means an individual or estate holding an Option or SAR.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14.21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means a member of the Board who is not an Employee.</w:t>
      </w:r>
    </w:p>
    <w:p>
      <w:pPr>
        <w:spacing w:after="0" w:line="225"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color w:val="auto"/>
        </w:rPr>
        <w:t>14.22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14.23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individual or estate holding an Award.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14.24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Flywire 2021 Equity Incentive Plan, as amended from time to time.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14.25 “</w:t>
      </w:r>
      <w:r>
        <w:rPr>
          <w:rFonts w:ascii="Times New Roman" w:cs="Times New Roman" w:eastAsia="Times New Roman" w:hAnsi="Times New Roman"/>
          <w:sz w:val="18"/>
          <w:szCs w:val="18"/>
          <w:b w:val="1"/>
          <w:bCs w:val="1"/>
          <w:color w:val="auto"/>
        </w:rPr>
        <w:t>Predecessor Plan</w:t>
      </w:r>
      <w:r>
        <w:rPr>
          <w:rFonts w:ascii="Times New Roman" w:cs="Times New Roman" w:eastAsia="Times New Roman" w:hAnsi="Times New Roman"/>
          <w:sz w:val="18"/>
          <w:szCs w:val="18"/>
          <w:color w:val="auto"/>
        </w:rPr>
        <w:t>” means the Company’s 2018 Stock Incentive Plan, as amended.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14.26 “</w:t>
      </w:r>
      <w:r>
        <w:rPr>
          <w:rFonts w:ascii="Times New Roman" w:cs="Times New Roman" w:eastAsia="Times New Roman" w:hAnsi="Times New Roman"/>
          <w:sz w:val="18"/>
          <w:szCs w:val="18"/>
          <w:b w:val="1"/>
          <w:bCs w:val="1"/>
          <w:color w:val="auto"/>
        </w:rPr>
        <w:t>Restricted Share</w:t>
      </w:r>
      <w:r>
        <w:rPr>
          <w:rFonts w:ascii="Times New Roman" w:cs="Times New Roman" w:eastAsia="Times New Roman" w:hAnsi="Times New Roman"/>
          <w:sz w:val="18"/>
          <w:szCs w:val="18"/>
          <w:color w:val="auto"/>
        </w:rPr>
        <w:t>” means a Common Share awarded under the Plan.</w:t>
      </w:r>
    </w:p>
    <w:p>
      <w:pPr>
        <w:spacing w:after="0" w:line="225" w:lineRule="exact"/>
        <w:rPr>
          <w:sz w:val="20"/>
          <w:szCs w:val="20"/>
          <w:color w:val="auto"/>
        </w:rPr>
      </w:pPr>
    </w:p>
    <w:p>
      <w:pPr>
        <w:ind w:right="260" w:firstLine="749"/>
        <w:spacing w:after="0" w:line="286" w:lineRule="auto"/>
        <w:rPr>
          <w:sz w:val="20"/>
          <w:szCs w:val="20"/>
          <w:color w:val="auto"/>
        </w:rPr>
      </w:pPr>
      <w:r>
        <w:rPr>
          <w:rFonts w:ascii="Times New Roman" w:cs="Times New Roman" w:eastAsia="Times New Roman" w:hAnsi="Times New Roman"/>
          <w:sz w:val="18"/>
          <w:szCs w:val="18"/>
          <w:color w:val="auto"/>
        </w:rPr>
        <w:t>14.27 “</w:t>
      </w:r>
      <w:r>
        <w:rPr>
          <w:rFonts w:ascii="Times New Roman" w:cs="Times New Roman" w:eastAsia="Times New Roman" w:hAnsi="Times New Roman"/>
          <w:sz w:val="18"/>
          <w:szCs w:val="18"/>
          <w:b w:val="1"/>
          <w:bCs w:val="1"/>
          <w:color w:val="auto"/>
        </w:rPr>
        <w:t>Restricted Stock Agreement</w:t>
      </w:r>
      <w:r>
        <w:rPr>
          <w:rFonts w:ascii="Times New Roman" w:cs="Times New Roman" w:eastAsia="Times New Roman" w:hAnsi="Times New Roman"/>
          <w:sz w:val="18"/>
          <w:szCs w:val="18"/>
          <w:color w:val="auto"/>
        </w:rPr>
        <w:t>” means the agreement consistent with the terms of the Plan between the Company and the recipient of a Restricted Share that contains the terms, conditions and restrictions pertaining to such Restricted Share.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14.28 “</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the equivalent of one Common Share, as awarded under the Plan.</w:t>
      </w:r>
    </w:p>
    <w:p>
      <w:pPr>
        <w:spacing w:after="0" w:line="225"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color w:val="auto"/>
        </w:rPr>
        <w:t>14.29 “</w:t>
      </w:r>
      <w:r>
        <w:rPr>
          <w:rFonts w:ascii="Times New Roman" w:cs="Times New Roman" w:eastAsia="Times New Roman" w:hAnsi="Times New Roman"/>
          <w:sz w:val="18"/>
          <w:szCs w:val="18"/>
          <w:b w:val="1"/>
          <w:bCs w:val="1"/>
          <w:color w:val="auto"/>
        </w:rPr>
        <w:t>Restricted Stock Unit Agreement</w:t>
      </w:r>
      <w:r>
        <w:rPr>
          <w:rFonts w:ascii="Times New Roman" w:cs="Times New Roman" w:eastAsia="Times New Roman" w:hAnsi="Times New Roman"/>
          <w:sz w:val="18"/>
          <w:szCs w:val="18"/>
          <w:color w:val="auto"/>
        </w:rPr>
        <w:t>” means the agreement consistent with the terms of the Plan between the Company and the recipient of a Restricted Stock Unit that contains the terms, conditions and restrictions pertaining to such Restricted Stock Unit.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14.30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 stock appreciation right granted under the Plan.</w:t>
      </w:r>
    </w:p>
    <w:p>
      <w:pPr>
        <w:spacing w:after="0" w:line="225" w:lineRule="exact"/>
        <w:rPr>
          <w:sz w:val="20"/>
          <w:szCs w:val="20"/>
          <w:color w:val="auto"/>
        </w:rPr>
      </w:pPr>
    </w:p>
    <w:p>
      <w:pPr>
        <w:ind w:right="280" w:firstLine="749"/>
        <w:spacing w:after="0" w:line="286" w:lineRule="auto"/>
        <w:rPr>
          <w:sz w:val="20"/>
          <w:szCs w:val="20"/>
          <w:color w:val="auto"/>
        </w:rPr>
      </w:pPr>
      <w:r>
        <w:rPr>
          <w:rFonts w:ascii="Times New Roman" w:cs="Times New Roman" w:eastAsia="Times New Roman" w:hAnsi="Times New Roman"/>
          <w:sz w:val="18"/>
          <w:szCs w:val="18"/>
          <w:color w:val="auto"/>
        </w:rPr>
        <w:t>14.31 “</w:t>
      </w:r>
      <w:r>
        <w:rPr>
          <w:rFonts w:ascii="Times New Roman" w:cs="Times New Roman" w:eastAsia="Times New Roman" w:hAnsi="Times New Roman"/>
          <w:sz w:val="18"/>
          <w:szCs w:val="18"/>
          <w:b w:val="1"/>
          <w:bCs w:val="1"/>
          <w:color w:val="auto"/>
        </w:rPr>
        <w:t>SAR Agreement</w:t>
      </w:r>
      <w:r>
        <w:rPr>
          <w:rFonts w:ascii="Times New Roman" w:cs="Times New Roman" w:eastAsia="Times New Roman" w:hAnsi="Times New Roman"/>
          <w:sz w:val="18"/>
          <w:szCs w:val="18"/>
          <w:color w:val="auto"/>
        </w:rPr>
        <w:t>” means the agreement consistent with the terms of the Plan between the Company and an Optionee that contains the terms, conditions and restrictions pertaining to his or her SAR.</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14.32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right="400" w:firstLine="749"/>
        <w:spacing w:after="0" w:line="268" w:lineRule="auto"/>
        <w:rPr>
          <w:sz w:val="20"/>
          <w:szCs w:val="20"/>
          <w:color w:val="auto"/>
        </w:rPr>
      </w:pPr>
      <w:r>
        <w:rPr>
          <w:rFonts w:ascii="Times New Roman" w:cs="Times New Roman" w:eastAsia="Times New Roman" w:hAnsi="Times New Roman"/>
          <w:sz w:val="18"/>
          <w:szCs w:val="18"/>
          <w:color w:val="auto"/>
        </w:rPr>
        <w:t>14.33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any individual who is an Employee, Outside Director or Consultant, including any prospective Employee, Outside Director or Consultant who has accepted an offer of employment or service and will be an Employee, Outside Director or Consultant after the commencement of their service.</w:t>
      </w:r>
    </w:p>
    <w:p>
      <w:pPr>
        <w:spacing w:after="0" w:line="170" w:lineRule="exact"/>
        <w:rPr>
          <w:sz w:val="20"/>
          <w:szCs w:val="20"/>
          <w:color w:val="auto"/>
        </w:rPr>
      </w:pPr>
    </w:p>
    <w:p>
      <w:pPr>
        <w:ind w:right="540" w:firstLine="749"/>
        <w:spacing w:after="0" w:line="286" w:lineRule="auto"/>
        <w:rPr>
          <w:sz w:val="20"/>
          <w:szCs w:val="20"/>
          <w:color w:val="auto"/>
        </w:rPr>
      </w:pPr>
      <w:r>
        <w:rPr>
          <w:rFonts w:ascii="Times New Roman" w:cs="Times New Roman" w:eastAsia="Times New Roman" w:hAnsi="Times New Roman"/>
          <w:sz w:val="18"/>
          <w:szCs w:val="18"/>
          <w:color w:val="auto"/>
        </w:rPr>
        <w:t>14.34 “</w:t>
      </w:r>
      <w:r>
        <w:rPr>
          <w:rFonts w:ascii="Times New Roman" w:cs="Times New Roman" w:eastAsia="Times New Roman" w:hAnsi="Times New Roman"/>
          <w:sz w:val="18"/>
          <w:szCs w:val="18"/>
          <w:b w:val="1"/>
          <w:bCs w:val="1"/>
          <w:color w:val="auto"/>
        </w:rPr>
        <w:t>Stock Option Agreement</w:t>
      </w:r>
      <w:r>
        <w:rPr>
          <w:rFonts w:ascii="Times New Roman" w:cs="Times New Roman" w:eastAsia="Times New Roman" w:hAnsi="Times New Roman"/>
          <w:sz w:val="18"/>
          <w:szCs w:val="18"/>
          <w:color w:val="auto"/>
        </w:rPr>
        <w:t>” means the agreement consistent with the terms of the Plan between the Company and an Optionee that contains the terms, conditions and restrictions pertaining to his or her Option.</w:t>
      </w:r>
    </w:p>
    <w:p>
      <w:pPr>
        <w:spacing w:after="0" w:line="154" w:lineRule="exact"/>
        <w:rPr>
          <w:sz w:val="20"/>
          <w:szCs w:val="20"/>
          <w:color w:val="auto"/>
        </w:rPr>
      </w:pPr>
    </w:p>
    <w:p>
      <w:pPr>
        <w:ind w:right="60" w:firstLine="749"/>
        <w:spacing w:after="0" w:line="262" w:lineRule="auto"/>
        <w:rPr>
          <w:sz w:val="20"/>
          <w:szCs w:val="20"/>
          <w:color w:val="auto"/>
        </w:rPr>
      </w:pPr>
      <w:r>
        <w:rPr>
          <w:rFonts w:ascii="Times New Roman" w:cs="Times New Roman" w:eastAsia="Times New Roman" w:hAnsi="Times New Roman"/>
          <w:sz w:val="18"/>
          <w:szCs w:val="18"/>
          <w:color w:val="auto"/>
        </w:rPr>
        <w:t>14.35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75" w:lineRule="exact"/>
        <w:rPr>
          <w:sz w:val="20"/>
          <w:szCs w:val="20"/>
          <w:color w:val="auto"/>
        </w:rPr>
      </w:pPr>
    </w:p>
    <w:p>
      <w:pPr>
        <w:jc w:val="both"/>
        <w:ind w:right="60" w:firstLine="749"/>
        <w:spacing w:after="0" w:line="268" w:lineRule="auto"/>
        <w:rPr>
          <w:sz w:val="20"/>
          <w:szCs w:val="20"/>
          <w:color w:val="auto"/>
        </w:rPr>
      </w:pPr>
      <w:r>
        <w:rPr>
          <w:rFonts w:ascii="Times New Roman" w:cs="Times New Roman" w:eastAsia="Times New Roman" w:hAnsi="Times New Roman"/>
          <w:sz w:val="18"/>
          <w:szCs w:val="18"/>
          <w:color w:val="auto"/>
        </w:rPr>
        <w:t>14.36 “</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means Awards or Common Shares issued by the Company in assumption of, or substitution or exchange for, awards previously granted, or the right or obligation to make future awards, in each case by a corporation acquired by the Company or any Affiliate or with which the Company or any Affiliate combines to the extent permitted by the applicable exchange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64" w:name="page165"/>
    <w:bookmarkEnd w:id="164"/>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w:t>
      </w:r>
      <w:r>
        <w:rPr>
          <w:rFonts w:ascii="Times New Roman" w:cs="Times New Roman" w:eastAsia="Times New Roman" w:hAnsi="Times New Roman"/>
          <w:sz w:val="24"/>
          <w:szCs w:val="24"/>
          <w:b w:val="1"/>
          <w:bCs w:val="1"/>
          <w:color w:val="auto"/>
        </w:rPr>
        <w:t>LYWIRE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4"/>
          <w:szCs w:val="24"/>
          <w:b w:val="1"/>
          <w:bCs w:val="1"/>
          <w:color w:val="auto"/>
        </w:rPr>
        <w:t>ORPORATION</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2021 E</w:t>
      </w:r>
      <w:r>
        <w:rPr>
          <w:rFonts w:ascii="Times New Roman" w:cs="Times New Roman" w:eastAsia="Times New Roman" w:hAnsi="Times New Roman"/>
          <w:sz w:val="24"/>
          <w:szCs w:val="24"/>
          <w:b w:val="1"/>
          <w:bCs w:val="1"/>
          <w:color w:val="auto"/>
        </w:rPr>
        <w:t>QUITY</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24"/>
          <w:szCs w:val="24"/>
          <w:b w:val="1"/>
          <w:bCs w:val="1"/>
          <w:color w:val="auto"/>
        </w:rPr>
        <w:t>NCENTIVE</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4"/>
          <w:szCs w:val="24"/>
          <w:b w:val="1"/>
          <w:bCs w:val="1"/>
          <w:color w:val="auto"/>
        </w:rPr>
        <w:t>LAN</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N</w:t>
      </w:r>
      <w:r>
        <w:rPr>
          <w:rFonts w:ascii="Times New Roman" w:cs="Times New Roman" w:eastAsia="Times New Roman" w:hAnsi="Times New Roman"/>
          <w:sz w:val="24"/>
          <w:szCs w:val="24"/>
          <w:b w:val="1"/>
          <w:bCs w:val="1"/>
          <w:color w:val="auto"/>
        </w:rPr>
        <w:t>OTICE OF</w:t>
      </w:r>
      <w:r>
        <w:rPr>
          <w:rFonts w:ascii="Times New Roman" w:cs="Times New Roman" w:eastAsia="Times New Roman" w:hAnsi="Times New Roman"/>
          <w:sz w:val="29"/>
          <w:szCs w:val="29"/>
          <w:b w:val="1"/>
          <w:bCs w:val="1"/>
          <w:color w:val="auto"/>
        </w:rPr>
        <w:t xml:space="preserve"> S</w:t>
      </w:r>
      <w:r>
        <w:rPr>
          <w:rFonts w:ascii="Times New Roman" w:cs="Times New Roman" w:eastAsia="Times New Roman" w:hAnsi="Times New Roman"/>
          <w:sz w:val="24"/>
          <w:szCs w:val="24"/>
          <w:b w:val="1"/>
          <w:bCs w:val="1"/>
          <w:color w:val="auto"/>
        </w:rPr>
        <w:t>TOCK</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4"/>
          <w:szCs w:val="24"/>
          <w:b w:val="1"/>
          <w:bCs w:val="1"/>
          <w:color w:val="auto"/>
        </w:rPr>
        <w:t>PTION</w:t>
      </w:r>
      <w:r>
        <w:rPr>
          <w:rFonts w:ascii="Times New Roman" w:cs="Times New Roman" w:eastAsia="Times New Roman" w:hAnsi="Times New Roman"/>
          <w:sz w:val="29"/>
          <w:szCs w:val="29"/>
          <w:b w:val="1"/>
          <w:bCs w:val="1"/>
          <w:color w:val="auto"/>
        </w:rPr>
        <w:t xml:space="preserve"> G</w:t>
      </w:r>
      <w:r>
        <w:rPr>
          <w:rFonts w:ascii="Times New Roman" w:cs="Times New Roman" w:eastAsia="Times New Roman" w:hAnsi="Times New Roman"/>
          <w:sz w:val="24"/>
          <w:szCs w:val="24"/>
          <w:b w:val="1"/>
          <w:bCs w:val="1"/>
          <w:color w:val="auto"/>
        </w:rPr>
        <w:t>RANT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have been granted the following option to purchase shares of the common stock of Flywire Corporation (the “Company”):</w:t>
      </w:r>
    </w:p>
    <w:p>
      <w:pPr>
        <w:sectPr>
          <w:pgSz w:w="11900" w:h="16838" w:orient="portrait"/>
          <w:cols w:equalWidth="0" w:num="1">
            <w:col w:w="11200"/>
          </w:cols>
          <w:pgMar w:left="320" w:top="344" w:right="379" w:bottom="1440" w:gutter="0" w:footer="0" w:header="0"/>
        </w:sectPr>
      </w:pPr>
    </w:p>
    <w:p>
      <w:pPr>
        <w:spacing w:after="0" w:line="2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7"/>
          <w:szCs w:val="17"/>
          <w:color w:val="auto"/>
        </w:rPr>
        <w:t>«Name»</w:t>
      </w:r>
    </w:p>
    <w:p>
      <w:pPr>
        <w:spacing w:after="0" w:line="128" w:lineRule="exact"/>
        <w:rPr>
          <w:sz w:val="20"/>
          <w:szCs w:val="20"/>
          <w:color w:val="auto"/>
        </w:rPr>
      </w:pPr>
    </w:p>
    <w:p>
      <w:pPr>
        <w:sectPr>
          <w:pgSz w:w="11900" w:h="16838" w:orient="portrait"/>
          <w:cols w:equalWidth="0" w:num="2">
            <w:col w:w="5480" w:space="720"/>
            <w:col w:w="5000"/>
          </w:cols>
          <w:pgMar w:left="320" w:top="344" w:right="3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jc w:val="center"/>
        <w:ind w:right="3980"/>
        <w:spacing w:after="0"/>
        <w:rPr>
          <w:sz w:val="20"/>
          <w:szCs w:val="20"/>
          <w:color w:val="auto"/>
        </w:rPr>
      </w:pPr>
      <w:r>
        <w:rPr>
          <w:rFonts w:ascii="Times New Roman" w:cs="Times New Roman" w:eastAsia="Times New Roman" w:hAnsi="Times New Roman"/>
          <w:sz w:val="17"/>
          <w:szCs w:val="17"/>
          <w:color w:val="auto"/>
        </w:rPr>
        <w:t>«TotalShares»</w:t>
      </w:r>
    </w:p>
    <w:p>
      <w:pPr>
        <w:spacing w:after="0" w:line="128" w:lineRule="exact"/>
        <w:rPr>
          <w:sz w:val="20"/>
          <w:szCs w:val="20"/>
          <w:color w:val="auto"/>
        </w:rPr>
      </w:pPr>
    </w:p>
    <w:p>
      <w:pPr>
        <w:sectPr>
          <w:pgSz w:w="11900" w:h="16838" w:orient="portrait"/>
          <w:cols w:equalWidth="0" w:num="2">
            <w:col w:w="5480" w:space="720"/>
            <w:col w:w="5000"/>
          </w:cols>
          <w:pgMar w:left="320" w:top="344" w:right="3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«ISO» Incentive Stock Option</w:t>
      </w:r>
    </w:p>
    <w:p>
      <w:pPr>
        <w:spacing w:after="0" w:line="128" w:lineRule="exact"/>
        <w:rPr>
          <w:sz w:val="20"/>
          <w:szCs w:val="20"/>
          <w:color w:val="auto"/>
        </w:rPr>
      </w:pPr>
    </w:p>
    <w:p>
      <w:pPr>
        <w:sectPr>
          <w:pgSz w:w="11900" w:h="16838" w:orient="portrait"/>
          <w:cols w:equalWidth="0" w:num="2">
            <w:col w:w="5480" w:space="720"/>
            <w:col w:w="5000"/>
          </w:cols>
          <w:pgMar w:left="320" w:top="344" w:right="379" w:bottom="1440" w:gutter="0" w:footer="0" w:header="0"/>
          <w:type w:val="continuous"/>
        </w:sectPr>
      </w:pPr>
    </w:p>
    <w:p>
      <w:pPr>
        <w:ind w:left="6200"/>
        <w:spacing w:after="0"/>
        <w:rPr>
          <w:sz w:val="20"/>
          <w:szCs w:val="20"/>
          <w:color w:val="auto"/>
        </w:rPr>
      </w:pPr>
      <w:r>
        <w:rPr>
          <w:rFonts w:ascii="Times New Roman" w:cs="Times New Roman" w:eastAsia="Times New Roman" w:hAnsi="Times New Roman"/>
          <w:sz w:val="17"/>
          <w:szCs w:val="17"/>
          <w:color w:val="auto"/>
        </w:rPr>
        <w:t>«NSO» Nonstatutory Stock Option</w:t>
      </w:r>
    </w:p>
    <w:p>
      <w:pPr>
        <w:sectPr>
          <w:pgSz w:w="11900" w:h="16838" w:orient="portrait"/>
          <w:cols w:equalWidth="0" w:num="1">
            <w:col w:w="11200"/>
          </w:cols>
          <w:pgMar w:left="320" w:top="344" w:right="379" w:bottom="1440" w:gutter="0" w:footer="0" w:header="0"/>
          <w:type w:val="continuous"/>
        </w:sectPr>
      </w:pPr>
    </w:p>
    <w:p>
      <w:pPr>
        <w:spacing w:after="0" w:line="1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7"/>
          <w:szCs w:val="17"/>
          <w:color w:val="auto"/>
        </w:rPr>
        <w:t>$«PricePerShare»</w:t>
      </w:r>
    </w:p>
    <w:p>
      <w:pPr>
        <w:spacing w:after="0" w:line="128" w:lineRule="exact"/>
        <w:rPr>
          <w:sz w:val="20"/>
          <w:szCs w:val="20"/>
          <w:color w:val="auto"/>
        </w:rPr>
      </w:pPr>
    </w:p>
    <w:p>
      <w:pPr>
        <w:sectPr>
          <w:pgSz w:w="11900" w:h="16838" w:orient="portrait"/>
          <w:cols w:equalWidth="0" w:num="2">
            <w:col w:w="5480" w:space="720"/>
            <w:col w:w="5000"/>
          </w:cols>
          <w:pgMar w:left="320" w:top="344" w:right="3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Times New Roman" w:cs="Times New Roman" w:eastAsia="Times New Roman" w:hAnsi="Times New Roman"/>
          <w:sz w:val="17"/>
          <w:szCs w:val="17"/>
          <w:color w:val="auto"/>
        </w:rPr>
        <w:t>«DateGrant»</w:t>
      </w:r>
    </w:p>
    <w:p>
      <w:pPr>
        <w:spacing w:after="0" w:line="128" w:lineRule="exact"/>
        <w:rPr>
          <w:sz w:val="20"/>
          <w:szCs w:val="20"/>
          <w:color w:val="auto"/>
        </w:rPr>
      </w:pPr>
    </w:p>
    <w:p>
      <w:pPr>
        <w:sectPr>
          <w:pgSz w:w="11900" w:h="16838" w:orient="portrait"/>
          <w:cols w:equalWidth="0" w:num="2">
            <w:col w:w="5480" w:space="720"/>
            <w:col w:w="5000"/>
          </w:cols>
          <w:pgMar w:left="320" w:top="344" w:right="3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«VestDay»</w:t>
      </w:r>
    </w:p>
    <w:p>
      <w:pPr>
        <w:spacing w:after="0" w:line="128" w:lineRule="exact"/>
        <w:rPr>
          <w:sz w:val="20"/>
          <w:szCs w:val="20"/>
          <w:color w:val="auto"/>
        </w:rPr>
      </w:pPr>
    </w:p>
    <w:p>
      <w:pPr>
        <w:sectPr>
          <w:pgSz w:w="11900" w:h="16838" w:orient="portrait"/>
          <w:cols w:equalWidth="0" w:num="2">
            <w:col w:w="5480" w:space="720"/>
            <w:col w:w="5000"/>
          </w:cols>
          <w:pgMar w:left="320" w:top="344" w:right="3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This option shall vest and become exercisable with respect to the first «CliffPercent» of the shares subject to this option when you complete «CliffPeriod» months of continuous service as an [Employee or Consultant][Outside Director] (“Service”) after the Vesting Commencement Date. This option shall vest and become exercisable with respect to an additional «IncrementalPercent» of the shares subject to this option when you complete each additional month of continuous Service thereafter.</w:t>
      </w:r>
    </w:p>
    <w:p>
      <w:pPr>
        <w:spacing w:after="0" w:line="81" w:lineRule="exact"/>
        <w:rPr>
          <w:sz w:val="20"/>
          <w:szCs w:val="20"/>
          <w:color w:val="auto"/>
        </w:rPr>
      </w:pPr>
    </w:p>
    <w:p>
      <w:pPr>
        <w:sectPr>
          <w:pgSz w:w="11900" w:h="16838" w:orient="portrait"/>
          <w:cols w:equalWidth="0" w:num="2">
            <w:col w:w="5480" w:space="720"/>
            <w:col w:w="5000"/>
          </w:cols>
          <w:pgMar w:left="320" w:top="344" w:right="3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ind w:right="80"/>
        <w:spacing w:after="0" w:line="260" w:lineRule="auto"/>
        <w:rPr>
          <w:sz w:val="20"/>
          <w:szCs w:val="20"/>
          <w:color w:val="auto"/>
        </w:rPr>
      </w:pPr>
      <w:r>
        <w:rPr>
          <w:rFonts w:ascii="Times New Roman" w:cs="Times New Roman" w:eastAsia="Times New Roman" w:hAnsi="Times New Roman"/>
          <w:sz w:val="18"/>
          <w:szCs w:val="18"/>
          <w:color w:val="auto"/>
        </w:rPr>
        <w:t>«ExpDate». This option expires earlier if your Service terminates earlier, as described in the Stock Option Agreement, and may terminate earlier in connection with certain corporate transactions as described in Article 9 of the Plan.</w:t>
      </w:r>
    </w:p>
    <w:p>
      <w:pPr>
        <w:spacing w:after="0" w:line="182" w:lineRule="exact"/>
        <w:rPr>
          <w:sz w:val="20"/>
          <w:szCs w:val="20"/>
          <w:color w:val="auto"/>
        </w:rPr>
      </w:pPr>
    </w:p>
    <w:p>
      <w:pPr>
        <w:sectPr>
          <w:pgSz w:w="11900" w:h="16838" w:orient="portrait"/>
          <w:cols w:equalWidth="0" w:num="2">
            <w:col w:w="5480" w:space="720"/>
            <w:col w:w="5000"/>
          </w:cols>
          <w:pgMar w:left="320" w:top="344" w:right="379" w:bottom="1440" w:gutter="0" w:footer="0" w:header="0"/>
          <w:type w:val="continuous"/>
        </w:sect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You and the Company agree that this option is granted under and governed by the terms and conditions of the Company’s 2021 Equity Incentive Plan (the “Plan”) and the Stock Option Agreement, both of which are attached to, and made a part of, this document. Capitalized terms not otherwise defined herein shall have the meanings assigned to such terms in the Plan.</w:t>
      </w:r>
    </w:p>
    <w:p>
      <w:pPr>
        <w:spacing w:after="0" w:line="1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options awarded under the Plan, future options that may be awarded under the Plan and all other documents that the Company is required to deliver to security holders (including annual reports and proxy statements) by email or other electronic means (including by posting them on a website maintained by the Company or a third party under contract with the Company). You hereby consent to receive such documents by electronic delivery and agree to participate in the Plan through any on-line or electronic system established and maintained by the Company or another third party designated by the Company. You acknowledge that you may incur costs in connection with any such delivery by means of electronic transmission, including the cost of accessing the Internet and printing fees, and that an interruption of Internet access may interfere with your ability to access the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further agree to comply with the Company’s </w:t>
      </w:r>
      <w:r>
        <w:rPr>
          <w:rFonts w:ascii="Times New Roman" w:cs="Times New Roman" w:eastAsia="Times New Roman" w:hAnsi="Times New Roman"/>
          <w:sz w:val="18"/>
          <w:szCs w:val="18"/>
          <w:i w:val="1"/>
          <w:iCs w:val="1"/>
          <w:color w:val="auto"/>
        </w:rPr>
        <w:t>Insider Trading Policy</w:t>
      </w:r>
      <w:r>
        <w:rPr>
          <w:rFonts w:ascii="Times New Roman" w:cs="Times New Roman" w:eastAsia="Times New Roman" w:hAnsi="Times New Roman"/>
          <w:sz w:val="18"/>
          <w:szCs w:val="18"/>
          <w:color w:val="auto"/>
        </w:rPr>
        <w:t xml:space="preserve"> when selling shares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4" w:right="379" w:bottom="1440" w:gutter="0" w:footer="0" w:header="0"/>
          <w:type w:val="continuous"/>
        </w:sectPr>
      </w:pPr>
    </w:p>
    <w:bookmarkStart w:id="165" w:name="page166"/>
    <w:bookmarkEnd w:id="165"/>
    <w:tbl>
      <w:tblPr>
        <w:tblLayout w:type="fixed"/>
        <w:tblInd w:w="0" w:type="dxa"/>
        <w:tblCellMar>
          <w:top w:w="0" w:type="dxa"/>
          <w:left w:w="0" w:type="dxa"/>
          <w:bottom w:w="0" w:type="dxa"/>
          <w:right w:w="0" w:type="dxa"/>
        </w:tblCellMar>
      </w:tblPr>
      <w:tr>
        <w:trPr>
          <w:trHeight w:val="337"/>
        </w:trPr>
        <w:tc>
          <w:tcPr>
            <w:tcW w:w="2020" w:type="dxa"/>
            <w:vAlign w:val="bottom"/>
          </w:tcPr>
          <w:p>
            <w:pPr>
              <w:spacing w:after="0"/>
              <w:rPr>
                <w:sz w:val="24"/>
                <w:szCs w:val="24"/>
                <w:color w:val="auto"/>
              </w:rPr>
            </w:pPr>
          </w:p>
        </w:tc>
        <w:tc>
          <w:tcPr>
            <w:tcW w:w="9220" w:type="dxa"/>
            <w:vAlign w:val="bottom"/>
          </w:tcPr>
          <w:p>
            <w:pPr>
              <w:jc w:val="center"/>
              <w:ind w:right="1986"/>
              <w:spacing w:after="0"/>
              <w:rPr>
                <w:sz w:val="20"/>
                <w:szCs w:val="20"/>
                <w:color w:val="auto"/>
              </w:rPr>
            </w:pPr>
            <w:r>
              <w:rPr>
                <w:rFonts w:ascii="Times New Roman" w:cs="Times New Roman" w:eastAsia="Times New Roman" w:hAnsi="Times New Roman"/>
                <w:sz w:val="29"/>
                <w:szCs w:val="29"/>
                <w:b w:val="1"/>
                <w:bCs w:val="1"/>
                <w:color w:val="auto"/>
                <w:w w:val="99"/>
              </w:rPr>
              <w:t>F</w:t>
            </w:r>
            <w:r>
              <w:rPr>
                <w:rFonts w:ascii="Times New Roman" w:cs="Times New Roman" w:eastAsia="Times New Roman" w:hAnsi="Times New Roman"/>
                <w:sz w:val="24"/>
                <w:szCs w:val="24"/>
                <w:b w:val="1"/>
                <w:bCs w:val="1"/>
                <w:color w:val="auto"/>
                <w:w w:val="99"/>
              </w:rPr>
              <w:t>LYWIRE</w:t>
            </w:r>
            <w:r>
              <w:rPr>
                <w:rFonts w:ascii="Times New Roman" w:cs="Times New Roman" w:eastAsia="Times New Roman" w:hAnsi="Times New Roman"/>
                <w:sz w:val="29"/>
                <w:szCs w:val="29"/>
                <w:b w:val="1"/>
                <w:bCs w:val="1"/>
                <w:color w:val="auto"/>
                <w:w w:val="99"/>
              </w:rPr>
              <w:t xml:space="preserve"> C</w:t>
            </w:r>
            <w:r>
              <w:rPr>
                <w:rFonts w:ascii="Times New Roman" w:cs="Times New Roman" w:eastAsia="Times New Roman" w:hAnsi="Times New Roman"/>
                <w:sz w:val="24"/>
                <w:szCs w:val="24"/>
                <w:b w:val="1"/>
                <w:bCs w:val="1"/>
                <w:color w:val="auto"/>
                <w:w w:val="99"/>
              </w:rPr>
              <w:t>ORPORATION</w:t>
            </w:r>
          </w:p>
        </w:tc>
      </w:tr>
      <w:tr>
        <w:trPr>
          <w:trHeight w:val="337"/>
        </w:trPr>
        <w:tc>
          <w:tcPr>
            <w:tcW w:w="2020" w:type="dxa"/>
            <w:vAlign w:val="bottom"/>
          </w:tcPr>
          <w:p>
            <w:pPr>
              <w:spacing w:after="0"/>
              <w:rPr>
                <w:sz w:val="24"/>
                <w:szCs w:val="24"/>
                <w:color w:val="auto"/>
              </w:rPr>
            </w:pPr>
          </w:p>
        </w:tc>
        <w:tc>
          <w:tcPr>
            <w:tcW w:w="9220" w:type="dxa"/>
            <w:vAlign w:val="bottom"/>
          </w:tcPr>
          <w:p>
            <w:pPr>
              <w:jc w:val="center"/>
              <w:ind w:right="1986"/>
              <w:spacing w:after="0"/>
              <w:rPr>
                <w:sz w:val="20"/>
                <w:szCs w:val="20"/>
                <w:color w:val="auto"/>
              </w:rPr>
            </w:pPr>
            <w:r>
              <w:rPr>
                <w:rFonts w:ascii="Times New Roman" w:cs="Times New Roman" w:eastAsia="Times New Roman" w:hAnsi="Times New Roman"/>
                <w:sz w:val="29"/>
                <w:szCs w:val="29"/>
                <w:b w:val="1"/>
                <w:bCs w:val="1"/>
                <w:color w:val="auto"/>
              </w:rPr>
              <w:t>2021 E</w:t>
            </w:r>
            <w:r>
              <w:rPr>
                <w:rFonts w:ascii="Times New Roman" w:cs="Times New Roman" w:eastAsia="Times New Roman" w:hAnsi="Times New Roman"/>
                <w:sz w:val="24"/>
                <w:szCs w:val="24"/>
                <w:b w:val="1"/>
                <w:bCs w:val="1"/>
                <w:color w:val="auto"/>
              </w:rPr>
              <w:t>QUITY</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24"/>
                <w:szCs w:val="24"/>
                <w:b w:val="1"/>
                <w:bCs w:val="1"/>
                <w:color w:val="auto"/>
              </w:rPr>
              <w:t>NCENTIVE</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4"/>
                <w:szCs w:val="24"/>
                <w:b w:val="1"/>
                <w:bCs w:val="1"/>
                <w:color w:val="auto"/>
              </w:rPr>
              <w:t>LAN</w:t>
            </w:r>
          </w:p>
        </w:tc>
      </w:tr>
      <w:tr>
        <w:trPr>
          <w:trHeight w:val="382"/>
        </w:trPr>
        <w:tc>
          <w:tcPr>
            <w:tcW w:w="2020" w:type="dxa"/>
            <w:vAlign w:val="bottom"/>
          </w:tcPr>
          <w:p>
            <w:pPr>
              <w:spacing w:after="0"/>
              <w:rPr>
                <w:sz w:val="24"/>
                <w:szCs w:val="24"/>
                <w:color w:val="auto"/>
              </w:rPr>
            </w:pPr>
          </w:p>
        </w:tc>
        <w:tc>
          <w:tcPr>
            <w:tcW w:w="9220" w:type="dxa"/>
            <w:vAlign w:val="bottom"/>
          </w:tcPr>
          <w:p>
            <w:pPr>
              <w:jc w:val="center"/>
              <w:ind w:right="1986"/>
              <w:spacing w:after="0"/>
              <w:rPr>
                <w:sz w:val="20"/>
                <w:szCs w:val="20"/>
                <w:color w:val="auto"/>
              </w:rPr>
            </w:pPr>
            <w:r>
              <w:rPr>
                <w:rFonts w:ascii="Times New Roman" w:cs="Times New Roman" w:eastAsia="Times New Roman" w:hAnsi="Times New Roman"/>
                <w:sz w:val="29"/>
                <w:szCs w:val="29"/>
                <w:b w:val="1"/>
                <w:bCs w:val="1"/>
                <w:color w:val="auto"/>
              </w:rPr>
              <w:t>S</w:t>
            </w:r>
            <w:r>
              <w:rPr>
                <w:rFonts w:ascii="Times New Roman" w:cs="Times New Roman" w:eastAsia="Times New Roman" w:hAnsi="Times New Roman"/>
                <w:sz w:val="24"/>
                <w:szCs w:val="24"/>
                <w:b w:val="1"/>
                <w:bCs w:val="1"/>
                <w:color w:val="auto"/>
              </w:rPr>
              <w:t>TOCK</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4"/>
                <w:szCs w:val="24"/>
                <w:b w:val="1"/>
                <w:bCs w:val="1"/>
                <w:color w:val="auto"/>
              </w:rPr>
              <w:t>PTION</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24"/>
                <w:szCs w:val="24"/>
                <w:b w:val="1"/>
                <w:bCs w:val="1"/>
                <w:color w:val="auto"/>
              </w:rPr>
              <w:t>GREEMENT</w:t>
            </w:r>
          </w:p>
        </w:tc>
      </w:tr>
      <w:tr>
        <w:trPr>
          <w:trHeight w:val="7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 of Option</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Subject to all of the terms and conditions set forth in the Notice of Stock Option Grant (the “Grant Notice”), this Stock</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 Agreement (the “Agreement”) and the Plan, the Company has granted you an option to purchase up to the total</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number of shares specified in the Grant Notice at the exercise price indicated in the Grant Notice.</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capitalized terms used in this Agreement shall have the meanings assigned to them in this Agreement, the Grant Notice</w:t>
            </w:r>
          </w:p>
        </w:tc>
      </w:tr>
      <w:tr>
        <w:trPr>
          <w:trHeight w:val="234"/>
        </w:trPr>
        <w:tc>
          <w:tcPr>
            <w:tcW w:w="2020" w:type="dxa"/>
            <w:vAlign w:val="bottom"/>
          </w:tcPr>
          <w:p>
            <w:pPr>
              <w:spacing w:after="0"/>
              <w:rPr>
                <w:sz w:val="20"/>
                <w:szCs w:val="20"/>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 the Plan.</w:t>
            </w:r>
          </w:p>
        </w:tc>
      </w:tr>
      <w:tr>
        <w:trPr>
          <w:trHeight w:val="31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Treatment</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This option is intended to be an incentive stock option under Section 422 of the Code or a nonstatutory stock option, as</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provided in the Grant Notice. However, even if this option is designated as an incentive stock option in the Grant Notice, it</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shall be deemed to be a nonstatutory stock option to the extent it does not qualify as an incentive stock option under federal</w:t>
            </w:r>
          </w:p>
        </w:tc>
      </w:tr>
      <w:tr>
        <w:trPr>
          <w:trHeight w:val="234"/>
        </w:trPr>
        <w:tc>
          <w:tcPr>
            <w:tcW w:w="2020" w:type="dxa"/>
            <w:vAlign w:val="bottom"/>
          </w:tcPr>
          <w:p>
            <w:pPr>
              <w:spacing w:after="0"/>
              <w:rPr>
                <w:sz w:val="20"/>
                <w:szCs w:val="20"/>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law, including under the $100,000 annual limitation under Section 422(d) of the Code.</w:t>
            </w:r>
          </w:p>
        </w:tc>
      </w:tr>
      <w:tr>
        <w:trPr>
          <w:trHeight w:val="30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This option vests and becomes exercisable in accordance with the vesting schedule set forth in the Grant Notice.</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no event will this option vest or become exercisable for additional shares after your Service has terminated for any reason</w:t>
            </w:r>
          </w:p>
        </w:tc>
      </w:tr>
      <w:tr>
        <w:trPr>
          <w:trHeight w:val="234"/>
        </w:trPr>
        <w:tc>
          <w:tcPr>
            <w:tcW w:w="2020" w:type="dxa"/>
            <w:vAlign w:val="bottom"/>
          </w:tcPr>
          <w:p>
            <w:pPr>
              <w:spacing w:after="0"/>
              <w:rPr>
                <w:sz w:val="20"/>
                <w:szCs w:val="20"/>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unless expressly provided in a written agreement between you and the Company.</w:t>
            </w:r>
          </w:p>
        </w:tc>
      </w:tr>
      <w:tr>
        <w:trPr>
          <w:trHeight w:val="31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of Option</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This option expires in any event at the close of business at Company headquarters on the day before the 10th anniversary of</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Date of Grant, as shown in the Grant Notice. (This option will expire earlier if your Service terminates earlier, as</w:t>
            </w:r>
          </w:p>
        </w:tc>
      </w:tr>
      <w:tr>
        <w:trPr>
          <w:trHeight w:val="234"/>
        </w:trPr>
        <w:tc>
          <w:tcPr>
            <w:tcW w:w="2020" w:type="dxa"/>
            <w:vAlign w:val="bottom"/>
          </w:tcPr>
          <w:p>
            <w:pPr>
              <w:spacing w:after="0"/>
              <w:rPr>
                <w:sz w:val="20"/>
                <w:szCs w:val="20"/>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described below, and this option may be terminated earlier as provided in Article 9 of the Plan.)</w:t>
            </w:r>
          </w:p>
        </w:tc>
      </w:tr>
      <w:tr>
        <w:trPr>
          <w:trHeight w:val="30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Termination of Service</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your Service terminates for any reason, this option will expire to the extent it is unvested as of your termination date and</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does not vest as a result of your termination of Service. The Company determines whether and when your Service</w:t>
            </w:r>
          </w:p>
        </w:tc>
      </w:tr>
      <w:tr>
        <w:trPr>
          <w:trHeight w:val="234"/>
        </w:trPr>
        <w:tc>
          <w:tcPr>
            <w:tcW w:w="2020" w:type="dxa"/>
            <w:vAlign w:val="bottom"/>
          </w:tcPr>
          <w:p>
            <w:pPr>
              <w:spacing w:after="0"/>
              <w:rPr>
                <w:sz w:val="20"/>
                <w:szCs w:val="20"/>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terminates for all purposes of this option.</w:t>
            </w:r>
          </w:p>
        </w:tc>
      </w:tr>
      <w:tr>
        <w:trPr>
          <w:trHeight w:val="30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Regular Termination</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If your Service terminates for any reason except death or total and permanent disability, then this option, to the extent vested</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of your termination date, will expire at the close of business at Company headquarters on the date three months after your</w:t>
            </w:r>
          </w:p>
        </w:tc>
      </w:tr>
      <w:tr>
        <w:trPr>
          <w:trHeight w:val="234"/>
        </w:trPr>
        <w:tc>
          <w:tcPr>
            <w:tcW w:w="2020" w:type="dxa"/>
            <w:vAlign w:val="bottom"/>
          </w:tcPr>
          <w:p>
            <w:pPr>
              <w:spacing w:after="0"/>
              <w:rPr>
                <w:sz w:val="20"/>
                <w:szCs w:val="20"/>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date.</w:t>
            </w:r>
          </w:p>
        </w:tc>
      </w:tr>
      <w:tr>
        <w:trPr>
          <w:trHeight w:val="62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Death</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your Service terminates as a result of your death, then this option, to the extent vested as of the date of your death, will</w:t>
            </w:r>
          </w:p>
        </w:tc>
      </w:tr>
      <w:tr>
        <w:trPr>
          <w:trHeight w:val="234"/>
        </w:trPr>
        <w:tc>
          <w:tcPr>
            <w:tcW w:w="2020" w:type="dxa"/>
            <w:vAlign w:val="bottom"/>
          </w:tcPr>
          <w:p>
            <w:pPr>
              <w:spacing w:after="0"/>
              <w:rPr>
                <w:sz w:val="20"/>
                <w:szCs w:val="20"/>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expire at the close of business at Company headquarters on the date twelve months after the date of death.</w:t>
            </w:r>
          </w:p>
        </w:tc>
      </w:tr>
      <w:tr>
        <w:trPr>
          <w:trHeight w:val="30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Disability</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your Service terminates because of your total and permanent disability, then this option, to the extent vested as of your</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date, will expire at the close of business at Company headquarters on the date six months after your termination</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date.</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all purposes under this Agreement, “total and permanent disability” means that you are unable to engage in any</w:t>
            </w:r>
          </w:p>
        </w:tc>
      </w:tr>
      <w:tr>
        <w:trPr>
          <w:trHeight w:val="216"/>
        </w:trPr>
        <w:tc>
          <w:tcPr>
            <w:tcW w:w="2020" w:type="dxa"/>
            <w:vAlign w:val="bottom"/>
          </w:tcPr>
          <w:p>
            <w:pPr>
              <w:spacing w:after="0"/>
              <w:rPr>
                <w:sz w:val="18"/>
                <w:szCs w:val="18"/>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substantial gainful activity by reason of any medically determinable physical or mental impairment which can be expected</w:t>
            </w:r>
          </w:p>
        </w:tc>
      </w:tr>
      <w:tr>
        <w:trPr>
          <w:trHeight w:val="234"/>
        </w:trPr>
        <w:tc>
          <w:tcPr>
            <w:tcW w:w="2020" w:type="dxa"/>
            <w:vAlign w:val="bottom"/>
          </w:tcPr>
          <w:p>
            <w:pPr>
              <w:spacing w:after="0"/>
              <w:rPr>
                <w:sz w:val="20"/>
                <w:szCs w:val="20"/>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result in death or which has lasted, or can be expected to last, for a continuous period of not less than one year.</w:t>
            </w:r>
          </w:p>
        </w:tc>
      </w:tr>
      <w:tr>
        <w:trPr>
          <w:trHeight w:val="31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Leaves of Absence and</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For purposes of this option, your Service does not terminate when you go on a military leave, a sick leave or another </w:t>
            </w:r>
            <w:r>
              <w:rPr>
                <w:rFonts w:ascii="Times New Roman" w:cs="Times New Roman" w:eastAsia="Times New Roman" w:hAnsi="Times New Roman"/>
                <w:sz w:val="18"/>
                <w:szCs w:val="18"/>
                <w:i w:val="1"/>
                <w:iCs w:val="1"/>
                <w:color w:val="auto"/>
              </w:rPr>
              <w:t>bona</w:t>
            </w:r>
          </w:p>
        </w:tc>
      </w:tr>
      <w:tr>
        <w:trPr>
          <w:trHeight w:val="220"/>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Part-Time Work</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leave of absence, if the leave was approved by the Company in writing, and if continued crediting of Service is required</w:t>
            </w:r>
          </w:p>
        </w:tc>
      </w:tr>
      <w:tr>
        <w:trPr>
          <w:trHeight w:val="234"/>
        </w:trPr>
        <w:tc>
          <w:tcPr>
            <w:tcW w:w="2020" w:type="dxa"/>
            <w:vAlign w:val="bottom"/>
          </w:tcPr>
          <w:p>
            <w:pPr>
              <w:spacing w:after="0"/>
              <w:rPr>
                <w:sz w:val="20"/>
                <w:szCs w:val="20"/>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 applicable law, the</w:t>
            </w:r>
          </w:p>
        </w:tc>
      </w:tr>
      <w:tr>
        <w:trPr>
          <w:trHeight w:val="357"/>
        </w:trPr>
        <w:tc>
          <w:tcPr>
            <w:tcW w:w="2020" w:type="dxa"/>
            <w:vAlign w:val="bottom"/>
            <w:tcBorders>
              <w:bottom w:val="single" w:sz="8" w:color="9A9A9A"/>
            </w:tcBorders>
          </w:tcPr>
          <w:p>
            <w:pPr>
              <w:spacing w:after="0"/>
              <w:rPr>
                <w:sz w:val="24"/>
                <w:szCs w:val="24"/>
                <w:color w:val="auto"/>
              </w:rPr>
            </w:pPr>
          </w:p>
        </w:tc>
        <w:tc>
          <w:tcPr>
            <w:tcW w:w="9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Company’s leave of absence policy or the terms of your leave. However, your Service terminates when the approved leave</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ends, unless you immediately return to active work.</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If you go on a leave of absence, or if you commence working on a part-time basis, the Company may adjust the vesting</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schedule in accordance with the Company’s leave of absence policy or the terms of your leave or so that the rate of vesting</w:t>
            </w:r>
          </w:p>
        </w:tc>
      </w:tr>
      <w:tr>
        <w:trPr>
          <w:trHeight w:val="234"/>
        </w:trPr>
        <w:tc>
          <w:tcPr>
            <w:tcW w:w="2040" w:type="dxa"/>
            <w:vAlign w:val="bottom"/>
          </w:tcPr>
          <w:p>
            <w:pPr>
              <w:spacing w:after="0"/>
              <w:rPr>
                <w:sz w:val="20"/>
                <w:szCs w:val="20"/>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 commensurate with your reduced work schedule, as applicable.</w:t>
            </w:r>
          </w:p>
        </w:tc>
      </w:tr>
      <w:tr>
        <w:trPr>
          <w:trHeight w:val="319"/>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Restrictions on Exercise</w:t>
            </w: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Company will not permit you to exercise this option if the issuance of shares at that time would violate any law or</w:t>
            </w:r>
          </w:p>
        </w:tc>
      </w:tr>
      <w:tr>
        <w:trPr>
          <w:trHeight w:val="234"/>
        </w:trPr>
        <w:tc>
          <w:tcPr>
            <w:tcW w:w="2040" w:type="dxa"/>
            <w:vAlign w:val="bottom"/>
          </w:tcPr>
          <w:p>
            <w:pPr>
              <w:spacing w:after="0"/>
              <w:rPr>
                <w:sz w:val="20"/>
                <w:szCs w:val="20"/>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regulation.</w:t>
            </w:r>
          </w:p>
        </w:tc>
      </w:tr>
      <w:tr>
        <w:trPr>
          <w:trHeight w:val="305"/>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Notice of Exercise</w:t>
            </w: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When you wish to exercise this option, you must notify the Company by filing the proper “Notice of Exercise” form at the</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address given on the form or, if the Company has designated a third party to administer the Plan, you must notify such third</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party in the manner such third party requires. Your notice must specify how many shares you wish to purchase. The notice</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will be effective when the Company receives it.</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However, if you wish to exercise this option by executing a same-day sale (as described below), you must follow the</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instructions of the Company and the broker who will execute the sale.</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If someone else wants to exercise this option after your death, that person must prove to the Company’s satisfaction that he</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 she is entitled to do so.</w:t>
            </w:r>
          </w:p>
        </w:tc>
      </w:tr>
      <w:tr>
        <w:trPr>
          <w:trHeight w:val="234"/>
        </w:trPr>
        <w:tc>
          <w:tcPr>
            <w:tcW w:w="2040" w:type="dxa"/>
            <w:vAlign w:val="bottom"/>
          </w:tcPr>
          <w:p>
            <w:pPr>
              <w:spacing w:after="0"/>
              <w:rPr>
                <w:sz w:val="20"/>
                <w:szCs w:val="20"/>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You may only exercise your option for whole shares.</w:t>
            </w:r>
          </w:p>
        </w:tc>
      </w:tr>
      <w:tr>
        <w:trPr>
          <w:trHeight w:val="642"/>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of Payment</w:t>
            </w: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When you submit your notice of exercise, you must make arrangements for the payment of the option exercise price for the</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shares that you are purchasing. To the extent permitted by applicable law, payment may be made in one (or a combination of</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two or more) of the following forms:</w:t>
            </w:r>
          </w:p>
        </w:tc>
      </w:tr>
      <w:tr>
        <w:trPr>
          <w:trHeight w:val="216"/>
        </w:trPr>
        <w:tc>
          <w:tcPr>
            <w:tcW w:w="2040" w:type="dxa"/>
            <w:vAlign w:val="bottom"/>
          </w:tcPr>
          <w:p>
            <w:pPr>
              <w:spacing w:after="0"/>
              <w:rPr>
                <w:sz w:val="18"/>
                <w:szCs w:val="18"/>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79"/>
              </w:rPr>
              <w:t>• </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 By delivering to the Company your personal check, a cashier’s check or a money order, or arranging for a wire transfer.</w:t>
            </w:r>
          </w:p>
        </w:tc>
      </w:tr>
      <w:tr>
        <w:trPr>
          <w:trHeight w:val="216"/>
        </w:trPr>
        <w:tc>
          <w:tcPr>
            <w:tcW w:w="2040" w:type="dxa"/>
            <w:vAlign w:val="bottom"/>
          </w:tcPr>
          <w:p>
            <w:pPr>
              <w:spacing w:after="0"/>
              <w:rPr>
                <w:sz w:val="18"/>
                <w:szCs w:val="18"/>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79"/>
              </w:rPr>
              <w:t>• </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 By giving to a securities broker approved by the Company irrevocable directions to sell all or part of your option shares</w:t>
            </w:r>
          </w:p>
        </w:tc>
      </w:tr>
      <w:tr>
        <w:trPr>
          <w:trHeight w:val="216"/>
        </w:trPr>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to deliver to the Company, from the sale proceeds, an amount sufficient to pay the option exercise price and any</w:t>
            </w:r>
          </w:p>
        </w:tc>
      </w:tr>
      <w:tr>
        <w:trPr>
          <w:trHeight w:val="216"/>
        </w:trPr>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Tax-Related Items (as defined below). (The balance of the sale proceeds, if any, will be delivered to you.) The</w:t>
            </w:r>
          </w:p>
        </w:tc>
      </w:tr>
      <w:tr>
        <w:trPr>
          <w:trHeight w:val="216"/>
        </w:trPr>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directions must be given in accordance with the instructions of the Company and the broker. This exercise method is</w:t>
            </w:r>
          </w:p>
        </w:tc>
      </w:tr>
      <w:tr>
        <w:trPr>
          <w:trHeight w:val="234"/>
        </w:trPr>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sometimes called a “same-day sale.”</w:t>
            </w:r>
          </w:p>
        </w:tc>
      </w:tr>
      <w:tr>
        <w:trPr>
          <w:trHeight w:val="445"/>
        </w:trPr>
        <w:tc>
          <w:tcPr>
            <w:tcW w:w="2040" w:type="dxa"/>
            <w:vAlign w:val="bottom"/>
          </w:tcPr>
          <w:p>
            <w:pPr>
              <w:spacing w:after="0"/>
              <w:rPr>
                <w:sz w:val="24"/>
                <w:szCs w:val="24"/>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Company may permit other forms of payment in its discretion to the extent permitted by the Plan.</w:t>
            </w:r>
          </w:p>
        </w:tc>
      </w:tr>
      <w:tr>
        <w:trPr>
          <w:trHeight w:val="332"/>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Withholding Taxes</w:t>
            </w: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Regardless of any action the Company (or, if applicable, the Parent, Subsidiary or Affiliate employing or retaining you (the</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“Employer”)) takes with respect to any or all income tax, social insurance, payroll tax, payment on account or other tax-</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related items related to the participation in the Plan and legally applicable to you (“Tax-Related Items”), you acknowledge</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that the ultimate liability for all Tax-Related Items is and remains your responsibility and may exceed the amount actually</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withheld by the Company and/or the Employer. You further acknowledge that the Company and the Employer (1) make no</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representations or undertakings regarding the treatment of any Tax-Related Items in connection with any aspect of the</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options, including, but not limited to, the grant, vesting or exercise of the option, the issuance of shares upon exercise of the</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option, the subsequent sale of shares acquired pursuant to such exercise and the receipt of any dividends and/or any</w:t>
            </w:r>
          </w:p>
        </w:tc>
      </w:tr>
      <w:tr>
        <w:trPr>
          <w:trHeight w:val="216"/>
        </w:trPr>
        <w:tc>
          <w:tcPr>
            <w:tcW w:w="2040" w:type="dxa"/>
            <w:vAlign w:val="bottom"/>
          </w:tcPr>
          <w:p>
            <w:pPr>
              <w:spacing w:after="0"/>
              <w:rPr>
                <w:sz w:val="18"/>
                <w:szCs w:val="18"/>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dividend equivalents; and (2) do not commit to and are under no obligation to structure the terms of the option or any aspect</w:t>
            </w:r>
          </w:p>
        </w:tc>
      </w:tr>
      <w:tr>
        <w:trPr>
          <w:trHeight w:val="234"/>
        </w:trPr>
        <w:tc>
          <w:tcPr>
            <w:tcW w:w="2040" w:type="dxa"/>
            <w:vAlign w:val="bottom"/>
          </w:tcPr>
          <w:p>
            <w:pPr>
              <w:spacing w:after="0"/>
              <w:rPr>
                <w:sz w:val="20"/>
                <w:szCs w:val="20"/>
                <w:color w:val="auto"/>
              </w:rPr>
            </w:pPr>
          </w:p>
        </w:tc>
        <w:tc>
          <w:tcPr>
            <w:tcW w:w="9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 the option to reduce or eliminate your liability for Tax-Related Items or achieve any particular tax result. Further, if you</w:t>
            </w:r>
          </w:p>
        </w:tc>
      </w:tr>
    </w:tbl>
    <w:p>
      <w:pPr>
        <w:ind w:left="2240" w:right="20"/>
        <w:spacing w:after="0" w:line="250" w:lineRule="auto"/>
        <w:rPr>
          <w:sz w:val="20"/>
          <w:szCs w:val="20"/>
          <w:color w:val="auto"/>
        </w:rPr>
      </w:pPr>
      <w:r>
        <w:rPr>
          <w:rFonts w:ascii="Times New Roman" w:cs="Times New Roman" w:eastAsia="Times New Roman" w:hAnsi="Times New Roman"/>
          <w:sz w:val="18"/>
          <w:szCs w:val="18"/>
          <w:color w:val="auto"/>
        </w:rPr>
        <w:t>are subject to tax in more than one jurisdiction, you acknowledge that the Company and/or the Employer may be required to withhold or account for Tax-Related Items in more than one jurisdiction.</w:t>
      </w:r>
    </w:p>
    <w:p>
      <w:pPr>
        <w:ind w:left="2240" w:right="580"/>
        <w:spacing w:after="0" w:line="260" w:lineRule="auto"/>
        <w:rPr>
          <w:sz w:val="20"/>
          <w:szCs w:val="20"/>
          <w:color w:val="auto"/>
        </w:rPr>
      </w:pPr>
      <w:r>
        <w:rPr>
          <w:rFonts w:ascii="Times New Roman" w:cs="Times New Roman" w:eastAsia="Times New Roman" w:hAnsi="Times New Roman"/>
          <w:sz w:val="18"/>
          <w:szCs w:val="18"/>
          <w:color w:val="auto"/>
        </w:rPr>
        <w:t>You will not be allowed to exercise this option unless you make arrangements acceptable to the Company and/or the Employer to pay any Tax-Related Items that the Company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199390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4" w:right="35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Employer determine must be withheld. These arrangements include payment in cash or via the same-day sale procedure</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described above. With the Company’s</w:t>
            </w:r>
          </w:p>
        </w:tc>
      </w:tr>
      <w:tr>
        <w:trPr>
          <w:trHeight w:val="642"/>
        </w:trPr>
        <w:tc>
          <w:tcPr>
            <w:tcW w:w="2060" w:type="dxa"/>
            <w:vAlign w:val="bottom"/>
          </w:tcPr>
          <w:p>
            <w:pPr>
              <w:spacing w:after="0"/>
              <w:rPr>
                <w:sz w:val="24"/>
                <w:szCs w:val="24"/>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consent, these arrangements may also include (a) withholding shares of Company stock that otherwise would be issued to</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you when you exercise this option with a value equal to withholding taxes, (b) surrendering shares that you previously</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with a value equal to the withholding taxes, or (c) withholding cash from other compensation. The value of</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withheld or surrendered shares, determined as of the date when taxes otherwise would have been withheld in cash, will be</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applied to the Tax-Related Items.</w:t>
            </w:r>
          </w:p>
        </w:tc>
      </w:tr>
      <w:tr>
        <w:trPr>
          <w:trHeight w:val="305"/>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Restrictions on Resale</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You agree not to sell any option shares at a time when applicable laws, Company policies or an agreement between the</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and its underwriters prohibit a sale. This restriction will apply as long as your Service continues and for such</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 of time after the termination of your Service as the Company may specify.</w:t>
            </w:r>
          </w:p>
        </w:tc>
      </w:tr>
      <w:tr>
        <w:trPr>
          <w:trHeight w:val="305"/>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Transfer of Option</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Prior to your death, only you may exercise this option. You cannot transfer or assign this option. For instance, you may not</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 this option or use it as security for a loan. If you attempt to do any of these things, this option will immediately become</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invalid. You may, however, dispose of this option in your will or by means of a written beneficiary designation (if</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authorized by the Company and to the extent such beneficiary designation is valid under applicable law) which must be filed</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 the Company on the proper form; provided, however, that your beneficiary or a representative of your estate</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acknowledges and agrees in writing in a form reasonably acceptable to the Company, to be bound by the provisions of this</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Agreement and the Plan as if such beneficiary or representative of the estate were you.</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Regardless of any marital property settlement agreement, the Company is not obligated to honor a notice of exercise from</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your former spouse, nor is the Company obligated to recognize your former spouse’s interest in your option in any other</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way.</w:t>
            </w:r>
          </w:p>
        </w:tc>
      </w:tr>
      <w:tr>
        <w:trPr>
          <w:trHeight w:val="31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 Retention Rights</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You understand that neither this option nor this Agreement alters the at-will nature of your relationship with the Company.</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Your option or this Agreement does not give you the right to be retained by the Company, a Parent, Subsidiary, or an</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Affiliate in any capacity. The Company and its Parents, Subsidiaries, and Affiliates reserve the right to terminate your</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at any time, with or without cause.</w:t>
            </w:r>
          </w:p>
        </w:tc>
      </w:tr>
      <w:tr>
        <w:trPr>
          <w:trHeight w:val="305"/>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 Rights</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You, or your estate or heirs, have no rights as a stockholder of the Company until you have exercised this option by giving</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required notice to the Company, paying the exercise price, and satisfying any applicable Tax-Related Items. No</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 are made for dividends or other rights if the applicable record date occurs before you exercise this option,</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except as described in the Plan.</w:t>
            </w:r>
          </w:p>
        </w:tc>
      </w:tr>
      <w:tr>
        <w:trPr>
          <w:trHeight w:val="305"/>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Recoupment Policy</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This option, and the shares acquired upon exercise of this option, shall be subject to any Company recoupment or clawback</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policy in effect from time to time.</w:t>
            </w:r>
          </w:p>
        </w:tc>
      </w:tr>
      <w:tr>
        <w:trPr>
          <w:trHeight w:val="6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the event of a stock split, a stock dividend or a similar change in Company common stock, the number of shares covered</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 this option and the exercise price per share will be adjusted pursuant to the Plan.</w:t>
            </w:r>
          </w:p>
        </w:tc>
      </w:tr>
      <w:tr>
        <w:trPr>
          <w:trHeight w:val="301"/>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Significant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If the Company is a party to a merger, consolidation, or certain change in control transactions, then this option will be</w:t>
            </w:r>
          </w:p>
        </w:tc>
      </w:tr>
      <w:tr>
        <w:trPr>
          <w:trHeight w:val="23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Transactions</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subject to the applicable provisions of Article 9 of the Plan.</w:t>
            </w:r>
          </w:p>
        </w:tc>
      </w:tr>
      <w:tr>
        <w:trPr>
          <w:trHeight w:val="305"/>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Applicable Law</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This Agreement will be interpreted and enforced under the laws of the State of Delaware (without regard to its choice-of-</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law provisions).</w:t>
            </w:r>
          </w:p>
        </w:tc>
      </w:tr>
      <w:tr>
        <w:trPr>
          <w:trHeight w:val="301"/>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Plan and Other</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text of the Plan is incorporated in this Agreement by reference.</w:t>
            </w:r>
          </w:p>
        </w:tc>
      </w:tr>
      <w:tr>
        <w:trPr>
          <w:trHeight w:val="22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This Plan, this Agreement and the Grant Notice constitute the entire understanding between you and the Company regarding</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this option. Any prior agreements, commitments or</w:t>
            </w:r>
          </w:p>
        </w:tc>
      </w:tr>
      <w:tr>
        <w:trPr>
          <w:trHeight w:val="357"/>
        </w:trPr>
        <w:tc>
          <w:tcPr>
            <w:tcW w:w="206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8" w:name="page169"/>
    <w:bookmarkEnd w:id="168"/>
    <w:p>
      <w:pPr>
        <w:ind w:left="1140"/>
        <w:spacing w:after="0" w:line="281" w:lineRule="auto"/>
        <w:rPr>
          <w:sz w:val="20"/>
          <w:szCs w:val="20"/>
          <w:color w:val="auto"/>
        </w:rPr>
      </w:pPr>
      <w:r>
        <w:rPr>
          <w:rFonts w:ascii="Times New Roman" w:cs="Times New Roman" w:eastAsia="Times New Roman" w:hAnsi="Times New Roman"/>
          <w:sz w:val="18"/>
          <w:szCs w:val="18"/>
          <w:color w:val="auto"/>
        </w:rPr>
        <w:t>negotiations concerning this option are superseded. This Agreement may be amended only by another written agreement between the parties.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 ACCEPTING THIS OPTION GRANT, YOU AGREE TO ALL OF THE TERMS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 CONDITIONS DESCRIBED ABOVE AND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626745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440" w:top="364" w:right="6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9"/>
          <w:szCs w:val="29"/>
          <w:b w:val="1"/>
          <w:bCs w:val="1"/>
          <w:color w:val="auto"/>
        </w:rPr>
        <w:t>F</w:t>
      </w:r>
      <w:r>
        <w:rPr>
          <w:rFonts w:ascii="Times New Roman" w:cs="Times New Roman" w:eastAsia="Times New Roman" w:hAnsi="Times New Roman"/>
          <w:sz w:val="20"/>
          <w:szCs w:val="20"/>
          <w:b w:val="1"/>
          <w:bCs w:val="1"/>
          <w:color w:val="auto"/>
        </w:rPr>
        <w:t>lywire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0"/>
          <w:szCs w:val="20"/>
          <w:b w:val="1"/>
          <w:bCs w:val="1"/>
          <w:color w:val="auto"/>
        </w:rPr>
        <w:t>orporation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2021 E</w:t>
      </w:r>
      <w:r>
        <w:rPr>
          <w:rFonts w:ascii="Times New Roman" w:cs="Times New Roman" w:eastAsia="Times New Roman" w:hAnsi="Times New Roman"/>
          <w:sz w:val="20"/>
          <w:szCs w:val="20"/>
          <w:b w:val="1"/>
          <w:bCs w:val="1"/>
          <w:color w:val="auto"/>
        </w:rPr>
        <w:t>quity</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20"/>
          <w:szCs w:val="20"/>
          <w:b w:val="1"/>
          <w:bCs w:val="1"/>
          <w:color w:val="auto"/>
        </w:rPr>
        <w:t>ncentive</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0"/>
          <w:szCs w:val="20"/>
          <w:b w:val="1"/>
          <w:bCs w:val="1"/>
          <w:color w:val="auto"/>
        </w:rPr>
        <w:t>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w:t>
      </w:r>
      <w:r>
        <w:rPr>
          <w:rFonts w:ascii="Times New Roman" w:cs="Times New Roman" w:eastAsia="Times New Roman" w:hAnsi="Times New Roman"/>
          <w:sz w:val="20"/>
          <w:szCs w:val="20"/>
          <w:b w:val="1"/>
          <w:bCs w:val="1"/>
          <w:color w:val="auto"/>
        </w:rPr>
        <w:t>otice of</w:t>
      </w:r>
      <w:r>
        <w:rPr>
          <w:rFonts w:ascii="Times New Roman" w:cs="Times New Roman" w:eastAsia="Times New Roman" w:hAnsi="Times New Roman"/>
          <w:sz w:val="29"/>
          <w:szCs w:val="29"/>
          <w:b w:val="1"/>
          <w:bCs w:val="1"/>
          <w:color w:val="auto"/>
        </w:rPr>
        <w:t xml:space="preserve"> R</w:t>
      </w:r>
      <w:r>
        <w:rPr>
          <w:rFonts w:ascii="Times New Roman" w:cs="Times New Roman" w:eastAsia="Times New Roman" w:hAnsi="Times New Roman"/>
          <w:sz w:val="20"/>
          <w:szCs w:val="20"/>
          <w:b w:val="1"/>
          <w:bCs w:val="1"/>
          <w:color w:val="auto"/>
        </w:rPr>
        <w:t>estricted</w:t>
      </w:r>
      <w:r>
        <w:rPr>
          <w:rFonts w:ascii="Times New Roman" w:cs="Times New Roman" w:eastAsia="Times New Roman" w:hAnsi="Times New Roman"/>
          <w:sz w:val="29"/>
          <w:szCs w:val="29"/>
          <w:b w:val="1"/>
          <w:bCs w:val="1"/>
          <w:color w:val="auto"/>
        </w:rPr>
        <w:t xml:space="preserve"> S</w:t>
      </w:r>
      <w:r>
        <w:rPr>
          <w:rFonts w:ascii="Times New Roman" w:cs="Times New Roman" w:eastAsia="Times New Roman" w:hAnsi="Times New Roman"/>
          <w:sz w:val="20"/>
          <w:szCs w:val="20"/>
          <w:b w:val="1"/>
          <w:bCs w:val="1"/>
          <w:color w:val="auto"/>
        </w:rPr>
        <w:t>tock</w:t>
      </w:r>
      <w:r>
        <w:rPr>
          <w:rFonts w:ascii="Times New Roman" w:cs="Times New Roman" w:eastAsia="Times New Roman" w:hAnsi="Times New Roman"/>
          <w:sz w:val="29"/>
          <w:szCs w:val="29"/>
          <w:b w:val="1"/>
          <w:bCs w:val="1"/>
          <w:color w:val="auto"/>
        </w:rPr>
        <w:t xml:space="preserve"> U</w:t>
      </w:r>
      <w:r>
        <w:rPr>
          <w:rFonts w:ascii="Times New Roman" w:cs="Times New Roman" w:eastAsia="Times New Roman" w:hAnsi="Times New Roman"/>
          <w:sz w:val="20"/>
          <w:szCs w:val="20"/>
          <w:b w:val="1"/>
          <w:bCs w:val="1"/>
          <w:color w:val="auto"/>
        </w:rPr>
        <w:t>nit</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20"/>
          <w:szCs w:val="20"/>
          <w:b w:val="1"/>
          <w:bCs w:val="1"/>
          <w:color w:val="auto"/>
        </w:rPr>
        <w:t>ward</w:t>
      </w:r>
    </w:p>
    <w:p>
      <w:pPr>
        <w:spacing w:after="0" w:line="200" w:lineRule="exact"/>
        <w:rPr>
          <w:sz w:val="20"/>
          <w:szCs w:val="20"/>
          <w:color w:val="auto"/>
        </w:rPr>
      </w:pP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You have been granted Restricted Stock Units (“RSUs”), each representing the right to receive one share of common stock of Flywire Corporation (the “Company”) on the following terms:</w:t>
      </w:r>
    </w:p>
    <w:p>
      <w:pPr>
        <w:spacing w:after="0" w:line="16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Name of Recipient: MERGEFIELD Name «Name»</w:t>
      </w:r>
    </w:p>
    <w:p>
      <w:pPr>
        <w:spacing w:after="0" w:line="107" w:lineRule="exact"/>
        <w:rPr>
          <w:sz w:val="20"/>
          <w:szCs w:val="20"/>
          <w:color w:val="auto"/>
        </w:rPr>
      </w:pPr>
    </w:p>
    <w:p>
      <w:pPr>
        <w:ind w:left="1180"/>
        <w:spacing w:after="0"/>
        <w:tabs>
          <w:tab w:leader="none" w:pos="3960" w:val="left"/>
        </w:tabs>
        <w:rPr>
          <w:sz w:val="20"/>
          <w:szCs w:val="20"/>
          <w:color w:val="auto"/>
        </w:rPr>
      </w:pPr>
      <w:r>
        <w:rPr>
          <w:rFonts w:ascii="Times New Roman" w:cs="Times New Roman" w:eastAsia="Times New Roman" w:hAnsi="Times New Roman"/>
          <w:sz w:val="20"/>
          <w:szCs w:val="20"/>
          <w:color w:val="auto"/>
        </w:rPr>
        <w:t>Total Number of RSUs Granted:</w:t>
      </w:r>
      <w:r>
        <w:rPr>
          <w:sz w:val="20"/>
          <w:szCs w:val="20"/>
          <w:color w:val="auto"/>
        </w:rPr>
        <w:tab/>
      </w:r>
      <w:r>
        <w:rPr>
          <w:rFonts w:ascii="Times New Roman" w:cs="Times New Roman" w:eastAsia="Times New Roman" w:hAnsi="Times New Roman"/>
          <w:sz w:val="19"/>
          <w:szCs w:val="19"/>
          <w:color w:val="auto"/>
        </w:rPr>
        <w:t>MERGEFIELD TotalShares «TotalRSUs»</w:t>
      </w:r>
    </w:p>
    <w:p>
      <w:pPr>
        <w:spacing w:after="0" w:line="10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Date of Grant: MERGEFIELD DateGrant «DateGrant»</w:t>
      </w:r>
    </w:p>
    <w:p>
      <w:pPr>
        <w:spacing w:after="0" w:line="103"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Vesting Schedule:</w:t>
      </w:r>
      <w:r>
        <w:rPr>
          <w:sz w:val="20"/>
          <w:szCs w:val="20"/>
          <w:color w:val="auto"/>
        </w:rPr>
        <w:tab/>
      </w:r>
      <w:r>
        <w:rPr>
          <w:rFonts w:ascii="Times New Roman" w:cs="Times New Roman" w:eastAsia="Times New Roman" w:hAnsi="Times New Roman"/>
          <w:sz w:val="19"/>
          <w:szCs w:val="19"/>
          <w:b w:val="1"/>
          <w:bCs w:val="1"/>
          <w:color w:val="auto"/>
        </w:rPr>
        <w:t>Please refer to Appendix: Vesting Schedule</w:t>
      </w: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You and the Company agree that these RSUs are granted under and governed by the terms and conditions of the Company’s 2021 Equity Incentive Plan, the Israeli Appendix thereunder and the Global Restricted Stock Unit Award Agreement, including any additional terms and conditions for your country included in the appendix attached thereto (the “Appendix” and, together with the Global Restricted Stock Unit Agreement, the “Agreement”), all of which are attached to, and made a part of, this document. Capitalized terms not otherwise defined herein shall have the meanings assigned to such terms in the Plan.</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may, in its sole discretion, decide to deliver any documents related to RSUs awarded under the Plan, future RSUs that may be awarded under the Plan and all documents that the Company is required to deliver to security holders (including annual reports and proxy statements) by email or other electronic means (including posting them on a website maintained by the Company or a third party under contract with the Company). You hereby consent to receive such documents by electronic delivery and agree to participate in the Plan through any on-line or electronic system established and maintained by the Company or another third party designated by the Company. You acknowledge that you may incur costs in connection with any such delivery by means of electronic transmission, including the cost of accessing the Internet and printing fees, and that an interruption of Internet access may interfere with your ability to access the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1102995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29"/>
          <w:szCs w:val="29"/>
          <w:b w:val="1"/>
          <w:bCs w:val="1"/>
          <w:color w:val="auto"/>
        </w:rPr>
        <w:t>F</w:t>
      </w:r>
      <w:r>
        <w:rPr>
          <w:rFonts w:ascii="Times New Roman" w:cs="Times New Roman" w:eastAsia="Times New Roman" w:hAnsi="Times New Roman"/>
          <w:sz w:val="20"/>
          <w:szCs w:val="20"/>
          <w:b w:val="1"/>
          <w:bCs w:val="1"/>
          <w:color w:val="auto"/>
        </w:rPr>
        <w:t>lywire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0"/>
          <w:szCs w:val="20"/>
          <w:b w:val="1"/>
          <w:bCs w:val="1"/>
          <w:color w:val="auto"/>
        </w:rPr>
        <w:t>orporation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2021 E</w:t>
      </w:r>
      <w:r>
        <w:rPr>
          <w:rFonts w:ascii="Times New Roman" w:cs="Times New Roman" w:eastAsia="Times New Roman" w:hAnsi="Times New Roman"/>
          <w:sz w:val="20"/>
          <w:szCs w:val="20"/>
          <w:b w:val="1"/>
          <w:bCs w:val="1"/>
          <w:color w:val="auto"/>
        </w:rPr>
        <w:t>quity</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20"/>
          <w:szCs w:val="20"/>
          <w:b w:val="1"/>
          <w:bCs w:val="1"/>
          <w:color w:val="auto"/>
        </w:rPr>
        <w:t>ncentive</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0"/>
          <w:szCs w:val="20"/>
          <w:b w:val="1"/>
          <w:bCs w:val="1"/>
          <w:color w:val="auto"/>
        </w:rPr>
        <w:t>lan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w:t>
      </w:r>
      <w:r>
        <w:rPr>
          <w:rFonts w:ascii="Times New Roman" w:cs="Times New Roman" w:eastAsia="Times New Roman" w:hAnsi="Times New Roman"/>
          <w:sz w:val="20"/>
          <w:szCs w:val="20"/>
          <w:b w:val="1"/>
          <w:bCs w:val="1"/>
          <w:color w:val="auto"/>
        </w:rPr>
        <w:t>lobal</w:t>
      </w:r>
      <w:r>
        <w:rPr>
          <w:rFonts w:ascii="Times New Roman" w:cs="Times New Roman" w:eastAsia="Times New Roman" w:hAnsi="Times New Roman"/>
          <w:sz w:val="29"/>
          <w:szCs w:val="29"/>
          <w:b w:val="1"/>
          <w:bCs w:val="1"/>
          <w:color w:val="auto"/>
        </w:rPr>
        <w:t xml:space="preserve"> R</w:t>
      </w:r>
      <w:r>
        <w:rPr>
          <w:rFonts w:ascii="Times New Roman" w:cs="Times New Roman" w:eastAsia="Times New Roman" w:hAnsi="Times New Roman"/>
          <w:sz w:val="20"/>
          <w:szCs w:val="20"/>
          <w:b w:val="1"/>
          <w:bCs w:val="1"/>
          <w:color w:val="auto"/>
        </w:rPr>
        <w:t>estricted</w:t>
      </w:r>
      <w:r>
        <w:rPr>
          <w:rFonts w:ascii="Times New Roman" w:cs="Times New Roman" w:eastAsia="Times New Roman" w:hAnsi="Times New Roman"/>
          <w:sz w:val="29"/>
          <w:szCs w:val="29"/>
          <w:b w:val="1"/>
          <w:bCs w:val="1"/>
          <w:color w:val="auto"/>
        </w:rPr>
        <w:t xml:space="preserve"> S</w:t>
      </w:r>
      <w:r>
        <w:rPr>
          <w:rFonts w:ascii="Times New Roman" w:cs="Times New Roman" w:eastAsia="Times New Roman" w:hAnsi="Times New Roman"/>
          <w:sz w:val="20"/>
          <w:szCs w:val="20"/>
          <w:b w:val="1"/>
          <w:bCs w:val="1"/>
          <w:color w:val="auto"/>
        </w:rPr>
        <w:t>tock</w:t>
      </w:r>
      <w:r>
        <w:rPr>
          <w:rFonts w:ascii="Times New Roman" w:cs="Times New Roman" w:eastAsia="Times New Roman" w:hAnsi="Times New Roman"/>
          <w:sz w:val="29"/>
          <w:szCs w:val="29"/>
          <w:b w:val="1"/>
          <w:bCs w:val="1"/>
          <w:color w:val="auto"/>
        </w:rPr>
        <w:t xml:space="preserve"> U</w:t>
      </w:r>
      <w:r>
        <w:rPr>
          <w:rFonts w:ascii="Times New Roman" w:cs="Times New Roman" w:eastAsia="Times New Roman" w:hAnsi="Times New Roman"/>
          <w:sz w:val="20"/>
          <w:szCs w:val="20"/>
          <w:b w:val="1"/>
          <w:bCs w:val="1"/>
          <w:color w:val="auto"/>
        </w:rPr>
        <w:t>nit</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20"/>
          <w:szCs w:val="20"/>
          <w:b w:val="1"/>
          <w:bCs w:val="1"/>
          <w:color w:val="auto"/>
        </w:rPr>
        <w:t>ward</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20"/>
          <w:szCs w:val="20"/>
          <w:b w:val="1"/>
          <w:bCs w:val="1"/>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Grant of RSUs</w:t>
            </w: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Subject to all of the terms and conditions set forth in the Notice of Restricted Stock Unit</w:t>
            </w:r>
          </w:p>
        </w:tc>
      </w:tr>
      <w:tr>
        <w:trPr>
          <w:trHeight w:val="243"/>
        </w:trPr>
        <w:tc>
          <w:tcPr>
            <w:tcW w:w="2500" w:type="dxa"/>
            <w:vAlign w:val="bottom"/>
          </w:tcPr>
          <w:p>
            <w:pPr>
              <w:spacing w:after="0"/>
              <w:rPr>
                <w:sz w:val="21"/>
                <w:szCs w:val="21"/>
                <w:color w:val="auto"/>
              </w:rPr>
            </w:pPr>
          </w:p>
        </w:tc>
        <w:tc>
          <w:tcPr>
            <w:tcW w:w="87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Award (the “Grant Notice”), this Global Restricted Stock Unit Award Agreement, including</w:t>
            </w:r>
          </w:p>
        </w:tc>
      </w:tr>
      <w:tr>
        <w:trPr>
          <w:trHeight w:val="243"/>
        </w:trPr>
        <w:tc>
          <w:tcPr>
            <w:tcW w:w="2500" w:type="dxa"/>
            <w:vAlign w:val="bottom"/>
          </w:tcPr>
          <w:p>
            <w:pPr>
              <w:spacing w:after="0"/>
              <w:rPr>
                <w:sz w:val="21"/>
                <w:szCs w:val="21"/>
                <w:color w:val="auto"/>
              </w:rPr>
            </w:pPr>
          </w:p>
        </w:tc>
        <w:tc>
          <w:tcPr>
            <w:tcW w:w="87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any additional terms and conditions for your country including in the appendix attached</w:t>
            </w:r>
          </w:p>
        </w:tc>
      </w:tr>
      <w:tr>
        <w:trPr>
          <w:trHeight w:val="243"/>
        </w:trPr>
        <w:tc>
          <w:tcPr>
            <w:tcW w:w="2500" w:type="dxa"/>
            <w:vAlign w:val="bottom"/>
          </w:tcPr>
          <w:p>
            <w:pPr>
              <w:spacing w:after="0"/>
              <w:rPr>
                <w:sz w:val="21"/>
                <w:szCs w:val="21"/>
                <w:color w:val="auto"/>
              </w:rPr>
            </w:pPr>
          </w:p>
        </w:tc>
        <w:tc>
          <w:tcPr>
            <w:tcW w:w="87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hereto (the “Appendix” and, together with the Global Restricted Stock Unit Agreement, this</w:t>
            </w:r>
          </w:p>
        </w:tc>
      </w:tr>
      <w:tr>
        <w:trPr>
          <w:trHeight w:val="243"/>
        </w:trPr>
        <w:tc>
          <w:tcPr>
            <w:tcW w:w="2500" w:type="dxa"/>
            <w:vAlign w:val="bottom"/>
          </w:tcPr>
          <w:p>
            <w:pPr>
              <w:spacing w:after="0"/>
              <w:rPr>
                <w:sz w:val="21"/>
                <w:szCs w:val="21"/>
                <w:color w:val="auto"/>
              </w:rPr>
            </w:pPr>
          </w:p>
        </w:tc>
        <w:tc>
          <w:tcPr>
            <w:tcW w:w="87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“Agreement”) and the Flywire Corporation 2021 Equity Inventive Plan (the “Plan”), the</w:t>
            </w:r>
          </w:p>
        </w:tc>
      </w:tr>
      <w:tr>
        <w:trPr>
          <w:trHeight w:val="282"/>
        </w:trPr>
        <w:tc>
          <w:tcPr>
            <w:tcW w:w="2500" w:type="dxa"/>
            <w:vAlign w:val="bottom"/>
          </w:tcPr>
          <w:p>
            <w:pPr>
              <w:spacing w:after="0"/>
              <w:rPr>
                <w:sz w:val="24"/>
                <w:szCs w:val="24"/>
                <w:color w:val="auto"/>
              </w:rPr>
            </w:pP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Company has granted to you the number of RSUs set forth in the Grant Notice.</w:t>
            </w:r>
          </w:p>
        </w:tc>
      </w:tr>
      <w:tr>
        <w:trPr>
          <w:trHeight w:val="311"/>
        </w:trPr>
        <w:tc>
          <w:tcPr>
            <w:tcW w:w="2500" w:type="dxa"/>
            <w:vAlign w:val="bottom"/>
          </w:tcPr>
          <w:p>
            <w:pPr>
              <w:spacing w:after="0"/>
              <w:rPr>
                <w:sz w:val="24"/>
                <w:szCs w:val="24"/>
                <w:color w:val="auto"/>
              </w:rPr>
            </w:pP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All capitalized terms used in this Agreement shall have the meanings assigned to them in</w:t>
            </w:r>
          </w:p>
        </w:tc>
      </w:tr>
      <w:tr>
        <w:trPr>
          <w:trHeight w:val="282"/>
        </w:trPr>
        <w:tc>
          <w:tcPr>
            <w:tcW w:w="2500" w:type="dxa"/>
            <w:vAlign w:val="bottom"/>
          </w:tcPr>
          <w:p>
            <w:pPr>
              <w:spacing w:after="0"/>
              <w:rPr>
                <w:sz w:val="24"/>
                <w:szCs w:val="24"/>
                <w:color w:val="auto"/>
              </w:rPr>
            </w:pP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this Agreement, the Grant Notice or the Plan.</w:t>
            </w:r>
          </w:p>
        </w:tc>
      </w:tr>
      <w:tr>
        <w:trPr>
          <w:trHeight w:val="446"/>
        </w:trPr>
        <w:tc>
          <w:tcPr>
            <w:tcW w:w="25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Nature of RSUs</w:t>
            </w: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Your RSUs are bookkeeping entries. They represent only the Company’s unfunded and</w:t>
            </w:r>
          </w:p>
        </w:tc>
      </w:tr>
      <w:tr>
        <w:trPr>
          <w:trHeight w:val="243"/>
        </w:trPr>
        <w:tc>
          <w:tcPr>
            <w:tcW w:w="2500" w:type="dxa"/>
            <w:vAlign w:val="bottom"/>
          </w:tcPr>
          <w:p>
            <w:pPr>
              <w:spacing w:after="0"/>
              <w:rPr>
                <w:sz w:val="21"/>
                <w:szCs w:val="21"/>
                <w:color w:val="auto"/>
              </w:rPr>
            </w:pPr>
          </w:p>
        </w:tc>
        <w:tc>
          <w:tcPr>
            <w:tcW w:w="87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unsecured promise to issue shares of common stock on a future date. As a holder of RSUs,</w:t>
            </w:r>
          </w:p>
        </w:tc>
      </w:tr>
      <w:tr>
        <w:trPr>
          <w:trHeight w:val="282"/>
        </w:trPr>
        <w:tc>
          <w:tcPr>
            <w:tcW w:w="2500" w:type="dxa"/>
            <w:vAlign w:val="bottom"/>
          </w:tcPr>
          <w:p>
            <w:pPr>
              <w:spacing w:after="0"/>
              <w:rPr>
                <w:sz w:val="24"/>
                <w:szCs w:val="24"/>
                <w:color w:val="auto"/>
              </w:rPr>
            </w:pP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you have no rights other than the rights of a general creditor of the Company.</w:t>
            </w:r>
          </w:p>
        </w:tc>
      </w:tr>
      <w:tr>
        <w:trPr>
          <w:trHeight w:val="485"/>
        </w:trPr>
        <w:tc>
          <w:tcPr>
            <w:tcW w:w="25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 for RSUs</w:t>
            </w: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No payment is required for the RSUs that you receive.</w:t>
            </w:r>
          </w:p>
        </w:tc>
      </w:tr>
      <w:tr>
        <w:trPr>
          <w:trHeight w:val="485"/>
        </w:trPr>
        <w:tc>
          <w:tcPr>
            <w:tcW w:w="25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Vesting</w:t>
            </w: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The RSUs vest in accordance with the vesting schedule set forth in the Grant Notice.</w:t>
            </w:r>
          </w:p>
        </w:tc>
      </w:tr>
      <w:tr>
        <w:trPr>
          <w:trHeight w:val="311"/>
        </w:trPr>
        <w:tc>
          <w:tcPr>
            <w:tcW w:w="2500" w:type="dxa"/>
            <w:vAlign w:val="bottom"/>
          </w:tcPr>
          <w:p>
            <w:pPr>
              <w:spacing w:after="0"/>
              <w:rPr>
                <w:sz w:val="24"/>
                <w:szCs w:val="24"/>
                <w:color w:val="auto"/>
              </w:rPr>
            </w:pP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In no event will any additional RSUs vest after your Service has terminated for any reason</w:t>
            </w:r>
          </w:p>
        </w:tc>
      </w:tr>
      <w:tr>
        <w:trPr>
          <w:trHeight w:val="243"/>
        </w:trPr>
        <w:tc>
          <w:tcPr>
            <w:tcW w:w="2500" w:type="dxa"/>
            <w:vAlign w:val="bottom"/>
          </w:tcPr>
          <w:p>
            <w:pPr>
              <w:spacing w:after="0"/>
              <w:rPr>
                <w:sz w:val="21"/>
                <w:szCs w:val="21"/>
                <w:color w:val="auto"/>
              </w:rPr>
            </w:pPr>
          </w:p>
        </w:tc>
        <w:tc>
          <w:tcPr>
            <w:tcW w:w="87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unless expressly provided in a written agreement between you and the Company. For the</w:t>
            </w:r>
          </w:p>
        </w:tc>
      </w:tr>
      <w:tr>
        <w:trPr>
          <w:trHeight w:val="243"/>
        </w:trPr>
        <w:tc>
          <w:tcPr>
            <w:tcW w:w="2500" w:type="dxa"/>
            <w:vAlign w:val="bottom"/>
          </w:tcPr>
          <w:p>
            <w:pPr>
              <w:spacing w:after="0"/>
              <w:rPr>
                <w:sz w:val="21"/>
                <w:szCs w:val="21"/>
                <w:color w:val="auto"/>
              </w:rPr>
            </w:pPr>
          </w:p>
        </w:tc>
        <w:tc>
          <w:tcPr>
            <w:tcW w:w="87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avoidance of doubt, Service during only a portion of the vesting schedule, but where your</w:t>
            </w:r>
          </w:p>
        </w:tc>
      </w:tr>
      <w:tr>
        <w:trPr>
          <w:trHeight w:val="243"/>
        </w:trPr>
        <w:tc>
          <w:tcPr>
            <w:tcW w:w="2500" w:type="dxa"/>
            <w:vAlign w:val="bottom"/>
          </w:tcPr>
          <w:p>
            <w:pPr>
              <w:spacing w:after="0"/>
              <w:rPr>
                <w:sz w:val="21"/>
                <w:szCs w:val="21"/>
                <w:color w:val="auto"/>
              </w:rPr>
            </w:pPr>
          </w:p>
        </w:tc>
        <w:tc>
          <w:tcPr>
            <w:tcW w:w="87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Service terminates prior to a vesting date, will not entitle you to vest in a pro-rata portion of</w:t>
            </w:r>
          </w:p>
        </w:tc>
      </w:tr>
      <w:tr>
        <w:trPr>
          <w:trHeight w:val="282"/>
        </w:trPr>
        <w:tc>
          <w:tcPr>
            <w:tcW w:w="2500" w:type="dxa"/>
            <w:vAlign w:val="bottom"/>
          </w:tcPr>
          <w:p>
            <w:pPr>
              <w:spacing w:after="0"/>
              <w:rPr>
                <w:sz w:val="24"/>
                <w:szCs w:val="24"/>
                <w:color w:val="auto"/>
              </w:rPr>
            </w:pP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the RSUs.</w:t>
            </w:r>
          </w:p>
        </w:tc>
      </w:tr>
      <w:tr>
        <w:trPr>
          <w:trHeight w:val="307"/>
        </w:trPr>
        <w:tc>
          <w:tcPr>
            <w:tcW w:w="2500" w:type="dxa"/>
            <w:vAlign w:val="bottom"/>
          </w:tcPr>
          <w:p>
            <w:pPr>
              <w:spacing w:after="0"/>
              <w:rPr>
                <w:sz w:val="24"/>
                <w:szCs w:val="24"/>
                <w:color w:val="auto"/>
              </w:rPr>
            </w:pP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Note that you will not receive any consideration in respect of your vested RSUs until they</w:t>
            </w:r>
          </w:p>
        </w:tc>
      </w:tr>
      <w:tr>
        <w:trPr>
          <w:trHeight w:val="286"/>
        </w:trPr>
        <w:tc>
          <w:tcPr>
            <w:tcW w:w="2500" w:type="dxa"/>
            <w:vAlign w:val="bottom"/>
          </w:tcPr>
          <w:p>
            <w:pPr>
              <w:spacing w:after="0"/>
              <w:rPr>
                <w:sz w:val="24"/>
                <w:szCs w:val="24"/>
                <w:color w:val="auto"/>
              </w:rPr>
            </w:pP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 xml:space="preserve">are settled in accordance with the </w:t>
            </w:r>
            <w:r>
              <w:rPr>
                <w:rFonts w:ascii="Times New Roman" w:cs="Times New Roman" w:eastAsia="Times New Roman" w:hAnsi="Times New Roman"/>
                <w:sz w:val="22"/>
                <w:szCs w:val="22"/>
                <w:i w:val="1"/>
                <w:iCs w:val="1"/>
                <w:color w:val="auto"/>
              </w:rPr>
              <w:t>Settlement of RSUs</w:t>
            </w:r>
            <w:r>
              <w:rPr>
                <w:rFonts w:ascii="Times New Roman" w:cs="Times New Roman" w:eastAsia="Times New Roman" w:hAnsi="Times New Roman"/>
                <w:sz w:val="22"/>
                <w:szCs w:val="22"/>
                <w:color w:val="auto"/>
              </w:rPr>
              <w:t xml:space="preserve"> section below.</w:t>
            </w:r>
          </w:p>
        </w:tc>
      </w:tr>
      <w:tr>
        <w:trPr>
          <w:trHeight w:val="442"/>
        </w:trPr>
        <w:tc>
          <w:tcPr>
            <w:tcW w:w="25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Termination of</w:t>
            </w: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If your Service terminates for any reason, then the RSUs will be forfeited to the extent that</w:t>
            </w:r>
          </w:p>
        </w:tc>
      </w:tr>
      <w:tr>
        <w:trPr>
          <w:trHeight w:val="247"/>
        </w:trPr>
        <w:tc>
          <w:tcPr>
            <w:tcW w:w="2500" w:type="dxa"/>
            <w:vAlign w:val="bottom"/>
          </w:tcPr>
          <w:p>
            <w:pPr>
              <w:ind w:left="200"/>
              <w:spacing w:after="0" w:line="247" w:lineRule="exact"/>
              <w:rPr>
                <w:sz w:val="20"/>
                <w:szCs w:val="20"/>
                <w:color w:val="auto"/>
              </w:rPr>
            </w:pPr>
            <w:r>
              <w:rPr>
                <w:rFonts w:ascii="Times New Roman" w:cs="Times New Roman" w:eastAsia="Times New Roman" w:hAnsi="Times New Roman"/>
                <w:sz w:val="22"/>
                <w:szCs w:val="22"/>
                <w:b w:val="1"/>
                <w:bCs w:val="1"/>
                <w:color w:val="auto"/>
              </w:rPr>
              <w:t>Service/Forfeiture</w:t>
            </w:r>
          </w:p>
        </w:tc>
        <w:tc>
          <w:tcPr>
            <w:tcW w:w="8740" w:type="dxa"/>
            <w:vAlign w:val="bottom"/>
          </w:tcPr>
          <w:p>
            <w:pPr>
              <w:ind w:left="580"/>
              <w:spacing w:after="0" w:line="247" w:lineRule="exact"/>
              <w:rPr>
                <w:sz w:val="20"/>
                <w:szCs w:val="20"/>
                <w:color w:val="auto"/>
              </w:rPr>
            </w:pPr>
            <w:r>
              <w:rPr>
                <w:rFonts w:ascii="Times New Roman" w:cs="Times New Roman" w:eastAsia="Times New Roman" w:hAnsi="Times New Roman"/>
                <w:sz w:val="22"/>
                <w:szCs w:val="22"/>
                <w:color w:val="auto"/>
              </w:rPr>
              <w:t>they have not vested before the termination date and do not vest as a result of the</w:t>
            </w:r>
          </w:p>
        </w:tc>
      </w:tr>
      <w:tr>
        <w:trPr>
          <w:trHeight w:val="243"/>
        </w:trPr>
        <w:tc>
          <w:tcPr>
            <w:tcW w:w="2500" w:type="dxa"/>
            <w:vAlign w:val="bottom"/>
          </w:tcPr>
          <w:p>
            <w:pPr>
              <w:spacing w:after="0"/>
              <w:rPr>
                <w:sz w:val="21"/>
                <w:szCs w:val="21"/>
                <w:color w:val="auto"/>
              </w:rPr>
            </w:pPr>
          </w:p>
        </w:tc>
        <w:tc>
          <w:tcPr>
            <w:tcW w:w="87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termination of your Service.  This means that any RSUs that have not vested under this</w:t>
            </w:r>
          </w:p>
        </w:tc>
      </w:tr>
      <w:tr>
        <w:trPr>
          <w:trHeight w:val="282"/>
        </w:trPr>
        <w:tc>
          <w:tcPr>
            <w:tcW w:w="2500" w:type="dxa"/>
            <w:vAlign w:val="bottom"/>
          </w:tcPr>
          <w:p>
            <w:pPr>
              <w:spacing w:after="0"/>
              <w:rPr>
                <w:sz w:val="24"/>
                <w:szCs w:val="24"/>
                <w:color w:val="auto"/>
              </w:rPr>
            </w:pPr>
          </w:p>
        </w:tc>
        <w:tc>
          <w:tcPr>
            <w:tcW w:w="87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Agreement will be cancelled immediately. You will receive no</w:t>
            </w:r>
          </w:p>
        </w:tc>
      </w:tr>
      <w:tr>
        <w:trPr>
          <w:trHeight w:val="359"/>
        </w:trPr>
        <w:tc>
          <w:tcPr>
            <w:tcW w:w="250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53"/>
        </w:trPr>
        <w:tc>
          <w:tcPr>
            <w:tcW w:w="2700" w:type="dxa"/>
            <w:vAlign w:val="bottom"/>
          </w:tcPr>
          <w:p>
            <w:pPr>
              <w:spacing w:after="0"/>
              <w:rPr>
                <w:sz w:val="22"/>
                <w:szCs w:val="22"/>
                <w:color w:val="auto"/>
              </w:rPr>
            </w:pP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payment for RSUs that are forfeited.  The Company determines when your Service</w:t>
            </w:r>
          </w:p>
        </w:tc>
      </w:tr>
      <w:tr>
        <w:trPr>
          <w:trHeight w:val="282"/>
        </w:trPr>
        <w:tc>
          <w:tcPr>
            <w:tcW w:w="2700" w:type="dxa"/>
            <w:vAlign w:val="bottom"/>
          </w:tcPr>
          <w:p>
            <w:pPr>
              <w:spacing w:after="0"/>
              <w:rPr>
                <w:sz w:val="24"/>
                <w:szCs w:val="24"/>
                <w:color w:val="auto"/>
              </w:rPr>
            </w:pP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terminates for all purposes of your RSUs.</w:t>
            </w:r>
          </w:p>
        </w:tc>
      </w:tr>
      <w:tr>
        <w:trPr>
          <w:trHeight w:val="311"/>
        </w:trPr>
        <w:tc>
          <w:tcPr>
            <w:tcW w:w="2700" w:type="dxa"/>
            <w:vAlign w:val="bottom"/>
          </w:tcPr>
          <w:p>
            <w:pPr>
              <w:spacing w:after="0"/>
              <w:rPr>
                <w:sz w:val="24"/>
                <w:szCs w:val="24"/>
                <w:color w:val="auto"/>
              </w:rPr>
            </w:pP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For purposes of the RSUs, your Service will be considered terminated as of the date you are</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no longer actively providing services to the Company or, if different, the Subsidiary or</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Affiliate to which you provides services (the “Service Recipient”) (regardless of the reason</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for such termination and whether or not later found to be invalid or in breach of</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employment laws in the jurisdiction where you are providing services or the terms of your</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employment or other service agreement, if any) and unless otherwise expressly provided in</w:t>
            </w:r>
          </w:p>
        </w:tc>
      </w:tr>
      <w:tr>
        <w:trPr>
          <w:trHeight w:val="239"/>
        </w:trPr>
        <w:tc>
          <w:tcPr>
            <w:tcW w:w="2700" w:type="dxa"/>
            <w:vAlign w:val="bottom"/>
          </w:tcPr>
          <w:p>
            <w:pPr>
              <w:spacing w:after="0"/>
              <w:rPr>
                <w:sz w:val="20"/>
                <w:szCs w:val="20"/>
                <w:color w:val="auto"/>
              </w:rPr>
            </w:pPr>
          </w:p>
        </w:tc>
        <w:tc>
          <w:tcPr>
            <w:tcW w:w="8540" w:type="dxa"/>
            <w:vAlign w:val="bottom"/>
          </w:tcPr>
          <w:p>
            <w:pPr>
              <w:ind w:left="380"/>
              <w:spacing w:after="0" w:line="239" w:lineRule="exact"/>
              <w:rPr>
                <w:sz w:val="20"/>
                <w:szCs w:val="20"/>
                <w:color w:val="auto"/>
              </w:rPr>
            </w:pPr>
            <w:r>
              <w:rPr>
                <w:rFonts w:ascii="Times New Roman" w:cs="Times New Roman" w:eastAsia="Times New Roman" w:hAnsi="Times New Roman"/>
                <w:sz w:val="22"/>
                <w:szCs w:val="22"/>
                <w:color w:val="auto"/>
              </w:rPr>
              <w:t>this Agreement or determined by the Company your right to vest in the RSUs will not be</w:t>
            </w:r>
          </w:p>
        </w:tc>
      </w:tr>
      <w:tr>
        <w:trPr>
          <w:trHeight w:val="247"/>
        </w:trPr>
        <w:tc>
          <w:tcPr>
            <w:tcW w:w="2700" w:type="dxa"/>
            <w:vAlign w:val="bottom"/>
          </w:tcPr>
          <w:p>
            <w:pPr>
              <w:spacing w:after="0"/>
              <w:rPr>
                <w:sz w:val="21"/>
                <w:szCs w:val="21"/>
                <w:color w:val="auto"/>
              </w:rPr>
            </w:pPr>
          </w:p>
        </w:tc>
        <w:tc>
          <w:tcPr>
            <w:tcW w:w="8540" w:type="dxa"/>
            <w:vAlign w:val="bottom"/>
          </w:tcPr>
          <w:p>
            <w:pPr>
              <w:ind w:left="380"/>
              <w:spacing w:after="0" w:line="247" w:lineRule="exact"/>
              <w:rPr>
                <w:sz w:val="20"/>
                <w:szCs w:val="20"/>
                <w:color w:val="auto"/>
              </w:rPr>
            </w:pPr>
            <w:r>
              <w:rPr>
                <w:rFonts w:ascii="Times New Roman" w:cs="Times New Roman" w:eastAsia="Times New Roman" w:hAnsi="Times New Roman"/>
                <w:sz w:val="22"/>
                <w:szCs w:val="22"/>
                <w:color w:val="auto"/>
              </w:rPr>
              <w:t>extended by any notice period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your Service will not be extended by any contractual</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notice period or period of “garden leave” or similar period mandated under employment</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laws in the jurisdiction where you are employed or otherwise rendering services or the</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terms of your employment or other service agreement, if any).  The Company shall have</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exclusive discretion to determine when you are no longer actively providing services for</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purposes of the RSUs (including when you are no longer considered to be in continued</w:t>
            </w:r>
          </w:p>
        </w:tc>
      </w:tr>
      <w:tr>
        <w:trPr>
          <w:trHeight w:val="282"/>
        </w:trPr>
        <w:tc>
          <w:tcPr>
            <w:tcW w:w="2700" w:type="dxa"/>
            <w:vAlign w:val="bottom"/>
          </w:tcPr>
          <w:p>
            <w:pPr>
              <w:spacing w:after="0"/>
              <w:rPr>
                <w:sz w:val="24"/>
                <w:szCs w:val="24"/>
                <w:color w:val="auto"/>
              </w:rPr>
            </w:pP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Service while on a leave of absence).</w:t>
            </w:r>
          </w:p>
        </w:tc>
      </w:tr>
      <w:tr>
        <w:trPr>
          <w:trHeight w:val="442"/>
        </w:trPr>
        <w:tc>
          <w:tcPr>
            <w:tcW w:w="27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Leaves of Absence and</w:t>
            </w: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If you go on a leave of absence, the treatment of your RSUs will be governed by the</w:t>
            </w:r>
          </w:p>
        </w:tc>
      </w:tr>
      <w:tr>
        <w:trPr>
          <w:trHeight w:val="286"/>
        </w:trPr>
        <w:tc>
          <w:tcPr>
            <w:tcW w:w="27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Part-Time Work</w:t>
            </w: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Company’s Leave of Absence Policy, if any, currently in effect.</w:t>
            </w:r>
          </w:p>
        </w:tc>
      </w:tr>
      <w:tr>
        <w:trPr>
          <w:trHeight w:val="311"/>
        </w:trPr>
        <w:tc>
          <w:tcPr>
            <w:tcW w:w="2700" w:type="dxa"/>
            <w:vAlign w:val="bottom"/>
          </w:tcPr>
          <w:p>
            <w:pPr>
              <w:spacing w:after="0"/>
              <w:rPr>
                <w:sz w:val="24"/>
                <w:szCs w:val="24"/>
                <w:color w:val="auto"/>
              </w:rPr>
            </w:pP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If you commence working on a part-time basis, the Company may adjust the vesting</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schedule so that the rate of vesting is commensurate with your reduced work schedule, as</w:t>
            </w:r>
          </w:p>
        </w:tc>
      </w:tr>
      <w:tr>
        <w:trPr>
          <w:trHeight w:val="282"/>
        </w:trPr>
        <w:tc>
          <w:tcPr>
            <w:tcW w:w="2700" w:type="dxa"/>
            <w:vAlign w:val="bottom"/>
          </w:tcPr>
          <w:p>
            <w:pPr>
              <w:spacing w:after="0"/>
              <w:rPr>
                <w:sz w:val="24"/>
                <w:szCs w:val="24"/>
                <w:color w:val="auto"/>
              </w:rPr>
            </w:pP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applicable, to the extent permitted by applicable law.</w:t>
            </w:r>
          </w:p>
        </w:tc>
      </w:tr>
      <w:tr>
        <w:trPr>
          <w:trHeight w:val="446"/>
        </w:trPr>
        <w:tc>
          <w:tcPr>
            <w:tcW w:w="27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Settlement of RSUs</w:t>
            </w: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Each  RSU  that  is  subject  to  mandatory  Sell-to-Cover  Settlement  Method  (see</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Responsibility for Taxes, below) will be settled on the day when the RSU vests. Each other</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RSU will be settled on the first Permissible Trading Day that occurs on or after the day</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when the RSU vests.  However, each RSU must be settled not later than the March 15 of</w:t>
            </w:r>
          </w:p>
        </w:tc>
      </w:tr>
      <w:tr>
        <w:trPr>
          <w:trHeight w:val="282"/>
        </w:trPr>
        <w:tc>
          <w:tcPr>
            <w:tcW w:w="2700" w:type="dxa"/>
            <w:vAlign w:val="bottom"/>
          </w:tcPr>
          <w:p>
            <w:pPr>
              <w:spacing w:after="0"/>
              <w:rPr>
                <w:sz w:val="24"/>
                <w:szCs w:val="24"/>
                <w:color w:val="auto"/>
              </w:rPr>
            </w:pP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calendar year after the calendar year in which the RSU vests.</w:t>
            </w:r>
          </w:p>
        </w:tc>
      </w:tr>
      <w:tr>
        <w:trPr>
          <w:trHeight w:val="311"/>
        </w:trPr>
        <w:tc>
          <w:tcPr>
            <w:tcW w:w="2700" w:type="dxa"/>
            <w:vAlign w:val="bottom"/>
          </w:tcPr>
          <w:p>
            <w:pPr>
              <w:spacing w:after="0"/>
              <w:rPr>
                <w:sz w:val="24"/>
                <w:szCs w:val="24"/>
                <w:color w:val="auto"/>
              </w:rPr>
            </w:pP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At the time of settlement, you will receive one share of the Company’s common stock for</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each vested RSU.  But the Company, at its sole discretion, may substitute an equivalent</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amount of cash, including by using a forced sale method of settlement. The amount of cash</w:t>
            </w:r>
          </w:p>
        </w:tc>
      </w:tr>
      <w:tr>
        <w:trPr>
          <w:trHeight w:val="243"/>
        </w:trPr>
        <w:tc>
          <w:tcPr>
            <w:tcW w:w="2700" w:type="dxa"/>
            <w:vAlign w:val="bottom"/>
          </w:tcPr>
          <w:p>
            <w:pPr>
              <w:spacing w:after="0"/>
              <w:rPr>
                <w:sz w:val="21"/>
                <w:szCs w:val="21"/>
                <w:color w:val="auto"/>
              </w:rPr>
            </w:pPr>
          </w:p>
        </w:tc>
        <w:tc>
          <w:tcPr>
            <w:tcW w:w="85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will be determined on the basis of the market value of the Company’s common stock at the</w:t>
            </w:r>
          </w:p>
        </w:tc>
      </w:tr>
      <w:tr>
        <w:trPr>
          <w:trHeight w:val="282"/>
        </w:trPr>
        <w:tc>
          <w:tcPr>
            <w:tcW w:w="2700" w:type="dxa"/>
            <w:vAlign w:val="bottom"/>
          </w:tcPr>
          <w:p>
            <w:pPr>
              <w:spacing w:after="0"/>
              <w:rPr>
                <w:sz w:val="24"/>
                <w:szCs w:val="24"/>
                <w:color w:val="auto"/>
              </w:rPr>
            </w:pP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time of settlement.</w:t>
            </w:r>
          </w:p>
        </w:tc>
      </w:tr>
      <w:tr>
        <w:trPr>
          <w:trHeight w:val="442"/>
        </w:trPr>
        <w:tc>
          <w:tcPr>
            <w:tcW w:w="27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“Permissible Trading</w:t>
            </w:r>
          </w:p>
        </w:tc>
        <w:tc>
          <w:tcPr>
            <w:tcW w:w="8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“Permissible Trading Day” means a day that satisfies each of the following requirements:</w:t>
            </w:r>
          </w:p>
        </w:tc>
      </w:tr>
      <w:tr>
        <w:trPr>
          <w:trHeight w:val="286"/>
        </w:trPr>
        <w:tc>
          <w:tcPr>
            <w:tcW w:w="27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Day”</w:t>
            </w:r>
          </w:p>
        </w:tc>
        <w:tc>
          <w:tcPr>
            <w:tcW w:w="8540" w:type="dxa"/>
            <w:vAlign w:val="bottom"/>
          </w:tcPr>
          <w:p>
            <w:pPr>
              <w:spacing w:after="0"/>
              <w:rPr>
                <w:sz w:val="24"/>
                <w:szCs w:val="24"/>
                <w:color w:val="auto"/>
              </w:rPr>
            </w:pPr>
          </w:p>
        </w:tc>
      </w:tr>
      <w:tr>
        <w:trPr>
          <w:trHeight w:val="467"/>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2" w:name="page173"/>
    <w:bookmarkEnd w:id="172"/>
    <w:p>
      <w:pPr>
        <w:ind w:left="3420"/>
        <w:spacing w:after="0"/>
        <w:tabs>
          <w:tab w:leader="none" w:pos="36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color w:val="auto"/>
        </w:rPr>
        <w:t>The Nasdaq Global Market is open for trading on that day,</w:t>
      </w:r>
    </w:p>
    <w:p>
      <w:pPr>
        <w:spacing w:after="0" w:line="98" w:lineRule="exact"/>
        <w:rPr>
          <w:sz w:val="20"/>
          <w:szCs w:val="20"/>
          <w:color w:val="auto"/>
        </w:rPr>
      </w:pPr>
    </w:p>
    <w:p>
      <w:pPr>
        <w:jc w:val="both"/>
        <w:ind w:left="3660" w:right="200" w:hanging="239"/>
        <w:spacing w:after="0" w:line="244" w:lineRule="auto"/>
        <w:tabs>
          <w:tab w:leader="none" w:pos="3640" w:val="left"/>
        </w:tabs>
        <w:rPr>
          <w:sz w:val="20"/>
          <w:szCs w:val="20"/>
          <w:color w:val="auto"/>
        </w:rPr>
      </w:pPr>
      <w:r>
        <w:rPr>
          <w:rFonts w:ascii="Times New Roman" w:cs="Times New Roman" w:eastAsia="Times New Roman" w:hAnsi="Times New Roman"/>
          <w:sz w:val="22"/>
          <w:szCs w:val="22"/>
          <w:color w:val="auto"/>
        </w:rPr>
        <w:t>•</w:t>
        <w:tab/>
        <w:t>You are permitted to sell shares of the Company’s common stock on that day without incurring liability under Section 16(b) of the Securities Exchange Act of 1934, as amended,</w:t>
      </w:r>
    </w:p>
    <w:p>
      <w:pPr>
        <w:spacing w:after="0" w:line="64" w:lineRule="exact"/>
        <w:rPr>
          <w:sz w:val="20"/>
          <w:szCs w:val="20"/>
          <w:color w:val="auto"/>
        </w:rPr>
      </w:pPr>
    </w:p>
    <w:p>
      <w:pPr>
        <w:jc w:val="both"/>
        <w:ind w:left="3660" w:right="200" w:hanging="239"/>
        <w:spacing w:after="0" w:line="261" w:lineRule="auto"/>
        <w:tabs>
          <w:tab w:leader="none" w:pos="3640" w:val="left"/>
        </w:tabs>
        <w:rPr>
          <w:sz w:val="20"/>
          <w:szCs w:val="20"/>
          <w:color w:val="auto"/>
        </w:rPr>
      </w:pPr>
      <w:r>
        <w:rPr>
          <w:rFonts w:ascii="Times New Roman" w:cs="Times New Roman" w:eastAsia="Times New Roman" w:hAnsi="Times New Roman"/>
          <w:sz w:val="20"/>
          <w:szCs w:val="20"/>
          <w:color w:val="auto"/>
        </w:rPr>
        <w:t>•</w:t>
        <w:tab/>
        <w:t>Either (a) you are not in possession of material non-public information that would make it illegal for you to sell shares of the Company’s common stock on that day under Rule 10b-5 of the Securities and Exchange Commission or (b) Rule 10b5 1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4"/>
                <w:szCs w:val="24"/>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the Securities and Exchange Commission is applicable,</w:t>
            </w:r>
          </w:p>
        </w:tc>
      </w:tr>
      <w:tr>
        <w:trPr>
          <w:trHeight w:val="287"/>
        </w:trPr>
        <w:tc>
          <w:tcPr>
            <w:tcW w:w="2560" w:type="dxa"/>
            <w:vAlign w:val="bottom"/>
          </w:tcPr>
          <w:p>
            <w:pPr>
              <w:spacing w:after="0"/>
              <w:rPr>
                <w:sz w:val="24"/>
                <w:szCs w:val="24"/>
                <w:color w:val="auto"/>
              </w:rPr>
            </w:pPr>
          </w:p>
        </w:tc>
        <w:tc>
          <w:tcPr>
            <w:tcW w:w="8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  Under the Company’s insider trading policy, you are permitted to sell shares of the</w:t>
            </w:r>
          </w:p>
        </w:tc>
      </w:tr>
      <w:tr>
        <w:trPr>
          <w:trHeight w:val="282"/>
        </w:trPr>
        <w:tc>
          <w:tcPr>
            <w:tcW w:w="2560" w:type="dxa"/>
            <w:vAlign w:val="bottom"/>
          </w:tcPr>
          <w:p>
            <w:pPr>
              <w:spacing w:after="0"/>
              <w:rPr>
                <w:sz w:val="24"/>
                <w:szCs w:val="24"/>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Company’s common stock on that day, and</w:t>
            </w:r>
          </w:p>
        </w:tc>
      </w:tr>
      <w:tr>
        <w:trPr>
          <w:trHeight w:val="311"/>
        </w:trPr>
        <w:tc>
          <w:tcPr>
            <w:tcW w:w="2560" w:type="dxa"/>
            <w:vAlign w:val="bottom"/>
          </w:tcPr>
          <w:p>
            <w:pPr>
              <w:spacing w:after="0"/>
              <w:rPr>
                <w:sz w:val="24"/>
                <w:szCs w:val="24"/>
                <w:color w:val="auto"/>
              </w:rPr>
            </w:pPr>
          </w:p>
        </w:tc>
        <w:tc>
          <w:tcPr>
            <w:tcW w:w="8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  You are not prohibited from selling shares of the Company’s common stock on that</w:t>
            </w:r>
          </w:p>
        </w:tc>
      </w:tr>
      <w:tr>
        <w:trPr>
          <w:trHeight w:val="282"/>
        </w:trPr>
        <w:tc>
          <w:tcPr>
            <w:tcW w:w="2560" w:type="dxa"/>
            <w:vAlign w:val="bottom"/>
          </w:tcPr>
          <w:p>
            <w:pPr>
              <w:spacing w:after="0"/>
              <w:rPr>
                <w:sz w:val="24"/>
                <w:szCs w:val="24"/>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day by a written agreement between you and the Company or a third party.</w:t>
            </w:r>
          </w:p>
        </w:tc>
      </w:tr>
      <w:tr>
        <w:trPr>
          <w:trHeight w:val="446"/>
        </w:trPr>
        <w:tc>
          <w:tcPr>
            <w:tcW w:w="25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Section 409A</w:t>
            </w:r>
          </w:p>
        </w:tc>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Unless you and the Company have agreed to a deferred settlement date (pursuant to</w:t>
            </w:r>
          </w:p>
        </w:tc>
      </w:tr>
      <w:tr>
        <w:trPr>
          <w:trHeight w:val="243"/>
        </w:trPr>
        <w:tc>
          <w:tcPr>
            <w:tcW w:w="2560" w:type="dxa"/>
            <w:vAlign w:val="bottom"/>
          </w:tcPr>
          <w:p>
            <w:pPr>
              <w:spacing w:after="0"/>
              <w:rPr>
                <w:sz w:val="21"/>
                <w:szCs w:val="21"/>
                <w:color w:val="auto"/>
              </w:rPr>
            </w:pPr>
          </w:p>
        </w:tc>
        <w:tc>
          <w:tcPr>
            <w:tcW w:w="86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procedures that the Company may prescribe at its discretion), settlement of these restricted</w:t>
            </w:r>
          </w:p>
        </w:tc>
      </w:tr>
      <w:tr>
        <w:trPr>
          <w:trHeight w:val="243"/>
        </w:trPr>
        <w:tc>
          <w:tcPr>
            <w:tcW w:w="2560" w:type="dxa"/>
            <w:vAlign w:val="bottom"/>
          </w:tcPr>
          <w:p>
            <w:pPr>
              <w:spacing w:after="0"/>
              <w:rPr>
                <w:sz w:val="21"/>
                <w:szCs w:val="21"/>
                <w:color w:val="auto"/>
              </w:rPr>
            </w:pPr>
          </w:p>
        </w:tc>
        <w:tc>
          <w:tcPr>
            <w:tcW w:w="86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stock units is intended to be exempt from the application of Code Section 409A pursuant to</w:t>
            </w:r>
          </w:p>
        </w:tc>
      </w:tr>
      <w:tr>
        <w:trPr>
          <w:trHeight w:val="243"/>
        </w:trPr>
        <w:tc>
          <w:tcPr>
            <w:tcW w:w="2560" w:type="dxa"/>
            <w:vAlign w:val="bottom"/>
          </w:tcPr>
          <w:p>
            <w:pPr>
              <w:spacing w:after="0"/>
              <w:rPr>
                <w:sz w:val="21"/>
                <w:szCs w:val="21"/>
                <w:color w:val="auto"/>
              </w:rPr>
            </w:pPr>
          </w:p>
        </w:tc>
        <w:tc>
          <w:tcPr>
            <w:tcW w:w="86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Treasury Regulation 1.409A-1(b)(4) and shall be administered and interpreted in a manner</w:t>
            </w:r>
          </w:p>
        </w:tc>
      </w:tr>
      <w:tr>
        <w:trPr>
          <w:trHeight w:val="282"/>
        </w:trPr>
        <w:tc>
          <w:tcPr>
            <w:tcW w:w="2560" w:type="dxa"/>
            <w:vAlign w:val="bottom"/>
          </w:tcPr>
          <w:p>
            <w:pPr>
              <w:spacing w:after="0"/>
              <w:rPr>
                <w:sz w:val="24"/>
                <w:szCs w:val="24"/>
                <w:color w:val="auto"/>
              </w:rPr>
            </w:pPr>
          </w:p>
        </w:tc>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that complies with such exception.</w:t>
            </w:r>
          </w:p>
        </w:tc>
      </w:tr>
      <w:tr>
        <w:trPr>
          <w:trHeight w:val="311"/>
        </w:trPr>
        <w:tc>
          <w:tcPr>
            <w:tcW w:w="2560" w:type="dxa"/>
            <w:vAlign w:val="bottom"/>
          </w:tcPr>
          <w:p>
            <w:pPr>
              <w:spacing w:after="0"/>
              <w:rPr>
                <w:sz w:val="24"/>
                <w:szCs w:val="24"/>
                <w:color w:val="auto"/>
              </w:rPr>
            </w:pPr>
          </w:p>
        </w:tc>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Notwithstanding the foregoing, if it is determined that settlement of these RSUs is not</w:t>
            </w:r>
          </w:p>
        </w:tc>
      </w:tr>
      <w:tr>
        <w:trPr>
          <w:trHeight w:val="243"/>
        </w:trPr>
        <w:tc>
          <w:tcPr>
            <w:tcW w:w="2560" w:type="dxa"/>
            <w:vAlign w:val="bottom"/>
          </w:tcPr>
          <w:p>
            <w:pPr>
              <w:spacing w:after="0"/>
              <w:rPr>
                <w:sz w:val="21"/>
                <w:szCs w:val="21"/>
                <w:color w:val="auto"/>
              </w:rPr>
            </w:pPr>
          </w:p>
        </w:tc>
        <w:tc>
          <w:tcPr>
            <w:tcW w:w="86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exempt from Code Section 409A and the Company determines that you are a “specified</w:t>
            </w:r>
          </w:p>
        </w:tc>
      </w:tr>
      <w:tr>
        <w:trPr>
          <w:trHeight w:val="243"/>
        </w:trPr>
        <w:tc>
          <w:tcPr>
            <w:tcW w:w="2560" w:type="dxa"/>
            <w:vAlign w:val="bottom"/>
          </w:tcPr>
          <w:p>
            <w:pPr>
              <w:spacing w:after="0"/>
              <w:rPr>
                <w:sz w:val="21"/>
                <w:szCs w:val="21"/>
                <w:color w:val="auto"/>
              </w:rPr>
            </w:pPr>
          </w:p>
        </w:tc>
        <w:tc>
          <w:tcPr>
            <w:tcW w:w="86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employee,” as defined in the regulations under Code Section 409A at the time of your</w:t>
            </w:r>
          </w:p>
        </w:tc>
      </w:tr>
      <w:tr>
        <w:trPr>
          <w:trHeight w:val="243"/>
        </w:trPr>
        <w:tc>
          <w:tcPr>
            <w:tcW w:w="2560" w:type="dxa"/>
            <w:vAlign w:val="bottom"/>
          </w:tcPr>
          <w:p>
            <w:pPr>
              <w:spacing w:after="0"/>
              <w:rPr>
                <w:sz w:val="21"/>
                <w:szCs w:val="21"/>
                <w:color w:val="auto"/>
              </w:rPr>
            </w:pPr>
          </w:p>
        </w:tc>
        <w:tc>
          <w:tcPr>
            <w:tcW w:w="86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“separation from service,” as defined in Treasury Regulation Section 1.409A-1(h), then this</w:t>
            </w:r>
          </w:p>
        </w:tc>
      </w:tr>
      <w:tr>
        <w:trPr>
          <w:trHeight w:val="243"/>
        </w:trPr>
        <w:tc>
          <w:tcPr>
            <w:tcW w:w="2560" w:type="dxa"/>
            <w:vAlign w:val="bottom"/>
          </w:tcPr>
          <w:p>
            <w:pPr>
              <w:spacing w:after="0"/>
              <w:rPr>
                <w:sz w:val="21"/>
                <w:szCs w:val="21"/>
                <w:color w:val="auto"/>
              </w:rPr>
            </w:pPr>
          </w:p>
        </w:tc>
        <w:tc>
          <w:tcPr>
            <w:tcW w:w="86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paragraph will apply. If this paragraph applies, and the event triggering settlement is your</w:t>
            </w:r>
          </w:p>
        </w:tc>
      </w:tr>
      <w:tr>
        <w:trPr>
          <w:trHeight w:val="243"/>
        </w:trPr>
        <w:tc>
          <w:tcPr>
            <w:tcW w:w="2560" w:type="dxa"/>
            <w:vAlign w:val="bottom"/>
          </w:tcPr>
          <w:p>
            <w:pPr>
              <w:spacing w:after="0"/>
              <w:rPr>
                <w:sz w:val="21"/>
                <w:szCs w:val="21"/>
                <w:color w:val="auto"/>
              </w:rPr>
            </w:pPr>
          </w:p>
        </w:tc>
        <w:tc>
          <w:tcPr>
            <w:tcW w:w="86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“separation from service,” then any RSUs that otherwise would have been settled during the</w:t>
            </w:r>
          </w:p>
        </w:tc>
      </w:tr>
      <w:tr>
        <w:trPr>
          <w:trHeight w:val="243"/>
        </w:trPr>
        <w:tc>
          <w:tcPr>
            <w:tcW w:w="2560" w:type="dxa"/>
            <w:vAlign w:val="bottom"/>
          </w:tcPr>
          <w:p>
            <w:pPr>
              <w:spacing w:after="0"/>
              <w:rPr>
                <w:sz w:val="21"/>
                <w:szCs w:val="21"/>
                <w:color w:val="auto"/>
              </w:rPr>
            </w:pPr>
          </w:p>
        </w:tc>
        <w:tc>
          <w:tcPr>
            <w:tcW w:w="86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first six months following your “separation from service” will instead be settled on the first</w:t>
            </w:r>
          </w:p>
        </w:tc>
      </w:tr>
      <w:tr>
        <w:trPr>
          <w:trHeight w:val="243"/>
        </w:trPr>
        <w:tc>
          <w:tcPr>
            <w:tcW w:w="2560" w:type="dxa"/>
            <w:vAlign w:val="bottom"/>
          </w:tcPr>
          <w:p>
            <w:pPr>
              <w:spacing w:after="0"/>
              <w:rPr>
                <w:sz w:val="21"/>
                <w:szCs w:val="21"/>
                <w:color w:val="auto"/>
              </w:rPr>
            </w:pPr>
          </w:p>
        </w:tc>
        <w:tc>
          <w:tcPr>
            <w:tcW w:w="86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business day following the earlier of (i) the six-month anniversary of your separation from</w:t>
            </w:r>
          </w:p>
        </w:tc>
      </w:tr>
      <w:tr>
        <w:trPr>
          <w:trHeight w:val="282"/>
        </w:trPr>
        <w:tc>
          <w:tcPr>
            <w:tcW w:w="2560" w:type="dxa"/>
            <w:vAlign w:val="bottom"/>
          </w:tcPr>
          <w:p>
            <w:pPr>
              <w:spacing w:after="0"/>
              <w:rPr>
                <w:sz w:val="24"/>
                <w:szCs w:val="24"/>
                <w:color w:val="auto"/>
              </w:rPr>
            </w:pPr>
          </w:p>
        </w:tc>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service or (ii) your death.</w:t>
            </w:r>
          </w:p>
        </w:tc>
      </w:tr>
      <w:tr>
        <w:trPr>
          <w:trHeight w:val="311"/>
        </w:trPr>
        <w:tc>
          <w:tcPr>
            <w:tcW w:w="2560" w:type="dxa"/>
            <w:vAlign w:val="bottom"/>
          </w:tcPr>
          <w:p>
            <w:pPr>
              <w:spacing w:after="0"/>
              <w:rPr>
                <w:sz w:val="24"/>
                <w:szCs w:val="24"/>
                <w:color w:val="auto"/>
              </w:rPr>
            </w:pPr>
          </w:p>
        </w:tc>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Each installment of RSUs that vests is hereby designated as a separate payment for</w:t>
            </w:r>
          </w:p>
        </w:tc>
      </w:tr>
      <w:tr>
        <w:trPr>
          <w:trHeight w:val="282"/>
        </w:trPr>
        <w:tc>
          <w:tcPr>
            <w:tcW w:w="2560" w:type="dxa"/>
            <w:vAlign w:val="bottom"/>
          </w:tcPr>
          <w:p>
            <w:pPr>
              <w:spacing w:after="0"/>
              <w:rPr>
                <w:sz w:val="24"/>
                <w:szCs w:val="24"/>
                <w:color w:val="auto"/>
              </w:rPr>
            </w:pPr>
          </w:p>
        </w:tc>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purposes of Code Section 409A.</w:t>
            </w:r>
          </w:p>
        </w:tc>
      </w:tr>
      <w:tr>
        <w:trPr>
          <w:trHeight w:val="442"/>
        </w:trPr>
        <w:tc>
          <w:tcPr>
            <w:tcW w:w="25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No Voting Rights or</w:t>
            </w:r>
          </w:p>
        </w:tc>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Your RSUs carry neither voting rights nor rights to cash dividends. You have no rights as a</w:t>
            </w:r>
          </w:p>
        </w:tc>
      </w:tr>
      <w:tr>
        <w:trPr>
          <w:trHeight w:val="247"/>
        </w:trPr>
        <w:tc>
          <w:tcPr>
            <w:tcW w:w="2560" w:type="dxa"/>
            <w:vAlign w:val="bottom"/>
          </w:tcPr>
          <w:p>
            <w:pPr>
              <w:ind w:left="200"/>
              <w:spacing w:after="0" w:line="247" w:lineRule="exact"/>
              <w:rPr>
                <w:sz w:val="20"/>
                <w:szCs w:val="20"/>
                <w:color w:val="auto"/>
              </w:rPr>
            </w:pPr>
            <w:r>
              <w:rPr>
                <w:rFonts w:ascii="Times New Roman" w:cs="Times New Roman" w:eastAsia="Times New Roman" w:hAnsi="Times New Roman"/>
                <w:sz w:val="22"/>
                <w:szCs w:val="22"/>
                <w:b w:val="1"/>
                <w:bCs w:val="1"/>
                <w:color w:val="auto"/>
              </w:rPr>
              <w:t>Dividends</w:t>
            </w:r>
          </w:p>
        </w:tc>
        <w:tc>
          <w:tcPr>
            <w:tcW w:w="8680" w:type="dxa"/>
            <w:vAlign w:val="bottom"/>
          </w:tcPr>
          <w:p>
            <w:pPr>
              <w:ind w:left="520"/>
              <w:spacing w:after="0" w:line="247" w:lineRule="exact"/>
              <w:rPr>
                <w:sz w:val="20"/>
                <w:szCs w:val="20"/>
                <w:color w:val="auto"/>
              </w:rPr>
            </w:pPr>
            <w:r>
              <w:rPr>
                <w:rFonts w:ascii="Times New Roman" w:cs="Times New Roman" w:eastAsia="Times New Roman" w:hAnsi="Times New Roman"/>
                <w:sz w:val="22"/>
                <w:szCs w:val="22"/>
                <w:color w:val="auto"/>
              </w:rPr>
              <w:t>stockholder of the Company unless and until your RSUs are settled by issuing shares of the</w:t>
            </w:r>
          </w:p>
        </w:tc>
      </w:tr>
      <w:tr>
        <w:trPr>
          <w:trHeight w:val="282"/>
        </w:trPr>
        <w:tc>
          <w:tcPr>
            <w:tcW w:w="2560" w:type="dxa"/>
            <w:vAlign w:val="bottom"/>
          </w:tcPr>
          <w:p>
            <w:pPr>
              <w:spacing w:after="0"/>
              <w:rPr>
                <w:sz w:val="24"/>
                <w:szCs w:val="24"/>
                <w:color w:val="auto"/>
              </w:rPr>
            </w:pPr>
          </w:p>
        </w:tc>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Company’s common stock.</w:t>
            </w:r>
          </w:p>
        </w:tc>
      </w:tr>
      <w:tr>
        <w:trPr>
          <w:trHeight w:val="467"/>
        </w:trPr>
        <w:tc>
          <w:tcPr>
            <w:tcW w:w="2560" w:type="dxa"/>
            <w:vAlign w:val="bottom"/>
            <w:tcBorders>
              <w:bottom w:val="single" w:sz="8" w:color="9A9A9A"/>
            </w:tcBorders>
          </w:tcPr>
          <w:p>
            <w:pPr>
              <w:spacing w:after="0"/>
              <w:rPr>
                <w:sz w:val="24"/>
                <w:szCs w:val="24"/>
                <w:color w:val="auto"/>
              </w:rPr>
            </w:pPr>
          </w:p>
        </w:tc>
        <w:tc>
          <w:tcPr>
            <w:tcW w:w="8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2"/>
          <w:szCs w:val="22"/>
          <w:b w:val="1"/>
          <w:bCs w:val="1"/>
          <w:color w:val="auto"/>
        </w:rPr>
        <w:t>RSUs Nontransferable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Beneficiary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Responsibility for Taxes</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Times New Roman" w:cs="Times New Roman" w:eastAsia="Times New Roman" w:hAnsi="Times New Roman"/>
          <w:sz w:val="22"/>
          <w:szCs w:val="22"/>
          <w:color w:val="auto"/>
        </w:rPr>
        <w:t>You may not sell, transfer, assign, pledge or otherwise dispose of any RSUs. For instance, you may not use the RSUs as security for a loan. In addition, regardless of any marital property settlement agreement, the Company is not obligated to recognize your former spouse’s interest in the RSUs in any way.</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You may dispose of your RSUs in a written beneficiary designation if authorized by the Company and to the extent such beneficiary designation is valid under applicable law. Any beneficiary designation must be filed with the Company on the proper form. It will be recognized only if it has been received at the Company’s headquarters before your death. If you file no beneficiary designation or if none of your designated beneficiaries survives you, then your estate will receive any vested RSUs that you hold at the time of your death.</w:t>
      </w:r>
    </w:p>
    <w:p>
      <w:pPr>
        <w:spacing w:after="0" w:line="7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Regardless of any action the Company or the Service Recipient takes with respect to any or all income tax, social insurance, payroll tax, fringe benefits tax, payment on account or other tax-related items related to your participation in the Plan and legally applicable or deemed legally applicable to you (“Tax-Related Items”), you acknowledge that the ultimate liability for all Tax-Related Items is and remains your responsibility and may exceed the amount, if any, actually withheld by the Company and/or the Service Recipient. You further acknowledge that the Company and the Service Recipient (1) make no representations or undertakings regarding the treatment of any Tax-Related Items in connection with any aspect of the RSUs, including, but not limited to, the grant or vesting of the RSUs, the issuance of shares upon vesting of the RSUs, the subsequent sale of shares acquired pursuant to such vesting or the receipt of any dividends and/or any dividend equivalents; and (2) do not commit to, and are under no obligation to, structure the terms of the RSUs or any aspect of the RSUs to reduce or eliminate your liability for Tax-Related Items or achieve any particular tax result. Further, if you are subject to tax in more than one jurisdiction, you acknowledge that the Company and/or the Service Recipient (or former employer, as applicable) may be required to withhold or account for Tax-Related Items in more than one jurisdiction.</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Prior to any relevant taxable or tax withholding event, as applicable, you agree to make adequate arrangements satisfactory to the Company and/or the Service Recipient to satisfy all Tax-Related Items. In this regard, you authorize the Company and/or the Service Recipient to satisfy any withholding obligations with regard to Tax-Related Items by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350520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20" w:space="660"/>
            <w:col w:w="7960"/>
          </w:cols>
          <w:pgMar w:left="520" w:top="472" w:right="53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on Issuance</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Restrictions on Resale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Retention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Nature of Grant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Times New Roman" w:cs="Times New Roman" w:eastAsia="Times New Roman" w:hAnsi="Times New Roman"/>
          <w:sz w:val="22"/>
          <w:szCs w:val="22"/>
          <w:color w:val="auto"/>
        </w:rPr>
        <w:t>Instructing a brokerage firm selected by the Company for this purpose to sell on your behalf a number of whole shares of Company stock to be issued to you when the RSUs are settled that the Company or its designee determines is appropriate to generate cash proceeds sufficient to satisfy the Tax-Related Items (“Sell-to-Cover Settlement Method”). You acknowledge that the Company or its designee is under no obligation to arrange for such sale at any particular price. Regardless of whether the Company arranges for such sale, you will be responsible for all fees and other costs of sale, and you agree to indemnify and hold the Company harmless from any losses, costs, damages or expenses relating to any such sale.</w:t>
      </w: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will not issue any shares to you if the issuance of shares at that time would violate any law or regulation.</w:t>
      </w:r>
    </w:p>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To the extent that you are a U.S.-based Service provider, you understand that neither this award nor this Agreement alters the at-will nature of your relationship with the Company or the Service Recipient. Your award or this Agreement does not give you the right to be retained by the Company, a Parent, Subsidiary, or an Affiliate in any capacity. The Company and its Parents, Subsidiaries, and Affiliates reserve the right to terminate your Service at any time, with or without cause.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accepting the RSUs, you acknowledge, understand and agree that:</w:t>
      </w:r>
    </w:p>
    <w:p>
      <w:pPr>
        <w:spacing w:after="0" w:line="205" w:lineRule="exact"/>
        <w:rPr>
          <w:sz w:val="20"/>
          <w:szCs w:val="20"/>
          <w:color w:val="auto"/>
        </w:rPr>
      </w:pPr>
    </w:p>
    <w:p>
      <w:pPr>
        <w:jc w:val="both"/>
        <w:ind w:left="240" w:right="20" w:hanging="219"/>
        <w:spacing w:after="0" w:line="244" w:lineRule="auto"/>
        <w:tabs>
          <w:tab w:leader="none" w:pos="2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is wholly discretionary in nature and may be modified, amended, suspended, or terminated by the Company at any time, to the extent permitted by the Plan;</w:t>
      </w:r>
    </w:p>
    <w:p>
      <w:pPr>
        <w:spacing w:after="0" w:line="172" w:lineRule="exact"/>
        <w:rPr>
          <w:rFonts w:ascii="Times New Roman" w:cs="Times New Roman" w:eastAsia="Times New Roman" w:hAnsi="Times New Roman"/>
          <w:sz w:val="22"/>
          <w:szCs w:val="22"/>
          <w:color w:val="auto"/>
        </w:rPr>
      </w:pPr>
    </w:p>
    <w:p>
      <w:pPr>
        <w:jc w:val="both"/>
        <w:ind w:left="240" w:right="200" w:hanging="219"/>
        <w:spacing w:after="0" w:line="244" w:lineRule="auto"/>
        <w:tabs>
          <w:tab w:leader="none" w:pos="2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RSUs is exceptional, voluntary and occasional and does not create any contractual or other right to receive future grants of restricted stock units, or benefits in lieu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208280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40" w:space="640"/>
            <w:col w:w="7960"/>
          </w:cols>
          <w:pgMar w:left="520" w:top="368" w:right="539" w:bottom="1440" w:gutter="0" w:footer="0" w:header="0"/>
        </w:sectPr>
      </w:pPr>
    </w:p>
    <w:bookmarkStart w:id="175" w:name="page176"/>
    <w:bookmarkEnd w:id="175"/>
    <w:p>
      <w:pPr>
        <w:ind w:left="2200"/>
        <w:spacing w:after="0"/>
        <w:rPr>
          <w:sz w:val="20"/>
          <w:szCs w:val="20"/>
          <w:color w:val="auto"/>
        </w:rPr>
      </w:pPr>
      <w:r>
        <w:rPr>
          <w:rFonts w:ascii="Times New Roman" w:cs="Times New Roman" w:eastAsia="Times New Roman" w:hAnsi="Times New Roman"/>
          <w:sz w:val="22"/>
          <w:szCs w:val="22"/>
          <w:color w:val="auto"/>
        </w:rPr>
        <w:t>restricted stock units, even if restricted stock units have been granted in the past;</w:t>
      </w:r>
    </w:p>
    <w:p>
      <w:pPr>
        <w:spacing w:after="0" w:line="205" w:lineRule="exact"/>
        <w:rPr>
          <w:sz w:val="20"/>
          <w:szCs w:val="20"/>
          <w:color w:val="auto"/>
        </w:rPr>
      </w:pPr>
    </w:p>
    <w:p>
      <w:pPr>
        <w:ind w:left="2200" w:right="140" w:hanging="219"/>
        <w:spacing w:after="0" w:line="258" w:lineRule="auto"/>
        <w:tabs>
          <w:tab w:leader="none" w:pos="220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of restricted stock units or other grants, if any, will be at the sole discretion of the Company;</w:t>
      </w:r>
    </w:p>
    <w:p>
      <w:pPr>
        <w:spacing w:after="0" w:line="157" w:lineRule="exact"/>
        <w:rPr>
          <w:rFonts w:ascii="Times New Roman" w:cs="Times New Roman" w:eastAsia="Times New Roman" w:hAnsi="Times New Roman"/>
          <w:sz w:val="22"/>
          <w:szCs w:val="22"/>
          <w:color w:val="auto"/>
        </w:rPr>
      </w:pPr>
    </w:p>
    <w:p>
      <w:pPr>
        <w:ind w:left="2500" w:hanging="520"/>
        <w:spacing w:after="0"/>
        <w:tabs>
          <w:tab w:leader="none" w:pos="250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are voluntarily participating in the Plan;</w:t>
      </w:r>
    </w:p>
    <w:p>
      <w:pPr>
        <w:spacing w:after="0" w:line="205" w:lineRule="exact"/>
        <w:rPr>
          <w:rFonts w:ascii="Times New Roman" w:cs="Times New Roman" w:eastAsia="Times New Roman" w:hAnsi="Times New Roman"/>
          <w:sz w:val="22"/>
          <w:szCs w:val="22"/>
          <w:color w:val="auto"/>
        </w:rPr>
      </w:pPr>
    </w:p>
    <w:p>
      <w:pPr>
        <w:ind w:left="2260" w:right="340" w:hanging="292"/>
        <w:spacing w:after="0" w:line="258" w:lineRule="auto"/>
        <w:tabs>
          <w:tab w:leader="none" w:pos="22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your participation in the Plan shall not create a right of employment or other Service relationship with the Company;</w:t>
      </w:r>
    </w:p>
    <w:p>
      <w:pPr>
        <w:spacing w:after="0" w:line="157" w:lineRule="exact"/>
        <w:rPr>
          <w:rFonts w:ascii="Times New Roman" w:cs="Times New Roman" w:eastAsia="Times New Roman" w:hAnsi="Times New Roman"/>
          <w:sz w:val="22"/>
          <w:szCs w:val="22"/>
          <w:color w:val="auto"/>
        </w:rPr>
      </w:pPr>
    </w:p>
    <w:p>
      <w:pPr>
        <w:ind w:left="2200" w:hanging="219"/>
        <w:spacing w:after="0" w:line="237" w:lineRule="auto"/>
        <w:tabs>
          <w:tab w:leader="none" w:pos="220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your participation in the Plan shall not be interpreted as forming or amending an employment or service contract with the Company or the Service Recipient, and shall not interfere with the ability of the Company, the Service Recipient or any Parent, Subsidiary or Affiliate, as applicable, to terminate your employment or Service relationship (if any);</w:t>
      </w:r>
    </w:p>
    <w:p>
      <w:pPr>
        <w:spacing w:after="0" w:line="180" w:lineRule="exact"/>
        <w:rPr>
          <w:rFonts w:ascii="Times New Roman" w:cs="Times New Roman" w:eastAsia="Times New Roman" w:hAnsi="Times New Roman"/>
          <w:sz w:val="22"/>
          <w:szCs w:val="22"/>
          <w:color w:val="auto"/>
        </w:rPr>
      </w:pPr>
    </w:p>
    <w:p>
      <w:pPr>
        <w:ind w:left="2200" w:right="140" w:hanging="219"/>
        <w:spacing w:after="0" w:line="258" w:lineRule="auto"/>
        <w:tabs>
          <w:tab w:leader="none" w:pos="220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any shares acquired under the Plan, and the income from and value of the same,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ind w:left="2200" w:hanging="219"/>
        <w:spacing w:after="0" w:line="237" w:lineRule="auto"/>
        <w:tabs>
          <w:tab w:leader="none" w:pos="220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any shares acquired under the Plan, and the income from and value of the same, are not part of normal or expected compensation for any purposes, including but not limited to, calculating any severance, resignation, termination, redundancy, dismissal, end-of-service payments, bonuses, long-service awards, holiday pay, pension or retirement or welfare benefits or similar payments;</w:t>
      </w:r>
    </w:p>
    <w:p>
      <w:pPr>
        <w:spacing w:after="0" w:line="180" w:lineRule="exact"/>
        <w:rPr>
          <w:rFonts w:ascii="Times New Roman" w:cs="Times New Roman" w:eastAsia="Times New Roman" w:hAnsi="Times New Roman"/>
          <w:sz w:val="22"/>
          <w:szCs w:val="22"/>
          <w:color w:val="auto"/>
        </w:rPr>
      </w:pPr>
    </w:p>
    <w:p>
      <w:pPr>
        <w:ind w:left="2200" w:right="480" w:hanging="219"/>
        <w:spacing w:after="0" w:line="258" w:lineRule="auto"/>
        <w:tabs>
          <w:tab w:leader="none" w:pos="220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RSUs is unknown, indeterminable, and cannot be predicted with certainty;</w:t>
      </w:r>
    </w:p>
    <w:p>
      <w:pPr>
        <w:spacing w:after="0" w:line="15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10no claim or entitlement to compensation or damages shall arise from forfeiture of any</w:t>
      </w:r>
    </w:p>
    <w:p>
      <w:pPr>
        <w:spacing w:after="0" w:line="14" w:lineRule="exact"/>
        <w:rPr>
          <w:sz w:val="20"/>
          <w:szCs w:val="20"/>
          <w:color w:val="auto"/>
        </w:rPr>
      </w:pPr>
    </w:p>
    <w:p>
      <w:pPr>
        <w:ind w:left="2200" w:right="160" w:hanging="219"/>
        <w:spacing w:after="0" w:line="263" w:lineRule="auto"/>
        <w:tabs>
          <w:tab w:leader="none" w:pos="22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 of the RSUs resulting from your termination of Service (for any reason whatsoever and regardless of whether or not later found to be invalid or in breach of employment or other laws in the jurisdiction where you are employed or otherwise rendering services or the terms of your employment or other service agreement, if any);</w:t>
      </w:r>
    </w:p>
    <w:p>
      <w:pPr>
        <w:spacing w:after="0" w:line="155" w:lineRule="exact"/>
        <w:rPr>
          <w:sz w:val="20"/>
          <w:szCs w:val="20"/>
          <w:color w:val="auto"/>
        </w:rPr>
      </w:pPr>
    </w:p>
    <w:p>
      <w:pPr>
        <w:ind w:left="2260" w:right="180" w:hanging="280"/>
        <w:spacing w:after="0" w:line="244" w:lineRule="auto"/>
        <w:tabs>
          <w:tab w:leader="none" w:pos="22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in writing, the RSUs and the shares subject to the RSUs, and the income from and value of the same, are not granted as consideration for,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208280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584" w:right="539" w:bottom="1440" w:gutter="0" w:footer="0" w:header="0"/>
        </w:sectPr>
      </w:pPr>
    </w:p>
    <w:bookmarkStart w:id="176" w:name="page177"/>
    <w:bookmarkEnd w:id="176"/>
    <w:p>
      <w:pPr>
        <w:ind w:left="2260" w:right="540"/>
        <w:spacing w:after="0" w:line="258" w:lineRule="auto"/>
        <w:rPr>
          <w:sz w:val="20"/>
          <w:szCs w:val="20"/>
          <w:color w:val="auto"/>
        </w:rPr>
      </w:pPr>
      <w:r>
        <w:rPr>
          <w:rFonts w:ascii="Times New Roman" w:cs="Times New Roman" w:eastAsia="Times New Roman" w:hAnsi="Times New Roman"/>
          <w:sz w:val="22"/>
          <w:szCs w:val="22"/>
          <w:color w:val="auto"/>
        </w:rPr>
        <w:t>in connection with, the Service you may provide as a director of any Subsidiary or Affiliate;</w:t>
      </w:r>
    </w:p>
    <w:p>
      <w:pPr>
        <w:spacing w:after="0" w:line="157" w:lineRule="exact"/>
        <w:rPr>
          <w:sz w:val="20"/>
          <w:szCs w:val="20"/>
          <w:color w:val="auto"/>
        </w:rPr>
      </w:pPr>
    </w:p>
    <w:p>
      <w:pPr>
        <w:ind w:left="2260" w:right="40" w:hanging="280"/>
        <w:spacing w:after="0" w:line="237" w:lineRule="auto"/>
        <w:tabs>
          <w:tab w:leader="none" w:pos="22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260" w:hanging="280"/>
        <w:spacing w:after="0" w:line="237" w:lineRule="auto"/>
        <w:tabs>
          <w:tab w:leader="none" w:pos="22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the Service Recipient nor any other Parent, Subsidiary or Affiliate shall be liable for any foreign exchange rate fluctuation between your local currency and the U.S. dollar that may affect the value of the RSUs or of any amounts due to you pursuant to the vesting of the RSUs or the subsequent sale of any shares acquired upon settlement of the RSUs.</w:t>
      </w:r>
    </w:p>
    <w:p>
      <w:pPr>
        <w:spacing w:after="0" w:line="147" w:lineRule="exact"/>
        <w:rPr>
          <w:sz w:val="20"/>
          <w:szCs w:val="20"/>
          <w:color w:val="auto"/>
        </w:rPr>
      </w:pPr>
    </w:p>
    <w:p>
      <w:pPr>
        <w:jc w:val="both"/>
        <w:ind w:left="1960" w:hanging="2885"/>
        <w:spacing w:after="0" w:line="238" w:lineRule="auto"/>
        <w:tabs>
          <w:tab w:leader="none" w:pos="1940" w:val="left"/>
        </w:tabs>
        <w:rPr>
          <w:sz w:val="20"/>
          <w:szCs w:val="20"/>
          <w:color w:val="auto"/>
        </w:rPr>
      </w:pPr>
      <w:r>
        <w:rPr>
          <w:rFonts w:ascii="Times New Roman" w:cs="Times New Roman" w:eastAsia="Times New Roman" w:hAnsi="Times New Roman"/>
          <w:sz w:val="22"/>
          <w:szCs w:val="22"/>
          <w:b w:val="1"/>
          <w:bCs w:val="1"/>
          <w:color w:val="auto"/>
        </w:rPr>
        <w:t>Data Privacy and Consent</w:t>
      </w:r>
      <w:r>
        <w:rPr>
          <w:sz w:val="20"/>
          <w:szCs w:val="20"/>
          <w:color w:val="auto"/>
        </w:rPr>
        <w:tab/>
      </w:r>
      <w:r>
        <w:rPr>
          <w:rFonts w:ascii="Times New Roman" w:cs="Times New Roman" w:eastAsia="Times New Roman" w:hAnsi="Times New Roman"/>
          <w:sz w:val="22"/>
          <w:szCs w:val="22"/>
          <w:b w:val="1"/>
          <w:bCs w:val="1"/>
          <w:i w:val="1"/>
          <w:iCs w:val="1"/>
          <w:color w:val="auto"/>
        </w:rPr>
        <w:t>You hereby explicitly and unambiguously consent to the collection, use and transfer, in electronic or other form, of your personal data as described in this Agreement and any other grant materials by and among, as applicable, the Company, the Service Recipient and any other Subsidiary or Affiliate for the exclusive purpose of implementing, administering and managing your participation in the Plan.</w:t>
      </w:r>
    </w:p>
    <w:p>
      <w:pPr>
        <w:spacing w:after="0" w:line="67" w:lineRule="exact"/>
        <w:rPr>
          <w:sz w:val="20"/>
          <w:szCs w:val="20"/>
          <w:color w:val="auto"/>
        </w:rPr>
      </w:pPr>
    </w:p>
    <w:p>
      <w:pPr>
        <w:jc w:val="both"/>
        <w:ind w:left="196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You understand and acknowledge that the Company and the Service Recipient hold certain personal information about you, including, but not limited to, your name, home address and telephone number, date of birth, social insurance number or other identification number, salary, nationality, job title, any shares or directorships held in the Company, details of all RSUs or any other entitlement to shares awarded, canceled, exercised, vested, unvested or outstanding in your favor (“Data”) for the purpose of implementing, managing and administering your participation in the Plan.</w:t>
      </w:r>
    </w:p>
    <w:p>
      <w:pPr>
        <w:spacing w:after="0" w:line="66" w:lineRule="exact"/>
        <w:rPr>
          <w:sz w:val="20"/>
          <w:szCs w:val="20"/>
          <w:color w:val="auto"/>
        </w:rPr>
      </w:pPr>
    </w:p>
    <w:p>
      <w:pPr>
        <w:jc w:val="both"/>
        <w:ind w:left="1960"/>
        <w:spacing w:after="0" w:line="238" w:lineRule="auto"/>
        <w:rPr>
          <w:sz w:val="20"/>
          <w:szCs w:val="20"/>
          <w:color w:val="auto"/>
        </w:rPr>
      </w:pPr>
      <w:r>
        <w:rPr>
          <w:rFonts w:ascii="Times New Roman" w:cs="Times New Roman" w:eastAsia="Times New Roman" w:hAnsi="Times New Roman"/>
          <w:sz w:val="22"/>
          <w:szCs w:val="22"/>
          <w:b w:val="1"/>
          <w:bCs w:val="1"/>
          <w:i w:val="1"/>
          <w:iCs w:val="1"/>
          <w:color w:val="auto"/>
        </w:rPr>
        <w:t>You hereby explicitly and unambiguously consent to the collection, use and transfer, in electronic or other form, of your Data as described in this Agreement and any other grant materials by and among, as applicable, the Service Recipient, the Company and its other Subsidiaries and Affiliates for the exclusive purpose of implementing, administering and managing your participation in the Plan.</w:t>
      </w:r>
    </w:p>
    <w:p>
      <w:pPr>
        <w:spacing w:after="0" w:line="67" w:lineRule="exact"/>
        <w:rPr>
          <w:sz w:val="20"/>
          <w:szCs w:val="20"/>
          <w:color w:val="auto"/>
        </w:rPr>
      </w:pPr>
    </w:p>
    <w:p>
      <w:pPr>
        <w:jc w:val="both"/>
        <w:ind w:left="1960"/>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Data will be transferred to Fidelity Brokerage Services LLC or its affiliates (“Fidelity”), or such other stock plan service provider as may be selected by the Company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208280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584" w:right="5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53"/>
        </w:trPr>
        <w:tc>
          <w:tcPr>
            <w:tcW w:w="2640" w:type="dxa"/>
            <w:vAlign w:val="bottom"/>
          </w:tcPr>
          <w:p>
            <w:pPr>
              <w:spacing w:after="0"/>
              <w:rPr>
                <w:sz w:val="22"/>
                <w:szCs w:val="22"/>
                <w:color w:val="auto"/>
              </w:rPr>
            </w:pPr>
          </w:p>
        </w:tc>
        <w:tc>
          <w:tcPr>
            <w:tcW w:w="8600" w:type="dxa"/>
            <w:vAlign w:val="bottom"/>
          </w:tcPr>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which  is  assisting  the  Company  with  the  implementation,  administration  and</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management of the Plan. You understand that the recipients of the Data may be located</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in the United States or elsewhere, and that the recipients’ country (e.g., the United States)</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may have different data privacy laws and protections than your country. You understand</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that if you reside outside the United States, you may request a list with the names and</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addresses of any potential recipients of the Data by contacting your Privacy Officer. You</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authorize the Company, Fidelity and any other possible recipients which may assist the</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Company (presently or in the future) with implementing, administering and managing</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the Plan to receive, possess, use, retain and transfer the Data, in electronic or other form,</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for the sole purpose of implementing, administering and managing your participation in</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the Plan.  You understand that Data will be held only as long as is necessary to</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implement, administer and manage your participation in the Plan, or as required for the</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Company or the Service Recipient to comply with legal or regulatory obligations.  You</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understand that if you reside outside the United States, you may, at any time, view Data,</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request information about the storage and processing of Data, require any necessary</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amendments to Data or refuse or withdraw the consents herein, in any case without cost,</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by contacting in writing your Privacy officer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Further, you understand that you are</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providing the consents herein on a purely voluntary basis.  If you do not consent, or if</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you later seek to revoke your consent, your employment status or Service with the Service</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Recipient will not be affected; the only consequence of refusing or withdrawing your</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consent is that the Company would not be able to grant RSUs or other equity awards to</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you or administer or maintain such awards. Therefore, you understand that refusing or</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withdrawing your consent may affect your ability to participate in the Plan. For more</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information on the consequences of your refusal to consent or withdrawal of consent,</w:t>
            </w:r>
          </w:p>
        </w:tc>
      </w:tr>
      <w:tr>
        <w:trPr>
          <w:trHeight w:val="288"/>
        </w:trPr>
        <w:tc>
          <w:tcPr>
            <w:tcW w:w="2640" w:type="dxa"/>
            <w:vAlign w:val="bottom"/>
          </w:tcPr>
          <w:p>
            <w:pPr>
              <w:spacing w:after="0"/>
              <w:rPr>
                <w:sz w:val="24"/>
                <w:szCs w:val="24"/>
                <w:color w:val="auto"/>
              </w:rPr>
            </w:pPr>
          </w:p>
        </w:tc>
        <w:tc>
          <w:tcPr>
            <w:tcW w:w="8600" w:type="dxa"/>
            <w:vAlign w:val="bottom"/>
          </w:tcPr>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you understand that you may contact your Privacy Officer.</w:t>
            </w:r>
          </w:p>
        </w:tc>
      </w:tr>
      <w:tr>
        <w:trPr>
          <w:trHeight w:val="442"/>
        </w:trPr>
        <w:tc>
          <w:tcPr>
            <w:tcW w:w="26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No Advice Regarding</w:t>
            </w:r>
          </w:p>
        </w:tc>
        <w:tc>
          <w:tcPr>
            <w:tcW w:w="86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The Company is not providing any tax, legal or financial advice, nor is the Company</w:t>
            </w:r>
          </w:p>
        </w:tc>
      </w:tr>
      <w:tr>
        <w:trPr>
          <w:trHeight w:val="247"/>
        </w:trPr>
        <w:tc>
          <w:tcPr>
            <w:tcW w:w="2640" w:type="dxa"/>
            <w:vAlign w:val="bottom"/>
          </w:tcPr>
          <w:p>
            <w:pPr>
              <w:ind w:left="200"/>
              <w:spacing w:after="0" w:line="247" w:lineRule="exact"/>
              <w:rPr>
                <w:sz w:val="20"/>
                <w:szCs w:val="20"/>
                <w:color w:val="auto"/>
              </w:rPr>
            </w:pPr>
            <w:r>
              <w:rPr>
                <w:rFonts w:ascii="Times New Roman" w:cs="Times New Roman" w:eastAsia="Times New Roman" w:hAnsi="Times New Roman"/>
                <w:sz w:val="22"/>
                <w:szCs w:val="22"/>
                <w:b w:val="1"/>
                <w:bCs w:val="1"/>
                <w:color w:val="auto"/>
              </w:rPr>
              <w:t>Grant</w:t>
            </w:r>
          </w:p>
        </w:tc>
        <w:tc>
          <w:tcPr>
            <w:tcW w:w="8600" w:type="dxa"/>
            <w:vAlign w:val="bottom"/>
          </w:tcPr>
          <w:p>
            <w:pPr>
              <w:ind w:left="440"/>
              <w:spacing w:after="0" w:line="247" w:lineRule="exact"/>
              <w:rPr>
                <w:sz w:val="20"/>
                <w:szCs w:val="20"/>
                <w:color w:val="auto"/>
              </w:rPr>
            </w:pPr>
            <w:r>
              <w:rPr>
                <w:rFonts w:ascii="Times New Roman" w:cs="Times New Roman" w:eastAsia="Times New Roman" w:hAnsi="Times New Roman"/>
                <w:sz w:val="22"/>
                <w:szCs w:val="22"/>
                <w:color w:val="auto"/>
              </w:rPr>
              <w:t>making any recommendations regarding your participation in the Plan, or your acquisition</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or sale of the underlying shares. You should consult with your own personal tax, legal and</w:t>
            </w:r>
          </w:p>
        </w:tc>
      </w:tr>
      <w:tr>
        <w:trPr>
          <w:trHeight w:val="243"/>
        </w:trPr>
        <w:tc>
          <w:tcPr>
            <w:tcW w:w="2640" w:type="dxa"/>
            <w:vAlign w:val="bottom"/>
          </w:tcPr>
          <w:p>
            <w:pPr>
              <w:spacing w:after="0"/>
              <w:rPr>
                <w:sz w:val="21"/>
                <w:szCs w:val="21"/>
                <w:color w:val="auto"/>
              </w:rPr>
            </w:pPr>
          </w:p>
        </w:tc>
        <w:tc>
          <w:tcPr>
            <w:tcW w:w="86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financial advisors regarding your participation in the Plan before taking any action related</w:t>
            </w:r>
          </w:p>
        </w:tc>
      </w:tr>
      <w:tr>
        <w:trPr>
          <w:trHeight w:val="282"/>
        </w:trPr>
        <w:tc>
          <w:tcPr>
            <w:tcW w:w="2640" w:type="dxa"/>
            <w:vAlign w:val="bottom"/>
          </w:tcPr>
          <w:p>
            <w:pPr>
              <w:spacing w:after="0"/>
              <w:rPr>
                <w:sz w:val="24"/>
                <w:szCs w:val="24"/>
                <w:color w:val="auto"/>
              </w:rPr>
            </w:pPr>
          </w:p>
        </w:tc>
        <w:tc>
          <w:tcPr>
            <w:tcW w:w="86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to the Plan.</w:t>
            </w:r>
          </w:p>
        </w:tc>
      </w:tr>
      <w:tr>
        <w:trPr>
          <w:trHeight w:val="446"/>
        </w:trPr>
        <w:tc>
          <w:tcPr>
            <w:tcW w:w="26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Adjustments</w:t>
            </w:r>
          </w:p>
        </w:tc>
        <w:tc>
          <w:tcPr>
            <w:tcW w:w="86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In the event of a stock split, a stock dividend or a similar change in Company stock, the</w:t>
            </w:r>
          </w:p>
        </w:tc>
      </w:tr>
      <w:tr>
        <w:trPr>
          <w:trHeight w:val="282"/>
        </w:trPr>
        <w:tc>
          <w:tcPr>
            <w:tcW w:w="2640" w:type="dxa"/>
            <w:vAlign w:val="bottom"/>
          </w:tcPr>
          <w:p>
            <w:pPr>
              <w:spacing w:after="0"/>
              <w:rPr>
                <w:sz w:val="24"/>
                <w:szCs w:val="24"/>
                <w:color w:val="auto"/>
              </w:rPr>
            </w:pPr>
          </w:p>
        </w:tc>
        <w:tc>
          <w:tcPr>
            <w:tcW w:w="86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number of your RSUs will be adjusted pursuant to the Plan.</w:t>
            </w:r>
          </w:p>
        </w:tc>
      </w:tr>
      <w:tr>
        <w:trPr>
          <w:trHeight w:val="467"/>
        </w:trPr>
        <w:tc>
          <w:tcPr>
            <w:tcW w:w="264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53"/>
        </w:trPr>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Effect of Significant</w:t>
            </w:r>
          </w:p>
        </w:tc>
        <w:tc>
          <w:tcPr>
            <w:tcW w:w="8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If the Company is a party to a merger, consolidation, or certain change in control</w:t>
            </w:r>
          </w:p>
        </w:tc>
      </w:tr>
      <w:tr>
        <w:trPr>
          <w:trHeight w:val="247"/>
        </w:trPr>
        <w:tc>
          <w:tcPr>
            <w:tcW w:w="2740" w:type="dxa"/>
            <w:vAlign w:val="bottom"/>
          </w:tcPr>
          <w:p>
            <w:pPr>
              <w:ind w:left="200"/>
              <w:spacing w:after="0" w:line="247" w:lineRule="exact"/>
              <w:rPr>
                <w:sz w:val="20"/>
                <w:szCs w:val="20"/>
                <w:color w:val="auto"/>
              </w:rPr>
            </w:pPr>
            <w:r>
              <w:rPr>
                <w:rFonts w:ascii="Times New Roman" w:cs="Times New Roman" w:eastAsia="Times New Roman" w:hAnsi="Times New Roman"/>
                <w:sz w:val="22"/>
                <w:szCs w:val="22"/>
                <w:b w:val="1"/>
                <w:bCs w:val="1"/>
                <w:color w:val="auto"/>
              </w:rPr>
              <w:t>Corporate Transactions</w:t>
            </w:r>
          </w:p>
        </w:tc>
        <w:tc>
          <w:tcPr>
            <w:tcW w:w="8500" w:type="dxa"/>
            <w:vAlign w:val="bottom"/>
          </w:tcPr>
          <w:p>
            <w:pPr>
              <w:ind w:left="340"/>
              <w:spacing w:after="0" w:line="247" w:lineRule="exact"/>
              <w:rPr>
                <w:sz w:val="20"/>
                <w:szCs w:val="20"/>
                <w:color w:val="auto"/>
              </w:rPr>
            </w:pPr>
            <w:r>
              <w:rPr>
                <w:rFonts w:ascii="Times New Roman" w:cs="Times New Roman" w:eastAsia="Times New Roman" w:hAnsi="Times New Roman"/>
                <w:sz w:val="22"/>
                <w:szCs w:val="22"/>
                <w:color w:val="auto"/>
              </w:rPr>
              <w:t>transactions, then your RSUs will be subject to the applicable provisions of Article 9 of the</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Plan, provided that any action taken must either (a) preserve the exemption of your RSUs</w:t>
            </w:r>
          </w:p>
        </w:tc>
      </w:tr>
      <w:tr>
        <w:trPr>
          <w:trHeight w:val="282"/>
        </w:trPr>
        <w:tc>
          <w:tcPr>
            <w:tcW w:w="2740" w:type="dxa"/>
            <w:vAlign w:val="bottom"/>
          </w:tcPr>
          <w:p>
            <w:pPr>
              <w:spacing w:after="0"/>
              <w:rPr>
                <w:sz w:val="24"/>
                <w:szCs w:val="24"/>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from Code Section 409A or (b) comply with Code Section 409A.</w:t>
            </w:r>
          </w:p>
        </w:tc>
      </w:tr>
      <w:tr>
        <w:trPr>
          <w:trHeight w:val="446"/>
        </w:trPr>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Recoupment Policy</w:t>
            </w:r>
          </w:p>
        </w:tc>
        <w:tc>
          <w:tcPr>
            <w:tcW w:w="8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This award, and the shares acquired upon settlement of this award, shall be subject to any</w:t>
            </w:r>
          </w:p>
        </w:tc>
      </w:tr>
      <w:tr>
        <w:trPr>
          <w:trHeight w:val="282"/>
        </w:trPr>
        <w:tc>
          <w:tcPr>
            <w:tcW w:w="2740" w:type="dxa"/>
            <w:vAlign w:val="bottom"/>
          </w:tcPr>
          <w:p>
            <w:pPr>
              <w:spacing w:after="0"/>
              <w:rPr>
                <w:sz w:val="24"/>
                <w:szCs w:val="24"/>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Company recoupment or clawback policy in effect from time to time.</w:t>
            </w:r>
          </w:p>
        </w:tc>
      </w:tr>
      <w:tr>
        <w:trPr>
          <w:trHeight w:val="446"/>
        </w:trPr>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Compliance with Law</w:t>
            </w:r>
          </w:p>
        </w:tc>
        <w:tc>
          <w:tcPr>
            <w:tcW w:w="8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Notwithstanding any other provision of the Plan or this Agreement, unless there is an</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exemption from any registration, qualification or other legal requirement applicable to the</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shares, the Company shall not be required to issue any shares to you prior to the completion</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of any registration or qualification of the shares under any U.S. or non-U.S. state or federal</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securities or exchange control law or under rulings or regulations of the U.S. Securities and</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Exchange Commission or of any other governmental body, or prior to obtaining any</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approval or other clearance from any U.S. or non-U.S. local, state or federal governmental</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agency, which registration, qualification or approval the Company shall, in its absolute</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discretion, deem necessary or advisable.  You understand that the Company is under no</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obligation to register or qualify the shares with any U.S. or non-U.S. state or federal</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securities commission or to seek approval or clearance from any governmental authority for</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the issuance or sale of the shares. Further, you agree that the Company shall have unilateral</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authority to amend this Agreement without your consent to the extent necessary to comply</w:t>
            </w:r>
          </w:p>
        </w:tc>
      </w:tr>
      <w:tr>
        <w:trPr>
          <w:trHeight w:val="282"/>
        </w:trPr>
        <w:tc>
          <w:tcPr>
            <w:tcW w:w="2740" w:type="dxa"/>
            <w:vAlign w:val="bottom"/>
          </w:tcPr>
          <w:p>
            <w:pPr>
              <w:spacing w:after="0"/>
              <w:rPr>
                <w:sz w:val="24"/>
                <w:szCs w:val="24"/>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with securities or other laws applicable to the issuance of shares.</w:t>
            </w:r>
          </w:p>
        </w:tc>
      </w:tr>
      <w:tr>
        <w:trPr>
          <w:trHeight w:val="446"/>
        </w:trPr>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Language</w:t>
            </w:r>
          </w:p>
        </w:tc>
        <w:tc>
          <w:tcPr>
            <w:tcW w:w="8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You acknowledge that you are sufficiently proficient in English, or have consulted with an</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advisor who is sufficiently proficient in English, so as to allow you to understand the terms</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and conditions of this Agreement.  If you have received this Agreement, or any other</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documents related to the Plan translated into a language other than English and if the</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meanings of the translated version is different from the English version, the English version</w:t>
            </w:r>
          </w:p>
        </w:tc>
      </w:tr>
      <w:tr>
        <w:trPr>
          <w:trHeight w:val="282"/>
        </w:trPr>
        <w:tc>
          <w:tcPr>
            <w:tcW w:w="2740" w:type="dxa"/>
            <w:vAlign w:val="bottom"/>
          </w:tcPr>
          <w:p>
            <w:pPr>
              <w:spacing w:after="0"/>
              <w:rPr>
                <w:sz w:val="24"/>
                <w:szCs w:val="24"/>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will control.</w:t>
            </w:r>
          </w:p>
        </w:tc>
      </w:tr>
      <w:tr>
        <w:trPr>
          <w:trHeight w:val="446"/>
        </w:trPr>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Severability</w:t>
            </w:r>
          </w:p>
        </w:tc>
        <w:tc>
          <w:tcPr>
            <w:tcW w:w="8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The provisions of this Agreement are severable and if any one or more provisions are</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determined to be illegal or otherwise unenforceable, in whole or in part, the remaining</w:t>
            </w:r>
          </w:p>
        </w:tc>
      </w:tr>
      <w:tr>
        <w:trPr>
          <w:trHeight w:val="282"/>
        </w:trPr>
        <w:tc>
          <w:tcPr>
            <w:tcW w:w="2740" w:type="dxa"/>
            <w:vAlign w:val="bottom"/>
          </w:tcPr>
          <w:p>
            <w:pPr>
              <w:spacing w:after="0"/>
              <w:rPr>
                <w:sz w:val="24"/>
                <w:szCs w:val="24"/>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provisions shall nevertheless be binding and enforceable.</w:t>
            </w:r>
          </w:p>
        </w:tc>
      </w:tr>
      <w:tr>
        <w:trPr>
          <w:trHeight w:val="446"/>
        </w:trPr>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Appendix</w:t>
            </w:r>
          </w:p>
        </w:tc>
        <w:tc>
          <w:tcPr>
            <w:tcW w:w="8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Notwithstanding any provisions in this Agreement, the RSUs shall be subject to any</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additional terms and conditions for your country set forth in the Appendix attached hereto.</w:t>
            </w:r>
          </w:p>
        </w:tc>
      </w:tr>
      <w:tr>
        <w:trPr>
          <w:trHeight w:val="243"/>
        </w:trPr>
        <w:tc>
          <w:tcPr>
            <w:tcW w:w="2740" w:type="dxa"/>
            <w:vAlign w:val="bottom"/>
          </w:tcPr>
          <w:p>
            <w:pPr>
              <w:spacing w:after="0"/>
              <w:rPr>
                <w:sz w:val="21"/>
                <w:szCs w:val="21"/>
                <w:color w:val="auto"/>
              </w:rPr>
            </w:pPr>
          </w:p>
        </w:tc>
        <w:tc>
          <w:tcPr>
            <w:tcW w:w="85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Moreover, if you relocate to one of the countries included in the Appendix, the additional</w:t>
            </w:r>
          </w:p>
        </w:tc>
      </w:tr>
      <w:tr>
        <w:trPr>
          <w:trHeight w:val="282"/>
        </w:trPr>
        <w:tc>
          <w:tcPr>
            <w:tcW w:w="2740" w:type="dxa"/>
            <w:vAlign w:val="bottom"/>
          </w:tcPr>
          <w:p>
            <w:pPr>
              <w:spacing w:after="0"/>
              <w:rPr>
                <w:sz w:val="24"/>
                <w:szCs w:val="24"/>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terms</w:t>
            </w:r>
          </w:p>
        </w:tc>
      </w:tr>
      <w:tr>
        <w:trPr>
          <w:trHeight w:val="359"/>
        </w:trPr>
        <w:tc>
          <w:tcPr>
            <w:tcW w:w="274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53"/>
        </w:trPr>
        <w:tc>
          <w:tcPr>
            <w:tcW w:w="2780" w:type="dxa"/>
            <w:vAlign w:val="bottom"/>
          </w:tcPr>
          <w:p>
            <w:pPr>
              <w:spacing w:after="0"/>
              <w:rPr>
                <w:sz w:val="22"/>
                <w:szCs w:val="22"/>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and conditions for such country, if any, will apply to you, to the extent the Company</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determines that the application of such terms and conditions is necessary or advisable for</w:t>
            </w:r>
          </w:p>
        </w:tc>
      </w:tr>
      <w:tr>
        <w:trPr>
          <w:trHeight w:val="282"/>
        </w:trPr>
        <w:tc>
          <w:tcPr>
            <w:tcW w:w="2780" w:type="dxa"/>
            <w:vAlign w:val="bottom"/>
          </w:tcPr>
          <w:p>
            <w:pPr>
              <w:spacing w:after="0"/>
              <w:rPr>
                <w:sz w:val="24"/>
                <w:szCs w:val="24"/>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legal or administrative reasons. The Appendix constitutes part of this Agreement.</w:t>
            </w:r>
          </w:p>
        </w:tc>
      </w:tr>
      <w:tr>
        <w:trPr>
          <w:trHeight w:val="442"/>
        </w:trPr>
        <w:tc>
          <w:tcPr>
            <w:tcW w:w="27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Imposition of Other</w:t>
            </w:r>
          </w:p>
        </w:tc>
        <w:tc>
          <w:tcPr>
            <w:tcW w:w="8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The Company reserves the right to impose other requirements on your participation in the</w:t>
            </w:r>
          </w:p>
        </w:tc>
      </w:tr>
      <w:tr>
        <w:trPr>
          <w:trHeight w:val="247"/>
        </w:trPr>
        <w:tc>
          <w:tcPr>
            <w:tcW w:w="2780" w:type="dxa"/>
            <w:vAlign w:val="bottom"/>
          </w:tcPr>
          <w:p>
            <w:pPr>
              <w:ind w:left="200"/>
              <w:spacing w:after="0" w:line="247" w:lineRule="exact"/>
              <w:rPr>
                <w:sz w:val="20"/>
                <w:szCs w:val="20"/>
                <w:color w:val="auto"/>
              </w:rPr>
            </w:pPr>
            <w:r>
              <w:rPr>
                <w:rFonts w:ascii="Times New Roman" w:cs="Times New Roman" w:eastAsia="Times New Roman" w:hAnsi="Times New Roman"/>
                <w:sz w:val="22"/>
                <w:szCs w:val="22"/>
                <w:b w:val="1"/>
                <w:bCs w:val="1"/>
                <w:color w:val="auto"/>
              </w:rPr>
              <w:t>Requirements</w:t>
            </w:r>
          </w:p>
        </w:tc>
        <w:tc>
          <w:tcPr>
            <w:tcW w:w="8460" w:type="dxa"/>
            <w:vAlign w:val="bottom"/>
          </w:tcPr>
          <w:p>
            <w:pPr>
              <w:ind w:left="300"/>
              <w:spacing w:after="0" w:line="247" w:lineRule="exact"/>
              <w:rPr>
                <w:sz w:val="20"/>
                <w:szCs w:val="20"/>
                <w:color w:val="auto"/>
              </w:rPr>
            </w:pPr>
            <w:r>
              <w:rPr>
                <w:rFonts w:ascii="Times New Roman" w:cs="Times New Roman" w:eastAsia="Times New Roman" w:hAnsi="Times New Roman"/>
                <w:sz w:val="22"/>
                <w:szCs w:val="22"/>
                <w:color w:val="auto"/>
              </w:rPr>
              <w:t>Plan and on any shares acquired under the Plan, if the Company determines it is necessary</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or advisable for legal or administrative reasons, and to require you to sign any additional</w:t>
            </w:r>
          </w:p>
        </w:tc>
      </w:tr>
      <w:tr>
        <w:trPr>
          <w:trHeight w:val="282"/>
        </w:trPr>
        <w:tc>
          <w:tcPr>
            <w:tcW w:w="2780" w:type="dxa"/>
            <w:vAlign w:val="bottom"/>
          </w:tcPr>
          <w:p>
            <w:pPr>
              <w:spacing w:after="0"/>
              <w:rPr>
                <w:sz w:val="24"/>
                <w:szCs w:val="24"/>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agreements or undertakings that may be necessary to accomplish the foregoing.</w:t>
            </w:r>
          </w:p>
        </w:tc>
      </w:tr>
      <w:tr>
        <w:trPr>
          <w:trHeight w:val="446"/>
        </w:trPr>
        <w:tc>
          <w:tcPr>
            <w:tcW w:w="27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Waiver</w:t>
            </w:r>
          </w:p>
        </w:tc>
        <w:tc>
          <w:tcPr>
            <w:tcW w:w="8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You acknowledge that a waiver by the Company of a breach of any provision of this</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Agreement shall not operate or be construed as a waiver of any other provision of this</w:t>
            </w:r>
          </w:p>
        </w:tc>
      </w:tr>
      <w:tr>
        <w:trPr>
          <w:trHeight w:val="282"/>
        </w:trPr>
        <w:tc>
          <w:tcPr>
            <w:tcW w:w="2780" w:type="dxa"/>
            <w:vAlign w:val="bottom"/>
          </w:tcPr>
          <w:p>
            <w:pPr>
              <w:spacing w:after="0"/>
              <w:rPr>
                <w:sz w:val="24"/>
                <w:szCs w:val="24"/>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Agreement, or of any subsequent breach by you or any other participant.</w:t>
            </w:r>
          </w:p>
        </w:tc>
      </w:tr>
      <w:tr>
        <w:trPr>
          <w:trHeight w:val="442"/>
        </w:trPr>
        <w:tc>
          <w:tcPr>
            <w:tcW w:w="27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Insider Trading/Market</w:t>
            </w:r>
          </w:p>
        </w:tc>
        <w:tc>
          <w:tcPr>
            <w:tcW w:w="8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By accepting the RSUs, you acknowledge that you are bound by all the terms and</w:t>
            </w:r>
          </w:p>
        </w:tc>
      </w:tr>
      <w:tr>
        <w:trPr>
          <w:trHeight w:val="247"/>
        </w:trPr>
        <w:tc>
          <w:tcPr>
            <w:tcW w:w="2780" w:type="dxa"/>
            <w:vAlign w:val="bottom"/>
          </w:tcPr>
          <w:p>
            <w:pPr>
              <w:ind w:left="200"/>
              <w:spacing w:after="0" w:line="247" w:lineRule="exact"/>
              <w:rPr>
                <w:sz w:val="20"/>
                <w:szCs w:val="20"/>
                <w:color w:val="auto"/>
              </w:rPr>
            </w:pPr>
            <w:r>
              <w:rPr>
                <w:rFonts w:ascii="Times New Roman" w:cs="Times New Roman" w:eastAsia="Times New Roman" w:hAnsi="Times New Roman"/>
                <w:sz w:val="22"/>
                <w:szCs w:val="22"/>
                <w:b w:val="1"/>
                <w:bCs w:val="1"/>
                <w:color w:val="auto"/>
              </w:rPr>
              <w:t>Abuse</w:t>
            </w:r>
          </w:p>
        </w:tc>
        <w:tc>
          <w:tcPr>
            <w:tcW w:w="8460" w:type="dxa"/>
            <w:vAlign w:val="bottom"/>
          </w:tcPr>
          <w:p>
            <w:pPr>
              <w:ind w:left="300"/>
              <w:spacing w:after="0" w:line="247" w:lineRule="exact"/>
              <w:rPr>
                <w:sz w:val="20"/>
                <w:szCs w:val="20"/>
                <w:color w:val="auto"/>
              </w:rPr>
            </w:pPr>
            <w:r>
              <w:rPr>
                <w:rFonts w:ascii="Times New Roman" w:cs="Times New Roman" w:eastAsia="Times New Roman" w:hAnsi="Times New Roman"/>
                <w:sz w:val="22"/>
                <w:szCs w:val="22"/>
                <w:color w:val="auto"/>
              </w:rPr>
              <w:t>conditions of the Company’s Insider Trading Policy as may be in effect from time to time.</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You further acknowledge that, depending on your or your broker’s country or the country in</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which the shares are listed, you may be subject to insider trading restrictions and/or market</w:t>
            </w:r>
          </w:p>
        </w:tc>
      </w:tr>
      <w:tr>
        <w:trPr>
          <w:trHeight w:val="239"/>
        </w:trPr>
        <w:tc>
          <w:tcPr>
            <w:tcW w:w="2780" w:type="dxa"/>
            <w:vAlign w:val="bottom"/>
          </w:tcPr>
          <w:p>
            <w:pPr>
              <w:spacing w:after="0"/>
              <w:rPr>
                <w:sz w:val="20"/>
                <w:szCs w:val="20"/>
                <w:color w:val="auto"/>
              </w:rPr>
            </w:pPr>
          </w:p>
        </w:tc>
        <w:tc>
          <w:tcPr>
            <w:tcW w:w="8460" w:type="dxa"/>
            <w:vAlign w:val="bottom"/>
          </w:tcPr>
          <w:p>
            <w:pPr>
              <w:ind w:left="300"/>
              <w:spacing w:after="0" w:line="239" w:lineRule="exact"/>
              <w:rPr>
                <w:sz w:val="20"/>
                <w:szCs w:val="20"/>
                <w:color w:val="auto"/>
              </w:rPr>
            </w:pPr>
            <w:r>
              <w:rPr>
                <w:rFonts w:ascii="Times New Roman" w:cs="Times New Roman" w:eastAsia="Times New Roman" w:hAnsi="Times New Roman"/>
                <w:sz w:val="22"/>
                <w:szCs w:val="22"/>
                <w:color w:val="auto"/>
              </w:rPr>
              <w:t>abuse laws which may affect your ability, directly or indirectly, to accept, acquire, sell or</w:t>
            </w:r>
          </w:p>
        </w:tc>
      </w:tr>
      <w:tr>
        <w:trPr>
          <w:trHeight w:val="247"/>
        </w:trPr>
        <w:tc>
          <w:tcPr>
            <w:tcW w:w="2780" w:type="dxa"/>
            <w:vAlign w:val="bottom"/>
          </w:tcPr>
          <w:p>
            <w:pPr>
              <w:spacing w:after="0"/>
              <w:rPr>
                <w:sz w:val="21"/>
                <w:szCs w:val="21"/>
                <w:color w:val="auto"/>
              </w:rPr>
            </w:pPr>
          </w:p>
        </w:tc>
        <w:tc>
          <w:tcPr>
            <w:tcW w:w="8460" w:type="dxa"/>
            <w:vAlign w:val="bottom"/>
          </w:tcPr>
          <w:p>
            <w:pPr>
              <w:ind w:left="300"/>
              <w:spacing w:after="0" w:line="247" w:lineRule="exact"/>
              <w:rPr>
                <w:sz w:val="20"/>
                <w:szCs w:val="20"/>
                <w:color w:val="auto"/>
              </w:rPr>
            </w:pPr>
            <w:r>
              <w:rPr>
                <w:rFonts w:ascii="Times New Roman" w:cs="Times New Roman" w:eastAsia="Times New Roman" w:hAnsi="Times New Roman"/>
                <w:sz w:val="22"/>
                <w:szCs w:val="22"/>
                <w:color w:val="auto"/>
              </w:rPr>
              <w:t>attempt to sell, or otherwise dispose of shares, rights to shares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RSUs) or rights linked</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to the value of shares, during such times as you are considered to have “inside information”</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regarding the Company (as defined by the laws in the applicable jurisdiction(s)). Local</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insider trading laws and regulations may prohibit the cancelation or amendment of orders</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you placed before possessing the inside information. Furthermore, you understand that you</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may be prohibited from (i) disclosing the inside information to any third party, including</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fellow employees (other than on a “need to know” basis) and (ii) “tipping” third parties by</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sharing with them Company inside information, or otherwise causing third parties to buy or</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sell Company securities. Any restrictions under these laws or regulations are separate from</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and in addition to restrictions that may apply to you under the Company’s Insider Trading</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Policy as may be in effect from time to time. You acknowledge that it is your responsibility</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to comply with the Company’s Insider Trading Policy and any applicable regulatory trading</w:t>
            </w:r>
          </w:p>
        </w:tc>
      </w:tr>
      <w:tr>
        <w:trPr>
          <w:trHeight w:val="282"/>
        </w:trPr>
        <w:tc>
          <w:tcPr>
            <w:tcW w:w="2780" w:type="dxa"/>
            <w:vAlign w:val="bottom"/>
          </w:tcPr>
          <w:p>
            <w:pPr>
              <w:spacing w:after="0"/>
              <w:rPr>
                <w:sz w:val="24"/>
                <w:szCs w:val="24"/>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restrictions. You should consult with your personal legal advisor on this matter.</w:t>
            </w:r>
          </w:p>
        </w:tc>
      </w:tr>
      <w:tr>
        <w:trPr>
          <w:trHeight w:val="442"/>
        </w:trPr>
        <w:tc>
          <w:tcPr>
            <w:tcW w:w="27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Foreign Asset/Account</w:t>
            </w:r>
          </w:p>
        </w:tc>
        <w:tc>
          <w:tcPr>
            <w:tcW w:w="8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You acknowledge that there may be certain foreign asset and/or account reporting</w:t>
            </w:r>
          </w:p>
        </w:tc>
      </w:tr>
      <w:tr>
        <w:trPr>
          <w:trHeight w:val="247"/>
        </w:trPr>
        <w:tc>
          <w:tcPr>
            <w:tcW w:w="2780" w:type="dxa"/>
            <w:vAlign w:val="bottom"/>
          </w:tcPr>
          <w:p>
            <w:pPr>
              <w:ind w:left="200"/>
              <w:spacing w:after="0" w:line="247" w:lineRule="exact"/>
              <w:rPr>
                <w:sz w:val="20"/>
                <w:szCs w:val="20"/>
                <w:color w:val="auto"/>
              </w:rPr>
            </w:pPr>
            <w:r>
              <w:rPr>
                <w:rFonts w:ascii="Times New Roman" w:cs="Times New Roman" w:eastAsia="Times New Roman" w:hAnsi="Times New Roman"/>
                <w:sz w:val="22"/>
                <w:szCs w:val="22"/>
                <w:b w:val="1"/>
                <w:bCs w:val="1"/>
                <w:color w:val="auto"/>
              </w:rPr>
              <w:t>Reporting Requirements</w:t>
            </w:r>
          </w:p>
        </w:tc>
        <w:tc>
          <w:tcPr>
            <w:tcW w:w="8460" w:type="dxa"/>
            <w:vAlign w:val="bottom"/>
          </w:tcPr>
          <w:p>
            <w:pPr>
              <w:ind w:left="300"/>
              <w:spacing w:after="0" w:line="247" w:lineRule="exact"/>
              <w:rPr>
                <w:sz w:val="20"/>
                <w:szCs w:val="20"/>
                <w:color w:val="auto"/>
              </w:rPr>
            </w:pPr>
            <w:r>
              <w:rPr>
                <w:rFonts w:ascii="Times New Roman" w:cs="Times New Roman" w:eastAsia="Times New Roman" w:hAnsi="Times New Roman"/>
                <w:sz w:val="22"/>
                <w:szCs w:val="22"/>
                <w:color w:val="auto"/>
              </w:rPr>
              <w:t>requirements which may affect your ability to acquire or hold shares or cash received from</w:t>
            </w:r>
          </w:p>
        </w:tc>
      </w:tr>
      <w:tr>
        <w:trPr>
          <w:trHeight w:val="243"/>
        </w:trPr>
        <w:tc>
          <w:tcPr>
            <w:tcW w:w="2780" w:type="dxa"/>
            <w:vAlign w:val="bottom"/>
          </w:tcPr>
          <w:p>
            <w:pPr>
              <w:spacing w:after="0"/>
              <w:rPr>
                <w:sz w:val="21"/>
                <w:szCs w:val="21"/>
                <w:color w:val="auto"/>
              </w:rPr>
            </w:pPr>
          </w:p>
        </w:tc>
        <w:tc>
          <w:tcPr>
            <w:tcW w:w="84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participating in the Plan (including from any dividends paid on shares) in a brokerage or</w:t>
            </w:r>
          </w:p>
        </w:tc>
      </w:tr>
      <w:tr>
        <w:trPr>
          <w:trHeight w:val="282"/>
        </w:trPr>
        <w:tc>
          <w:tcPr>
            <w:tcW w:w="2780" w:type="dxa"/>
            <w:vAlign w:val="bottom"/>
          </w:tcPr>
          <w:p>
            <w:pPr>
              <w:spacing w:after="0"/>
              <w:rPr>
                <w:sz w:val="24"/>
                <w:szCs w:val="24"/>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bank</w:t>
            </w:r>
          </w:p>
        </w:tc>
      </w:tr>
      <w:tr>
        <w:trPr>
          <w:trHeight w:val="359"/>
        </w:trPr>
        <w:tc>
          <w:tcPr>
            <w:tcW w:w="278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Applicable Law and 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right="640"/>
        <w:spacing w:after="0" w:line="261" w:lineRule="auto"/>
        <w:rPr>
          <w:sz w:val="20"/>
          <w:szCs w:val="20"/>
          <w:color w:val="auto"/>
        </w:rPr>
      </w:pPr>
      <w:r>
        <w:rPr>
          <w:rFonts w:ascii="Times New Roman" w:cs="Times New Roman" w:eastAsia="Times New Roman" w:hAnsi="Times New Roman"/>
          <w:sz w:val="22"/>
          <w:szCs w:val="22"/>
          <w:b w:val="1"/>
          <w:bCs w:val="1"/>
          <w:color w:val="auto"/>
        </w:rPr>
        <w:t>The Plan and Other Agreements</w:t>
      </w:r>
    </w:p>
    <w:p>
      <w:pPr>
        <w:spacing w:after="0" w:line="20" w:lineRule="exact"/>
        <w:rPr>
          <w:sz w:val="20"/>
          <w:szCs w:val="20"/>
          <w:color w:val="auto"/>
        </w:rPr>
      </w:pPr>
      <w:r>
        <w:rPr>
          <w:sz w:val="20"/>
          <w:szCs w:val="20"/>
          <w:color w:val="auto"/>
        </w:rPr>
        <w:br w:type="column"/>
      </w:r>
    </w:p>
    <w:p>
      <w:pPr>
        <w:jc w:val="both"/>
        <w:ind w:right="80"/>
        <w:spacing w:after="0" w:line="236" w:lineRule="auto"/>
        <w:rPr>
          <w:sz w:val="20"/>
          <w:szCs w:val="20"/>
          <w:color w:val="auto"/>
        </w:rPr>
      </w:pPr>
      <w:r>
        <w:rPr>
          <w:rFonts w:ascii="Times New Roman" w:cs="Times New Roman" w:eastAsia="Times New Roman" w:hAnsi="Times New Roman"/>
          <w:sz w:val="22"/>
          <w:szCs w:val="22"/>
          <w:color w:val="auto"/>
        </w:rPr>
        <w:t>account outside your country. You may be required to report such accounts, assets, or related transactions to the tax or other authorities in your country. You may also be required to repatriate sale proceeds or other funds received as a result of your participation in the Plan to your country within a certain time after receipt. You acknowledge that it is your responsibility to comply with such regulations and that you should speak with a personal legal advisor on this matter.</w:t>
      </w:r>
    </w:p>
    <w:p>
      <w:pPr>
        <w:spacing w:after="0" w:line="206" w:lineRule="exact"/>
        <w:rPr>
          <w:sz w:val="20"/>
          <w:szCs w:val="20"/>
          <w:color w:val="auto"/>
        </w:rPr>
      </w:pPr>
    </w:p>
    <w:p>
      <w:pPr>
        <w:jc w:val="both"/>
        <w:ind w:right="80"/>
        <w:spacing w:after="0" w:line="235" w:lineRule="auto"/>
        <w:rPr>
          <w:sz w:val="20"/>
          <w:szCs w:val="20"/>
          <w:color w:val="auto"/>
        </w:rPr>
      </w:pPr>
      <w:r>
        <w:rPr>
          <w:rFonts w:ascii="Times New Roman" w:cs="Times New Roman" w:eastAsia="Times New Roman" w:hAnsi="Times New Roman"/>
          <w:sz w:val="22"/>
          <w:szCs w:val="22"/>
          <w:color w:val="auto"/>
        </w:rPr>
        <w:t>This Agreement will be interpreted and enforced under the laws of the State of Delaware (without regard to its choice-of-law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 of Suffolk County, Massachusetts or the federal courts for the United States for the District of Massachusetts, where this grant is made and/or to be performed.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text of the Plan is incorporated in this Agreement by reference.</w:t>
      </w:r>
    </w:p>
    <w:p>
      <w:pPr>
        <w:spacing w:after="0" w:line="98"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22"/>
          <w:szCs w:val="22"/>
          <w:color w:val="auto"/>
        </w:rPr>
        <w:t>The Plan, this Agreement and the Grant Notice constitute the entire understanding between you and the Company regarding this award. Any prior agreements, commitments or negotiations concerning this award are superseded. This Agreement may be amended only by another written agreement between the parties.</w:t>
      </w:r>
    </w:p>
    <w:p>
      <w:pPr>
        <w:spacing w:after="0" w:line="200" w:lineRule="exact"/>
        <w:rPr>
          <w:sz w:val="20"/>
          <w:szCs w:val="20"/>
          <w:color w:val="auto"/>
        </w:rPr>
      </w:pPr>
    </w:p>
    <w:p>
      <w:pPr>
        <w:sectPr>
          <w:pgSz w:w="11900" w:h="16838" w:orient="portrait"/>
          <w:cols w:equalWidth="0" w:num="2">
            <w:col w:w="2600" w:space="400"/>
            <w:col w:w="8040"/>
          </w:cols>
          <w:pgMar w:left="400" w:top="36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25"/>
          <w:szCs w:val="25"/>
          <w:b w:val="1"/>
          <w:bCs w:val="1"/>
          <w:color w:val="auto"/>
        </w:rPr>
        <w:t>BY ACCEPTING THIS RSU AWARD, YOU AGREE TO ALL OF THE TERMS AND CONDITIONS DESCRIBED ABOVE AND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308610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368" w:right="459" w:bottom="1440" w:gutter="0" w:footer="0" w:header="0"/>
          <w:type w:val="continuous"/>
        </w:sectPr>
      </w:pPr>
    </w:p>
    <w:bookmarkStart w:id="181" w:name="page182"/>
    <w:bookmarkEnd w:id="181"/>
    <w:p>
      <w:pPr>
        <w:ind w:left="824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10.17</w:t>
      </w:r>
    </w:p>
    <w:p>
      <w:pPr>
        <w:spacing w:after="0" w:line="1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F</w:t>
      </w:r>
      <w:r>
        <w:rPr>
          <w:rFonts w:ascii="Times New Roman" w:cs="Times New Roman" w:eastAsia="Times New Roman" w:hAnsi="Times New Roman"/>
          <w:sz w:val="20"/>
          <w:szCs w:val="20"/>
          <w:b w:val="1"/>
          <w:bCs w:val="1"/>
          <w:color w:val="auto"/>
        </w:rPr>
        <w:t>lywire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0"/>
          <w:szCs w:val="20"/>
          <w:b w:val="1"/>
          <w:bCs w:val="1"/>
          <w:color w:val="auto"/>
        </w:rPr>
        <w:t>orporation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w:t>
      </w:r>
      <w:r>
        <w:rPr>
          <w:rFonts w:ascii="Times New Roman" w:cs="Times New Roman" w:eastAsia="Times New Roman" w:hAnsi="Times New Roman"/>
          <w:sz w:val="20"/>
          <w:szCs w:val="20"/>
          <w:b w:val="1"/>
          <w:bCs w:val="1"/>
          <w:color w:val="auto"/>
        </w:rPr>
        <w:t>anagement</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0"/>
          <w:szCs w:val="20"/>
          <w:b w:val="1"/>
          <w:bCs w:val="1"/>
          <w:color w:val="auto"/>
        </w:rPr>
        <w:t>ash</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20"/>
          <w:szCs w:val="20"/>
          <w:b w:val="1"/>
          <w:bCs w:val="1"/>
          <w:color w:val="auto"/>
        </w:rPr>
        <w:t>ncentive</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0"/>
          <w:szCs w:val="20"/>
          <w:b w:val="1"/>
          <w:bCs w:val="1"/>
          <w:color w:val="auto"/>
        </w:rPr>
        <w:t>lan</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 AND PURPOSE</w:t>
      </w:r>
    </w:p>
    <w:p>
      <w:pPr>
        <w:spacing w:after="0" w:line="200" w:lineRule="exact"/>
        <w:rPr>
          <w:sz w:val="20"/>
          <w:szCs w:val="20"/>
          <w:color w:val="auto"/>
        </w:rPr>
      </w:pPr>
    </w:p>
    <w:p>
      <w:pPr>
        <w:sectPr>
          <w:pgSz w:w="11900" w:h="16838" w:orient="portrait"/>
          <w:cols w:equalWidth="0" w:num="2">
            <w:col w:w="1940" w:space="680"/>
            <w:col w:w="8620"/>
          </w:cols>
          <w:pgMar w:left="320" w:top="108" w:right="339" w:bottom="1440" w:gutter="0" w:footer="0" w:header="0"/>
          <w:type w:val="continuous"/>
        </w:sectPr>
      </w:pPr>
    </w:p>
    <w:p>
      <w:pPr>
        <w:spacing w:after="0" w:line="28"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approval by the Company’s stockholders.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Plan became effective upon its adoption by the Committee and is not</w:t>
      </w:r>
    </w:p>
    <w:p>
      <w:pPr>
        <w:spacing w:after="0" w:line="443" w:lineRule="exact"/>
        <w:rPr>
          <w:sz w:val="20"/>
          <w:szCs w:val="20"/>
          <w:color w:val="auto"/>
        </w:rPr>
      </w:pPr>
    </w:p>
    <w:p>
      <w:pPr>
        <w:sectPr>
          <w:pgSz w:w="11900" w:h="16838" w:orient="portrait"/>
          <w:cols w:equalWidth="0" w:num="2">
            <w:col w:w="4480" w:space="60"/>
            <w:col w:w="6700"/>
          </w:cols>
          <w:pgMar w:left="320" w:top="108" w:right="339" w:bottom="1440" w:gutter="0" w:footer="0" w:header="0"/>
          <w:type w:val="continuous"/>
        </w:sectPr>
      </w:pP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color w:val="auto"/>
        </w:rPr>
        <w:t>Purpose of the Plan</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The Plan is intended to provide Participants with the possibility of</w:t>
      </w:r>
    </w:p>
    <w:p>
      <w:pPr>
        <w:spacing w:after="0" w:line="29" w:lineRule="exact"/>
        <w:rPr>
          <w:sz w:val="20"/>
          <w:szCs w:val="20"/>
          <w:color w:val="auto"/>
        </w:rPr>
      </w:pPr>
    </w:p>
    <w:p>
      <w:pPr>
        <w:sectPr>
          <w:pgSz w:w="11900" w:h="16838" w:orient="portrait"/>
          <w:cols w:equalWidth="0" w:num="3">
            <w:col w:w="2280" w:space="720"/>
            <w:col w:w="1960" w:space="200"/>
            <w:col w:w="608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earning incentive bonuses.</w:t>
      </w:r>
    </w:p>
    <w:p>
      <w:pPr>
        <w:sectPr>
          <w:pgSz w:w="11900" w:h="16838" w:orient="portrait"/>
          <w:cols w:equalWidth="0" w:num="1">
            <w:col w:w="11240"/>
          </w:cols>
          <w:pgMar w:left="320" w:top="108" w:right="339" w:bottom="1440" w:gutter="0" w:footer="0" w:header="0"/>
          <w:type w:val="continuous"/>
        </w:sectPr>
      </w:pPr>
    </w:p>
    <w:p>
      <w:pPr>
        <w:spacing w:after="0" w:line="185"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00" w:lineRule="exact"/>
        <w:rPr>
          <w:sz w:val="20"/>
          <w:szCs w:val="20"/>
          <w:color w:val="auto"/>
        </w:rPr>
      </w:pPr>
    </w:p>
    <w:p>
      <w:pPr>
        <w:sectPr>
          <w:pgSz w:w="11900" w:h="16838" w:orient="portrait"/>
          <w:cols w:equalWidth="0" w:num="2">
            <w:col w:w="1940" w:space="680"/>
            <w:col w:w="8620"/>
          </w:cols>
          <w:pgMar w:left="320" w:top="108" w:right="339" w:bottom="1440" w:gutter="0" w:footer="0" w:header="0"/>
          <w:type w:val="continuous"/>
        </w:sectPr>
      </w:pPr>
    </w:p>
    <w:p>
      <w:pPr>
        <w:spacing w:after="0" w:line="32"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22"/>
          <w:szCs w:val="22"/>
          <w:color w:val="auto"/>
        </w:rPr>
        <w:t>The following words and phrases shall have the following meanings, unless a different meaning is plainly required by the context:</w:t>
      </w:r>
    </w:p>
    <w:p>
      <w:pPr>
        <w:spacing w:after="0" w:line="153" w:lineRule="exact"/>
        <w:rPr>
          <w:sz w:val="20"/>
          <w:szCs w:val="20"/>
          <w:color w:val="auto"/>
        </w:rPr>
      </w:pPr>
    </w:p>
    <w:p>
      <w:pPr>
        <w:jc w:val="both"/>
        <w:ind w:right="20" w:firstLine="1498"/>
        <w:spacing w:after="0"/>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b w:val="1"/>
          <w:bCs w:val="1"/>
          <w:color w:val="auto"/>
        </w:rPr>
        <w:t>Actual Award</w:t>
      </w:r>
      <w:r>
        <w:rPr>
          <w:rFonts w:ascii="Times New Roman" w:cs="Times New Roman" w:eastAsia="Times New Roman" w:hAnsi="Times New Roman"/>
          <w:sz w:val="22"/>
          <w:szCs w:val="22"/>
          <w:color w:val="auto"/>
        </w:rPr>
        <w:t>” means, as to any Performance Period, the actual award amount (if any) payable to a Participant for the Performance Period. Each Actual Award is determined by the Payout Formula for the Performance Period, subject to the Administrator’s authority under Section 3.6 to increase, eliminate or reduce the award otherwise indicated by the Payout Formula.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2.2</w:t>
            </w:r>
          </w:p>
        </w:tc>
        <w:tc>
          <w:tcPr>
            <w:tcW w:w="886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Committee or such other entity, group, or individual</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delegated authority to administer the Plan in accordance with Section 5.1 of the Plan.</w:t>
            </w:r>
          </w:p>
        </w:tc>
      </w:tr>
      <w:tr>
        <w:trPr>
          <w:trHeight w:val="419"/>
        </w:trPr>
        <w:tc>
          <w:tcPr>
            <w:tcW w:w="238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2.3</w:t>
            </w:r>
          </w:p>
        </w:tc>
        <w:tc>
          <w:tcPr>
            <w:tcW w:w="886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corporation or other entity (including, without limitation, partnerships</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 joint ventures) controlled by the Company.</w:t>
            </w:r>
          </w:p>
        </w:tc>
      </w:tr>
      <w:tr>
        <w:trPr>
          <w:trHeight w:val="443"/>
        </w:trPr>
        <w:tc>
          <w:tcPr>
            <w:tcW w:w="238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2.4</w:t>
            </w:r>
          </w:p>
        </w:tc>
        <w:tc>
          <w:tcPr>
            <w:tcW w:w="886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Base Salary</w:t>
            </w:r>
            <w:r>
              <w:rPr>
                <w:rFonts w:ascii="Times New Roman" w:cs="Times New Roman" w:eastAsia="Times New Roman" w:hAnsi="Times New Roman"/>
                <w:sz w:val="22"/>
                <w:szCs w:val="22"/>
                <w:color w:val="auto"/>
                <w:w w:val="98"/>
              </w:rPr>
              <w:t>” means, as to any Performance Period, the Participant’s regular base salary as in</w:t>
            </w:r>
          </w:p>
        </w:tc>
      </w:tr>
    </w:tbl>
    <w:p>
      <w:pPr>
        <w:spacing w:after="0" w:line="237" w:lineRule="auto"/>
        <w:rPr>
          <w:sz w:val="20"/>
          <w:szCs w:val="20"/>
          <w:color w:val="auto"/>
        </w:rPr>
      </w:pPr>
      <w:r>
        <w:rPr>
          <w:rFonts w:ascii="Times New Roman" w:cs="Times New Roman" w:eastAsia="Times New Roman" w:hAnsi="Times New Roman"/>
          <w:sz w:val="22"/>
          <w:szCs w:val="22"/>
          <w:color w:val="auto"/>
        </w:rPr>
        <w:t>effect at the end of the Performance Period. Base Salary shall be calculated before both (a) deductions for taxes or benefits and (b) any deferrals of compensation pursuant to Company-sponsored plans or Affiliate-sponsored plans.</w:t>
      </w:r>
    </w:p>
    <w:p>
      <w:pPr>
        <w:spacing w:after="0" w:line="174" w:lineRule="exact"/>
        <w:rPr>
          <w:sz w:val="20"/>
          <w:szCs w:val="20"/>
          <w:color w:val="auto"/>
        </w:rPr>
      </w:pPr>
    </w:p>
    <w:tbl>
      <w:tblPr>
        <w:tblLayout w:type="fixed"/>
        <w:tblInd w:w="1500" w:type="dxa"/>
        <w:tblCellMar>
          <w:top w:w="0" w:type="dxa"/>
          <w:left w:w="0" w:type="dxa"/>
          <w:bottom w:w="0" w:type="dxa"/>
          <w:right w:w="0" w:type="dxa"/>
        </w:tblCellMar>
      </w:tblPr>
      <w:tr>
        <w:trPr>
          <w:trHeight w:val="286"/>
        </w:trPr>
        <w:tc>
          <w:tcPr>
            <w:tcW w:w="88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w w:val="94"/>
              </w:rPr>
              <w:t>2.5</w:t>
            </w:r>
          </w:p>
        </w:tc>
        <w:tc>
          <w:tcPr>
            <w:tcW w:w="886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Company’s Board of Directors.</w:t>
            </w:r>
          </w:p>
        </w:tc>
      </w:tr>
      <w:tr>
        <w:trPr>
          <w:trHeight w:val="443"/>
        </w:trPr>
        <w:tc>
          <w:tcPr>
            <w:tcW w:w="88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w w:val="94"/>
              </w:rPr>
              <w:t>2.6</w:t>
            </w:r>
          </w:p>
        </w:tc>
        <w:tc>
          <w:tcPr>
            <w:tcW w:w="886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Change in Control</w:t>
            </w:r>
            <w:r>
              <w:rPr>
                <w:rFonts w:ascii="Times New Roman" w:cs="Times New Roman" w:eastAsia="Times New Roman" w:hAnsi="Times New Roman"/>
                <w:sz w:val="22"/>
                <w:szCs w:val="22"/>
                <w:color w:val="auto"/>
                <w:w w:val="99"/>
              </w:rPr>
              <w:t>” means (a) a sale, conveyance or other disposition of all or substantially</w:t>
            </w:r>
          </w:p>
        </w:tc>
      </w:tr>
    </w:tbl>
    <w:p>
      <w:pPr>
        <w:jc w:val="both"/>
        <w:spacing w:after="0" w:line="232" w:lineRule="auto"/>
        <w:rPr>
          <w:sz w:val="20"/>
          <w:szCs w:val="20"/>
          <w:color w:val="auto"/>
        </w:rPr>
      </w:pPr>
      <w:r>
        <w:rPr>
          <w:rFonts w:ascii="Times New Roman" w:cs="Times New Roman" w:eastAsia="Times New Roman" w:hAnsi="Times New Roman"/>
          <w:sz w:val="22"/>
          <w:szCs w:val="22"/>
          <w:color w:val="auto"/>
        </w:rPr>
        <w:t>all of the assets, property or business of the Company, except where such sale, conveyance or other disposition is to a wholly owned subsidiary of the Company, (b) a merger or consolidation of the Company with or into another corporation, entity or person, other than any such transaction in which the holders of voting capital stock of the Company outstanding immediately prior to the transaction continue to hold a majority of the voting capital stock of the Company (or the surviving or acquiring entity) outstanding immediately after the transaction (taking into account only stock of the Company held by such stockholders immediately prior to the transaction and stock issued on account of such stock in the transaction), or (c) the direct or indirect acquisition (including by way of a tender or exchange offer) by any person, or persons acting as a group, of beneficial ownership or a right to acquire beneficial ownership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82" w:name="page183"/>
    <w:bookmarkEnd w:id="182"/>
    <w:p>
      <w:pPr>
        <w:jc w:val="both"/>
        <w:spacing w:after="0" w:line="237" w:lineRule="auto"/>
        <w:rPr>
          <w:sz w:val="20"/>
          <w:szCs w:val="20"/>
          <w:color w:val="auto"/>
        </w:rPr>
      </w:pPr>
      <w:r>
        <w:rPr>
          <w:rFonts w:ascii="Times New Roman" w:cs="Times New Roman" w:eastAsia="Times New Roman" w:hAnsi="Times New Roman"/>
          <w:sz w:val="22"/>
          <w:szCs w:val="22"/>
          <w:color w:val="auto"/>
        </w:rPr>
        <w:t>representing a majority of the voting power of the then outstanding shares of capital stock of the Company; provided, however, that a Change in Control shall not include any transaction or series of related transactions (1) principally for bona fide equity financing purposes or (2) effected exclusively for the purpose of changing the domicile of the Company. A series of related transactions shall be deemed to constitute a single transaction for purposes of determining whether a Change in Control has occurred.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44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2.7</w:t>
            </w:r>
          </w:p>
        </w:tc>
        <w:tc>
          <w:tcPr>
            <w:tcW w:w="88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the Compensation Committee of the Board.</w:t>
            </w:r>
          </w:p>
        </w:tc>
      </w:tr>
      <w:tr>
        <w:trPr>
          <w:trHeight w:val="458"/>
        </w:trPr>
        <w:tc>
          <w:tcPr>
            <w:tcW w:w="244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2.8</w:t>
            </w:r>
          </w:p>
        </w:tc>
        <w:tc>
          <w:tcPr>
            <w:tcW w:w="88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Flywire Corporation, a Delaware corporation, or any successor thereto.</w:t>
            </w:r>
          </w:p>
        </w:tc>
      </w:tr>
      <w:tr>
        <w:trPr>
          <w:trHeight w:val="419"/>
        </w:trPr>
        <w:tc>
          <w:tcPr>
            <w:tcW w:w="244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2.9</w:t>
            </w:r>
          </w:p>
        </w:tc>
        <w:tc>
          <w:tcPr>
            <w:tcW w:w="880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Employee</w:t>
            </w:r>
            <w:r>
              <w:rPr>
                <w:rFonts w:ascii="Times New Roman" w:cs="Times New Roman" w:eastAsia="Times New Roman" w:hAnsi="Times New Roman"/>
                <w:sz w:val="22"/>
                <w:szCs w:val="22"/>
                <w:color w:val="auto"/>
                <w:w w:val="99"/>
              </w:rPr>
              <w:t>” means any employee of the Company or of an Affiliate, whether such employee</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is so employed when the Plan is adopted or becomes so employed after the adoption of the Plan.</w:t>
            </w:r>
          </w:p>
        </w:tc>
      </w:tr>
      <w:tr>
        <w:trPr>
          <w:trHeight w:val="419"/>
        </w:trPr>
        <w:tc>
          <w:tcPr>
            <w:tcW w:w="244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2.10</w:t>
            </w:r>
          </w:p>
        </w:tc>
        <w:tc>
          <w:tcPr>
            <w:tcW w:w="88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means any executive officers as defined under Rule 3b-7 and officer as defined</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under Rule 16a-f promulgated under Section 16 of the Securities and Exchange Act.</w:t>
            </w:r>
          </w:p>
        </w:tc>
      </w:tr>
      <w:tr>
        <w:trPr>
          <w:trHeight w:val="458"/>
        </w:trPr>
        <w:tc>
          <w:tcPr>
            <w:tcW w:w="244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2.11</w:t>
            </w:r>
          </w:p>
        </w:tc>
        <w:tc>
          <w:tcPr>
            <w:tcW w:w="88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fiscal year of the Company.</w:t>
            </w:r>
          </w:p>
        </w:tc>
      </w:tr>
      <w:tr>
        <w:trPr>
          <w:trHeight w:val="419"/>
        </w:trPr>
        <w:tc>
          <w:tcPr>
            <w:tcW w:w="244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2.12</w:t>
            </w:r>
          </w:p>
        </w:tc>
        <w:tc>
          <w:tcPr>
            <w:tcW w:w="88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as to any Performance Period, an Employee who has been selected for</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participation in the Plan for that Performance Period pursuant to Section 3.1.</w:t>
            </w:r>
          </w:p>
        </w:tc>
      </w:tr>
      <w:tr>
        <w:trPr>
          <w:trHeight w:val="443"/>
        </w:trPr>
        <w:tc>
          <w:tcPr>
            <w:tcW w:w="244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2.13</w:t>
            </w:r>
          </w:p>
        </w:tc>
        <w:tc>
          <w:tcPr>
            <w:tcW w:w="8800" w:type="dxa"/>
            <w:vAlign w:val="bottom"/>
          </w:tcPr>
          <w:p>
            <w:pPr>
              <w:ind w:left="560"/>
              <w:spacing w:after="0"/>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b w:val="1"/>
                <w:bCs w:val="1"/>
                <w:color w:val="000000"/>
              </w:rPr>
              <w:t>Payout Formula</w:t>
            </w:r>
            <w:r>
              <w:rPr>
                <w:rFonts w:ascii="Times New Roman" w:cs="Times New Roman" w:eastAsia="Times New Roman" w:hAnsi="Times New Roman"/>
                <w:sz w:val="22"/>
                <w:szCs w:val="22"/>
                <w:color w:val="000000"/>
              </w:rPr>
              <w:t>” means, as to any Performance Period, the formula or payout matrix</w:t>
            </w: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established by the Administrator pursuant to Section 3.5 in order to determine the Actual Awards (if any) to be paid to Participants. The formula or matrix may differ from Performance Period to Performance Period and from Participant to Participant.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2.14</w:t>
            </w:r>
          </w:p>
        </w:tc>
        <w:tc>
          <w:tcPr>
            <w:tcW w:w="880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Performance Period</w:t>
            </w:r>
            <w:r>
              <w:rPr>
                <w:rFonts w:ascii="Times New Roman" w:cs="Times New Roman" w:eastAsia="Times New Roman" w:hAnsi="Times New Roman"/>
                <w:sz w:val="22"/>
                <w:szCs w:val="22"/>
                <w:color w:val="auto"/>
                <w:w w:val="98"/>
              </w:rPr>
              <w:t>” means a Fiscal Year, or any longer or shorter period determined by the</w:t>
            </w:r>
          </w:p>
        </w:tc>
      </w:tr>
      <w:tr>
        <w:trPr>
          <w:trHeight w:val="282"/>
        </w:trPr>
        <w:tc>
          <w:tcPr>
            <w:tcW w:w="244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w w:val="96"/>
              </w:rPr>
              <w:t>Administrator.</w:t>
            </w:r>
          </w:p>
        </w:tc>
        <w:tc>
          <w:tcPr>
            <w:tcW w:w="8800" w:type="dxa"/>
            <w:vAlign w:val="bottom"/>
          </w:tcPr>
          <w:p>
            <w:pPr>
              <w:spacing w:after="0"/>
              <w:rPr>
                <w:sz w:val="24"/>
                <w:szCs w:val="24"/>
                <w:color w:val="auto"/>
              </w:rPr>
            </w:pPr>
          </w:p>
        </w:tc>
      </w:tr>
      <w:tr>
        <w:trPr>
          <w:trHeight w:val="443"/>
        </w:trPr>
        <w:tc>
          <w:tcPr>
            <w:tcW w:w="24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2.15</w:t>
            </w:r>
          </w:p>
        </w:tc>
        <w:tc>
          <w:tcPr>
            <w:tcW w:w="880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Performance Goals</w:t>
            </w:r>
            <w:r>
              <w:rPr>
                <w:rFonts w:ascii="Times New Roman" w:cs="Times New Roman" w:eastAsia="Times New Roman" w:hAnsi="Times New Roman"/>
                <w:sz w:val="22"/>
                <w:szCs w:val="22"/>
                <w:color w:val="auto"/>
                <w:w w:val="98"/>
              </w:rPr>
              <w:t>” means the goal(s) or combined goal(s) determined by the Administrator</w:t>
            </w: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to be applicable to a Participant for a Target Award for a Performance Period. As determined by the Administrator, the Performance Goal(s) may provide for a targeted level or levels or achievement using the performance criteria specified by the Administrator. Possible, but non-exclusive, performance criteria are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attached to the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2.16</w:t>
            </w:r>
          </w:p>
        </w:tc>
        <w:tc>
          <w:tcPr>
            <w:tcW w:w="88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this Flywire Corporation Management Cash Incentive Plan, as amended from</w:t>
            </w:r>
          </w:p>
        </w:tc>
      </w:tr>
      <w:tr>
        <w:trPr>
          <w:trHeight w:val="282"/>
        </w:trPr>
        <w:tc>
          <w:tcPr>
            <w:tcW w:w="244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w w:val="96"/>
              </w:rPr>
              <w:t>time to time.</w:t>
            </w:r>
          </w:p>
        </w:tc>
        <w:tc>
          <w:tcPr>
            <w:tcW w:w="8800" w:type="dxa"/>
            <w:vAlign w:val="bottom"/>
          </w:tcPr>
          <w:p>
            <w:pPr>
              <w:spacing w:after="0"/>
              <w:rPr>
                <w:sz w:val="24"/>
                <w:szCs w:val="24"/>
                <w:color w:val="auto"/>
              </w:rPr>
            </w:pPr>
          </w:p>
        </w:tc>
      </w:tr>
      <w:tr>
        <w:trPr>
          <w:trHeight w:val="458"/>
        </w:trPr>
        <w:tc>
          <w:tcPr>
            <w:tcW w:w="24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2.17</w:t>
            </w:r>
          </w:p>
        </w:tc>
        <w:tc>
          <w:tcPr>
            <w:tcW w:w="88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means shares of the Company’s common stock.</w:t>
            </w:r>
          </w:p>
        </w:tc>
      </w:tr>
      <w:tr>
        <w:trPr>
          <w:trHeight w:val="443"/>
        </w:trPr>
        <w:tc>
          <w:tcPr>
            <w:tcW w:w="24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2.18</w:t>
            </w:r>
          </w:p>
        </w:tc>
        <w:tc>
          <w:tcPr>
            <w:tcW w:w="880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b w:val="1"/>
                <w:bCs w:val="1"/>
                <w:color w:val="auto"/>
                <w:w w:val="97"/>
              </w:rPr>
              <w:t>Target Award</w:t>
            </w:r>
            <w:r>
              <w:rPr>
                <w:rFonts w:ascii="Times New Roman" w:cs="Times New Roman" w:eastAsia="Times New Roman" w:hAnsi="Times New Roman"/>
                <w:sz w:val="22"/>
                <w:szCs w:val="22"/>
                <w:color w:val="auto"/>
                <w:w w:val="97"/>
              </w:rPr>
              <w:t>” means the target award amount payable under the Plan to a Participant for the</w:t>
            </w:r>
          </w:p>
        </w:tc>
      </w:tr>
    </w:tbl>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Performance Period expressed as a percentage of his or her Base Salary or a specific dollar amount or by reference to a number of Shares, as determined by the Administrator in accordance with Section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3" w:name="page184"/>
    <w:bookmarkEnd w:id="183"/>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of Employment</w:t>
      </w:r>
      <w:r>
        <w:rPr>
          <w:rFonts w:ascii="Times New Roman" w:cs="Times New Roman" w:eastAsia="Times New Roman" w:hAnsi="Times New Roman"/>
          <w:sz w:val="22"/>
          <w:szCs w:val="22"/>
          <w:color w:val="auto"/>
        </w:rPr>
        <w:t>” means a cessation of the employee-employer relationship</w:t>
      </w:r>
    </w:p>
    <w:p>
      <w:pPr>
        <w:spacing w:after="0" w:line="18"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between an Employee and the Company or an Affiliate for any reason, including (without limitation) a termination by resignation, discharge, death, disability, retirement or the disaffiliation of an Affiliate, but excluding a transfer from the Company to an Affiliate or between Affiliates.</w:t>
      </w:r>
    </w:p>
    <w:p>
      <w:pPr>
        <w:sectPr>
          <w:pgSz w:w="11900" w:h="16838" w:orient="portrait"/>
          <w:cols w:equalWidth="0" w:num="1">
            <w:col w:w="11240"/>
          </w:cols>
          <w:pgMar w:left="320" w:top="108" w:right="339" w:bottom="1440" w:gutter="0" w:footer="0" w:header="0"/>
        </w:sectPr>
      </w:pP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SELECTION OF PARTICIPANTS AND DETERMINATION OF AWARDS</w:t>
      </w:r>
    </w:p>
    <w:p>
      <w:pPr>
        <w:spacing w:after="0" w:line="200" w:lineRule="exact"/>
        <w:rPr>
          <w:sz w:val="20"/>
          <w:szCs w:val="20"/>
          <w:color w:val="auto"/>
        </w:rPr>
      </w:pPr>
    </w:p>
    <w:p>
      <w:pPr>
        <w:sectPr>
          <w:pgSz w:w="11900" w:h="16838" w:orient="portrait"/>
          <w:cols w:equalWidth="0" w:num="2">
            <w:col w:w="1940" w:space="320"/>
            <w:col w:w="8980"/>
          </w:cols>
          <w:pgMar w:left="320" w:top="108" w:right="339" w:bottom="1440" w:gutter="0" w:footer="0" w:header="0"/>
          <w:type w:val="continuous"/>
        </w:sectPr>
      </w:pPr>
    </w:p>
    <w:p>
      <w:pPr>
        <w:spacing w:after="0" w:line="28"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0"/>
          <w:szCs w:val="20"/>
          <w:b w:val="1"/>
          <w:bCs w:val="1"/>
          <w:color w:val="auto"/>
        </w:rPr>
        <w:t>Selection of Participants</w:t>
      </w:r>
      <w:r>
        <w:rPr>
          <w:rFonts w:ascii="Times New Roman" w:cs="Times New Roman" w:eastAsia="Times New Roman" w:hAnsi="Times New Roman"/>
          <w:sz w:val="20"/>
          <w:szCs w:val="20"/>
          <w:color w:val="auto"/>
        </w:rPr>
        <w:t>. The Administrator, in its sole discretion, shall select the Employees</w:t>
      </w:r>
    </w:p>
    <w:p>
      <w:pPr>
        <w:sectPr>
          <w:pgSz w:w="11900" w:h="16838" w:orient="portrait"/>
          <w:cols w:equalWidth="0" w:num="1">
            <w:col w:w="11240"/>
          </w:cols>
          <w:pgMar w:left="320" w:top="108" w:right="339" w:bottom="1440" w:gutter="0" w:footer="0" w:header="0"/>
          <w:type w:val="continuous"/>
        </w:sectPr>
      </w:pPr>
    </w:p>
    <w:p>
      <w:pPr>
        <w:spacing w:after="0" w:line="33"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2"/>
          <w:szCs w:val="22"/>
          <w:color w:val="auto"/>
        </w:rPr>
        <w:t>who shall be Participants for any Performance Period. Participation in the Plan is in the sole discretion of the Administrator and shall be determined Performance Period by Performance Period. Accordingly, an Employee who is a Participant for a given Performance Period is in no way assured of being selected for participation in any subsequent Performance Period.</w:t>
      </w:r>
    </w:p>
    <w:p>
      <w:pPr>
        <w:spacing w:after="0" w:line="173"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Determination of Performance Period</w:t>
      </w:r>
      <w:r>
        <w:rPr>
          <w:rFonts w:ascii="Times New Roman" w:cs="Times New Roman" w:eastAsia="Times New Roman" w:hAnsi="Times New Roman"/>
          <w:sz w:val="22"/>
          <w:szCs w:val="22"/>
          <w:color w:val="auto"/>
        </w:rPr>
        <w:t>. The Administrator, in its sole discretion, shall establish whether a Performance Period shall be a Fiscal Year or such longer or shorter period of time. The Performance Period may differ from Participant to Participant and from award to award.</w:t>
      </w:r>
    </w:p>
    <w:p>
      <w:pPr>
        <w:spacing w:after="0" w:line="166"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Determination of Performance Goals</w:t>
      </w:r>
      <w:r>
        <w:rPr>
          <w:rFonts w:ascii="Times New Roman" w:cs="Times New Roman" w:eastAsia="Times New Roman" w:hAnsi="Times New Roman"/>
          <w:sz w:val="22"/>
          <w:szCs w:val="22"/>
          <w:color w:val="auto"/>
        </w:rPr>
        <w:t>. The Administrator shall establish the Performance Goals for each Participant for the Performance Period, and the Administrator (or its designee) shall communicate the applicable Performance Goals to each Participant. The Performance Goals may differ from Participant to Participant and from award to award.</w:t>
      </w:r>
    </w:p>
    <w:p>
      <w:pPr>
        <w:spacing w:after="0" w:line="200" w:lineRule="exact"/>
        <w:rPr>
          <w:sz w:val="20"/>
          <w:szCs w:val="20"/>
          <w:color w:val="auto"/>
        </w:rPr>
      </w:pPr>
    </w:p>
    <w:p>
      <w:pPr>
        <w:spacing w:after="0" w:line="228"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Determination of Target Awards</w:t>
      </w:r>
      <w:r>
        <w:rPr>
          <w:rFonts w:ascii="Times New Roman" w:cs="Times New Roman" w:eastAsia="Times New Roman" w:hAnsi="Times New Roman"/>
          <w:sz w:val="22"/>
          <w:szCs w:val="22"/>
          <w:color w:val="auto"/>
        </w:rPr>
        <w:t>. The Administrator shall establish a Target Award for each Participant for each Performance Period, and the Administrator (or its designee) shall communicate the applicable Target Award to each Participant.</w:t>
      </w:r>
    </w:p>
    <w:p>
      <w:pPr>
        <w:spacing w:after="0" w:line="166" w:lineRule="exact"/>
        <w:rPr>
          <w:sz w:val="20"/>
          <w:szCs w:val="20"/>
          <w:color w:val="auto"/>
        </w:rPr>
      </w:pPr>
    </w:p>
    <w:p>
      <w:pPr>
        <w:jc w:val="both"/>
        <w:ind w:firstLine="1498"/>
        <w:spacing w:after="0" w:line="237"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color w:val="auto"/>
        </w:rPr>
        <w:t>Determination of Payout Formula or Formulae</w:t>
      </w:r>
      <w:r>
        <w:rPr>
          <w:rFonts w:ascii="Times New Roman" w:cs="Times New Roman" w:eastAsia="Times New Roman" w:hAnsi="Times New Roman"/>
          <w:sz w:val="22"/>
          <w:szCs w:val="22"/>
          <w:color w:val="auto"/>
        </w:rPr>
        <w:t>. The Administrator will establish a Payout Formula or Formulae for purposes of determining the Actual Award (if any) payable to each Participant. Each Payout Formula may (a) be based on a comparison of actual performance to the Performance Goals, (b) provide for the payment of a Participant’s Target Award if the Performance Goals for the Performance Period are achieved at the predetermined level and (c) provide for the payment of an Actual Award greater than or less than the Participant’s Target Award, depending upon the extent to which actual performance exceeds or falls below the Performance Goals, subject to the limitations in Section 3.7.</w:t>
      </w:r>
    </w:p>
    <w:p>
      <w:pPr>
        <w:spacing w:after="0" w:line="173" w:lineRule="exact"/>
        <w:rPr>
          <w:sz w:val="20"/>
          <w:szCs w:val="20"/>
          <w:color w:val="auto"/>
        </w:rPr>
      </w:pPr>
    </w:p>
    <w:p>
      <w:pPr>
        <w:jc w:val="both"/>
        <w:ind w:firstLine="1498"/>
        <w:spacing w:after="0" w:line="235"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color w:val="auto"/>
        </w:rPr>
        <w:t>Determination of Actual Awards</w:t>
      </w:r>
      <w:r>
        <w:rPr>
          <w:rFonts w:ascii="Times New Roman" w:cs="Times New Roman" w:eastAsia="Times New Roman" w:hAnsi="Times New Roman"/>
          <w:sz w:val="22"/>
          <w:szCs w:val="22"/>
          <w:color w:val="auto"/>
        </w:rPr>
        <w:t>. After the end of each Performance Period, the Administrator will determine the extent to which the Performance Goals applicable to each Participant for the Performance Period were achieved or exceeded. The Actual Award for each Participant will be determined by applying the Payout Formula to the level of actual performance that has been determined by the Administrator; provided that notwithstanding anything to the contrary in this Plan, the Administrator may (a) reduce or eliminate the Actual Award that otherwise would be payable under the Payout Formula; (b) increase the Actual Award; or (c) determine whether or not any Participant will receive an Actual Award in the event that the Participant incurs a Termination of Employment before such Actual Award is to be paid pursuant to Section 4.1. If a Participant’s Actual Award is reduced or eliminated, no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84" w:name="page185"/>
    <w:bookmarkEnd w:id="184"/>
    <w:p>
      <w:pPr>
        <w:jc w:val="both"/>
        <w:spacing w:after="0" w:line="244" w:lineRule="auto"/>
        <w:rPr>
          <w:sz w:val="20"/>
          <w:szCs w:val="20"/>
          <w:color w:val="auto"/>
        </w:rPr>
      </w:pPr>
      <w:r>
        <w:rPr>
          <w:rFonts w:ascii="Times New Roman" w:cs="Times New Roman" w:eastAsia="Times New Roman" w:hAnsi="Times New Roman"/>
          <w:sz w:val="22"/>
          <w:szCs w:val="22"/>
          <w:color w:val="auto"/>
        </w:rPr>
        <w:t>Actual Award shall be increased as a result. The Administrator has the absolute discretion to reduce or eliminate payment of an Actual Award if in the Administrator’s judgment corporate performance, financial condition, individual performance, general economic conditions, or other similar factors make such reduction or elimination appropriate.</w:t>
      </w:r>
    </w:p>
    <w:p>
      <w:pPr>
        <w:spacing w:after="0" w:line="169" w:lineRule="exact"/>
        <w:rPr>
          <w:sz w:val="20"/>
          <w:szCs w:val="20"/>
          <w:color w:val="auto"/>
        </w:rPr>
      </w:pPr>
    </w:p>
    <w:p>
      <w:pPr>
        <w:ind w:firstLine="1498"/>
        <w:spacing w:after="0" w:line="261"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b w:val="1"/>
          <w:bCs w:val="1"/>
          <w:color w:val="auto"/>
        </w:rPr>
        <w:t>Maximum Actual Awards</w:t>
      </w:r>
      <w:r>
        <w:rPr>
          <w:rFonts w:ascii="Times New Roman" w:cs="Times New Roman" w:eastAsia="Times New Roman" w:hAnsi="Times New Roman"/>
          <w:sz w:val="22"/>
          <w:szCs w:val="22"/>
          <w:color w:val="auto"/>
        </w:rPr>
        <w:t>. The Administrator may establish the maximum amount or value of the Actual Award paid to any Participant for any Performance Period.</w:t>
      </w:r>
    </w:p>
    <w:p>
      <w:pPr>
        <w:sectPr>
          <w:pgSz w:w="11900" w:h="16838" w:orient="portrait"/>
          <w:cols w:equalWidth="0" w:num="1">
            <w:col w:w="11240"/>
          </w:cols>
          <w:pgMar w:left="320" w:top="112" w:right="339" w:bottom="1440" w:gutter="0" w:footer="0" w:header="0"/>
        </w:sectPr>
      </w:pPr>
    </w:p>
    <w:p>
      <w:pPr>
        <w:spacing w:after="0" w:line="151"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 OF AWARDS</w:t>
      </w:r>
    </w:p>
    <w:p>
      <w:pPr>
        <w:spacing w:after="0" w:line="200" w:lineRule="exact"/>
        <w:rPr>
          <w:sz w:val="20"/>
          <w:szCs w:val="20"/>
          <w:color w:val="auto"/>
        </w:rPr>
      </w:pPr>
    </w:p>
    <w:p>
      <w:pPr>
        <w:sectPr>
          <w:pgSz w:w="11900" w:h="16838" w:orient="portrait"/>
          <w:cols w:equalWidth="0" w:num="2">
            <w:col w:w="1940" w:space="680"/>
            <w:col w:w="8620"/>
          </w:cols>
          <w:pgMar w:left="320" w:top="112" w:right="339" w:bottom="1440" w:gutter="0" w:footer="0" w:header="0"/>
          <w:type w:val="continuous"/>
        </w:sectPr>
      </w:pPr>
    </w:p>
    <w:p>
      <w:pPr>
        <w:spacing w:after="0" w:line="28" w:lineRule="exact"/>
        <w:rPr>
          <w:sz w:val="20"/>
          <w:szCs w:val="20"/>
          <w:color w:val="auto"/>
        </w:rPr>
      </w:pPr>
    </w:p>
    <w:p>
      <w:pPr>
        <w:ind w:left="1500"/>
        <w:spacing w:after="0"/>
        <w:tabs>
          <w:tab w:leader="none" w:pos="2980" w:val="left"/>
          <w:tab w:leader="none" w:pos="56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b w:val="1"/>
          <w:bCs w:val="1"/>
          <w:color w:val="auto"/>
        </w:rPr>
        <w:t>Right to Receive Payment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A Participant shall have no right to receive an Actual Award</w:t>
      </w:r>
    </w:p>
    <w:p>
      <w:pPr>
        <w:sectPr>
          <w:pgSz w:w="11900" w:h="16838" w:orient="portrait"/>
          <w:cols w:equalWidth="0" w:num="1">
            <w:col w:w="11240"/>
          </w:cols>
          <w:pgMar w:left="320" w:top="112" w:right="339" w:bottom="1440" w:gutter="0" w:footer="0" w:header="0"/>
          <w:type w:val="continuous"/>
        </w:sectPr>
      </w:pPr>
    </w:p>
    <w:p>
      <w:pPr>
        <w:spacing w:after="0" w:line="33"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2"/>
          <w:szCs w:val="22"/>
          <w:color w:val="auto"/>
        </w:rPr>
        <w:t>unless the Participant is employed by the Company or an Affiliate on the date of payment, unless otherwise determined by the Administrator.</w:t>
      </w:r>
    </w:p>
    <w:p>
      <w:pPr>
        <w:spacing w:after="0" w:line="173" w:lineRule="exact"/>
        <w:rPr>
          <w:sz w:val="20"/>
          <w:szCs w:val="20"/>
          <w:color w:val="auto"/>
        </w:rPr>
      </w:pPr>
    </w:p>
    <w:p>
      <w:pPr>
        <w:jc w:val="both"/>
        <w:ind w:firstLine="1498"/>
        <w:spacing w:after="0" w:line="238"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Unfunded Plan</w:t>
      </w:r>
      <w:r>
        <w:rPr>
          <w:rFonts w:ascii="Times New Roman" w:cs="Times New Roman" w:eastAsia="Times New Roman" w:hAnsi="Times New Roman"/>
          <w:sz w:val="22"/>
          <w:szCs w:val="22"/>
          <w:color w:val="auto"/>
        </w:rPr>
        <w:t>. Each Actual Award that may become payable under the Plan shall be paid solely from the general assets of the Company or the Affiliate that employs the Participant (as the case may be), as determined by the Company. No amounts awarded or accrued under the Plan shall be funded, set aside or otherwise segregated prior to payment. The obligation to pay Actual Awards under the Plan shall at all times be an unfunded and unsecured obligation of the Company. Participants shall have the status of general creditors of the Company or the Affiliate that employs the Participant.</w:t>
      </w:r>
    </w:p>
    <w:p>
      <w:pPr>
        <w:spacing w:after="0" w:line="175"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color w:val="auto"/>
        </w:rPr>
        <w:t>Timing of Payment</w:t>
      </w:r>
      <w:r>
        <w:rPr>
          <w:rFonts w:ascii="Times New Roman" w:cs="Times New Roman" w:eastAsia="Times New Roman" w:hAnsi="Times New Roman"/>
          <w:sz w:val="22"/>
          <w:szCs w:val="22"/>
          <w:color w:val="auto"/>
        </w:rPr>
        <w:t>. Subject to Sections 3.7 and 4.6, payment of each Actual Award shall be made as soon as administratively practicable after the end of the applicable Performance Period, but in any event no later than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following the Performance Period.</w:t>
      </w:r>
    </w:p>
    <w:p>
      <w:pPr>
        <w:spacing w:after="0" w:line="166"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b w:val="1"/>
          <w:bCs w:val="1"/>
          <w:color w:val="auto"/>
        </w:rPr>
        <w:t>Form of Payment</w:t>
      </w:r>
      <w:r>
        <w:rPr>
          <w:rFonts w:ascii="Times New Roman" w:cs="Times New Roman" w:eastAsia="Times New Roman" w:hAnsi="Times New Roman"/>
          <w:sz w:val="22"/>
          <w:szCs w:val="22"/>
          <w:color w:val="auto"/>
        </w:rPr>
        <w:t>. Each Actual Award shall be paid in cash (or its equivalent) or in Share-based awards (or a combination thereof) in a single lump sum, except as otherwise determined by the Administrator. To the extent an Actual Award is paid in whole or in part in the form of Share-based awards, such awards shall be granted under an equity incentive plan maintained by the Company for the payment or awarding of Shares.</w:t>
      </w:r>
    </w:p>
    <w:p>
      <w:pPr>
        <w:spacing w:after="0" w:line="175" w:lineRule="exact"/>
        <w:rPr>
          <w:sz w:val="20"/>
          <w:szCs w:val="20"/>
          <w:color w:val="auto"/>
        </w:rPr>
      </w:pPr>
    </w:p>
    <w:p>
      <w:pPr>
        <w:jc w:val="both"/>
        <w:ind w:firstLine="1498"/>
        <w:spacing w:after="0" w:line="267"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b w:val="1"/>
          <w:bCs w:val="1"/>
          <w:color w:val="auto"/>
        </w:rPr>
        <w:t>Payment in the Event of Death</w:t>
      </w:r>
      <w:r>
        <w:rPr>
          <w:rFonts w:ascii="Times New Roman" w:cs="Times New Roman" w:eastAsia="Times New Roman" w:hAnsi="Times New Roman"/>
          <w:sz w:val="20"/>
          <w:szCs w:val="20"/>
          <w:color w:val="auto"/>
        </w:rPr>
        <w:t>. If a Participant dies before receiving an Actual Award that was scheduled to be paid before his or her death for a prior Performance Period, then the Actual Award shall be paid to the Participant’s designated beneficiary or, if no beneficiary has been designated, to the administrator or representative of his or her estate, subject to applicable law. Any beneficiary designation or revocation of a prior designation shall be effective only if it is in writing, signed by the Participant and received by the Company prior to the Participant’s death, subject to applicable law.</w:t>
      </w:r>
    </w:p>
    <w:p>
      <w:pPr>
        <w:spacing w:after="0" w:line="150"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b w:val="1"/>
          <w:bCs w:val="1"/>
          <w:color w:val="auto"/>
        </w:rPr>
        <w:t>Recoupment Policy</w:t>
      </w:r>
      <w:r>
        <w:rPr>
          <w:rFonts w:ascii="Times New Roman" w:cs="Times New Roman" w:eastAsia="Times New Roman" w:hAnsi="Times New Roman"/>
          <w:sz w:val="22"/>
          <w:szCs w:val="22"/>
          <w:color w:val="auto"/>
        </w:rPr>
        <w:t>. All awards granted under the Plan shall be subject to any Company recoupment or clawback policy, as in effect from time to time, including any required by Section 954 of the Dodd-Frank Wall Street Reform and Consumer Protection Act.</w:t>
      </w:r>
    </w:p>
    <w:p>
      <w:pPr>
        <w:sectPr>
          <w:pgSz w:w="11900" w:h="16838" w:orient="portrait"/>
          <w:cols w:equalWidth="0" w:num="1">
            <w:col w:w="11240"/>
          </w:cols>
          <w:pgMar w:left="320" w:top="112" w:right="339" w:bottom="1440" w:gutter="0" w:footer="0" w:header="0"/>
          <w:type w:val="continuous"/>
        </w:sectPr>
      </w:pPr>
    </w:p>
    <w:p>
      <w:pPr>
        <w:spacing w:after="0" w:line="166"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200" w:lineRule="exact"/>
        <w:rPr>
          <w:sz w:val="20"/>
          <w:szCs w:val="20"/>
          <w:color w:val="auto"/>
        </w:rPr>
      </w:pPr>
    </w:p>
    <w:p>
      <w:pPr>
        <w:sectPr>
          <w:pgSz w:w="11900" w:h="16838" w:orient="portrait"/>
          <w:cols w:equalWidth="0" w:num="2">
            <w:col w:w="1940" w:space="680"/>
            <w:col w:w="8620"/>
          </w:cols>
          <w:pgMar w:left="320" w:top="112" w:right="339" w:bottom="1440" w:gutter="0" w:footer="0" w:header="0"/>
          <w:type w:val="continuous"/>
        </w:sectPr>
      </w:pPr>
    </w:p>
    <w:p>
      <w:pPr>
        <w:spacing w:after="0" w:line="28"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b w:val="1"/>
          <w:bCs w:val="1"/>
          <w:color w:val="auto"/>
        </w:rPr>
        <w:t>Administrator Authority</w:t>
      </w:r>
      <w:r>
        <w:rPr>
          <w:rFonts w:ascii="Times New Roman" w:cs="Times New Roman" w:eastAsia="Times New Roman" w:hAnsi="Times New Roman"/>
          <w:sz w:val="22"/>
          <w:szCs w:val="22"/>
          <w:color w:val="auto"/>
        </w:rPr>
        <w:t>.  The Plan shall be administered by the Administrator, subject to</w:t>
      </w:r>
    </w:p>
    <w:p>
      <w:pPr>
        <w:sectPr>
          <w:pgSz w:w="11900" w:h="16838" w:orient="portrait"/>
          <w:cols w:equalWidth="0" w:num="1">
            <w:col w:w="11240"/>
          </w:cols>
          <w:pgMar w:left="320" w:top="112" w:right="339" w:bottom="1440" w:gutter="0" w:footer="0" w:header="0"/>
          <w:type w:val="continuous"/>
        </w:sectPr>
      </w:pPr>
    </w:p>
    <w:p>
      <w:pPr>
        <w:spacing w:after="0" w:line="3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with respect to any Executive, the Committee shall act as Administrator. The Administrator shall have all powers and discretion necessary or appropriate to administer the Plan and to control its operation,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85" w:name="page186"/>
    <w:bookmarkEnd w:id="185"/>
    <w:p>
      <w:pPr>
        <w:jc w:val="both"/>
        <w:spacing w:after="0" w:line="244" w:lineRule="auto"/>
        <w:rPr>
          <w:sz w:val="20"/>
          <w:szCs w:val="20"/>
          <w:color w:val="auto"/>
        </w:rPr>
      </w:pPr>
      <w:r>
        <w:rPr>
          <w:rFonts w:ascii="Times New Roman" w:cs="Times New Roman" w:eastAsia="Times New Roman" w:hAnsi="Times New Roman"/>
          <w:sz w:val="22"/>
          <w:szCs w:val="22"/>
          <w:color w:val="auto"/>
        </w:rPr>
        <w:t>limitation) the power to (a) determine which Employees shall be granted awards, (b) prescribe the terms and conditions of the awards, (c) interpret the Plan, (d) adopt such procedures and sub-plans as are necessary or appropriate, (e) adopt rules for the administration, interpretation and application of the Plan and (f) interpret, amend or revoke any such rules.</w:t>
      </w:r>
    </w:p>
    <w:p>
      <w:pPr>
        <w:spacing w:after="0" w:line="169"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Decisions Binding</w:t>
      </w:r>
      <w:r>
        <w:rPr>
          <w:rFonts w:ascii="Times New Roman" w:cs="Times New Roman" w:eastAsia="Times New Roman" w:hAnsi="Times New Roman"/>
          <w:sz w:val="22"/>
          <w:szCs w:val="22"/>
          <w:color w:val="auto"/>
        </w:rPr>
        <w:t>. All determinations and decisions made by the Administrator, the Board or any delegate of the Administrator pursuant to the provisions of the Plan shall be final, conclusive and binding on all persons and shall be given the maximum deference permitted by law.</w:t>
      </w:r>
    </w:p>
    <w:p>
      <w:pPr>
        <w:spacing w:after="0" w:line="166"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Delegation by the Administrator</w:t>
      </w:r>
      <w:r>
        <w:rPr>
          <w:rFonts w:ascii="Times New Roman" w:cs="Times New Roman" w:eastAsia="Times New Roman" w:hAnsi="Times New Roman"/>
          <w:sz w:val="22"/>
          <w:szCs w:val="22"/>
          <w:color w:val="auto"/>
        </w:rPr>
        <w:t xml:space="preserve">. The Administrator, on such terms and conditions as it may provide, may delegate all or part of its authority and powers under the Plan to one or more directors and/or employees of the Company, </w:t>
      </w:r>
      <w:r>
        <w:rPr>
          <w:rFonts w:ascii="Times New Roman" w:cs="Times New Roman" w:eastAsia="Times New Roman" w:hAnsi="Times New Roman"/>
          <w:sz w:val="22"/>
          <w:szCs w:val="22"/>
          <w:u w:val="single" w:color="auto"/>
          <w:color w:val="auto"/>
        </w:rPr>
        <w:t>except that</w:t>
      </w:r>
      <w:r>
        <w:rPr>
          <w:rFonts w:ascii="Times New Roman" w:cs="Times New Roman" w:eastAsia="Times New Roman" w:hAnsi="Times New Roman"/>
          <w:sz w:val="22"/>
          <w:szCs w:val="22"/>
          <w:color w:val="auto"/>
        </w:rPr>
        <w:t xml:space="preserve"> the Committee may not delegate its authority and powers under the Plan with respect to Executives.</w:t>
      </w:r>
    </w:p>
    <w:p>
      <w:pPr>
        <w:sectPr>
          <w:pgSz w:w="11900" w:h="16838" w:orient="portrait"/>
          <w:cols w:equalWidth="0" w:num="1">
            <w:col w:w="11240"/>
          </w:cols>
          <w:pgMar w:left="320" w:top="112" w:right="339" w:bottom="1440" w:gutter="0" w:footer="0" w:header="0"/>
        </w:sectPr>
      </w:pPr>
    </w:p>
    <w:p>
      <w:pPr>
        <w:spacing w:after="0" w:line="166"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PROVISIONS</w:t>
      </w:r>
    </w:p>
    <w:p>
      <w:pPr>
        <w:spacing w:after="0" w:line="200" w:lineRule="exact"/>
        <w:rPr>
          <w:sz w:val="20"/>
          <w:szCs w:val="20"/>
          <w:color w:val="auto"/>
        </w:rPr>
      </w:pPr>
    </w:p>
    <w:p>
      <w:pPr>
        <w:sectPr>
          <w:pgSz w:w="11900" w:h="16838" w:orient="portrait"/>
          <w:cols w:equalWidth="0" w:num="2">
            <w:col w:w="1940" w:space="680"/>
            <w:col w:w="8620"/>
          </w:cols>
          <w:pgMar w:left="320" w:top="112" w:right="339" w:bottom="1440" w:gutter="0" w:footer="0" w:header="0"/>
          <w:type w:val="continuous"/>
        </w:sectPr>
      </w:pPr>
    </w:p>
    <w:p>
      <w:pPr>
        <w:spacing w:after="0" w:line="28" w:lineRule="exact"/>
        <w:rPr>
          <w:sz w:val="20"/>
          <w:szCs w:val="20"/>
          <w:color w:val="auto"/>
        </w:rPr>
      </w:pPr>
    </w:p>
    <w:p>
      <w:pPr>
        <w:ind w:right="20" w:firstLine="1498"/>
        <w:spacing w:after="0" w:line="261"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The Company or an Affiliate, as applicable, shall withhold all required taxes from an Actual Award, including any federal, state, local or other taxes.</w:t>
      </w:r>
    </w:p>
    <w:p>
      <w:pPr>
        <w:spacing w:after="0" w:line="151"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0"/>
          <w:szCs w:val="20"/>
          <w:b w:val="1"/>
          <w:bCs w:val="1"/>
          <w:color w:val="auto"/>
        </w:rPr>
        <w:t>Application of Section 409A</w:t>
      </w:r>
      <w:r>
        <w:rPr>
          <w:rFonts w:ascii="Times New Roman" w:cs="Times New Roman" w:eastAsia="Times New Roman" w:hAnsi="Times New Roman"/>
          <w:sz w:val="20"/>
          <w:szCs w:val="20"/>
          <w:color w:val="auto"/>
        </w:rPr>
        <w:t>. The provisions of this Plan are intended to be exempt from the</w:t>
      </w:r>
    </w:p>
    <w:p>
      <w:pPr>
        <w:sectPr>
          <w:pgSz w:w="11900" w:h="16838" w:orient="portrait"/>
          <w:cols w:equalWidth="0" w:num="1">
            <w:col w:w="11240"/>
          </w:cols>
          <w:pgMar w:left="320" w:top="112" w:right="339" w:bottom="1440" w:gutter="0" w:footer="0" w:header="0"/>
          <w:type w:val="continuous"/>
        </w:sectPr>
      </w:pPr>
    </w:p>
    <w:p>
      <w:pPr>
        <w:spacing w:after="0" w:line="3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requirements of Section 409A of the Code so that none of the payments to be provided under this Plan will be subject to the additional tax imposed under Section 409A of the Code, and any ambiguities herein will be interpreted to be so exempt. In no event will the Administrator reimburse Participants for any taxes that may be imposed as result of Section 409A of the Code.</w:t>
      </w:r>
    </w:p>
    <w:p>
      <w:pPr>
        <w:spacing w:after="0" w:line="173"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No Effect on Employment</w:t>
      </w:r>
      <w:r>
        <w:rPr>
          <w:rFonts w:ascii="Times New Roman" w:cs="Times New Roman" w:eastAsia="Times New Roman" w:hAnsi="Times New Roman"/>
          <w:sz w:val="22"/>
          <w:szCs w:val="22"/>
          <w:color w:val="auto"/>
        </w:rPr>
        <w:t>. Neither the Plan nor any Target Award shall confer upon a Participant any right with respect to continuing the Participant’s employment with the Company or an Affiliate. Nothing in the Plan shall interfere with or limit in any way the right of the Company or an Affiliate, as applicable, to terminate any Participant’s employment or service at any time, with or without cause. The Company and its Affiliates expressly reserve the right, which may be exercised at any time and without regard to when during or after a Performance Period such exercise occurs, to terminate any individual’s employment with or without cause, and to treat him or her without regard to the effect that such treatment might have upon him or her as a Participant.</w:t>
      </w:r>
    </w:p>
    <w:p>
      <w:pPr>
        <w:spacing w:after="0" w:line="173"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color w:val="auto"/>
        </w:rPr>
        <w:t>Participation; No Effect on Other Benefits</w:t>
      </w:r>
      <w:r>
        <w:rPr>
          <w:rFonts w:ascii="Times New Roman" w:cs="Times New Roman" w:eastAsia="Times New Roman" w:hAnsi="Times New Roman"/>
          <w:sz w:val="22"/>
          <w:szCs w:val="22"/>
          <w:color w:val="auto"/>
        </w:rPr>
        <w:t>. No Employee shall have the right to be selected to receive an award under the Plan, or, having been so selected, to be selected to receive a future award. Except as expressly set forth in a Participant’s employment agreement with the Company or an Affiliate, any Actual Awards under the Plan shall not be considered for the purpose of calculating any other benefits to which such Participant may be entitled, including (a) any termination, severance, redundancy or end-of-service payments, (b) other bonuses or long-service awards, (c) overtime premiums, (d) pension or retirement benefits or (e) future Base Salary or any other payment to be made by the Company to such Participant. All Participants expressly acknowledge that there is no obligation on the part of the Company to continue the Plan. Any Actual Awards granted under the Plan are not intended to be compensation of a continuing or recurring nature, or part of a Participant’s normal or expected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86" w:name="page187"/>
    <w:bookmarkEnd w:id="186"/>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All obligations of the Company and any Affiliate under the Plan, with respect to</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awards granted hereunder, shall be binding on any successor to the Company and/or such Affiliate, whether the existence of such successor is the result of a merger, consolidation, direct or indirect purchase of all or substantially all of the business or assets of the Company or such Affiliate, or any similar transaction.</w:t>
      </w:r>
    </w:p>
    <w:p>
      <w:pPr>
        <w:spacing w:after="0" w:line="173"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color w:val="auto"/>
        </w:rPr>
        <w:t>Nontransferability of Awards</w:t>
      </w:r>
      <w:r>
        <w:rPr>
          <w:rFonts w:ascii="Times New Roman" w:cs="Times New Roman" w:eastAsia="Times New Roman" w:hAnsi="Times New Roman"/>
          <w:sz w:val="22"/>
          <w:szCs w:val="22"/>
          <w:color w:val="auto"/>
        </w:rPr>
        <w:t>. No award granted under the Plan shall be sold, transferred, pledged, assigned or otherwise alienated or hypothecated, other than by will, by the laws of descent and distribution or to the limited extent provided in Section 4.5. All rights with respect to an award granted to a Participant shall be available during his or her lifetime only to the Participant.</w:t>
      </w:r>
    </w:p>
    <w:p>
      <w:pPr>
        <w:spacing w:after="0" w:line="175" w:lineRule="exact"/>
        <w:rPr>
          <w:sz w:val="20"/>
          <w:szCs w:val="20"/>
          <w:color w:val="auto"/>
        </w:rPr>
      </w:pPr>
    </w:p>
    <w:tbl>
      <w:tblPr>
        <w:tblLayout w:type="fixed"/>
        <w:tblInd w:w="760" w:type="dxa"/>
        <w:tblCellMar>
          <w:top w:w="0" w:type="dxa"/>
          <w:left w:w="0" w:type="dxa"/>
          <w:bottom w:w="0" w:type="dxa"/>
          <w:right w:w="0" w:type="dxa"/>
        </w:tblCellMar>
      </w:tblPr>
      <w:tr>
        <w:trPr>
          <w:trHeight w:val="286"/>
        </w:trPr>
        <w:tc>
          <w:tcPr>
            <w:tcW w:w="152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94"/>
              </w:rPr>
              <w:t>ARTICLE 7.</w:t>
            </w:r>
          </w:p>
        </w:tc>
        <w:tc>
          <w:tcPr>
            <w:tcW w:w="89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DURATION, AMENDMENT AND TERMINATION</w:t>
            </w:r>
          </w:p>
        </w:tc>
      </w:tr>
      <w:tr>
        <w:trPr>
          <w:trHeight w:val="458"/>
        </w:trPr>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7.1</w:t>
            </w:r>
          </w:p>
        </w:tc>
        <w:tc>
          <w:tcPr>
            <w:tcW w:w="89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w w:val="98"/>
              </w:rPr>
              <w:t>Duration of the Plan</w:t>
            </w:r>
            <w:r>
              <w:rPr>
                <w:rFonts w:ascii="Times New Roman" w:cs="Times New Roman" w:eastAsia="Times New Roman" w:hAnsi="Times New Roman"/>
                <w:sz w:val="22"/>
                <w:szCs w:val="22"/>
                <w:color w:val="auto"/>
                <w:w w:val="98"/>
              </w:rPr>
              <w:t>. The Plan shall remain in effect until terminated pursuant to Section 7.2.</w:t>
            </w:r>
          </w:p>
        </w:tc>
      </w:tr>
      <w:tr>
        <w:trPr>
          <w:trHeight w:val="443"/>
        </w:trPr>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7.2</w:t>
            </w:r>
          </w:p>
        </w:tc>
        <w:tc>
          <w:tcPr>
            <w:tcW w:w="89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Amendment, Suspension or Termination</w:t>
            </w:r>
            <w:r>
              <w:rPr>
                <w:rFonts w:ascii="Times New Roman" w:cs="Times New Roman" w:eastAsia="Times New Roman" w:hAnsi="Times New Roman"/>
                <w:sz w:val="22"/>
                <w:szCs w:val="22"/>
                <w:color w:val="auto"/>
              </w:rPr>
              <w:t>.  The Board or the Administrator may amend,</w:t>
            </w: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suspend or terminate the Plan, or any part thereof, at any time and for any reason;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this Plan may not be suspended or terminated, nor amended in a manner adverse to a Participant for a period of twelve (12) months following a Change in Control of the Company. No award may be granted during any period of suspension or after termination of the Plan.</w:t>
      </w:r>
    </w:p>
    <w:p>
      <w:pPr>
        <w:sectPr>
          <w:pgSz w:w="11900" w:h="16838" w:orient="portrait"/>
          <w:cols w:equalWidth="0" w:num="1">
            <w:col w:w="11240"/>
          </w:cols>
          <w:pgMar w:left="320" w:top="108" w:right="339" w:bottom="1440" w:gutter="0" w:footer="0" w:header="0"/>
        </w:sectPr>
      </w:pPr>
    </w:p>
    <w:p>
      <w:pPr>
        <w:spacing w:after="0" w:line="173"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CONSTRUCTION</w:t>
      </w:r>
    </w:p>
    <w:p>
      <w:pPr>
        <w:spacing w:after="0" w:line="200" w:lineRule="exact"/>
        <w:rPr>
          <w:sz w:val="20"/>
          <w:szCs w:val="20"/>
          <w:color w:val="auto"/>
        </w:rPr>
      </w:pPr>
    </w:p>
    <w:p>
      <w:pPr>
        <w:sectPr>
          <w:pgSz w:w="11900" w:h="16838" w:orient="portrait"/>
          <w:cols w:equalWidth="0" w:num="2">
            <w:col w:w="1940" w:space="680"/>
            <w:col w:w="8620"/>
          </w:cols>
          <w:pgMar w:left="320" w:top="108" w:right="339" w:bottom="1440" w:gutter="0" w:footer="0" w:header="0"/>
          <w:type w:val="continuous"/>
        </w:sectPr>
      </w:pPr>
    </w:p>
    <w:p>
      <w:pPr>
        <w:spacing w:after="0" w:line="28"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In the event any provision of the Plan shall be held illegal or invalid for any</w:t>
      </w:r>
    </w:p>
    <w:p>
      <w:pPr>
        <w:sectPr>
          <w:pgSz w:w="11900" w:h="16838" w:orient="portrait"/>
          <w:cols w:equalWidth="0" w:num="1">
            <w:col w:w="11240"/>
          </w:cols>
          <w:pgMar w:left="320" w:top="108" w:right="339" w:bottom="1440" w:gutter="0" w:footer="0" w:header="0"/>
          <w:type w:val="continuous"/>
        </w:sectPr>
      </w:pPr>
    </w:p>
    <w:p>
      <w:pPr>
        <w:spacing w:after="0" w:line="3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reason, the illegality or invalidity shall not affect the remaining parts of the Plan, and the Plan shall be construed and enforced as if the illegal or invalid provision had not been included.</w:t>
      </w:r>
    </w:p>
    <w:p>
      <w:pPr>
        <w:spacing w:after="0" w:line="173" w:lineRule="exact"/>
        <w:rPr>
          <w:sz w:val="20"/>
          <w:szCs w:val="20"/>
          <w:color w:val="auto"/>
        </w:rPr>
      </w:pPr>
    </w:p>
    <w:p>
      <w:pPr>
        <w:jc w:val="both"/>
        <w:ind w:firstLine="1498"/>
        <w:spacing w:after="0" w:line="24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Requirements of Law</w:t>
      </w:r>
      <w:r>
        <w:rPr>
          <w:rFonts w:ascii="Times New Roman" w:cs="Times New Roman" w:eastAsia="Times New Roman" w:hAnsi="Times New Roman"/>
          <w:sz w:val="22"/>
          <w:szCs w:val="22"/>
          <w:color w:val="auto"/>
        </w:rPr>
        <w:t>. The granting of awards under the Plan shall be subject to all applicable laws, rules and regulations, and to such approvals by any governmental agencies or national securities markets as may be required.</w:t>
      </w:r>
    </w:p>
    <w:p>
      <w:pPr>
        <w:spacing w:after="0" w:line="200" w:lineRule="exact"/>
        <w:rPr>
          <w:sz w:val="20"/>
          <w:szCs w:val="20"/>
          <w:color w:val="auto"/>
        </w:rPr>
      </w:pPr>
    </w:p>
    <w:p>
      <w:pPr>
        <w:spacing w:after="0" w:line="221" w:lineRule="exact"/>
        <w:rPr>
          <w:sz w:val="20"/>
          <w:szCs w:val="20"/>
          <w:color w:val="auto"/>
        </w:rPr>
      </w:pPr>
    </w:p>
    <w:p>
      <w:pPr>
        <w:jc w:val="both"/>
        <w:ind w:firstLine="1498"/>
        <w:spacing w:after="0" w:line="261"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Captions</w:t>
      </w:r>
      <w:r>
        <w:rPr>
          <w:rFonts w:ascii="Times New Roman" w:cs="Times New Roman" w:eastAsia="Times New Roman" w:hAnsi="Times New Roman"/>
          <w:sz w:val="22"/>
          <w:szCs w:val="22"/>
          <w:color w:val="auto"/>
        </w:rPr>
        <w:t>. Captions are provided herein for convenience only and shall not serve as a basis for interpretation or construction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APPENDIX A</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PERFORMANCE METRICS</w:t>
      </w:r>
    </w:p>
    <w:p>
      <w:pPr>
        <w:spacing w:after="0" w:line="3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Administrator may establish Performance Goals derived from the following metrics, or from such other measures of performance selected by the Administrator from time to time in its sole discretion: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Financial</w:t>
      </w:r>
    </w:p>
    <w:p>
      <w:pPr>
        <w:spacing w:after="0" w:line="232"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appreciation in and/or maintenance of any publicly-traded securities of the Company</w:t>
      </w:r>
    </w:p>
    <w:p>
      <w:pPr>
        <w:spacing w:after="0" w:line="13"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flow, cash balance or cash flow per share (before or after dividends)</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flow return on investment</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margin</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comparisons with various stock market indices</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reduction</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loss per share</w:t>
      </w:r>
    </w:p>
    <w:p>
      <w:pPr>
        <w:ind w:left="760" w:right="92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losses (including earnings or losses before taxes, before interest and taxes, or before interest, taxes, depreciation and amortization)</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economic value added (or an equivalent metric)</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 or cost reduction</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ratios, including those measuring liquidity, activity, profitability or leverage</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 and other capital raising transactions (including sales of the Company’s equity or debt securities)</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margin</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profits</w:t>
      </w:r>
    </w:p>
    <w:p>
      <w:pPr>
        <w:ind w:left="760" w:right="72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improvement in or attainment of expense levels or working capital levels, including cash, inventory and accounts receivable</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or loss (before or after taxes)</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operating income or profits, before or after tax</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sales</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cash flow or other operating efficiencies</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income (before or after taxes)</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margin</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stockholder return</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working capital</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year-end cash</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price</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stockholders’ equity</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reductions in costs</w:t>
      </w:r>
    </w:p>
    <w:p>
      <w:pPr>
        <w:ind w:left="760" w:right="70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on assets, net assets, investment or capital employed (including return on total capital or return on invested capital)</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on equity or average stockholders’ equity</w:t>
      </w:r>
    </w:p>
    <w:p>
      <w:pPr>
        <w:ind w:left="760" w:hanging="378"/>
        <w:spacing w:after="0"/>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on operating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Organizational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88" w:name="page189"/>
    <w:bookmarkEnd w:id="188"/>
    <w:p>
      <w:pPr>
        <w:ind w:left="760" w:hanging="378"/>
        <w:spacing w:after="0"/>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satisfaction</w:t>
      </w:r>
    </w:p>
    <w:p>
      <w:pPr>
        <w:spacing w:after="0" w:line="13"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survey results</w:t>
      </w:r>
    </w:p>
    <w:p>
      <w:pPr>
        <w:ind w:left="760" w:hanging="378"/>
        <w:spacing w:after="0"/>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recruiting and maintaining personnel</w:t>
      </w: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Performance Goals may be based solely by reference to the Company’s performance or the performance of a subsidiary, division, business segment or business unit of the Company, or based upon the relative performance of other companies or upon comparisons of any of the indicators of performance relative to other companies.</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Administrator may adjust the results under any performance criterion to exclude any of the following events that occurs during a performance measurement period: (a) asset write-downs, (b) litigation, claims, judgments or settlements, (c) the effect of changes in tax law, accounting principles or other such laws or provisions affecting reported results, (d) accruals for reorganization and restructuring programs, (e) any extraordinary, unusual or non-recurring items, (f) exchange rate effects for non-U.S. dollar denominated net sales and operating earnings or (g) statutory adjustments to corporate tax rates.</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Any Performance Goal used may be measured (a) in absolute terms, (b) in relative terms, including (without limitation) the passage of time and/or against other companies or metrics, (c) on a per-share basis, (d) against the performance of the Company as a whole or against particular segments or products of the Company and/or (e) on a pre-tax or after-tax basis. Any Performance Goal may be measured on a basis other than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9" w:name="page190"/>
    <w:bookmarkEnd w:id="189"/>
    <w:p>
      <w:pPr>
        <w:ind w:left="9240"/>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1240" w:type="dxa"/>
            <w:vAlign w:val="bottom"/>
            <w:gridSpan w:val="2"/>
          </w:tcPr>
          <w:p>
            <w:pPr>
              <w:ind w:left="3720"/>
              <w:spacing w:after="0"/>
              <w:rPr>
                <w:sz w:val="20"/>
                <w:szCs w:val="20"/>
                <w:color w:val="auto"/>
              </w:rPr>
            </w:pPr>
            <w:r>
              <w:rPr>
                <w:rFonts w:ascii="Arial" w:cs="Arial" w:eastAsia="Arial" w:hAnsi="Arial"/>
                <w:sz w:val="18"/>
                <w:szCs w:val="18"/>
                <w:b w:val="1"/>
                <w:bCs w:val="1"/>
                <w:color w:val="auto"/>
              </w:rPr>
              <w:t>SUBSIDIARIES OF FLYWIRE CORPORATION</w:t>
            </w:r>
          </w:p>
        </w:tc>
      </w:tr>
      <w:tr>
        <w:trPr>
          <w:trHeight w:val="123"/>
        </w:trPr>
        <w:tc>
          <w:tcPr>
            <w:tcW w:w="5680" w:type="dxa"/>
            <w:vAlign w:val="bottom"/>
          </w:tcPr>
          <w:p>
            <w:pPr>
              <w:spacing w:after="0"/>
              <w:rPr>
                <w:sz w:val="10"/>
                <w:szCs w:val="10"/>
                <w:color w:val="auto"/>
              </w:rPr>
            </w:pPr>
          </w:p>
        </w:tc>
        <w:tc>
          <w:tcPr>
            <w:tcW w:w="5560" w:type="dxa"/>
            <w:vAlign w:val="bottom"/>
          </w:tcPr>
          <w:p>
            <w:pPr>
              <w:spacing w:after="0"/>
              <w:rPr>
                <w:sz w:val="10"/>
                <w:szCs w:val="10"/>
                <w:color w:val="auto"/>
              </w:rPr>
            </w:pPr>
          </w:p>
        </w:tc>
      </w:tr>
      <w:tr>
        <w:trPr>
          <w:trHeight w:val="247"/>
        </w:trPr>
        <w:tc>
          <w:tcPr>
            <w:tcW w:w="5680" w:type="dxa"/>
            <w:vAlign w:val="bottom"/>
            <w:tcBorders>
              <w:left w:val="single" w:sz="8" w:color="4BACC6"/>
            </w:tcBorders>
            <w:shd w:val="clear" w:color="auto" w:fill="4BACC6"/>
          </w:tcPr>
          <w:p>
            <w:pPr>
              <w:ind w:left="120"/>
              <w:spacing w:after="0"/>
              <w:rPr>
                <w:sz w:val="20"/>
                <w:szCs w:val="20"/>
                <w:color w:val="auto"/>
              </w:rPr>
            </w:pPr>
            <w:r>
              <w:rPr>
                <w:rFonts w:ascii="Arial" w:cs="Arial" w:eastAsia="Arial" w:hAnsi="Arial"/>
                <w:sz w:val="18"/>
                <w:szCs w:val="18"/>
                <w:color w:val="auto"/>
              </w:rPr>
              <w:t>Name of Subsidiary</w:t>
            </w:r>
          </w:p>
        </w:tc>
        <w:tc>
          <w:tcPr>
            <w:tcW w:w="5560" w:type="dxa"/>
            <w:vAlign w:val="bottom"/>
            <w:tcBorders>
              <w:right w:val="single" w:sz="8" w:color="4BACC6"/>
            </w:tcBorders>
            <w:shd w:val="clear" w:color="auto" w:fill="4BACC6"/>
          </w:tcPr>
          <w:p>
            <w:pPr>
              <w:ind w:left="360"/>
              <w:spacing w:after="0"/>
              <w:rPr>
                <w:sz w:val="20"/>
                <w:szCs w:val="20"/>
                <w:color w:val="auto"/>
              </w:rPr>
            </w:pPr>
            <w:r>
              <w:rPr>
                <w:rFonts w:ascii="Arial" w:cs="Arial" w:eastAsia="Arial" w:hAnsi="Arial"/>
                <w:sz w:val="18"/>
                <w:szCs w:val="18"/>
                <w:color w:val="auto"/>
              </w:rPr>
              <w:t>Jurisdiction of Organization</w:t>
            </w:r>
          </w:p>
        </w:tc>
      </w:tr>
      <w:tr>
        <w:trPr>
          <w:trHeight w:val="212"/>
        </w:trPr>
        <w:tc>
          <w:tcPr>
            <w:tcW w:w="5680" w:type="dxa"/>
            <w:vAlign w:val="bottom"/>
            <w:tcBorders>
              <w:left w:val="single" w:sz="8" w:color="4BACC6"/>
            </w:tcBorders>
            <w:shd w:val="clear" w:color="auto" w:fill="4BACC6"/>
          </w:tcPr>
          <w:p>
            <w:pPr>
              <w:spacing w:after="0"/>
              <w:rPr>
                <w:sz w:val="18"/>
                <w:szCs w:val="18"/>
                <w:color w:val="auto"/>
              </w:rPr>
            </w:pPr>
          </w:p>
        </w:tc>
        <w:tc>
          <w:tcPr>
            <w:tcW w:w="5560" w:type="dxa"/>
            <w:vAlign w:val="bottom"/>
            <w:tcBorders>
              <w:right w:val="single" w:sz="8" w:color="4BACC6"/>
            </w:tcBorders>
            <w:shd w:val="clear" w:color="auto" w:fill="4BACC6"/>
          </w:tcPr>
          <w:p>
            <w:pPr>
              <w:spacing w:after="0"/>
              <w:rPr>
                <w:sz w:val="18"/>
                <w:szCs w:val="18"/>
                <w:color w:val="auto"/>
              </w:rPr>
            </w:pPr>
          </w:p>
        </w:tc>
      </w:tr>
      <w:tr>
        <w:trPr>
          <w:trHeight w:val="239"/>
        </w:trPr>
        <w:tc>
          <w:tcPr>
            <w:tcW w:w="5680" w:type="dxa"/>
            <w:vAlign w:val="bottom"/>
            <w:tcBorders>
              <w:lef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LATAM Corporation</w:t>
            </w:r>
          </w:p>
        </w:tc>
        <w:tc>
          <w:tcPr>
            <w:tcW w:w="5560" w:type="dxa"/>
            <w:vAlign w:val="bottom"/>
            <w:tcBorders>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tcBorders>
            <w:shd w:val="clear" w:color="auto" w:fill="DAEEF3"/>
          </w:tcPr>
          <w:p>
            <w:pPr>
              <w:spacing w:after="0"/>
              <w:rPr>
                <w:sz w:val="16"/>
                <w:szCs w:val="16"/>
                <w:color w:val="auto"/>
              </w:rPr>
            </w:pPr>
          </w:p>
        </w:tc>
        <w:tc>
          <w:tcPr>
            <w:tcW w:w="556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tcBorders>
          </w:tcPr>
          <w:p>
            <w:pPr>
              <w:ind w:left="120"/>
              <w:spacing w:after="0"/>
              <w:rPr>
                <w:sz w:val="20"/>
                <w:szCs w:val="20"/>
                <w:color w:val="auto"/>
              </w:rPr>
            </w:pPr>
            <w:r>
              <w:rPr>
                <w:rFonts w:ascii="Arial" w:cs="Arial" w:eastAsia="Arial" w:hAnsi="Arial"/>
                <w:sz w:val="18"/>
                <w:szCs w:val="18"/>
                <w:color w:val="auto"/>
              </w:rPr>
              <w:t>Flywire AEA Corporation</w:t>
            </w:r>
          </w:p>
        </w:tc>
        <w:tc>
          <w:tcPr>
            <w:tcW w:w="5560" w:type="dxa"/>
            <w:vAlign w:val="bottom"/>
            <w:tcBorders>
              <w:right w:val="single" w:sz="8" w:color="92CDDC"/>
            </w:tcBorders>
          </w:tcPr>
          <w:p>
            <w:pPr>
              <w:ind w:left="36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tcBorders>
          </w:tcPr>
          <w:p>
            <w:pPr>
              <w:spacing w:after="0"/>
              <w:rPr>
                <w:sz w:val="16"/>
                <w:szCs w:val="16"/>
                <w:color w:val="auto"/>
              </w:rPr>
            </w:pPr>
          </w:p>
        </w:tc>
        <w:tc>
          <w:tcPr>
            <w:tcW w:w="556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Healthcare Corporation</w:t>
            </w:r>
          </w:p>
        </w:tc>
        <w:tc>
          <w:tcPr>
            <w:tcW w:w="5560" w:type="dxa"/>
            <w:vAlign w:val="bottom"/>
            <w:tcBorders>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tcBorders>
            <w:shd w:val="clear" w:color="auto" w:fill="DAEEF3"/>
          </w:tcPr>
          <w:p>
            <w:pPr>
              <w:spacing w:after="0"/>
              <w:rPr>
                <w:sz w:val="16"/>
                <w:szCs w:val="16"/>
                <w:color w:val="auto"/>
              </w:rPr>
            </w:pPr>
          </w:p>
        </w:tc>
        <w:tc>
          <w:tcPr>
            <w:tcW w:w="556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23"/>
        </w:trPr>
        <w:tc>
          <w:tcPr>
            <w:tcW w:w="5680" w:type="dxa"/>
            <w:vAlign w:val="bottom"/>
            <w:tcBorders>
              <w:left w:val="single" w:sz="8" w:color="92CDDC"/>
              <w:bottom w:val="single" w:sz="8" w:color="92CDDC"/>
            </w:tcBorders>
          </w:tcPr>
          <w:p>
            <w:pPr>
              <w:ind w:left="120"/>
              <w:spacing w:after="0"/>
              <w:rPr>
                <w:sz w:val="20"/>
                <w:szCs w:val="20"/>
                <w:color w:val="auto"/>
              </w:rPr>
            </w:pPr>
            <w:r>
              <w:rPr>
                <w:rFonts w:ascii="Arial" w:cs="Arial" w:eastAsia="Arial" w:hAnsi="Arial"/>
                <w:sz w:val="18"/>
                <w:szCs w:val="18"/>
                <w:color w:val="auto"/>
              </w:rPr>
              <w:t>Flywire U.S. Holdings, Inc</w:t>
            </w:r>
          </w:p>
        </w:tc>
        <w:tc>
          <w:tcPr>
            <w:tcW w:w="5560" w:type="dxa"/>
            <w:vAlign w:val="bottom"/>
            <w:tcBorders>
              <w:bottom w:val="single" w:sz="8" w:color="92CDDC"/>
              <w:right w:val="single" w:sz="8" w:color="92CDDC"/>
            </w:tcBorders>
          </w:tcPr>
          <w:p>
            <w:pPr>
              <w:ind w:left="360"/>
              <w:spacing w:after="0"/>
              <w:rPr>
                <w:sz w:val="20"/>
                <w:szCs w:val="20"/>
                <w:color w:val="auto"/>
              </w:rPr>
            </w:pPr>
            <w:r>
              <w:rPr>
                <w:rFonts w:ascii="Arial" w:cs="Arial" w:eastAsia="Arial" w:hAnsi="Arial"/>
                <w:sz w:val="18"/>
                <w:szCs w:val="18"/>
                <w:color w:val="auto"/>
              </w:rPr>
              <w:t>United States of America</w:t>
            </w:r>
          </w:p>
        </w:tc>
      </w:tr>
      <w:tr>
        <w:trPr>
          <w:trHeight w:val="232"/>
        </w:trPr>
        <w:tc>
          <w:tcPr>
            <w:tcW w:w="5680" w:type="dxa"/>
            <w:vAlign w:val="bottom"/>
            <w:tcBorders>
              <w:lef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OnPlan Holdings LLC</w:t>
            </w:r>
          </w:p>
        </w:tc>
        <w:tc>
          <w:tcPr>
            <w:tcW w:w="5560" w:type="dxa"/>
            <w:vAlign w:val="bottom"/>
            <w:tcBorders>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tcBorders>
            <w:shd w:val="clear" w:color="auto" w:fill="DAEEF3"/>
          </w:tcPr>
          <w:p>
            <w:pPr>
              <w:spacing w:after="0"/>
              <w:rPr>
                <w:sz w:val="16"/>
                <w:szCs w:val="16"/>
                <w:color w:val="auto"/>
              </w:rPr>
            </w:pPr>
          </w:p>
        </w:tc>
        <w:tc>
          <w:tcPr>
            <w:tcW w:w="556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tcBorders>
          </w:tcPr>
          <w:p>
            <w:pPr>
              <w:ind w:left="120"/>
              <w:spacing w:after="0"/>
              <w:rPr>
                <w:sz w:val="20"/>
                <w:szCs w:val="20"/>
                <w:color w:val="auto"/>
              </w:rPr>
            </w:pPr>
            <w:r>
              <w:rPr>
                <w:rFonts w:ascii="Arial" w:cs="Arial" w:eastAsia="Arial" w:hAnsi="Arial"/>
                <w:sz w:val="18"/>
                <w:szCs w:val="18"/>
                <w:color w:val="auto"/>
              </w:rPr>
              <w:t>Flywire Securities Corporation</w:t>
            </w:r>
          </w:p>
        </w:tc>
        <w:tc>
          <w:tcPr>
            <w:tcW w:w="5560" w:type="dxa"/>
            <w:vAlign w:val="bottom"/>
            <w:tcBorders>
              <w:right w:val="single" w:sz="8" w:color="92CDDC"/>
            </w:tcBorders>
          </w:tcPr>
          <w:p>
            <w:pPr>
              <w:ind w:left="36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tcBorders>
          </w:tcPr>
          <w:p>
            <w:pPr>
              <w:spacing w:after="0"/>
              <w:rPr>
                <w:sz w:val="16"/>
                <w:szCs w:val="16"/>
                <w:color w:val="auto"/>
              </w:rPr>
            </w:pPr>
          </w:p>
        </w:tc>
        <w:tc>
          <w:tcPr>
            <w:tcW w:w="556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Global Corp.</w:t>
            </w:r>
          </w:p>
        </w:tc>
        <w:tc>
          <w:tcPr>
            <w:tcW w:w="5560" w:type="dxa"/>
            <w:vAlign w:val="bottom"/>
            <w:tcBorders>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tcBorders>
            <w:shd w:val="clear" w:color="auto" w:fill="DAEEF3"/>
          </w:tcPr>
          <w:p>
            <w:pPr>
              <w:spacing w:after="0"/>
              <w:rPr>
                <w:sz w:val="16"/>
                <w:szCs w:val="16"/>
                <w:color w:val="auto"/>
              </w:rPr>
            </w:pPr>
          </w:p>
        </w:tc>
        <w:tc>
          <w:tcPr>
            <w:tcW w:w="556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tcBorders>
          </w:tcPr>
          <w:p>
            <w:pPr>
              <w:ind w:left="120"/>
              <w:spacing w:after="0"/>
              <w:rPr>
                <w:sz w:val="20"/>
                <w:szCs w:val="20"/>
                <w:color w:val="auto"/>
              </w:rPr>
            </w:pPr>
            <w:r>
              <w:rPr>
                <w:rFonts w:ascii="Arial" w:cs="Arial" w:eastAsia="Arial" w:hAnsi="Arial"/>
                <w:sz w:val="18"/>
                <w:szCs w:val="18"/>
                <w:color w:val="auto"/>
              </w:rPr>
              <w:t>Flywire Payments Corporation</w:t>
            </w:r>
          </w:p>
        </w:tc>
        <w:tc>
          <w:tcPr>
            <w:tcW w:w="5560" w:type="dxa"/>
            <w:vAlign w:val="bottom"/>
            <w:tcBorders>
              <w:right w:val="single" w:sz="8" w:color="92CDDC"/>
            </w:tcBorders>
          </w:tcPr>
          <w:p>
            <w:pPr>
              <w:ind w:left="36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tcBorders>
          </w:tcPr>
          <w:p>
            <w:pPr>
              <w:spacing w:after="0"/>
              <w:rPr>
                <w:sz w:val="16"/>
                <w:szCs w:val="16"/>
                <w:color w:val="auto"/>
              </w:rPr>
            </w:pPr>
          </w:p>
        </w:tc>
        <w:tc>
          <w:tcPr>
            <w:tcW w:w="556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Simplificare Inc.</w:t>
            </w:r>
          </w:p>
        </w:tc>
        <w:tc>
          <w:tcPr>
            <w:tcW w:w="5560" w:type="dxa"/>
            <w:vAlign w:val="bottom"/>
            <w:tcBorders>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tcBorders>
            <w:shd w:val="clear" w:color="auto" w:fill="DAEEF3"/>
          </w:tcPr>
          <w:p>
            <w:pPr>
              <w:spacing w:after="0"/>
              <w:rPr>
                <w:sz w:val="16"/>
                <w:szCs w:val="16"/>
                <w:color w:val="auto"/>
              </w:rPr>
            </w:pPr>
          </w:p>
        </w:tc>
        <w:tc>
          <w:tcPr>
            <w:tcW w:w="556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tcBorders>
          </w:tcPr>
          <w:p>
            <w:pPr>
              <w:ind w:left="120"/>
              <w:spacing w:after="0"/>
              <w:rPr>
                <w:sz w:val="20"/>
                <w:szCs w:val="20"/>
                <w:color w:val="auto"/>
              </w:rPr>
            </w:pPr>
            <w:r>
              <w:rPr>
                <w:rFonts w:ascii="Arial" w:cs="Arial" w:eastAsia="Arial" w:hAnsi="Arial"/>
                <w:sz w:val="18"/>
                <w:szCs w:val="18"/>
                <w:color w:val="auto"/>
              </w:rPr>
              <w:t>Flywire Pacific Pty Ltd</w:t>
            </w:r>
          </w:p>
        </w:tc>
        <w:tc>
          <w:tcPr>
            <w:tcW w:w="5560" w:type="dxa"/>
            <w:vAlign w:val="bottom"/>
            <w:tcBorders>
              <w:right w:val="single" w:sz="8" w:color="92CDDC"/>
            </w:tcBorders>
          </w:tcPr>
          <w:p>
            <w:pPr>
              <w:ind w:left="360"/>
              <w:spacing w:after="0"/>
              <w:rPr>
                <w:sz w:val="20"/>
                <w:szCs w:val="20"/>
                <w:color w:val="auto"/>
              </w:rPr>
            </w:pPr>
            <w:r>
              <w:rPr>
                <w:rFonts w:ascii="Arial" w:cs="Arial" w:eastAsia="Arial" w:hAnsi="Arial"/>
                <w:sz w:val="18"/>
                <w:szCs w:val="18"/>
                <w:color w:val="auto"/>
              </w:rPr>
              <w:t>Australia</w:t>
            </w:r>
          </w:p>
        </w:tc>
      </w:tr>
      <w:tr>
        <w:trPr>
          <w:trHeight w:val="193"/>
        </w:trPr>
        <w:tc>
          <w:tcPr>
            <w:tcW w:w="5680" w:type="dxa"/>
            <w:vAlign w:val="bottom"/>
            <w:tcBorders>
              <w:left w:val="single" w:sz="8" w:color="92CDDC"/>
              <w:bottom w:val="single" w:sz="8" w:color="92CDDC"/>
            </w:tcBorders>
          </w:tcPr>
          <w:p>
            <w:pPr>
              <w:spacing w:after="0"/>
              <w:rPr>
                <w:sz w:val="16"/>
                <w:szCs w:val="16"/>
                <w:color w:val="auto"/>
              </w:rPr>
            </w:pPr>
          </w:p>
        </w:tc>
        <w:tc>
          <w:tcPr>
            <w:tcW w:w="5560" w:type="dxa"/>
            <w:vAlign w:val="bottom"/>
            <w:tcBorders>
              <w:bottom w:val="single" w:sz="8" w:color="92CDDC"/>
              <w:right w:val="single" w:sz="8" w:color="92CDDC"/>
            </w:tcBorders>
          </w:tcPr>
          <w:p>
            <w:pPr>
              <w:spacing w:after="0"/>
              <w:rPr>
                <w:sz w:val="16"/>
                <w:szCs w:val="16"/>
                <w:color w:val="auto"/>
              </w:rPr>
            </w:pPr>
          </w:p>
        </w:tc>
      </w:tr>
      <w:tr>
        <w:trPr>
          <w:trHeight w:val="223"/>
        </w:trPr>
        <w:tc>
          <w:tcPr>
            <w:tcW w:w="5680" w:type="dxa"/>
            <w:vAlign w:val="bottom"/>
            <w:tcBorders>
              <w:left w:val="single" w:sz="8" w:color="92CDDC"/>
              <w:bottom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Cohort Solutions Pty Ltd</w:t>
            </w:r>
          </w:p>
        </w:tc>
        <w:tc>
          <w:tcPr>
            <w:tcW w:w="5560" w:type="dxa"/>
            <w:vAlign w:val="bottom"/>
            <w:tcBorders>
              <w:bottom w:val="single" w:sz="8" w:color="92CDDC"/>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Australia</w:t>
            </w:r>
          </w:p>
        </w:tc>
      </w:tr>
      <w:tr>
        <w:trPr>
          <w:trHeight w:val="223"/>
        </w:trPr>
        <w:tc>
          <w:tcPr>
            <w:tcW w:w="5680" w:type="dxa"/>
            <w:vAlign w:val="bottom"/>
            <w:tcBorders>
              <w:left w:val="single" w:sz="8" w:color="92CDDC"/>
              <w:bottom w:val="single" w:sz="8" w:color="92CDDC"/>
            </w:tcBorders>
          </w:tcPr>
          <w:p>
            <w:pPr>
              <w:ind w:left="120"/>
              <w:spacing w:after="0"/>
              <w:rPr>
                <w:sz w:val="20"/>
                <w:szCs w:val="20"/>
                <w:color w:val="auto"/>
              </w:rPr>
            </w:pPr>
            <w:r>
              <w:rPr>
                <w:rFonts w:ascii="Arial" w:cs="Arial" w:eastAsia="Arial" w:hAnsi="Arial"/>
                <w:sz w:val="18"/>
                <w:szCs w:val="18"/>
                <w:color w:val="auto"/>
              </w:rPr>
              <w:t>OSHC Australia Pty Ltd</w:t>
            </w:r>
          </w:p>
        </w:tc>
        <w:tc>
          <w:tcPr>
            <w:tcW w:w="5560" w:type="dxa"/>
            <w:vAlign w:val="bottom"/>
            <w:tcBorders>
              <w:bottom w:val="single" w:sz="8" w:color="92CDDC"/>
              <w:right w:val="single" w:sz="8" w:color="92CDDC"/>
            </w:tcBorders>
          </w:tcPr>
          <w:p>
            <w:pPr>
              <w:ind w:left="360"/>
              <w:spacing w:after="0"/>
              <w:rPr>
                <w:sz w:val="20"/>
                <w:szCs w:val="20"/>
                <w:color w:val="auto"/>
              </w:rPr>
            </w:pPr>
            <w:r>
              <w:rPr>
                <w:rFonts w:ascii="Arial" w:cs="Arial" w:eastAsia="Arial" w:hAnsi="Arial"/>
                <w:sz w:val="18"/>
                <w:szCs w:val="18"/>
                <w:color w:val="auto"/>
              </w:rPr>
              <w:t>Australia</w:t>
            </w:r>
          </w:p>
        </w:tc>
      </w:tr>
      <w:tr>
        <w:trPr>
          <w:trHeight w:val="223"/>
        </w:trPr>
        <w:tc>
          <w:tcPr>
            <w:tcW w:w="5680" w:type="dxa"/>
            <w:vAlign w:val="bottom"/>
            <w:tcBorders>
              <w:left w:val="single" w:sz="8" w:color="92CDDC"/>
              <w:bottom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Cohort Go Brasil Representaçoes Eireli</w:t>
            </w:r>
          </w:p>
        </w:tc>
        <w:tc>
          <w:tcPr>
            <w:tcW w:w="5560" w:type="dxa"/>
            <w:vAlign w:val="bottom"/>
            <w:tcBorders>
              <w:bottom w:val="single" w:sz="8" w:color="92CDDC"/>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Brazil</w:t>
            </w:r>
          </w:p>
        </w:tc>
      </w:tr>
      <w:tr>
        <w:trPr>
          <w:trHeight w:val="232"/>
        </w:trPr>
        <w:tc>
          <w:tcPr>
            <w:tcW w:w="5680" w:type="dxa"/>
            <w:vAlign w:val="bottom"/>
            <w:tcBorders>
              <w:left w:val="single" w:sz="8" w:color="92CDDC"/>
            </w:tcBorders>
          </w:tcPr>
          <w:p>
            <w:pPr>
              <w:ind w:left="120"/>
              <w:spacing w:after="0"/>
              <w:rPr>
                <w:sz w:val="20"/>
                <w:szCs w:val="20"/>
                <w:color w:val="auto"/>
              </w:rPr>
            </w:pPr>
            <w:r>
              <w:rPr>
                <w:rFonts w:ascii="Arial" w:cs="Arial" w:eastAsia="Arial" w:hAnsi="Arial"/>
                <w:sz w:val="18"/>
                <w:szCs w:val="18"/>
                <w:color w:val="auto"/>
              </w:rPr>
              <w:t>Flywire Serviços Ltda</w:t>
            </w:r>
          </w:p>
        </w:tc>
        <w:tc>
          <w:tcPr>
            <w:tcW w:w="5560" w:type="dxa"/>
            <w:vAlign w:val="bottom"/>
            <w:tcBorders>
              <w:right w:val="single" w:sz="8" w:color="92CDDC"/>
            </w:tcBorders>
          </w:tcPr>
          <w:p>
            <w:pPr>
              <w:ind w:left="360"/>
              <w:spacing w:after="0"/>
              <w:rPr>
                <w:sz w:val="20"/>
                <w:szCs w:val="20"/>
                <w:color w:val="auto"/>
              </w:rPr>
            </w:pPr>
            <w:r>
              <w:rPr>
                <w:rFonts w:ascii="Arial" w:cs="Arial" w:eastAsia="Arial" w:hAnsi="Arial"/>
                <w:sz w:val="18"/>
                <w:szCs w:val="18"/>
                <w:color w:val="auto"/>
              </w:rPr>
              <w:t>Brazil</w:t>
            </w:r>
          </w:p>
        </w:tc>
      </w:tr>
      <w:tr>
        <w:trPr>
          <w:trHeight w:val="193"/>
        </w:trPr>
        <w:tc>
          <w:tcPr>
            <w:tcW w:w="5680" w:type="dxa"/>
            <w:vAlign w:val="bottom"/>
            <w:tcBorders>
              <w:left w:val="single" w:sz="8" w:color="92CDDC"/>
              <w:bottom w:val="single" w:sz="8" w:color="92CDDC"/>
            </w:tcBorders>
          </w:tcPr>
          <w:p>
            <w:pPr>
              <w:spacing w:after="0"/>
              <w:rPr>
                <w:sz w:val="16"/>
                <w:szCs w:val="16"/>
                <w:color w:val="auto"/>
              </w:rPr>
            </w:pPr>
          </w:p>
        </w:tc>
        <w:tc>
          <w:tcPr>
            <w:tcW w:w="556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Canada, Inc.</w:t>
            </w:r>
          </w:p>
        </w:tc>
        <w:tc>
          <w:tcPr>
            <w:tcW w:w="5560" w:type="dxa"/>
            <w:vAlign w:val="bottom"/>
            <w:tcBorders>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Canada</w:t>
            </w:r>
          </w:p>
        </w:tc>
      </w:tr>
      <w:tr>
        <w:trPr>
          <w:trHeight w:val="193"/>
        </w:trPr>
        <w:tc>
          <w:tcPr>
            <w:tcW w:w="5680" w:type="dxa"/>
            <w:vAlign w:val="bottom"/>
            <w:tcBorders>
              <w:left w:val="single" w:sz="8" w:color="92CDDC"/>
              <w:bottom w:val="single" w:sz="8" w:color="92CDDC"/>
            </w:tcBorders>
            <w:shd w:val="clear" w:color="auto" w:fill="DAEEF3"/>
          </w:tcPr>
          <w:p>
            <w:pPr>
              <w:spacing w:after="0"/>
              <w:rPr>
                <w:sz w:val="16"/>
                <w:szCs w:val="16"/>
                <w:color w:val="auto"/>
              </w:rPr>
            </w:pPr>
          </w:p>
        </w:tc>
        <w:tc>
          <w:tcPr>
            <w:tcW w:w="556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23"/>
        </w:trPr>
        <w:tc>
          <w:tcPr>
            <w:tcW w:w="5680" w:type="dxa"/>
            <w:vAlign w:val="bottom"/>
            <w:tcBorders>
              <w:left w:val="single" w:sz="8" w:color="92CDDC"/>
              <w:bottom w:val="single" w:sz="8" w:color="92CDDC"/>
            </w:tcBorders>
          </w:tcPr>
          <w:p>
            <w:pPr>
              <w:ind w:left="120"/>
              <w:spacing w:after="0"/>
              <w:rPr>
                <w:sz w:val="20"/>
                <w:szCs w:val="20"/>
                <w:color w:val="auto"/>
              </w:rPr>
            </w:pPr>
            <w:r>
              <w:rPr>
                <w:rFonts w:ascii="Arial" w:cs="Arial" w:eastAsia="Arial" w:hAnsi="Arial"/>
                <w:sz w:val="18"/>
                <w:szCs w:val="18"/>
                <w:color w:val="auto"/>
              </w:rPr>
              <w:t>Flywire Payments Canada, Inc.</w:t>
            </w:r>
          </w:p>
        </w:tc>
        <w:tc>
          <w:tcPr>
            <w:tcW w:w="5560" w:type="dxa"/>
            <w:vAlign w:val="bottom"/>
            <w:tcBorders>
              <w:bottom w:val="single" w:sz="8" w:color="92CDDC"/>
              <w:right w:val="single" w:sz="8" w:color="92CDDC"/>
            </w:tcBorders>
          </w:tcPr>
          <w:p>
            <w:pPr>
              <w:ind w:left="360"/>
              <w:spacing w:after="0"/>
              <w:rPr>
                <w:sz w:val="20"/>
                <w:szCs w:val="20"/>
                <w:color w:val="auto"/>
              </w:rPr>
            </w:pPr>
            <w:r>
              <w:rPr>
                <w:rFonts w:ascii="Arial" w:cs="Arial" w:eastAsia="Arial" w:hAnsi="Arial"/>
                <w:sz w:val="18"/>
                <w:szCs w:val="18"/>
                <w:color w:val="auto"/>
              </w:rPr>
              <w:t>Canada</w:t>
            </w:r>
          </w:p>
        </w:tc>
      </w:tr>
      <w:tr>
        <w:trPr>
          <w:trHeight w:val="223"/>
        </w:trPr>
        <w:tc>
          <w:tcPr>
            <w:tcW w:w="5680" w:type="dxa"/>
            <w:vAlign w:val="bottom"/>
            <w:tcBorders>
              <w:left w:val="single" w:sz="8" w:color="92CDDC"/>
              <w:bottom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Cohort Solutions (Canada) Ltd</w:t>
            </w:r>
          </w:p>
        </w:tc>
        <w:tc>
          <w:tcPr>
            <w:tcW w:w="5560" w:type="dxa"/>
            <w:vAlign w:val="bottom"/>
            <w:tcBorders>
              <w:bottom w:val="single" w:sz="8" w:color="92CDDC"/>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Canada</w:t>
            </w:r>
          </w:p>
        </w:tc>
      </w:tr>
      <w:tr>
        <w:trPr>
          <w:trHeight w:val="223"/>
        </w:trPr>
        <w:tc>
          <w:tcPr>
            <w:tcW w:w="5680" w:type="dxa"/>
            <w:vAlign w:val="bottom"/>
            <w:tcBorders>
              <w:left w:val="single" w:sz="8" w:color="92CDDC"/>
              <w:bottom w:val="single" w:sz="8" w:color="92CDDC"/>
            </w:tcBorders>
          </w:tcPr>
          <w:p>
            <w:pPr>
              <w:ind w:left="120"/>
              <w:spacing w:after="0"/>
              <w:rPr>
                <w:sz w:val="20"/>
                <w:szCs w:val="20"/>
                <w:color w:val="auto"/>
              </w:rPr>
            </w:pPr>
            <w:r>
              <w:rPr>
                <w:rFonts w:ascii="Arial" w:cs="Arial" w:eastAsia="Arial" w:hAnsi="Arial"/>
                <w:sz w:val="18"/>
                <w:szCs w:val="18"/>
                <w:color w:val="auto"/>
              </w:rPr>
              <w:t>Flywire (Hong Kong) Limited</w:t>
            </w:r>
          </w:p>
        </w:tc>
        <w:tc>
          <w:tcPr>
            <w:tcW w:w="5560" w:type="dxa"/>
            <w:vAlign w:val="bottom"/>
            <w:tcBorders>
              <w:bottom w:val="single" w:sz="8" w:color="92CDDC"/>
              <w:right w:val="single" w:sz="8" w:color="92CDDC"/>
            </w:tcBorders>
          </w:tcPr>
          <w:p>
            <w:pPr>
              <w:ind w:left="360"/>
              <w:spacing w:after="0"/>
              <w:rPr>
                <w:sz w:val="20"/>
                <w:szCs w:val="20"/>
                <w:color w:val="auto"/>
              </w:rPr>
            </w:pPr>
            <w:r>
              <w:rPr>
                <w:rFonts w:ascii="Arial" w:cs="Arial" w:eastAsia="Arial" w:hAnsi="Arial"/>
                <w:sz w:val="18"/>
                <w:szCs w:val="18"/>
                <w:color w:val="auto"/>
              </w:rPr>
              <w:t>Hong Kong</w:t>
            </w:r>
          </w:p>
        </w:tc>
      </w:tr>
      <w:tr>
        <w:trPr>
          <w:trHeight w:val="232"/>
        </w:trPr>
        <w:tc>
          <w:tcPr>
            <w:tcW w:w="5680" w:type="dxa"/>
            <w:vAlign w:val="bottom"/>
            <w:tcBorders>
              <w:lef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Solutions India LLP</w:t>
            </w:r>
          </w:p>
        </w:tc>
        <w:tc>
          <w:tcPr>
            <w:tcW w:w="5560" w:type="dxa"/>
            <w:vAlign w:val="bottom"/>
            <w:tcBorders>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India</w:t>
            </w:r>
          </w:p>
        </w:tc>
      </w:tr>
      <w:tr>
        <w:trPr>
          <w:trHeight w:val="193"/>
        </w:trPr>
        <w:tc>
          <w:tcPr>
            <w:tcW w:w="5680" w:type="dxa"/>
            <w:vAlign w:val="bottom"/>
            <w:tcBorders>
              <w:left w:val="single" w:sz="8" w:color="92CDDC"/>
              <w:bottom w:val="single" w:sz="8" w:color="92CDDC"/>
            </w:tcBorders>
            <w:shd w:val="clear" w:color="auto" w:fill="DAEEF3"/>
          </w:tcPr>
          <w:p>
            <w:pPr>
              <w:spacing w:after="0"/>
              <w:rPr>
                <w:sz w:val="16"/>
                <w:szCs w:val="16"/>
                <w:color w:val="auto"/>
              </w:rPr>
            </w:pPr>
          </w:p>
        </w:tc>
        <w:tc>
          <w:tcPr>
            <w:tcW w:w="556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tcBorders>
          </w:tcPr>
          <w:p>
            <w:pPr>
              <w:ind w:left="120"/>
              <w:spacing w:after="0"/>
              <w:rPr>
                <w:sz w:val="20"/>
                <w:szCs w:val="20"/>
                <w:color w:val="auto"/>
              </w:rPr>
            </w:pPr>
            <w:r>
              <w:rPr>
                <w:rFonts w:ascii="Arial" w:cs="Arial" w:eastAsia="Arial" w:hAnsi="Arial"/>
                <w:sz w:val="18"/>
                <w:szCs w:val="18"/>
                <w:color w:val="auto"/>
              </w:rPr>
              <w:t>Simplificare Ltd.</w:t>
            </w:r>
          </w:p>
        </w:tc>
        <w:tc>
          <w:tcPr>
            <w:tcW w:w="5560" w:type="dxa"/>
            <w:vAlign w:val="bottom"/>
            <w:tcBorders>
              <w:right w:val="single" w:sz="8" w:color="92CDDC"/>
            </w:tcBorders>
          </w:tcPr>
          <w:p>
            <w:pPr>
              <w:ind w:left="360"/>
              <w:spacing w:after="0"/>
              <w:rPr>
                <w:sz w:val="20"/>
                <w:szCs w:val="20"/>
                <w:color w:val="auto"/>
              </w:rPr>
            </w:pPr>
            <w:r>
              <w:rPr>
                <w:rFonts w:ascii="Arial" w:cs="Arial" w:eastAsia="Arial" w:hAnsi="Arial"/>
                <w:sz w:val="18"/>
                <w:szCs w:val="18"/>
                <w:color w:val="auto"/>
              </w:rPr>
              <w:t>Israel</w:t>
            </w:r>
          </w:p>
        </w:tc>
      </w:tr>
      <w:tr>
        <w:trPr>
          <w:trHeight w:val="193"/>
        </w:trPr>
        <w:tc>
          <w:tcPr>
            <w:tcW w:w="5680" w:type="dxa"/>
            <w:vAlign w:val="bottom"/>
            <w:tcBorders>
              <w:left w:val="single" w:sz="8" w:color="92CDDC"/>
              <w:bottom w:val="single" w:sz="8" w:color="92CDDC"/>
            </w:tcBorders>
          </w:tcPr>
          <w:p>
            <w:pPr>
              <w:spacing w:after="0"/>
              <w:rPr>
                <w:sz w:val="16"/>
                <w:szCs w:val="16"/>
                <w:color w:val="auto"/>
              </w:rPr>
            </w:pPr>
          </w:p>
        </w:tc>
        <w:tc>
          <w:tcPr>
            <w:tcW w:w="556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G.K.</w:t>
            </w:r>
          </w:p>
        </w:tc>
        <w:tc>
          <w:tcPr>
            <w:tcW w:w="5560" w:type="dxa"/>
            <w:vAlign w:val="bottom"/>
            <w:tcBorders>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Japan</w:t>
            </w:r>
          </w:p>
        </w:tc>
      </w:tr>
      <w:tr>
        <w:trPr>
          <w:trHeight w:val="193"/>
        </w:trPr>
        <w:tc>
          <w:tcPr>
            <w:tcW w:w="5680" w:type="dxa"/>
            <w:vAlign w:val="bottom"/>
            <w:tcBorders>
              <w:left w:val="single" w:sz="8" w:color="92CDDC"/>
              <w:bottom w:val="single" w:sz="8" w:color="92CDDC"/>
            </w:tcBorders>
            <w:shd w:val="clear" w:color="auto" w:fill="DAEEF3"/>
          </w:tcPr>
          <w:p>
            <w:pPr>
              <w:spacing w:after="0"/>
              <w:rPr>
                <w:sz w:val="16"/>
                <w:szCs w:val="16"/>
                <w:color w:val="auto"/>
              </w:rPr>
            </w:pPr>
          </w:p>
        </w:tc>
        <w:tc>
          <w:tcPr>
            <w:tcW w:w="556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tcBorders>
          </w:tcPr>
          <w:p>
            <w:pPr>
              <w:ind w:left="120"/>
              <w:spacing w:after="0"/>
              <w:rPr>
                <w:sz w:val="20"/>
                <w:szCs w:val="20"/>
                <w:color w:val="auto"/>
              </w:rPr>
            </w:pPr>
            <w:r>
              <w:rPr>
                <w:rFonts w:ascii="Arial" w:cs="Arial" w:eastAsia="Arial" w:hAnsi="Arial"/>
                <w:sz w:val="18"/>
                <w:szCs w:val="18"/>
                <w:color w:val="auto"/>
              </w:rPr>
              <w:t>Flywire Europe, UAB</w:t>
            </w:r>
          </w:p>
        </w:tc>
        <w:tc>
          <w:tcPr>
            <w:tcW w:w="5560" w:type="dxa"/>
            <w:vAlign w:val="bottom"/>
            <w:tcBorders>
              <w:right w:val="single" w:sz="8" w:color="92CDDC"/>
            </w:tcBorders>
          </w:tcPr>
          <w:p>
            <w:pPr>
              <w:ind w:left="360"/>
              <w:spacing w:after="0"/>
              <w:rPr>
                <w:sz w:val="20"/>
                <w:szCs w:val="20"/>
                <w:color w:val="auto"/>
              </w:rPr>
            </w:pPr>
            <w:r>
              <w:rPr>
                <w:rFonts w:ascii="Arial" w:cs="Arial" w:eastAsia="Arial" w:hAnsi="Arial"/>
                <w:sz w:val="18"/>
                <w:szCs w:val="18"/>
                <w:color w:val="auto"/>
              </w:rPr>
              <w:t>Lithuania</w:t>
            </w:r>
          </w:p>
        </w:tc>
      </w:tr>
      <w:tr>
        <w:trPr>
          <w:trHeight w:val="193"/>
        </w:trPr>
        <w:tc>
          <w:tcPr>
            <w:tcW w:w="5680" w:type="dxa"/>
            <w:vAlign w:val="bottom"/>
            <w:tcBorders>
              <w:left w:val="single" w:sz="8" w:color="92CDDC"/>
              <w:bottom w:val="single" w:sz="8" w:color="92CDDC"/>
            </w:tcBorders>
          </w:tcPr>
          <w:p>
            <w:pPr>
              <w:spacing w:after="0"/>
              <w:rPr>
                <w:sz w:val="16"/>
                <w:szCs w:val="16"/>
                <w:color w:val="auto"/>
              </w:rPr>
            </w:pPr>
          </w:p>
        </w:tc>
        <w:tc>
          <w:tcPr>
            <w:tcW w:w="5560" w:type="dxa"/>
            <w:vAlign w:val="bottom"/>
            <w:tcBorders>
              <w:bottom w:val="single" w:sz="8" w:color="92CDDC"/>
              <w:right w:val="single" w:sz="8" w:color="92CDDC"/>
            </w:tcBorders>
          </w:tcPr>
          <w:p>
            <w:pPr>
              <w:spacing w:after="0"/>
              <w:rPr>
                <w:sz w:val="16"/>
                <w:szCs w:val="16"/>
                <w:color w:val="auto"/>
              </w:rPr>
            </w:pPr>
          </w:p>
        </w:tc>
      </w:tr>
      <w:tr>
        <w:trPr>
          <w:trHeight w:val="223"/>
        </w:trPr>
        <w:tc>
          <w:tcPr>
            <w:tcW w:w="5680" w:type="dxa"/>
            <w:vAlign w:val="bottom"/>
            <w:tcBorders>
              <w:left w:val="single" w:sz="8" w:color="92CDDC"/>
              <w:bottom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Cohort Solutions (NZ) Ltd</w:t>
            </w:r>
          </w:p>
        </w:tc>
        <w:tc>
          <w:tcPr>
            <w:tcW w:w="5560" w:type="dxa"/>
            <w:vAlign w:val="bottom"/>
            <w:tcBorders>
              <w:bottom w:val="single" w:sz="8" w:color="92CDDC"/>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New Zealand</w:t>
            </w:r>
          </w:p>
        </w:tc>
      </w:tr>
      <w:tr>
        <w:trPr>
          <w:trHeight w:val="232"/>
        </w:trPr>
        <w:tc>
          <w:tcPr>
            <w:tcW w:w="5680" w:type="dxa"/>
            <w:vAlign w:val="bottom"/>
            <w:tcBorders>
              <w:left w:val="single" w:sz="8" w:color="92CDDC"/>
            </w:tcBorders>
          </w:tcPr>
          <w:p>
            <w:pPr>
              <w:ind w:left="120"/>
              <w:spacing w:after="0"/>
              <w:rPr>
                <w:sz w:val="20"/>
                <w:szCs w:val="20"/>
                <w:color w:val="auto"/>
              </w:rPr>
            </w:pPr>
            <w:r>
              <w:rPr>
                <w:rFonts w:ascii="Arial" w:cs="Arial" w:eastAsia="Arial" w:hAnsi="Arial"/>
                <w:sz w:val="18"/>
                <w:szCs w:val="18"/>
                <w:color w:val="auto"/>
              </w:rPr>
              <w:t>peerTransfer Commercial Consulting (Shanghai) Co., Ltd.</w:t>
            </w:r>
          </w:p>
        </w:tc>
        <w:tc>
          <w:tcPr>
            <w:tcW w:w="5560" w:type="dxa"/>
            <w:vAlign w:val="bottom"/>
            <w:tcBorders>
              <w:right w:val="single" w:sz="8" w:color="92CDDC"/>
            </w:tcBorders>
          </w:tcPr>
          <w:p>
            <w:pPr>
              <w:ind w:left="360"/>
              <w:spacing w:after="0"/>
              <w:rPr>
                <w:sz w:val="20"/>
                <w:szCs w:val="20"/>
                <w:color w:val="auto"/>
              </w:rPr>
            </w:pPr>
            <w:r>
              <w:rPr>
                <w:rFonts w:ascii="Arial" w:cs="Arial" w:eastAsia="Arial" w:hAnsi="Arial"/>
                <w:sz w:val="18"/>
                <w:szCs w:val="18"/>
                <w:color w:val="auto"/>
              </w:rPr>
              <w:t>People’s Republic of China</w:t>
            </w:r>
          </w:p>
        </w:tc>
      </w:tr>
      <w:tr>
        <w:trPr>
          <w:trHeight w:val="193"/>
        </w:trPr>
        <w:tc>
          <w:tcPr>
            <w:tcW w:w="5680" w:type="dxa"/>
            <w:vAlign w:val="bottom"/>
            <w:tcBorders>
              <w:left w:val="single" w:sz="8" w:color="92CDDC"/>
              <w:bottom w:val="single" w:sz="8" w:color="92CDDC"/>
            </w:tcBorders>
          </w:tcPr>
          <w:p>
            <w:pPr>
              <w:spacing w:after="0"/>
              <w:rPr>
                <w:sz w:val="16"/>
                <w:szCs w:val="16"/>
                <w:color w:val="auto"/>
              </w:rPr>
            </w:pPr>
          </w:p>
        </w:tc>
        <w:tc>
          <w:tcPr>
            <w:tcW w:w="556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Romania S.R.L</w:t>
            </w:r>
          </w:p>
        </w:tc>
        <w:tc>
          <w:tcPr>
            <w:tcW w:w="5560" w:type="dxa"/>
            <w:vAlign w:val="bottom"/>
            <w:tcBorders>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Romania</w:t>
            </w:r>
          </w:p>
        </w:tc>
      </w:tr>
      <w:tr>
        <w:trPr>
          <w:trHeight w:val="193"/>
        </w:trPr>
        <w:tc>
          <w:tcPr>
            <w:tcW w:w="5680" w:type="dxa"/>
            <w:vAlign w:val="bottom"/>
            <w:tcBorders>
              <w:left w:val="single" w:sz="8" w:color="92CDDC"/>
              <w:bottom w:val="single" w:sz="8" w:color="92CDDC"/>
            </w:tcBorders>
            <w:shd w:val="clear" w:color="auto" w:fill="DAEEF3"/>
          </w:tcPr>
          <w:p>
            <w:pPr>
              <w:spacing w:after="0"/>
              <w:rPr>
                <w:sz w:val="16"/>
                <w:szCs w:val="16"/>
                <w:color w:val="auto"/>
              </w:rPr>
            </w:pPr>
          </w:p>
        </w:tc>
        <w:tc>
          <w:tcPr>
            <w:tcW w:w="556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tcBorders>
          </w:tcPr>
          <w:p>
            <w:pPr>
              <w:ind w:left="120"/>
              <w:spacing w:after="0"/>
              <w:rPr>
                <w:sz w:val="20"/>
                <w:szCs w:val="20"/>
                <w:color w:val="auto"/>
              </w:rPr>
            </w:pPr>
            <w:r>
              <w:rPr>
                <w:rFonts w:ascii="Arial" w:cs="Arial" w:eastAsia="Arial" w:hAnsi="Arial"/>
                <w:sz w:val="18"/>
                <w:szCs w:val="18"/>
                <w:color w:val="auto"/>
              </w:rPr>
              <w:t>Flywire (Singapore) Pte. Ltd</w:t>
            </w:r>
          </w:p>
        </w:tc>
        <w:tc>
          <w:tcPr>
            <w:tcW w:w="5560" w:type="dxa"/>
            <w:vAlign w:val="bottom"/>
            <w:tcBorders>
              <w:right w:val="single" w:sz="8" w:color="92CDDC"/>
            </w:tcBorders>
          </w:tcPr>
          <w:p>
            <w:pPr>
              <w:ind w:left="360"/>
              <w:spacing w:after="0"/>
              <w:rPr>
                <w:sz w:val="20"/>
                <w:szCs w:val="20"/>
                <w:color w:val="auto"/>
              </w:rPr>
            </w:pPr>
            <w:r>
              <w:rPr>
                <w:rFonts w:ascii="Arial" w:cs="Arial" w:eastAsia="Arial" w:hAnsi="Arial"/>
                <w:sz w:val="18"/>
                <w:szCs w:val="18"/>
                <w:color w:val="auto"/>
              </w:rPr>
              <w:t>Singapore</w:t>
            </w:r>
          </w:p>
        </w:tc>
      </w:tr>
      <w:tr>
        <w:trPr>
          <w:trHeight w:val="193"/>
        </w:trPr>
        <w:tc>
          <w:tcPr>
            <w:tcW w:w="5680" w:type="dxa"/>
            <w:vAlign w:val="bottom"/>
            <w:tcBorders>
              <w:left w:val="single" w:sz="8" w:color="92CDDC"/>
              <w:bottom w:val="single" w:sz="8" w:color="92CDDC"/>
            </w:tcBorders>
          </w:tcPr>
          <w:p>
            <w:pPr>
              <w:spacing w:after="0"/>
              <w:rPr>
                <w:sz w:val="16"/>
                <w:szCs w:val="16"/>
                <w:color w:val="auto"/>
              </w:rPr>
            </w:pPr>
          </w:p>
        </w:tc>
        <w:tc>
          <w:tcPr>
            <w:tcW w:w="556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S.L.U.</w:t>
            </w:r>
          </w:p>
        </w:tc>
        <w:tc>
          <w:tcPr>
            <w:tcW w:w="5560" w:type="dxa"/>
            <w:vAlign w:val="bottom"/>
            <w:tcBorders>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Spain</w:t>
            </w:r>
          </w:p>
        </w:tc>
      </w:tr>
      <w:tr>
        <w:trPr>
          <w:trHeight w:val="193"/>
        </w:trPr>
        <w:tc>
          <w:tcPr>
            <w:tcW w:w="5680" w:type="dxa"/>
            <w:vAlign w:val="bottom"/>
            <w:tcBorders>
              <w:left w:val="single" w:sz="8" w:color="92CDDC"/>
              <w:bottom w:val="single" w:sz="8" w:color="92CDDC"/>
            </w:tcBorders>
            <w:shd w:val="clear" w:color="auto" w:fill="DAEEF3"/>
          </w:tcPr>
          <w:p>
            <w:pPr>
              <w:spacing w:after="0"/>
              <w:rPr>
                <w:sz w:val="16"/>
                <w:szCs w:val="16"/>
                <w:color w:val="auto"/>
              </w:rPr>
            </w:pPr>
          </w:p>
        </w:tc>
        <w:tc>
          <w:tcPr>
            <w:tcW w:w="556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tcBorders>
          </w:tcPr>
          <w:p>
            <w:pPr>
              <w:ind w:left="120"/>
              <w:spacing w:after="0"/>
              <w:rPr>
                <w:sz w:val="20"/>
                <w:szCs w:val="20"/>
                <w:color w:val="auto"/>
              </w:rPr>
            </w:pPr>
            <w:r>
              <w:rPr>
                <w:rFonts w:ascii="Arial" w:cs="Arial" w:eastAsia="Arial" w:hAnsi="Arial"/>
                <w:sz w:val="18"/>
                <w:szCs w:val="18"/>
                <w:color w:val="auto"/>
              </w:rPr>
              <w:t>Flywire Payments Ltd.</w:t>
            </w:r>
          </w:p>
        </w:tc>
        <w:tc>
          <w:tcPr>
            <w:tcW w:w="5560" w:type="dxa"/>
            <w:vAlign w:val="bottom"/>
            <w:tcBorders>
              <w:right w:val="single" w:sz="8" w:color="92CDDC"/>
            </w:tcBorders>
          </w:tcPr>
          <w:p>
            <w:pPr>
              <w:ind w:left="360"/>
              <w:spacing w:after="0"/>
              <w:rPr>
                <w:sz w:val="20"/>
                <w:szCs w:val="20"/>
                <w:color w:val="auto"/>
              </w:rPr>
            </w:pPr>
            <w:r>
              <w:rPr>
                <w:rFonts w:ascii="Arial" w:cs="Arial" w:eastAsia="Arial" w:hAnsi="Arial"/>
                <w:sz w:val="18"/>
                <w:szCs w:val="18"/>
                <w:color w:val="auto"/>
              </w:rPr>
              <w:t>United Kingdom</w:t>
            </w:r>
          </w:p>
        </w:tc>
      </w:tr>
      <w:tr>
        <w:trPr>
          <w:trHeight w:val="193"/>
        </w:trPr>
        <w:tc>
          <w:tcPr>
            <w:tcW w:w="5680" w:type="dxa"/>
            <w:vAlign w:val="bottom"/>
            <w:tcBorders>
              <w:left w:val="single" w:sz="8" w:color="92CDDC"/>
              <w:bottom w:val="single" w:sz="8" w:color="92CDDC"/>
            </w:tcBorders>
          </w:tcPr>
          <w:p>
            <w:pPr>
              <w:spacing w:after="0"/>
              <w:rPr>
                <w:sz w:val="16"/>
                <w:szCs w:val="16"/>
                <w:color w:val="auto"/>
              </w:rPr>
            </w:pPr>
          </w:p>
        </w:tc>
        <w:tc>
          <w:tcPr>
            <w:tcW w:w="5560" w:type="dxa"/>
            <w:vAlign w:val="bottom"/>
            <w:tcBorders>
              <w:bottom w:val="single" w:sz="8" w:color="92CDDC"/>
              <w:right w:val="single" w:sz="8" w:color="92CDDC"/>
            </w:tcBorders>
          </w:tcPr>
          <w:p>
            <w:pPr>
              <w:spacing w:after="0"/>
              <w:rPr>
                <w:sz w:val="16"/>
                <w:szCs w:val="16"/>
                <w:color w:val="auto"/>
              </w:rPr>
            </w:pPr>
          </w:p>
        </w:tc>
      </w:tr>
      <w:tr>
        <w:trPr>
          <w:trHeight w:val="223"/>
        </w:trPr>
        <w:tc>
          <w:tcPr>
            <w:tcW w:w="5680" w:type="dxa"/>
            <w:vAlign w:val="bottom"/>
            <w:tcBorders>
              <w:left w:val="single" w:sz="8" w:color="92CDDC"/>
              <w:bottom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WPM Group Limited</w:t>
            </w:r>
          </w:p>
        </w:tc>
        <w:tc>
          <w:tcPr>
            <w:tcW w:w="5560" w:type="dxa"/>
            <w:vAlign w:val="bottom"/>
            <w:tcBorders>
              <w:bottom w:val="single" w:sz="8" w:color="92CDDC"/>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United Kingdom</w:t>
            </w:r>
          </w:p>
        </w:tc>
      </w:tr>
      <w:tr>
        <w:trPr>
          <w:trHeight w:val="223"/>
        </w:trPr>
        <w:tc>
          <w:tcPr>
            <w:tcW w:w="5680" w:type="dxa"/>
            <w:vAlign w:val="bottom"/>
            <w:tcBorders>
              <w:left w:val="single" w:sz="8" w:color="92CDDC"/>
              <w:bottom w:val="single" w:sz="8" w:color="92CDDC"/>
            </w:tcBorders>
          </w:tcPr>
          <w:p>
            <w:pPr>
              <w:ind w:left="120"/>
              <w:spacing w:after="0"/>
              <w:rPr>
                <w:sz w:val="20"/>
                <w:szCs w:val="20"/>
                <w:color w:val="auto"/>
              </w:rPr>
            </w:pPr>
            <w:r>
              <w:rPr>
                <w:rFonts w:ascii="Arial" w:cs="Arial" w:eastAsia="Arial" w:hAnsi="Arial"/>
                <w:sz w:val="18"/>
                <w:szCs w:val="18"/>
                <w:color w:val="auto"/>
              </w:rPr>
              <w:t>WPM Education Limited</w:t>
            </w:r>
          </w:p>
        </w:tc>
        <w:tc>
          <w:tcPr>
            <w:tcW w:w="5560" w:type="dxa"/>
            <w:vAlign w:val="bottom"/>
            <w:tcBorders>
              <w:bottom w:val="single" w:sz="8" w:color="92CDDC"/>
              <w:right w:val="single" w:sz="8" w:color="92CDDC"/>
            </w:tcBorders>
          </w:tcPr>
          <w:p>
            <w:pPr>
              <w:ind w:left="360"/>
              <w:spacing w:after="0"/>
              <w:rPr>
                <w:sz w:val="20"/>
                <w:szCs w:val="20"/>
                <w:color w:val="auto"/>
              </w:rPr>
            </w:pPr>
            <w:r>
              <w:rPr>
                <w:rFonts w:ascii="Arial" w:cs="Arial" w:eastAsia="Arial" w:hAnsi="Arial"/>
                <w:sz w:val="18"/>
                <w:szCs w:val="18"/>
                <w:color w:val="auto"/>
              </w:rPr>
              <w:t>United Kingdom</w:t>
            </w:r>
          </w:p>
        </w:tc>
      </w:tr>
      <w:tr>
        <w:trPr>
          <w:trHeight w:val="223"/>
        </w:trPr>
        <w:tc>
          <w:tcPr>
            <w:tcW w:w="5680" w:type="dxa"/>
            <w:vAlign w:val="bottom"/>
            <w:tcBorders>
              <w:left w:val="single" w:sz="8" w:color="92CDDC"/>
              <w:bottom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WPM Payment Security Limited</w:t>
            </w:r>
          </w:p>
        </w:tc>
        <w:tc>
          <w:tcPr>
            <w:tcW w:w="5560" w:type="dxa"/>
            <w:vAlign w:val="bottom"/>
            <w:tcBorders>
              <w:bottom w:val="single" w:sz="8" w:color="92CDDC"/>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United Kingdom</w:t>
            </w:r>
          </w:p>
        </w:tc>
      </w:tr>
      <w:tr>
        <w:trPr>
          <w:trHeight w:val="223"/>
        </w:trPr>
        <w:tc>
          <w:tcPr>
            <w:tcW w:w="5680" w:type="dxa"/>
            <w:vAlign w:val="bottom"/>
            <w:tcBorders>
              <w:left w:val="single" w:sz="8" w:color="92CDDC"/>
              <w:bottom w:val="single" w:sz="8" w:color="92CDDC"/>
            </w:tcBorders>
          </w:tcPr>
          <w:p>
            <w:pPr>
              <w:ind w:left="120"/>
              <w:spacing w:after="0"/>
              <w:rPr>
                <w:sz w:val="20"/>
                <w:szCs w:val="20"/>
                <w:color w:val="auto"/>
              </w:rPr>
            </w:pPr>
            <w:r>
              <w:rPr>
                <w:rFonts w:ascii="Arial" w:cs="Arial" w:eastAsia="Arial" w:hAnsi="Arial"/>
                <w:sz w:val="18"/>
                <w:szCs w:val="18"/>
                <w:color w:val="auto"/>
              </w:rPr>
              <w:t>WPM Group Services Limited</w:t>
            </w:r>
          </w:p>
        </w:tc>
        <w:tc>
          <w:tcPr>
            <w:tcW w:w="5560" w:type="dxa"/>
            <w:vAlign w:val="bottom"/>
            <w:tcBorders>
              <w:bottom w:val="single" w:sz="8" w:color="92CDDC"/>
              <w:right w:val="single" w:sz="8" w:color="92CDDC"/>
            </w:tcBorders>
          </w:tcPr>
          <w:p>
            <w:pPr>
              <w:ind w:left="360"/>
              <w:spacing w:after="0"/>
              <w:rPr>
                <w:sz w:val="20"/>
                <w:szCs w:val="20"/>
                <w:color w:val="auto"/>
              </w:rPr>
            </w:pPr>
            <w:r>
              <w:rPr>
                <w:rFonts w:ascii="Arial" w:cs="Arial" w:eastAsia="Arial" w:hAnsi="Arial"/>
                <w:sz w:val="18"/>
                <w:szCs w:val="18"/>
                <w:color w:val="auto"/>
              </w:rPr>
              <w:t>United Kingdom</w:t>
            </w:r>
          </w:p>
        </w:tc>
      </w:tr>
      <w:tr>
        <w:trPr>
          <w:trHeight w:val="223"/>
        </w:trPr>
        <w:tc>
          <w:tcPr>
            <w:tcW w:w="5680" w:type="dxa"/>
            <w:vAlign w:val="bottom"/>
            <w:tcBorders>
              <w:left w:val="single" w:sz="8" w:color="92CDDC"/>
              <w:bottom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WPM Payments Limited</w:t>
            </w:r>
          </w:p>
        </w:tc>
        <w:tc>
          <w:tcPr>
            <w:tcW w:w="5560" w:type="dxa"/>
            <w:vAlign w:val="bottom"/>
            <w:tcBorders>
              <w:bottom w:val="single" w:sz="8" w:color="92CDDC"/>
              <w:right w:val="single" w:sz="8" w:color="92CDDC"/>
            </w:tcBorders>
            <w:shd w:val="clear" w:color="auto" w:fill="DAEEF3"/>
          </w:tcPr>
          <w:p>
            <w:pPr>
              <w:ind w:left="360"/>
              <w:spacing w:after="0"/>
              <w:rPr>
                <w:sz w:val="20"/>
                <w:szCs w:val="20"/>
                <w:color w:val="auto"/>
              </w:rPr>
            </w:pPr>
            <w:r>
              <w:rPr>
                <w:rFonts w:ascii="Arial" w:cs="Arial" w:eastAsia="Arial" w:hAnsi="Arial"/>
                <w:sz w:val="18"/>
                <w:szCs w:val="18"/>
                <w:color w:val="auto"/>
              </w:rPr>
              <w:t>United Kingdom</w:t>
            </w:r>
          </w:p>
        </w:tc>
      </w:tr>
      <w:tr>
        <w:trPr>
          <w:trHeight w:val="223"/>
        </w:trPr>
        <w:tc>
          <w:tcPr>
            <w:tcW w:w="5680" w:type="dxa"/>
            <w:vAlign w:val="bottom"/>
            <w:tcBorders>
              <w:left w:val="single" w:sz="8" w:color="92CDDC"/>
              <w:bottom w:val="single" w:sz="8" w:color="92CDDC"/>
            </w:tcBorders>
          </w:tcPr>
          <w:p>
            <w:pPr>
              <w:ind w:left="120"/>
              <w:spacing w:after="0"/>
              <w:rPr>
                <w:sz w:val="20"/>
                <w:szCs w:val="20"/>
                <w:color w:val="auto"/>
              </w:rPr>
            </w:pPr>
            <w:r>
              <w:rPr>
                <w:rFonts w:ascii="Arial" w:cs="Arial" w:eastAsia="Arial" w:hAnsi="Arial"/>
                <w:sz w:val="18"/>
                <w:szCs w:val="18"/>
                <w:color w:val="auto"/>
              </w:rPr>
              <w:t>Cohort Solutions (UK) Ltd</w:t>
            </w:r>
          </w:p>
        </w:tc>
        <w:tc>
          <w:tcPr>
            <w:tcW w:w="5560" w:type="dxa"/>
            <w:vAlign w:val="bottom"/>
            <w:tcBorders>
              <w:bottom w:val="single" w:sz="8" w:color="92CDDC"/>
              <w:right w:val="single" w:sz="8" w:color="92CDDC"/>
            </w:tcBorders>
          </w:tcPr>
          <w:p>
            <w:pPr>
              <w:ind w:left="360"/>
              <w:spacing w:after="0"/>
              <w:rPr>
                <w:sz w:val="20"/>
                <w:szCs w:val="20"/>
                <w:color w:val="auto"/>
              </w:rPr>
            </w:pPr>
            <w:r>
              <w:rPr>
                <w:rFonts w:ascii="Arial" w:cs="Arial" w:eastAsia="Arial" w:hAnsi="Arial"/>
                <w:sz w:val="18"/>
                <w:szCs w:val="18"/>
                <w:color w:val="auto"/>
              </w:rPr>
              <w:t>United Kingdom</w:t>
            </w:r>
          </w:p>
        </w:tc>
      </w:tr>
      <w:tr>
        <w:trPr>
          <w:trHeight w:val="688"/>
        </w:trPr>
        <w:tc>
          <w:tcPr>
            <w:tcW w:w="568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0" w:name="page191"/>
    <w:bookmarkEnd w:id="190"/>
    <w:p>
      <w:pPr>
        <w:ind w:left="924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8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4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333-255706 and 333-263956) of Flywire Corporation of our report dated March 10, 2023 relating to the financial statements and the effectiveness of internal control over financial reporting, which appears in this Form 10-K.</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337" w:right="8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7"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3" w:lineRule="exact"/>
        <w:rPr>
          <w:sz w:val="20"/>
          <w:szCs w:val="20"/>
          <w:color w:val="auto"/>
        </w:rPr>
      </w:pPr>
    </w:p>
    <w:p>
      <w:pPr>
        <w:ind w:left="400" w:hanging="392"/>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Flywire Corporation;</w:t>
      </w:r>
    </w:p>
    <w:p>
      <w:pPr>
        <w:spacing w:after="0" w:line="103" w:lineRule="exact"/>
        <w:rPr>
          <w:rFonts w:ascii="Arial" w:cs="Arial" w:eastAsia="Arial" w:hAnsi="Arial"/>
          <w:sz w:val="18"/>
          <w:szCs w:val="18"/>
          <w:color w:val="auto"/>
        </w:rPr>
      </w:pPr>
    </w:p>
    <w:p>
      <w:pPr>
        <w:ind w:left="520" w:hanging="512"/>
        <w:spacing w:after="0" w:line="252" w:lineRule="auto"/>
        <w:tabs>
          <w:tab w:leader="none" w:pos="4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520" w:right="380" w:hanging="512"/>
        <w:spacing w:after="0" w:line="241" w:lineRule="auto"/>
        <w:tabs>
          <w:tab w:leader="none" w:pos="4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ind w:right="60" w:firstLine="8"/>
        <w:spacing w:after="0" w:line="242" w:lineRule="auto"/>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Arial" w:cs="Arial" w:eastAsia="Arial" w:hAnsi="Arial"/>
          <w:sz w:val="18"/>
          <w:szCs w:val="18"/>
          <w:color w:val="auto"/>
        </w:rPr>
      </w:pPr>
    </w:p>
    <w:p>
      <w:pPr>
        <w:ind w:left="1660" w:right="280" w:hanging="507"/>
        <w:spacing w:after="0" w:line="246" w:lineRule="auto"/>
        <w:tabs>
          <w:tab w:leader="none" w:pos="155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1660" w:right="180" w:hanging="507"/>
        <w:spacing w:after="0" w:line="274" w:lineRule="auto"/>
        <w:tabs>
          <w:tab w:leader="none" w:pos="1550" w:val="left"/>
        </w:tabs>
        <w:numPr>
          <w:ilvl w:val="1"/>
          <w:numId w:val="7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7"/>
          <w:szCs w:val="17"/>
          <w:color w:val="auto"/>
        </w:rPr>
      </w:pPr>
    </w:p>
    <w:p>
      <w:pPr>
        <w:ind w:left="1660" w:right="280" w:hanging="507"/>
        <w:spacing w:after="0" w:line="252" w:lineRule="auto"/>
        <w:tabs>
          <w:tab w:leader="none" w:pos="155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60" w:right="20" w:hanging="507"/>
        <w:spacing w:after="0" w:line="274" w:lineRule="auto"/>
        <w:tabs>
          <w:tab w:leader="none" w:pos="1550" w:val="left"/>
        </w:tabs>
        <w:numPr>
          <w:ilvl w:val="1"/>
          <w:numId w:val="7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7"/>
          <w:szCs w:val="17"/>
          <w:color w:val="auto"/>
        </w:rPr>
      </w:pPr>
    </w:p>
    <w:p>
      <w:pPr>
        <w:ind w:left="520" w:right="400" w:hanging="512"/>
        <w:spacing w:after="0" w:line="252" w:lineRule="auto"/>
        <w:tabs>
          <w:tab w:leader="none" w:pos="4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660" w:right="140" w:hanging="507"/>
        <w:spacing w:after="0" w:line="252" w:lineRule="auto"/>
        <w:tabs>
          <w:tab w:leader="none" w:pos="155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660" w:right="540" w:hanging="507"/>
        <w:spacing w:after="0" w:line="271" w:lineRule="auto"/>
        <w:tabs>
          <w:tab w:leader="none" w:pos="155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ind w:left="7820" w:right="760" w:hanging="7803"/>
        <w:spacing w:after="0" w:line="279" w:lineRule="auto"/>
        <w:tabs>
          <w:tab w:leader="none" w:pos="7800" w:val="left"/>
        </w:tabs>
        <w:rPr>
          <w:sz w:val="20"/>
          <w:szCs w:val="20"/>
          <w:color w:val="auto"/>
        </w:rPr>
      </w:pPr>
      <w:r>
        <w:rPr>
          <w:rFonts w:ascii="Arial" w:cs="Arial" w:eastAsia="Arial" w:hAnsi="Arial"/>
          <w:sz w:val="18"/>
          <w:szCs w:val="18"/>
          <w:color w:val="auto"/>
        </w:rPr>
        <w:t>Date: March 10, 2023</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-3175</wp:posOffset>
            </wp:positionV>
            <wp:extent cx="188404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8">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8080"/>
        <w:spacing w:after="0"/>
        <w:rPr>
          <w:sz w:val="20"/>
          <w:szCs w:val="20"/>
          <w:color w:val="auto"/>
        </w:rPr>
      </w:pPr>
      <w:r>
        <w:rPr>
          <w:rFonts w:ascii="Arial" w:cs="Arial" w:eastAsia="Arial" w:hAnsi="Arial"/>
          <w:sz w:val="18"/>
          <w:szCs w:val="18"/>
          <w:b w:val="1"/>
          <w:bCs w:val="1"/>
          <w:color w:val="auto"/>
        </w:rPr>
        <w:t>Michael Massaro</w:t>
      </w:r>
    </w:p>
    <w:p>
      <w:pPr>
        <w:spacing w:after="0" w:line="225"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7"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Michael Ellis, certify that:</w:t>
      </w:r>
    </w:p>
    <w:p>
      <w:pPr>
        <w:spacing w:after="0" w:line="103" w:lineRule="exact"/>
        <w:rPr>
          <w:sz w:val="20"/>
          <w:szCs w:val="20"/>
          <w:color w:val="auto"/>
        </w:rPr>
      </w:pPr>
    </w:p>
    <w:p>
      <w:pPr>
        <w:ind w:left="400" w:hanging="392"/>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Flywire Corporation;</w:t>
      </w:r>
    </w:p>
    <w:p>
      <w:pPr>
        <w:spacing w:after="0" w:line="103" w:lineRule="exact"/>
        <w:rPr>
          <w:rFonts w:ascii="Arial" w:cs="Arial" w:eastAsia="Arial" w:hAnsi="Arial"/>
          <w:sz w:val="18"/>
          <w:szCs w:val="18"/>
          <w:color w:val="auto"/>
        </w:rPr>
      </w:pPr>
    </w:p>
    <w:p>
      <w:pPr>
        <w:ind w:left="520" w:hanging="512"/>
        <w:spacing w:after="0" w:line="252" w:lineRule="auto"/>
        <w:tabs>
          <w:tab w:leader="none" w:pos="4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520" w:right="380" w:hanging="512"/>
        <w:spacing w:after="0" w:line="241" w:lineRule="auto"/>
        <w:tabs>
          <w:tab w:leader="none" w:pos="4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ind w:right="60" w:firstLine="8"/>
        <w:spacing w:after="0" w:line="242" w:lineRule="auto"/>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Arial" w:cs="Arial" w:eastAsia="Arial" w:hAnsi="Arial"/>
          <w:sz w:val="18"/>
          <w:szCs w:val="18"/>
          <w:color w:val="auto"/>
        </w:rPr>
      </w:pPr>
    </w:p>
    <w:p>
      <w:pPr>
        <w:ind w:left="1660" w:right="280" w:hanging="507"/>
        <w:spacing w:after="0" w:line="246" w:lineRule="auto"/>
        <w:tabs>
          <w:tab w:leader="none" w:pos="155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1660" w:right="180" w:hanging="507"/>
        <w:spacing w:after="0" w:line="274" w:lineRule="auto"/>
        <w:tabs>
          <w:tab w:leader="none" w:pos="155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7"/>
          <w:szCs w:val="17"/>
          <w:color w:val="auto"/>
        </w:rPr>
      </w:pPr>
    </w:p>
    <w:p>
      <w:pPr>
        <w:ind w:left="1660" w:right="280" w:hanging="507"/>
        <w:spacing w:after="0" w:line="252" w:lineRule="auto"/>
        <w:tabs>
          <w:tab w:leader="none" w:pos="155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60" w:right="20" w:hanging="507"/>
        <w:spacing w:after="0" w:line="274" w:lineRule="auto"/>
        <w:tabs>
          <w:tab w:leader="none" w:pos="155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7"/>
          <w:szCs w:val="17"/>
          <w:color w:val="auto"/>
        </w:rPr>
      </w:pPr>
    </w:p>
    <w:p>
      <w:pPr>
        <w:ind w:left="520" w:right="400" w:hanging="512"/>
        <w:spacing w:after="0" w:line="252" w:lineRule="auto"/>
        <w:tabs>
          <w:tab w:leader="none" w:pos="4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660" w:right="140" w:hanging="507"/>
        <w:spacing w:after="0" w:line="252" w:lineRule="auto"/>
        <w:tabs>
          <w:tab w:leader="none" w:pos="155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660" w:right="540" w:hanging="507"/>
        <w:spacing w:after="0" w:line="271" w:lineRule="auto"/>
        <w:tabs>
          <w:tab w:leader="none" w:pos="155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ind w:left="7900" w:right="900" w:hanging="7884"/>
        <w:spacing w:after="0" w:line="279" w:lineRule="auto"/>
        <w:tabs>
          <w:tab w:leader="none" w:pos="7880" w:val="left"/>
        </w:tabs>
        <w:rPr>
          <w:sz w:val="20"/>
          <w:szCs w:val="20"/>
          <w:color w:val="auto"/>
        </w:rPr>
      </w:pPr>
      <w:r>
        <w:rPr>
          <w:rFonts w:ascii="Arial" w:cs="Arial" w:eastAsia="Arial" w:hAnsi="Arial"/>
          <w:sz w:val="18"/>
          <w:szCs w:val="18"/>
          <w:color w:val="auto"/>
        </w:rPr>
        <w:t>Date: March 10, 2023</w:t>
      </w:r>
      <w:r>
        <w:rPr>
          <w:sz w:val="20"/>
          <w:szCs w:val="20"/>
          <w:color w:val="auto"/>
        </w:rPr>
        <w:tab/>
      </w:r>
      <w:r>
        <w:rPr>
          <w:rFonts w:ascii="Arial" w:cs="Arial" w:eastAsia="Arial" w:hAnsi="Arial"/>
          <w:sz w:val="18"/>
          <w:szCs w:val="18"/>
          <w:color w:val="auto"/>
        </w:rPr>
        <w:t>/s/ Michael Ellis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5253990</wp:posOffset>
            </wp:positionH>
            <wp:positionV relativeFrom="paragraph">
              <wp:posOffset>-3175</wp:posOffset>
            </wp:positionV>
            <wp:extent cx="183261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0">
                      <a:extLst>
                        <a:ext uri="{28A0092B-C50C-407E-A947-70E740481C1C}"/>
                      </a:extLst>
                    </a:blip>
                    <a:srcRect/>
                    <a:stretch>
                      <a:fillRect/>
                    </a:stretch>
                  </pic:blipFill>
                  <pic:spPr bwMode="auto">
                    <a:xfrm>
                      <a:off x="0" y="0"/>
                      <a:ext cx="183261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Michael Ellis</w:t>
      </w:r>
    </w:p>
    <w:p>
      <w:pPr>
        <w:spacing w:after="0" w:line="251"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1118235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5"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In connection with the Annual Report of Flywire Corporation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63" w:lineRule="exact"/>
        <w:rPr>
          <w:sz w:val="20"/>
          <w:szCs w:val="20"/>
          <w:color w:val="auto"/>
        </w:rPr>
      </w:pPr>
    </w:p>
    <w:p>
      <w:pPr>
        <w:ind w:left="1560" w:hanging="407"/>
        <w:spacing w:after="0"/>
        <w:tabs>
          <w:tab w:leader="none" w:pos="1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3" w:lineRule="exact"/>
        <w:rPr>
          <w:sz w:val="20"/>
          <w:szCs w:val="20"/>
          <w:color w:val="auto"/>
        </w:rPr>
      </w:pPr>
    </w:p>
    <w:p>
      <w:pPr>
        <w:ind w:left="8020" w:right="620" w:hanging="8005"/>
        <w:spacing w:after="0" w:line="279" w:lineRule="auto"/>
        <w:tabs>
          <w:tab w:leader="none" w:pos="8000" w:val="left"/>
        </w:tabs>
        <w:rPr>
          <w:sz w:val="20"/>
          <w:szCs w:val="20"/>
          <w:color w:val="auto"/>
        </w:rPr>
      </w:pPr>
      <w:r>
        <w:rPr>
          <w:rFonts w:ascii="Arial" w:cs="Arial" w:eastAsia="Arial" w:hAnsi="Arial"/>
          <w:sz w:val="18"/>
          <w:szCs w:val="18"/>
          <w:color w:val="auto"/>
        </w:rPr>
        <w:t>Date: March 10, 2023</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-3175</wp:posOffset>
            </wp:positionV>
            <wp:extent cx="175514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2">
                      <a:extLst>
                        <a:ext uri="{28A0092B-C50C-407E-A947-70E740481C1C}"/>
                      </a:extLst>
                    </a:blip>
                    <a:srcRect/>
                    <a:stretch>
                      <a:fillRect/>
                    </a:stretch>
                  </pic:blipFill>
                  <pic:spPr bwMode="auto">
                    <a:xfrm>
                      <a:off x="0" y="0"/>
                      <a:ext cx="1755140" cy="8255"/>
                    </a:xfrm>
                    <a:prstGeom prst="rect">
                      <a:avLst/>
                    </a:prstGeom>
                    <a:noFill/>
                  </pic:spPr>
                </pic:pic>
              </a:graphicData>
            </a:graphic>
          </wp:anchor>
        </w:drawing>
      </w:r>
    </w:p>
    <w:p>
      <w:pPr>
        <w:spacing w:after="0" w:line="225"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Michael Massaro</w:t>
      </w:r>
    </w:p>
    <w:p>
      <w:pPr>
        <w:spacing w:after="0" w:line="40"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5"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In connection with the Annual Report of Flywire Corporation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63" w:lineRule="exact"/>
        <w:rPr>
          <w:sz w:val="20"/>
          <w:szCs w:val="20"/>
          <w:color w:val="auto"/>
        </w:rPr>
      </w:pPr>
    </w:p>
    <w:p>
      <w:pPr>
        <w:ind w:left="1560" w:hanging="407"/>
        <w:spacing w:after="0"/>
        <w:tabs>
          <w:tab w:leader="none" w:pos="1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3" w:lineRule="exact"/>
        <w:rPr>
          <w:sz w:val="20"/>
          <w:szCs w:val="20"/>
          <w:color w:val="auto"/>
        </w:rPr>
      </w:pPr>
    </w:p>
    <w:p>
      <w:pPr>
        <w:ind w:left="8020" w:right="800" w:hanging="8005"/>
        <w:spacing w:after="0" w:line="279" w:lineRule="auto"/>
        <w:tabs>
          <w:tab w:leader="none" w:pos="8000" w:val="left"/>
        </w:tabs>
        <w:rPr>
          <w:sz w:val="20"/>
          <w:szCs w:val="20"/>
          <w:color w:val="auto"/>
        </w:rPr>
      </w:pPr>
      <w:r>
        <w:rPr>
          <w:rFonts w:ascii="Arial" w:cs="Arial" w:eastAsia="Arial" w:hAnsi="Arial"/>
          <w:sz w:val="18"/>
          <w:szCs w:val="18"/>
          <w:color w:val="auto"/>
        </w:rPr>
        <w:t>Date: March 10, 2023</w:t>
      </w:r>
      <w:r>
        <w:rPr>
          <w:sz w:val="20"/>
          <w:szCs w:val="20"/>
          <w:color w:val="auto"/>
        </w:rPr>
        <w:tab/>
      </w:r>
      <w:r>
        <w:rPr>
          <w:rFonts w:ascii="Arial" w:cs="Arial" w:eastAsia="Arial" w:hAnsi="Arial"/>
          <w:sz w:val="18"/>
          <w:szCs w:val="18"/>
          <w:color w:val="auto"/>
        </w:rPr>
        <w:t>/s/ Michael Ellis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-3175</wp:posOffset>
            </wp:positionV>
            <wp:extent cx="175514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4">
                      <a:extLst>
                        <a:ext uri="{28A0092B-C50C-407E-A947-70E740481C1C}"/>
                      </a:extLst>
                    </a:blip>
                    <a:srcRect/>
                    <a:stretch>
                      <a:fillRect/>
                    </a:stretch>
                  </pic:blipFill>
                  <pic:spPr bwMode="auto">
                    <a:xfrm>
                      <a:off x="0" y="0"/>
                      <a:ext cx="1755140" cy="8255"/>
                    </a:xfrm>
                    <a:prstGeom prst="rect">
                      <a:avLst/>
                    </a:prstGeom>
                    <a:noFill/>
                  </pic:spPr>
                </pic:pic>
              </a:graphicData>
            </a:graphic>
          </wp:anchor>
        </w:drawing>
      </w:r>
    </w:p>
    <w:p>
      <w:pPr>
        <w:spacing w:after="0" w:line="238"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Michael Ellis</w:t>
      </w:r>
    </w:p>
    <w:p>
      <w:pPr>
        <w:spacing w:after="0" w:line="40"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95" w:name="page196"/>
    <w:bookmarkEnd w:id="1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o"/>
      <w:numFmt w:val="bullet"/>
      <w:start w:val="1"/>
    </w:lvl>
  </w:abstractNum>
  <w:abstractNum w:abstractNumId="19">
    <w:nsid w:val="1BA026FA"/>
    <w:multiLevelType w:val="hybridMultilevel"/>
    <w:lvl w:ilvl="0">
      <w:lvlJc w:val="left"/>
      <w:lvlText w:val="o"/>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1)"/>
      <w:numFmt w:val="lowerRoman"/>
      <w:start w:val="2"/>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1)"/>
      <w:numFmt w:val="lowerRoman"/>
      <w:start w:val="1"/>
    </w:lvl>
  </w:abstractNum>
  <w:abstractNum w:abstractNumId="55">
    <w:nsid w:val="6590700B"/>
    <w:multiLevelType w:val="hybridMultilevel"/>
    <w:lvl w:ilvl="0">
      <w:lvlJc w:val="left"/>
      <w:lvlText w:val="%1."/>
      <w:numFmt w:val="decimal"/>
      <w:start w:val="606"/>
    </w:lvl>
  </w:abstractNum>
  <w:abstractNum w:abstractNumId="56">
    <w:nsid w:val="15014ACB"/>
    <w:multiLevelType w:val="hybridMultilevel"/>
    <w:lvl w:ilvl="0">
      <w:lvlJc w:val="left"/>
      <w:lvlText w:val="(%1)"/>
      <w:numFmt w:val="lowerRoman"/>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1)"/>
      <w:numFmt w:val="lowerLetter"/>
      <w:start w:val="1"/>
    </w:lvl>
  </w:abstractNum>
  <w:abstractNum w:abstractNumId="61">
    <w:nsid w:val="42C296BD"/>
    <w:multiLevelType w:val="hybridMultilevel"/>
    <w:lvl w:ilvl="0">
      <w:lvlJc w:val="left"/>
      <w:lvlText w:val="*"/>
      <w:numFmt w:val="bullet"/>
      <w:start w:val="1"/>
    </w:lvl>
    <w:lvl w:ilvl="1">
      <w:lvlJc w:val="left"/>
      <w:lvlText w:val="%2"/>
      <w:numFmt w:val="decimal"/>
      <w:start w:val="104"/>
    </w:lvl>
  </w:abstractNum>
  <w:abstractNum w:abstractNumId="62">
    <w:nsid w:val="168E121F"/>
    <w:multiLevelType w:val="hybridMultilevel"/>
    <w:lvl w:ilvl="0">
      <w:lvlJc w:val="left"/>
      <w:lvlText w:val="(%1)"/>
      <w:numFmt w:val="lowerLetter"/>
      <w:start w:val="1"/>
    </w:lvl>
  </w:abstractNum>
  <w:abstractNum w:abstractNumId="63">
    <w:nsid w:val="1EBA5D23"/>
    <w:multiLevelType w:val="hybridMultilevel"/>
    <w:lvl w:ilvl="0">
      <w:lvlJc w:val="left"/>
      <w:lvlText w:val="(%1)"/>
      <w:numFmt w:val="lowerLetter"/>
      <w:start w:val="1"/>
    </w:lvl>
  </w:abstractNum>
  <w:abstractNum w:abstractNumId="64">
    <w:nsid w:val="661E3F1E"/>
    <w:multiLevelType w:val="hybridMultilevel"/>
    <w:lvl w:ilvl="0">
      <w:lvlJc w:val="left"/>
      <w:lvlText w:val="(%1)"/>
      <w:numFmt w:val="lowerLetter"/>
      <w:start w:val="2"/>
    </w:lvl>
  </w:abstractNum>
  <w:abstractNum w:abstractNumId="65">
    <w:nsid w:val="5DC79EA8"/>
    <w:multiLevelType w:val="hybridMultilevel"/>
    <w:lvl w:ilvl="0">
      <w:lvlJc w:val="left"/>
      <w:lvlText w:val="(%1)"/>
      <w:numFmt w:val="lowerLetter"/>
      <w:start w:val="1"/>
    </w:lvl>
  </w:abstractNum>
  <w:abstractNum w:abstractNumId="66">
    <w:nsid w:val="540A471C"/>
    <w:multiLevelType w:val="hybridMultilevel"/>
    <w:lvl w:ilvl="0">
      <w:lvlJc w:val="left"/>
      <w:lvlText w:val="(%1)"/>
      <w:numFmt w:val="lowerLetter"/>
      <w:start w:val="1"/>
    </w:lvl>
  </w:abstractNum>
  <w:abstractNum w:abstractNumId="67">
    <w:nsid w:val="7BD3EE7B"/>
    <w:multiLevelType w:val="hybridMultilevel"/>
    <w:lvl w:ilvl="0">
      <w:lvlJc w:val="left"/>
      <w:lvlText w:val="(%1)"/>
      <w:numFmt w:val="lowerLetter"/>
      <w:start w:val="6"/>
    </w:lvl>
  </w:abstractNum>
  <w:abstractNum w:abstractNumId="68">
    <w:nsid w:val="51D9C564"/>
    <w:multiLevelType w:val="hybridMultilevel"/>
    <w:lvl w:ilvl="0">
      <w:lvlJc w:val="left"/>
      <w:lvlText w:val="(%1)"/>
      <w:numFmt w:val="lowerLetter"/>
      <w:start w:val="1"/>
    </w:lvl>
  </w:abstractNum>
  <w:abstractNum w:abstractNumId="69">
    <w:nsid w:val="613EFDC5"/>
    <w:multiLevelType w:val="hybridMultilevel"/>
    <w:lvl w:ilvl="0">
      <w:lvlJc w:val="left"/>
      <w:lvlText w:val="(%1)"/>
      <w:numFmt w:val="lowerLetter"/>
      <w:start w:val="4"/>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decimal"/>
      <w:start w:val="1"/>
    </w:lvl>
    <w:lvl w:ilvl="1">
      <w:lvlJc w:val="left"/>
      <w:lvlText w:val="%2."/>
      <w:numFmt w:val="decimal"/>
      <w:start w:val="3"/>
    </w:lvl>
  </w:abstractNum>
  <w:abstractNum w:abstractNumId="72">
    <w:nsid w:val="42963E5A"/>
    <w:multiLevelType w:val="hybridMultilevel"/>
    <w:lvl w:ilvl="0">
      <w:lvlJc w:val="left"/>
      <w:lvlText w:val="%1."/>
      <w:numFmt w:val="decimal"/>
      <w:start w:val="5"/>
    </w:lvl>
    <w:lvl w:ilvl="1">
      <w:lvlJc w:val="left"/>
      <w:lvlText w:val="%2."/>
      <w:numFmt w:val="decimal"/>
      <w:start w:val="6"/>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decimal"/>
      <w:start w:val="11"/>
    </w:lvl>
  </w:abstractNum>
  <w:abstractNum w:abstractNumId="75">
    <w:nsid w:val="1A32234B"/>
    <w:multiLevelType w:val="hybridMultilevel"/>
    <w:lvl w:ilvl="0">
      <w:lvlJc w:val="left"/>
      <w:lvlText w:val="%1."/>
      <w:numFmt w:val="decimal"/>
      <w:start w:val="12"/>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37" Type="http://schemas.openxmlformats.org/officeDocument/2006/relationships/image" Target="media/image621.png"/><Relationship Id="rId638" Type="http://schemas.openxmlformats.org/officeDocument/2006/relationships/image" Target="media/image622.png"/><Relationship Id="rId639" Type="http://schemas.openxmlformats.org/officeDocument/2006/relationships/image" Target="media/image623.png"/><Relationship Id="rId640" Type="http://schemas.openxmlformats.org/officeDocument/2006/relationships/image" Target="media/image624.png"/><Relationship Id="rId651" Type="http://schemas.openxmlformats.org/officeDocument/2006/relationships/image" Target="media/image625.png"/><Relationship Id="rId652" Type="http://schemas.openxmlformats.org/officeDocument/2006/relationships/image" Target="media/image626.png"/><Relationship Id="rId653" Type="http://schemas.openxmlformats.org/officeDocument/2006/relationships/image" Target="media/image627.png"/><Relationship Id="rId654" Type="http://schemas.openxmlformats.org/officeDocument/2006/relationships/image" Target="media/image628.png"/><Relationship Id="rId655" Type="http://schemas.openxmlformats.org/officeDocument/2006/relationships/image" Target="media/image629.png"/><Relationship Id="rId656" Type="http://schemas.openxmlformats.org/officeDocument/2006/relationships/image" Target="media/image630.png"/><Relationship Id="rId657" Type="http://schemas.openxmlformats.org/officeDocument/2006/relationships/image" Target="media/image631.png"/><Relationship Id="rId658" Type="http://schemas.openxmlformats.org/officeDocument/2006/relationships/image" Target="media/image632.png"/><Relationship Id="rId659" Type="http://schemas.openxmlformats.org/officeDocument/2006/relationships/image" Target="media/image633.png"/><Relationship Id="rId660" Type="http://schemas.openxmlformats.org/officeDocument/2006/relationships/image" Target="media/image634.png"/><Relationship Id="rId661" Type="http://schemas.openxmlformats.org/officeDocument/2006/relationships/image" Target="media/image635.png"/><Relationship Id="rId662" Type="http://schemas.openxmlformats.org/officeDocument/2006/relationships/image" Target="media/image636.png"/><Relationship Id="rId663" Type="http://schemas.openxmlformats.org/officeDocument/2006/relationships/image" Target="media/image637.png"/><Relationship Id="rId664" Type="http://schemas.openxmlformats.org/officeDocument/2006/relationships/image" Target="media/image638.png"/><Relationship Id="rId665" Type="http://schemas.openxmlformats.org/officeDocument/2006/relationships/image" Target="media/image639.png"/><Relationship Id="rId666" Type="http://schemas.openxmlformats.org/officeDocument/2006/relationships/image" Target="media/image640.png"/><Relationship Id="rId667" Type="http://schemas.openxmlformats.org/officeDocument/2006/relationships/image" Target="media/image641.png"/><Relationship Id="rId668" Type="http://schemas.openxmlformats.org/officeDocument/2006/relationships/image" Target="media/image642.png"/><Relationship Id="rId669" Type="http://schemas.openxmlformats.org/officeDocument/2006/relationships/image" Target="media/image643.png"/><Relationship Id="rId670" Type="http://schemas.openxmlformats.org/officeDocument/2006/relationships/image" Target="media/image644.png"/><Relationship Id="rId671" Type="http://schemas.openxmlformats.org/officeDocument/2006/relationships/image" Target="media/image645.png"/><Relationship Id="rId672" Type="http://schemas.openxmlformats.org/officeDocument/2006/relationships/image" Target="media/image646.png"/><Relationship Id="rId673" Type="http://schemas.openxmlformats.org/officeDocument/2006/relationships/image" Target="media/image647.png"/><Relationship Id="rId674" Type="http://schemas.openxmlformats.org/officeDocument/2006/relationships/image" Target="media/image648.png"/><Relationship Id="rId675" Type="http://schemas.openxmlformats.org/officeDocument/2006/relationships/image" Target="media/image649.png"/><Relationship Id="rId676" Type="http://schemas.openxmlformats.org/officeDocument/2006/relationships/image" Target="media/image650.png"/><Relationship Id="rId677" Type="http://schemas.openxmlformats.org/officeDocument/2006/relationships/image" Target="media/image651.png"/><Relationship Id="rId678" Type="http://schemas.openxmlformats.org/officeDocument/2006/relationships/image" Target="media/image652.png"/><Relationship Id="rId679" Type="http://schemas.openxmlformats.org/officeDocument/2006/relationships/image" Target="media/image653.png"/><Relationship Id="rId680" Type="http://schemas.openxmlformats.org/officeDocument/2006/relationships/image" Target="media/image654.png"/><Relationship Id="rId681" Type="http://schemas.openxmlformats.org/officeDocument/2006/relationships/image" Target="media/image655.png"/><Relationship Id="rId682" Type="http://schemas.openxmlformats.org/officeDocument/2006/relationships/image" Target="media/image656.png"/><Relationship Id="rId683" Type="http://schemas.openxmlformats.org/officeDocument/2006/relationships/image" Target="media/image657.png"/><Relationship Id="rId684" Type="http://schemas.openxmlformats.org/officeDocument/2006/relationships/image" Target="media/image658.png"/><Relationship Id="rId685" Type="http://schemas.openxmlformats.org/officeDocument/2006/relationships/image" Target="media/image659.png"/><Relationship Id="rId686" Type="http://schemas.openxmlformats.org/officeDocument/2006/relationships/image" Target="media/image660.png"/><Relationship Id="rId687" Type="http://schemas.openxmlformats.org/officeDocument/2006/relationships/image" Target="media/image661.png"/><Relationship Id="rId688" Type="http://schemas.openxmlformats.org/officeDocument/2006/relationships/image" Target="media/image662.png"/><Relationship Id="rId689" Type="http://schemas.openxmlformats.org/officeDocument/2006/relationships/image" Target="media/image663.png"/><Relationship Id="rId690" Type="http://schemas.openxmlformats.org/officeDocument/2006/relationships/image" Target="media/image664.png"/><Relationship Id="rId691" Type="http://schemas.openxmlformats.org/officeDocument/2006/relationships/image" Target="media/image665.png"/><Relationship Id="rId692" Type="http://schemas.openxmlformats.org/officeDocument/2006/relationships/image" Target="media/image666.png"/><Relationship Id="rId693" Type="http://schemas.openxmlformats.org/officeDocument/2006/relationships/image" Target="media/image667.png"/><Relationship Id="rId694" Type="http://schemas.openxmlformats.org/officeDocument/2006/relationships/image" Target="media/image668.png"/><Relationship Id="rId695" Type="http://schemas.openxmlformats.org/officeDocument/2006/relationships/image" Target="media/image669.png"/><Relationship Id="rId696" Type="http://schemas.openxmlformats.org/officeDocument/2006/relationships/image" Target="media/image670.png"/><Relationship Id="rId697" Type="http://schemas.openxmlformats.org/officeDocument/2006/relationships/image" Target="media/image671.png"/><Relationship Id="rId698" Type="http://schemas.openxmlformats.org/officeDocument/2006/relationships/image" Target="media/image672.png"/><Relationship Id="rId699" Type="http://schemas.openxmlformats.org/officeDocument/2006/relationships/image" Target="media/image673.png"/><Relationship Id="rId700" Type="http://schemas.openxmlformats.org/officeDocument/2006/relationships/image" Target="media/image674.png"/><Relationship Id="rId701" Type="http://schemas.openxmlformats.org/officeDocument/2006/relationships/image" Target="media/image675.png"/><Relationship Id="rId702" Type="http://schemas.openxmlformats.org/officeDocument/2006/relationships/image" Target="media/image676.png"/><Relationship Id="rId703" Type="http://schemas.openxmlformats.org/officeDocument/2006/relationships/image" Target="media/image677.png"/><Relationship Id="rId704" Type="http://schemas.openxmlformats.org/officeDocument/2006/relationships/image" Target="media/image678.png"/><Relationship Id="rId705" Type="http://schemas.openxmlformats.org/officeDocument/2006/relationships/image" Target="media/image679.png"/><Relationship Id="rId706" Type="http://schemas.openxmlformats.org/officeDocument/2006/relationships/image" Target="media/image680.png"/><Relationship Id="rId707" Type="http://schemas.openxmlformats.org/officeDocument/2006/relationships/image" Target="media/image681.png"/><Relationship Id="rId708" Type="http://schemas.openxmlformats.org/officeDocument/2006/relationships/image" Target="media/image682.png"/><Relationship Id="rId709" Type="http://schemas.openxmlformats.org/officeDocument/2006/relationships/image" Target="media/image683.png"/><Relationship Id="rId710" Type="http://schemas.openxmlformats.org/officeDocument/2006/relationships/image" Target="media/image684.png"/><Relationship Id="rId711" Type="http://schemas.openxmlformats.org/officeDocument/2006/relationships/image" Target="media/image685.png"/><Relationship Id="rId712" Type="http://schemas.openxmlformats.org/officeDocument/2006/relationships/image" Target="media/image686.png"/><Relationship Id="rId713" Type="http://schemas.openxmlformats.org/officeDocument/2006/relationships/image" Target="media/image687.png"/><Relationship Id="rId714" Type="http://schemas.openxmlformats.org/officeDocument/2006/relationships/image" Target="media/image688.png"/><Relationship Id="rId715" Type="http://schemas.openxmlformats.org/officeDocument/2006/relationships/image" Target="media/image689.png"/><Relationship Id="rId628" Type="http://schemas.openxmlformats.org/officeDocument/2006/relationships/hyperlink" Target="https://www.sec.gov/Archives/edgar/data/1580560/000119312521178711/d109060dex31.htm" TargetMode="External"/><Relationship Id="rId629" Type="http://schemas.openxmlformats.org/officeDocument/2006/relationships/hyperlink" Target="https://www.sec.gov/Archives/edgar/data/1580560/000119312521178711/d109060dex32.htm" TargetMode="External"/><Relationship Id="rId630" Type="http://schemas.openxmlformats.org/officeDocument/2006/relationships/hyperlink" Target="https://www.sec.gov/Archives/edgar/data/1580560/000095017022004937/flyw-ex4_1.htm" TargetMode="External"/><Relationship Id="rId631" Type="http://schemas.openxmlformats.org/officeDocument/2006/relationships/hyperlink" Target="https://www.sec.gov/Archives/edgar/data/1580560/000119312521146481/d469729dex42.htm" TargetMode="External"/><Relationship Id="rId632" Type="http://schemas.openxmlformats.org/officeDocument/2006/relationships/hyperlink" Target="https://www.sec.gov/Archives/edgar/data/0001580560/000119312521164506/d469729dex101.htm" TargetMode="External"/><Relationship Id="rId633" Type="http://schemas.openxmlformats.org/officeDocument/2006/relationships/hyperlink" Target="https://www.sec.gov/Archives/edgar/data/1580560/000095017022004937/flyw-ex10_2.htm" TargetMode="External"/><Relationship Id="rId634" Type="http://schemas.openxmlformats.org/officeDocument/2006/relationships/hyperlink" Target="https://www.sec.gov/Archives/edgar/data/0001580560/000119312521164506/d469729dex103.htm" TargetMode="External"/><Relationship Id="rId635" Type="http://schemas.openxmlformats.org/officeDocument/2006/relationships/hyperlink" Target="https://www.sec.gov/Archives/edgar/data/1580560/000119312521146481/d469729dex105.htm" TargetMode="External"/><Relationship Id="rId636" Type="http://schemas.openxmlformats.org/officeDocument/2006/relationships/hyperlink" Target="https://www.sec.gov/Archives/edgar/data/0001580560/000119312521164506/d469729dex106.htm" TargetMode="External"/><Relationship Id="rId641" Type="http://schemas.openxmlformats.org/officeDocument/2006/relationships/hyperlink" Target="https://www.sec.gov/Archives/edgar/data/0001580560/000119312521164506/d469729dex107.htm" TargetMode="External"/><Relationship Id="rId642" Type="http://schemas.openxmlformats.org/officeDocument/2006/relationships/hyperlink" Target="https://www.sec.gov/Archives/edgar/data/0001580560/000119312521164506/d469729dex108.htm" TargetMode="External"/><Relationship Id="rId643" Type="http://schemas.openxmlformats.org/officeDocument/2006/relationships/hyperlink" Target="https://www.sec.gov/Archives/edgar/data/0001580560/000119312521164506/d469729dex109.htm" TargetMode="External"/><Relationship Id="rId644" Type="http://schemas.openxmlformats.org/officeDocument/2006/relationships/hyperlink" Target="https://www.sec.gov/Archives/edgar/data/0001580560/000119312521164506/d469729dex1010.htm" TargetMode="External"/><Relationship Id="rId645" Type="http://schemas.openxmlformats.org/officeDocument/2006/relationships/hyperlink" Target="https://www.sec.gov/Archives/edgar/data/0001580560/000119312521164506/d469729dex1011.htm" TargetMode="External"/><Relationship Id="rId646" Type="http://schemas.openxmlformats.org/officeDocument/2006/relationships/hyperlink" Target="https://www.sec.gov/Archives/edgar/data/0001580560/000119312521164506/d469729dex1012.htm" TargetMode="External"/><Relationship Id="rId647" Type="http://schemas.openxmlformats.org/officeDocument/2006/relationships/hyperlink" Target="https://www.sec.gov/Archives/edgar/data/0001580560/000119312521164506/d469729dex1013.htm" TargetMode="External"/><Relationship Id="rId648" Type="http://schemas.openxmlformats.org/officeDocument/2006/relationships/hyperlink" Target="https://www.sec.gov/Archives/edgar/data/1580560/000119312521146481/d469729dex1014.htm" TargetMode="External"/><Relationship Id="rId649" Type="http://schemas.openxmlformats.org/officeDocument/2006/relationships/hyperlink" Target="https://www.sec.gov/Archives/edgar/data/1580560/000119312521236325/d209980dex101.htm" TargetMode="External"/><Relationship Id="rId650" Type="http://schemas.openxmlformats.org/officeDocument/2006/relationships/hyperlink" Target="https://www.sec.gov/Archives/edgar/data/1580560/000119312521236325/d20998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2023-03-10T07:57:20Z</dcterms:created>
  <dcterms:modified xsi:type="dcterms:W3CDTF">2023-03-10T07:57:20Z</dcterms:modified>
</cp:coreProperties>
</file>