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728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72833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Massaro Michael</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right="1040"/>
        <w:spacing w:after="0" w:line="395" w:lineRule="auto"/>
        <w:rPr>
          <w:sz w:val="20"/>
          <w:szCs w:val="20"/>
          <w:color w:val="auto"/>
        </w:rPr>
      </w:pPr>
      <w:r>
        <w:rPr>
          <w:rFonts w:ascii="Arial" w:cs="Arial" w:eastAsia="Arial" w:hAnsi="Arial"/>
          <w:sz w:val="16"/>
          <w:szCs w:val="16"/>
          <w:color w:val="0000FF"/>
        </w:rPr>
        <w:t>C/O FLYWIRE CORPORATION 141 TREMONT STREET, SUITE 10</w:t>
      </w:r>
    </w:p>
    <w:p>
      <w:pPr>
        <w:spacing w:after="0" w:line="154"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7"/>
                <w:szCs w:val="17"/>
                <w:color w:val="0000FF"/>
              </w:rPr>
              <w:t>BOSTON</w:t>
            </w:r>
          </w:p>
        </w:tc>
        <w:tc>
          <w:tcPr>
            <w:tcW w:w="1080" w:type="dxa"/>
            <w:vAlign w:val="bottom"/>
          </w:tcPr>
          <w:p>
            <w:pPr>
              <w:ind w:left="26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02111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Flywire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FLYW</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20" w:type="dxa"/>
            <w:vAlign w:val="bottom"/>
            <w:tcBorders>
              <w:bottom w:val="single" w:sz="8" w:color="0000EE"/>
            </w:tcBorders>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8"/>
        </w:trPr>
        <w:tc>
          <w:tcPr>
            <w:tcW w:w="1220" w:type="dxa"/>
            <w:vAlign w:val="bottom"/>
            <w:gridSpan w:val="3"/>
            <w:vMerge w:val="restart"/>
          </w:tcPr>
          <w:p>
            <w:pPr>
              <w:ind w:left="80"/>
              <w:spacing w:after="0"/>
              <w:rPr>
                <w:sz w:val="20"/>
                <w:szCs w:val="20"/>
                <w:color w:val="auto"/>
              </w:rPr>
            </w:pPr>
            <w:r>
              <w:rPr>
                <w:rFonts w:ascii="Arial" w:cs="Arial" w:eastAsia="Arial" w:hAnsi="Arial"/>
                <w:sz w:val="17"/>
                <w:szCs w:val="17"/>
                <w:color w:val="0000FF"/>
              </w:rPr>
              <w:t>09/18/2023</w:t>
            </w:r>
          </w:p>
        </w:tc>
        <w:tc>
          <w:tcPr>
            <w:tcW w:w="2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1220" w:type="dxa"/>
            <w:vAlign w:val="bottom"/>
            <w:gridSpan w:val="3"/>
            <w:vMerge w:val="continue"/>
          </w:tcPr>
          <w:p>
            <w:pPr>
              <w:spacing w:after="0"/>
              <w:rPr>
                <w:sz w:val="11"/>
                <w:szCs w:val="11"/>
                <w:color w:val="auto"/>
              </w:rPr>
            </w:pPr>
          </w:p>
        </w:tc>
        <w:tc>
          <w:tcPr>
            <w:tcW w:w="2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320"/>
              <w:spacing w:after="0"/>
              <w:rPr>
                <w:sz w:val="20"/>
                <w:szCs w:val="20"/>
                <w:color w:val="auto"/>
              </w:rPr>
            </w:pPr>
            <w:r>
              <w:rPr>
                <w:rFonts w:ascii="Arial" w:cs="Arial" w:eastAsia="Arial" w:hAnsi="Arial"/>
                <w:sz w:val="17"/>
                <w:szCs w:val="17"/>
                <w:color w:val="0000FF"/>
              </w:rPr>
              <w:t>Chief Executive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260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220"/>
              <w:spacing w:after="0"/>
              <w:rPr>
                <w:sz w:val="20"/>
                <w:szCs w:val="20"/>
                <w:color w:val="auto"/>
              </w:rPr>
            </w:pPr>
            <w:r>
              <w:rPr>
                <w:rFonts w:ascii="Arial" w:cs="Arial" w:eastAsia="Arial" w:hAnsi="Arial"/>
                <w:sz w:val="12"/>
                <w:szCs w:val="12"/>
                <w:b w:val="1"/>
                <w:bCs w:val="1"/>
                <w:color w:val="auto"/>
              </w:rPr>
              <w:t>2. Transaction</w:t>
            </w:r>
          </w:p>
        </w:tc>
        <w:tc>
          <w:tcPr>
            <w:tcW w:w="126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60" w:type="dxa"/>
            <w:vAlign w:val="bottom"/>
            <w:gridSpan w:val="2"/>
          </w:tcPr>
          <w:p>
            <w:pPr>
              <w:ind w:left="80"/>
              <w:spacing w:after="0"/>
              <w:rPr>
                <w:sz w:val="20"/>
                <w:szCs w:val="20"/>
                <w:color w:val="auto"/>
              </w:rPr>
            </w:pPr>
            <w:r>
              <w:rPr>
                <w:rFonts w:ascii="Arial" w:cs="Arial" w:eastAsia="Arial" w:hAnsi="Arial"/>
                <w:sz w:val="12"/>
                <w:szCs w:val="12"/>
                <w:b w:val="1"/>
                <w:bCs w:val="1"/>
                <w:color w:val="auto"/>
              </w:rPr>
              <w:t>3.</w:t>
            </w:r>
          </w:p>
        </w:tc>
        <w:tc>
          <w:tcPr>
            <w:tcW w:w="460" w:type="dxa"/>
            <w:vAlign w:val="bottom"/>
          </w:tcPr>
          <w:p>
            <w:pPr>
              <w:spacing w:after="0"/>
              <w:rPr>
                <w:sz w:val="13"/>
                <w:szCs w:val="13"/>
                <w:color w:val="auto"/>
              </w:rPr>
            </w:pPr>
          </w:p>
        </w:tc>
        <w:tc>
          <w:tcPr>
            <w:tcW w:w="20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220"/>
              <w:spacing w:after="0" w:line="131"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220"/>
              <w:spacing w:after="0" w:line="131"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tcPr>
          <w:p>
            <w:pPr>
              <w:spacing w:after="0"/>
              <w:rPr>
                <w:sz w:val="7"/>
                <w:szCs w:val="7"/>
                <w:color w:val="auto"/>
              </w:rPr>
            </w:pPr>
          </w:p>
        </w:tc>
        <w:tc>
          <w:tcPr>
            <w:tcW w:w="88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spacing w:after="0"/>
              <w:rPr>
                <w:sz w:val="20"/>
                <w:szCs w:val="20"/>
                <w:color w:val="auto"/>
              </w:rPr>
            </w:pPr>
            <w:r>
              <w:rPr>
                <w:rFonts w:ascii="Arial" w:cs="Arial" w:eastAsia="Arial" w:hAnsi="Arial"/>
                <w:sz w:val="12"/>
                <w:szCs w:val="12"/>
                <w:b w:val="1"/>
                <w:bCs w:val="1"/>
                <w:color w:val="auto"/>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Voting Common Stock</w:t>
            </w:r>
          </w:p>
        </w:tc>
        <w:tc>
          <w:tcPr>
            <w:tcW w:w="112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w w:val="91"/>
              </w:rPr>
              <w:t>09/18/2023</w:t>
            </w:r>
          </w:p>
        </w:tc>
        <w:tc>
          <w:tcPr>
            <w:tcW w:w="8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4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right"/>
              <w:ind w:right="111"/>
              <w:spacing w:after="0"/>
              <w:rPr>
                <w:sz w:val="20"/>
                <w:szCs w:val="20"/>
                <w:color w:val="auto"/>
              </w:rPr>
            </w:pPr>
            <w:r>
              <w:rPr>
                <w:rFonts w:ascii="Arial" w:cs="Arial" w:eastAsia="Arial" w:hAnsi="Arial"/>
                <w:sz w:val="17"/>
                <w:szCs w:val="17"/>
                <w:color w:val="0000FF"/>
                <w:w w:val="97"/>
              </w:rPr>
              <w:t>11,457</w:t>
            </w:r>
            <w:r>
              <w:rPr>
                <w:rFonts w:ascii="Arial" w:cs="Arial" w:eastAsia="Arial" w:hAnsi="Arial"/>
                <w:sz w:val="22"/>
                <w:szCs w:val="22"/>
                <w:color w:val="008000"/>
                <w:w w:val="97"/>
                <w:vertAlign w:val="superscript"/>
              </w:rPr>
              <w:t>(2)</w:t>
            </w:r>
          </w:p>
        </w:tc>
        <w:tc>
          <w:tcPr>
            <w:tcW w:w="4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jc w:val="center"/>
              <w:ind w:right="4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30.927</w:t>
            </w:r>
            <w:r>
              <w:rPr>
                <w:rFonts w:ascii="Arial" w:cs="Arial" w:eastAsia="Arial" w:hAnsi="Arial"/>
                <w:sz w:val="22"/>
                <w:szCs w:val="22"/>
                <w:color w:val="008000"/>
                <w:w w:val="93"/>
                <w:vertAlign w:val="superscript"/>
              </w:rPr>
              <w:t>(3)</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1,012,226</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Voting Common Stock</w:t>
            </w:r>
          </w:p>
        </w:tc>
        <w:tc>
          <w:tcPr>
            <w:tcW w:w="112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w w:val="91"/>
              </w:rPr>
              <w:t>09/19/2023</w:t>
            </w:r>
          </w:p>
        </w:tc>
        <w:tc>
          <w:tcPr>
            <w:tcW w:w="8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4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right"/>
              <w:ind w:right="111"/>
              <w:spacing w:after="0"/>
              <w:rPr>
                <w:sz w:val="20"/>
                <w:szCs w:val="20"/>
                <w:color w:val="auto"/>
              </w:rPr>
            </w:pPr>
            <w:r>
              <w:rPr>
                <w:rFonts w:ascii="Arial" w:cs="Arial" w:eastAsia="Arial" w:hAnsi="Arial"/>
                <w:sz w:val="17"/>
                <w:szCs w:val="17"/>
                <w:color w:val="0000FF"/>
                <w:w w:val="97"/>
              </w:rPr>
              <w:t>11,457</w:t>
            </w:r>
            <w:r>
              <w:rPr>
                <w:rFonts w:ascii="Arial" w:cs="Arial" w:eastAsia="Arial" w:hAnsi="Arial"/>
                <w:sz w:val="22"/>
                <w:szCs w:val="22"/>
                <w:color w:val="008000"/>
                <w:w w:val="97"/>
                <w:vertAlign w:val="superscript"/>
              </w:rPr>
              <w:t>(2)</w:t>
            </w:r>
          </w:p>
        </w:tc>
        <w:tc>
          <w:tcPr>
            <w:tcW w:w="4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30.2002</w:t>
            </w:r>
            <w:r>
              <w:rPr>
                <w:rFonts w:ascii="Arial" w:cs="Arial" w:eastAsia="Arial" w:hAnsi="Arial"/>
                <w:sz w:val="22"/>
                <w:szCs w:val="22"/>
                <w:color w:val="008000"/>
                <w:w w:val="87"/>
                <w:vertAlign w:val="superscript"/>
              </w:rPr>
              <w:t>(4)</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1,000,769</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337,440</w:t>
            </w:r>
          </w:p>
        </w:tc>
        <w:tc>
          <w:tcPr>
            <w:tcW w:w="340" w:type="dxa"/>
            <w:vAlign w:val="bottom"/>
          </w:tcPr>
          <w:p>
            <w:pPr>
              <w:spacing w:after="0"/>
              <w:rPr>
                <w:sz w:val="22"/>
                <w:szCs w:val="22"/>
                <w:color w:val="auto"/>
              </w:rPr>
            </w:pPr>
          </w:p>
        </w:tc>
        <w:tc>
          <w:tcPr>
            <w:tcW w:w="58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(5)</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340" w:type="dxa"/>
            <w:vAlign w:val="bottom"/>
            <w:gridSpan w:val="2"/>
          </w:tcPr>
          <w:p>
            <w:pPr>
              <w:spacing w:after="0"/>
              <w:rPr>
                <w:sz w:val="20"/>
                <w:szCs w:val="20"/>
                <w:color w:val="auto"/>
              </w:rPr>
            </w:pPr>
            <w:r>
              <w:rPr>
                <w:rFonts w:ascii="Arial" w:cs="Arial" w:eastAsia="Arial" w:hAnsi="Arial"/>
                <w:sz w:val="12"/>
                <w:szCs w:val="12"/>
                <w:b w:val="1"/>
                <w:bCs w:val="1"/>
                <w:color w:val="auto"/>
                <w:w w:val="98"/>
              </w:rPr>
              <w:t>6. Date Exercisable and</w:t>
            </w:r>
          </w:p>
        </w:tc>
        <w:tc>
          <w:tcPr>
            <w:tcW w:w="1200" w:type="dxa"/>
            <w:vAlign w:val="bottom"/>
            <w:gridSpan w:val="3"/>
          </w:tcPr>
          <w:p>
            <w:pPr>
              <w:ind w:left="20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3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34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reported transactions were effected pursuant to a Rule 10b5-1 trading plan adopted by the Reported Person, entered into prior to the effectiveness of the revised requirements of Rule 10b5-1(c).</w:t>
      </w:r>
    </w:p>
    <w:p>
      <w:pPr>
        <w:spacing w:after="0" w:line="61" w:lineRule="exact"/>
        <w:rPr>
          <w:rFonts w:ascii="Arial" w:cs="Arial" w:eastAsia="Arial" w:hAnsi="Arial"/>
          <w:sz w:val="12"/>
          <w:szCs w:val="12"/>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is subject to a lock-up agreement with the underwriter for the public offering of Voting Common Stock by the Issuer for which the underwriting agreement was entered into on August 9, 2023. The transaction was pursuant to an exception to the lock-up agreement for sales pursuant to a trading plan that complies with Rule 10b5-1 that has been entered into by the Reporting Person prior the date of the lock-up agreement.</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$30.67 to $31.20,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(3) to this Form 4</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$30.05 to $30.85,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(4) to this Form 4.</w:t>
      </w:r>
    </w:p>
    <w:p>
      <w:pPr>
        <w:spacing w:after="0" w:line="25" w:lineRule="exact"/>
        <w:rPr>
          <w:rFonts w:ascii="Arial" w:cs="Arial" w:eastAsia="Arial" w:hAnsi="Arial"/>
          <w:sz w:val="13"/>
          <w:szCs w:val="13"/>
          <w:color w:val="008000"/>
        </w:rPr>
      </w:pPr>
    </w:p>
    <w:p>
      <w:pPr>
        <w:jc w:val="both"/>
        <w:ind w:left="40" w:right="22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by the Michael P. Massaro 2021 Irrevocable Trust, of which the Reporting Person's spouse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39"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2"/>
              </w:rPr>
              <w:t>/s/ Michael Massaro</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09/20/2023</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130"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2023-09-20T15:16:49Z</dcterms:created>
  <dcterms:modified xsi:type="dcterms:W3CDTF">2023-09-20T15:16:49Z</dcterms:modified>
</cp:coreProperties>
</file>