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pacing w:after="0" w:line="2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 FILE NUMBER 001-40430</w:t>
      </w:r>
    </w:p>
    <w:p>
      <w:pPr>
        <w:spacing w:after="0" w:line="1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NUMBER 302492103</w:t>
      </w:r>
    </w:p>
    <w:p>
      <w:pPr>
        <w:sectPr>
          <w:pgSz w:w="11900" w:h="16838" w:orient="portrait"/>
          <w:cols w:equalWidth="0" w:num="1">
            <w:col w:w="11020"/>
          </w:cols>
          <w:pgMar w:left="440" w:top="376" w:right="439" w:bottom="0" w:gutter="0" w:footer="0" w:header="0"/>
        </w:sectPr>
      </w:pPr>
    </w:p>
    <w:p>
      <w:pPr>
        <w:spacing w:after="0" w:line="250"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(Check One):</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line="250"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N-SAR</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both"/>
        <w:ind w:firstLine="52"/>
        <w:spacing w:after="0" w:line="250" w:lineRule="exact"/>
        <w:rPr>
          <w:sz w:val="20"/>
          <w:szCs w:val="20"/>
          <w:color w:val="auto"/>
        </w:rPr>
      </w:pPr>
      <w:r>
        <w:rPr>
          <w:rFonts w:ascii="Times New Roman" w:cs="Times New Roman" w:eastAsia="Times New Roman" w:hAnsi="Times New Roman"/>
          <w:sz w:val="18"/>
          <w:szCs w:val="18"/>
          <w:color w:val="auto"/>
        </w:rPr>
        <w:t xml:space="preserve">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Form 10-Q</w:t>
      </w:r>
    </w:p>
    <w:p>
      <w:pPr>
        <w:spacing w:after="0" w:line="346" w:lineRule="exact"/>
        <w:rPr>
          <w:sz w:val="24"/>
          <w:szCs w:val="24"/>
          <w:color w:val="auto"/>
        </w:rPr>
      </w:pPr>
    </w:p>
    <w:p>
      <w:pPr>
        <w:sectPr>
          <w:pgSz w:w="11900" w:h="16838" w:orient="portrait"/>
          <w:cols w:equalWidth="0" w:num="4">
            <w:col w:w="3020" w:space="280"/>
            <w:col w:w="2600" w:space="40"/>
            <w:col w:w="1220" w:space="60"/>
            <w:col w:w="3800"/>
          </w:cols>
          <w:pgMar w:left="440" w:top="376" w:right="439" w:bottom="0" w:gutter="0" w:footer="0" w:header="0"/>
          <w:type w:val="continuous"/>
        </w:sectPr>
      </w:pPr>
    </w:p>
    <w:p>
      <w:pPr>
        <w:ind w:left="3300"/>
        <w:spacing w:after="0"/>
        <w:tabs>
          <w:tab w:leader="none" w:pos="4820" w:val="left"/>
        </w:tabs>
        <w:rPr>
          <w:sz w:val="20"/>
          <w:szCs w:val="20"/>
          <w:color w:val="auto"/>
        </w:rPr>
      </w:pPr>
      <w:r>
        <w:rPr>
          <w:rFonts w:ascii="Times New Roman" w:cs="Times New Roman" w:eastAsia="Times New Roman" w:hAnsi="Times New Roman"/>
          <w:sz w:val="18"/>
          <w:szCs w:val="18"/>
          <w:color w:val="auto"/>
        </w:rPr>
        <w:t>For Period Ended:</w:t>
        <w:tab/>
        <w:t>December 31, 2022</w:t>
      </w:r>
    </w:p>
    <w:p>
      <w:pPr>
        <w:spacing w:after="0" w:line="117" w:lineRule="exact"/>
        <w:rPr>
          <w:sz w:val="24"/>
          <w:szCs w:val="24"/>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47"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36" w:lineRule="exact"/>
        <w:rPr>
          <w:rFonts w:ascii="MS PGothic" w:cs="MS PGothic" w:eastAsia="MS PGothic" w:hAnsi="MS PGothic"/>
          <w:sz w:val="18"/>
          <w:szCs w:val="18"/>
          <w:color w:val="auto"/>
        </w:rPr>
      </w:pPr>
    </w:p>
    <w:p>
      <w:pPr>
        <w:ind w:left="3560" w:hanging="257"/>
        <w:spacing w:after="0"/>
        <w:tabs>
          <w:tab w:leader="none" w:pos="3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106"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74295</wp:posOffset>
            </wp:positionH>
            <wp:positionV relativeFrom="paragraph">
              <wp:posOffset>171450</wp:posOffset>
            </wp:positionV>
            <wp:extent cx="6858000" cy="368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00" cy="368935"/>
                    </a:xfrm>
                    <a:prstGeom prst="rect">
                      <a:avLst/>
                    </a:prstGeom>
                    <a:noFill/>
                  </pic:spPr>
                </pic:pic>
              </a:graphicData>
            </a:graphic>
          </wp:anchor>
        </w:drawing>
      </w:r>
    </w:p>
    <w:p>
      <w:pPr>
        <w:spacing w:after="0" w:line="28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Read Instruction (on back page) Before Preparing Form. Please Print or Type.</w:t>
      </w:r>
    </w:p>
    <w:p>
      <w:pPr>
        <w:spacing w:after="0" w:line="2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Flywire Corporation</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Full Name of Registrant</w:t>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if Applicable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141 Tremont Street, Suite 10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xml:space="preserve">Address of Principle Executive Office </w:t>
      </w:r>
      <w:r>
        <w:rPr>
          <w:rFonts w:ascii="Times New Roman" w:cs="Times New Roman" w:eastAsia="Times New Roman" w:hAnsi="Times New Roman"/>
          <w:sz w:val="14"/>
          <w:szCs w:val="14"/>
          <w:b w:val="1"/>
          <w:bCs w:val="1"/>
          <w:i w:val="1"/>
          <w:iCs w:val="1"/>
          <w:color w:val="auto"/>
        </w:rPr>
        <w:t>(Street and Number)</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Boston, Massachusetts, 02111</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City, State and Zip Code</w:t>
      </w:r>
    </w:p>
    <w:p>
      <w:pPr>
        <w:spacing w:after="0" w:line="2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67" w:lineRule="exact"/>
        <w:rPr>
          <w:sz w:val="24"/>
          <w:szCs w:val="24"/>
          <w:color w:val="auto"/>
        </w:rPr>
      </w:pPr>
    </w:p>
    <w:p>
      <w:pPr>
        <w:ind w:left="860" w:hanging="324"/>
        <w:spacing w:after="0"/>
        <w:tabs>
          <w:tab w:leader="none" w:pos="8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144"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N-SAR or Form N-CSR, or</w:t>
      </w:r>
    </w:p>
    <w:p>
      <w:pPr>
        <w:spacing w:after="0" w:line="27" w:lineRule="exact"/>
        <w:rPr>
          <w:rFonts w:ascii="Times New Roman" w:cs="Times New Roman" w:eastAsia="Times New Roman" w:hAnsi="Times New Roman"/>
          <w:sz w:val="18"/>
          <w:szCs w:val="18"/>
          <w:color w:val="auto"/>
        </w:rPr>
      </w:pPr>
    </w:p>
    <w:p>
      <w:pPr>
        <w:ind w:left="860" w:right="240" w:hanging="720"/>
        <w:spacing w:after="0" w:line="200" w:lineRule="auto"/>
        <w:tabs>
          <w:tab w:leader="none" w:pos="86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19" w:lineRule="exact"/>
        <w:rPr>
          <w:rFonts w:ascii="MS PGothic" w:cs="MS PGothic" w:eastAsia="MS PGothic" w:hAnsi="MS PGothic"/>
          <w:sz w:val="36"/>
          <w:szCs w:val="36"/>
          <w:color w:val="auto"/>
          <w:vertAlign w:val="subscript"/>
        </w:rPr>
      </w:pPr>
    </w:p>
    <w:p>
      <w:pPr>
        <w:ind w:left="860" w:hanging="324"/>
        <w:spacing w:after="0"/>
        <w:tabs>
          <w:tab w:leader="none" w:pos="8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280035</wp:posOffset>
            </wp:positionH>
            <wp:positionV relativeFrom="paragraph">
              <wp:posOffset>-976630</wp:posOffset>
            </wp:positionV>
            <wp:extent cx="8255" cy="994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9944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257175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N-SAR, N-CSR, or the transition report or portion thereof, could not be filed within the prescribed time period.</w:t>
      </w:r>
    </w:p>
    <w:p>
      <w:pPr>
        <w:spacing w:after="0" w:line="16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Flywire Corporation (the “Company”) has determined that it is unable, without unreasonable effort or expense, to file its Annual Report on Form 10-K for the year ended December 31, 2022 (the “Annual Report”) within the prescribed time period for those reasons set forth below.</w:t>
      </w:r>
    </w:p>
    <w:p>
      <w:pPr>
        <w:sectPr>
          <w:pgSz w:w="11900" w:h="16838" w:orient="portrait"/>
          <w:cols w:equalWidth="0" w:num="1">
            <w:col w:w="11020"/>
          </w:cols>
          <w:pgMar w:left="440" w:top="376" w:right="439" w:bottom="0" w:gutter="0" w:footer="0" w:header="0"/>
          <w:type w:val="continuous"/>
        </w:sectPr>
      </w:pPr>
    </w:p>
    <w:bookmarkStart w:id="1" w:name="page2"/>
    <w:bookmarkEnd w:id="1"/>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On December 31, 2022, the Company’s status as an emerging growth company ended and the Company became a large accelerated filer. As a result, the Company has a shortened filing deadline of 60 days rather than 90 days to file its Annual Report and is, for the first time, subject to the requirements of Section 404(b) of the Sarbanes-Oxley Act of 2002 (the “SOX Act”).</w:t>
      </w:r>
    </w:p>
    <w:p>
      <w:pPr>
        <w:spacing w:after="0" w:line="176" w:lineRule="exact"/>
        <w:rPr>
          <w:sz w:val="20"/>
          <w:szCs w:val="20"/>
          <w:color w:val="auto"/>
        </w:rPr>
      </w:pPr>
    </w:p>
    <w:p>
      <w:pPr>
        <w:ind w:left="4" w:right="160"/>
        <w:spacing w:after="0" w:line="256" w:lineRule="auto"/>
        <w:rPr>
          <w:sz w:val="20"/>
          <w:szCs w:val="20"/>
          <w:color w:val="auto"/>
        </w:rPr>
      </w:pPr>
      <w:r>
        <w:rPr>
          <w:rFonts w:ascii="Times New Roman" w:cs="Times New Roman" w:eastAsia="Times New Roman" w:hAnsi="Times New Roman"/>
          <w:sz w:val="18"/>
          <w:szCs w:val="18"/>
          <w:color w:val="auto"/>
        </w:rPr>
        <w:t>In connection with this shorter filing timeline and the enhanced compliance obligations with respect to Section 404 of the SOX Act, the Company requires additional time to complete the procedures relating to its year-end financial reporting process, finalize processes and procedures required by Section 404(b) of the SOX Act and complete the procedures relating to management’s assessment of the effectiveness of the Company’s internal controls. Therefore, the Company is unable to file the Annual Report by the prescribed filing due date of March 1, 2023 without unreasonable effort or expense. The Company is working diligently to complete the necessary work. The Company expects to file the Annual Report within the extension period provided under Rule 12b-25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250825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56" w:lineRule="exact"/>
        <w:rPr>
          <w:sz w:val="20"/>
          <w:szCs w:val="20"/>
          <w:color w:val="auto"/>
        </w:rPr>
      </w:pPr>
    </w:p>
    <w:p>
      <w:pPr>
        <w:ind w:left="684" w:hanging="684"/>
        <w:spacing w:after="0"/>
        <w:tabs>
          <w:tab w:leader="none" w:pos="6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1" w:lineRule="exact"/>
        <w:rPr>
          <w:sz w:val="20"/>
          <w:szCs w:val="20"/>
          <w:color w:val="auto"/>
        </w:rPr>
      </w:pPr>
    </w:p>
    <w:tbl>
      <w:tblPr>
        <w:tblLayout w:type="fixed"/>
        <w:tblInd w:w="584" w:type="dxa"/>
        <w:tblCellMar>
          <w:top w:w="0" w:type="dxa"/>
          <w:left w:w="0" w:type="dxa"/>
          <w:bottom w:w="0" w:type="dxa"/>
          <w:right w:w="0" w:type="dxa"/>
        </w:tblCellMar>
      </w:tblPr>
      <w:tr>
        <w:trPr>
          <w:trHeight w:val="238"/>
        </w:trPr>
        <w:tc>
          <w:tcPr>
            <w:tcW w:w="4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Michael Ellis, Chief Financial Officer</w:t>
            </w:r>
          </w:p>
        </w:tc>
        <w:tc>
          <w:tcPr>
            <w:tcW w:w="980" w:type="dxa"/>
            <w:vAlign w:val="bottom"/>
          </w:tcPr>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617</w:t>
            </w:r>
          </w:p>
        </w:tc>
        <w:tc>
          <w:tcPr>
            <w:tcW w:w="340" w:type="dxa"/>
            <w:vAlign w:val="bottom"/>
          </w:tcPr>
          <w:p>
            <w:pPr>
              <w:spacing w:after="0"/>
              <w:rPr>
                <w:sz w:val="20"/>
                <w:szCs w:val="20"/>
                <w:color w:val="auto"/>
              </w:rPr>
            </w:pPr>
          </w:p>
        </w:tc>
        <w:tc>
          <w:tcPr>
            <w:tcW w:w="4400" w:type="dxa"/>
            <w:vAlign w:val="bottom"/>
          </w:tcPr>
          <w:p>
            <w:pPr>
              <w:jc w:val="right"/>
              <w:ind w:right="1719"/>
              <w:spacing w:after="0"/>
              <w:rPr>
                <w:sz w:val="20"/>
                <w:szCs w:val="20"/>
                <w:color w:val="auto"/>
              </w:rPr>
            </w:pPr>
            <w:r>
              <w:rPr>
                <w:rFonts w:ascii="Times New Roman" w:cs="Times New Roman" w:eastAsia="Times New Roman" w:hAnsi="Times New Roman"/>
                <w:sz w:val="18"/>
                <w:szCs w:val="18"/>
                <w:b w:val="1"/>
                <w:bCs w:val="1"/>
                <w:color w:val="auto"/>
              </w:rPr>
              <w:t>329-4524</w:t>
            </w:r>
          </w:p>
        </w:tc>
      </w:tr>
      <w:tr>
        <w:trPr>
          <w:trHeight w:val="184"/>
        </w:trPr>
        <w:tc>
          <w:tcPr>
            <w:tcW w:w="44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5"/>
                <w:szCs w:val="15"/>
                <w:color w:val="auto"/>
              </w:rPr>
            </w:pPr>
          </w:p>
        </w:tc>
        <w:tc>
          <w:tcPr>
            <w:tcW w:w="980" w:type="dxa"/>
            <w:vAlign w:val="bottom"/>
            <w:tcBorders>
              <w:top w:val="single" w:sz="8" w:color="auto"/>
            </w:tcBorders>
          </w:tcPr>
          <w:p>
            <w:pPr>
              <w:jc w:val="center"/>
              <w:ind w:left="39"/>
              <w:spacing w:after="0"/>
              <w:rPr>
                <w:sz w:val="20"/>
                <w:szCs w:val="20"/>
                <w:color w:val="auto"/>
              </w:rPr>
            </w:pPr>
            <w:r>
              <w:rPr>
                <w:rFonts w:ascii="Times New Roman" w:cs="Times New Roman" w:eastAsia="Times New Roman" w:hAnsi="Times New Roman"/>
                <w:sz w:val="14"/>
                <w:szCs w:val="14"/>
                <w:b w:val="1"/>
                <w:bCs w:val="1"/>
                <w:color w:val="auto"/>
              </w:rPr>
              <w:t>(Area Code)</w:t>
            </w:r>
          </w:p>
        </w:tc>
        <w:tc>
          <w:tcPr>
            <w:tcW w:w="340" w:type="dxa"/>
            <w:vAlign w:val="bottom"/>
          </w:tcPr>
          <w:p>
            <w:pPr>
              <w:spacing w:after="0"/>
              <w:rPr>
                <w:sz w:val="15"/>
                <w:szCs w:val="15"/>
                <w:color w:val="auto"/>
              </w:rPr>
            </w:pPr>
          </w:p>
        </w:tc>
        <w:tc>
          <w:tcPr>
            <w:tcW w:w="44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(Telephone Number)</w:t>
            </w:r>
          </w:p>
        </w:tc>
      </w:tr>
    </w:tbl>
    <w:p>
      <w:pPr>
        <w:spacing w:after="0" w:line="48" w:lineRule="exact"/>
        <w:rPr>
          <w:sz w:val="20"/>
          <w:szCs w:val="20"/>
          <w:color w:val="auto"/>
        </w:rPr>
      </w:pPr>
    </w:p>
    <w:p>
      <w:pPr>
        <w:ind w:left="684" w:hanging="684"/>
        <w:spacing w:after="0"/>
        <w:tabs>
          <w:tab w:leader="none" w:pos="6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w:t>
      </w:r>
    </w:p>
    <w:p>
      <w:pPr>
        <w:spacing w:after="0" w:line="27" w:lineRule="exact"/>
        <w:rPr>
          <w:sz w:val="20"/>
          <w:szCs w:val="20"/>
          <w:color w:val="auto"/>
        </w:rPr>
      </w:pPr>
    </w:p>
    <w:p>
      <w:pPr>
        <w:ind w:left="684" w:right="360"/>
        <w:spacing w:after="0" w:line="226" w:lineRule="exact"/>
        <w:rPr>
          <w:sz w:val="20"/>
          <w:szCs w:val="20"/>
          <w:color w:val="auto"/>
        </w:rPr>
      </w:pPr>
      <w:r>
        <w:rPr>
          <w:rFonts w:ascii="Times New Roman" w:cs="Times New Roman" w:eastAsia="Times New Roman" w:hAnsi="Times New Roman"/>
          <w:sz w:val="18"/>
          <w:szCs w:val="18"/>
          <w:color w:val="auto"/>
        </w:rPr>
        <w:t xml:space="preserve">Company Act of 1940 during the preceding 12 months or for such shorter period that the registrant was required to file such report(s) been filed? If the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261620</wp:posOffset>
            </wp:positionV>
            <wp:extent cx="6626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684" w:hanging="684"/>
        <w:spacing w:after="0"/>
        <w:tabs>
          <w:tab w:leader="none" w:pos="6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w:t>
      </w:r>
    </w:p>
    <w:p>
      <w:pPr>
        <w:spacing w:after="0" w:line="22" w:lineRule="exact"/>
        <w:rPr>
          <w:sz w:val="20"/>
          <w:szCs w:val="20"/>
          <w:color w:val="auto"/>
        </w:rPr>
      </w:pPr>
    </w:p>
    <w:p>
      <w:pPr>
        <w:ind w:left="684"/>
        <w:spacing w:after="0" w:line="207" w:lineRule="exact"/>
        <w:tabs>
          <w:tab w:leader="none" w:pos="6204" w:val="left"/>
        </w:tabs>
        <w:rPr>
          <w:sz w:val="20"/>
          <w:szCs w:val="20"/>
          <w:color w:val="auto"/>
        </w:rPr>
      </w:pPr>
      <w:r>
        <w:rPr>
          <w:rFonts w:ascii="Times New Roman" w:cs="Times New Roman" w:eastAsia="Times New Roman" w:hAnsi="Times New Roman"/>
          <w:sz w:val="18"/>
          <w:szCs w:val="18"/>
          <w:color w:val="auto"/>
        </w:rPr>
        <w:t>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104" w:lineRule="exact"/>
        <w:rPr>
          <w:sz w:val="20"/>
          <w:szCs w:val="20"/>
          <w:color w:val="auto"/>
        </w:rPr>
      </w:pPr>
    </w:p>
    <w:p>
      <w:pPr>
        <w:ind w:left="684" w:right="82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On February 28, 2023, the Company furnished a Current Report on Form 8-K to the Securities and Exchange Commission that included a press release announcing the Company’s preliminary unaudited financial results for the fourth quarter and year ended December 31, 2022. The Company does not expect any material changes to the financial results reported in such press release.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reflected in the Company’s press release dated February 28, 2023:</w:t>
      </w:r>
    </w:p>
    <w:p>
      <w:pPr>
        <w:spacing w:after="0" w:line="131" w:lineRule="exact"/>
        <w:rPr>
          <w:sz w:val="20"/>
          <w:szCs w:val="20"/>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fourth quarter of 2022 was $73.1 million, compared to $51.4 million in the fourth quarter of 2021.</w:t>
      </w:r>
    </w:p>
    <w:p>
      <w:pPr>
        <w:spacing w:after="0" w:line="130" w:lineRule="exact"/>
        <w:rPr>
          <w:rFonts w:ascii="Times New Roman" w:cs="Times New Roman" w:eastAsia="Times New Roman" w:hAnsi="Times New Roman"/>
          <w:sz w:val="18"/>
          <w:szCs w:val="18"/>
          <w:color w:val="auto"/>
        </w:rPr>
      </w:pPr>
    </w:p>
    <w:p>
      <w:pPr>
        <w:ind w:left="964" w:right="4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fourth quarter of 2022 was $41.5 million resulting in Gross Margin of 56.8%, compared to Gross Profit of $30.7 million and Gross Margin of 59.7% in the fourth quarter of 2021.</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$1.1 million in the fourth quarter of 2022, compared to net loss of $11.2 million in the fourth quarter of 2021.</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fiscal year 2022 was $289.4 million, compared to $201.1 million in fiscal year 2021.</w:t>
      </w:r>
    </w:p>
    <w:p>
      <w:pPr>
        <w:spacing w:after="0" w:line="130" w:lineRule="exact"/>
        <w:rPr>
          <w:rFonts w:ascii="Times New Roman" w:cs="Times New Roman" w:eastAsia="Times New Roman" w:hAnsi="Times New Roman"/>
          <w:sz w:val="18"/>
          <w:szCs w:val="18"/>
          <w:color w:val="auto"/>
        </w:rPr>
      </w:pPr>
    </w:p>
    <w:p>
      <w:pPr>
        <w:ind w:left="964" w:right="260" w:hanging="424"/>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fiscal year 2022 was $174.9 million resulting in Gross Margin of 60.4%, compared to Gross Profit of $125.2 million and Gross Margin of 62.3% in fiscal year 2021.</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$39.3 million in the fiscal year 2022, compared to net loss of $28.1 million in fiscal year 2021.</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121"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Statements in this filing about the Company that are not historical facts are forward-looking statements based on the Company’s current expectations, assumptions, estimates and projections. These forward-looking statements are subject to risks and uncertainties that could cause actual future events or results to differ materially from such statements. These forward-looking statements are based on our current expectations, which may not prove to be accurate. The words “estimates,” “expects,” “anticipates,” “believes” and variations of such words or similar expressions are intended to identify forward-looking statements. These forward-looking statements include, but are not limited to, statements regarding the Company’s beliefs and expectations relating to the filing of the Form 10-K and the results of the ongoing review. These forward-looking statements are not guarantees of future results. Important factors that may cause actual results to differ materially from those in the forward-looking statements include, but are not limited to, a material delay in the Company’s financial reporting, including the possibility that the Company will not be able to file its Form 10-K within the fifteen-day extension permitted by the rules of the U.S. Securities and Exchange Commission, and the possibility that the ongoing review may identify errors or control deficiencies in the Company’s accounting practices. The Company disclaims and does not undertake any obligation to update or revise any forward-looking statement in this report, except as required by applicable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Flywire Corporation</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(Name of Registrant as Specified in Charter)</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52" w:lineRule="exact"/>
        <w:rPr>
          <w:sz w:val="20"/>
          <w:szCs w:val="20"/>
          <w:color w:val="auto"/>
        </w:rPr>
      </w:pPr>
    </w:p>
    <w:p>
      <w:pPr>
        <w:ind w:left="4"/>
        <w:spacing w:after="0"/>
        <w:tabs>
          <w:tab w:leader="none" w:pos="524" w:val="left"/>
          <w:tab w:leader="none" w:pos="5784" w:val="left"/>
          <w:tab w:leader="none" w:pos="6384" w:val="left"/>
        </w:tabs>
        <w:rPr>
          <w:sz w:val="20"/>
          <w:szCs w:val="20"/>
          <w:color w:val="auto"/>
        </w:rPr>
      </w:pPr>
      <w:r>
        <w:rPr>
          <w:rFonts w:ascii="Times New Roman" w:cs="Times New Roman" w:eastAsia="Times New Roman" w:hAnsi="Times New Roman"/>
          <w:sz w:val="18"/>
          <w:szCs w:val="18"/>
          <w:color w:val="auto"/>
        </w:rPr>
        <w:t>Date</w:t>
        <w:tab/>
        <w:t>February 28,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Ellis, Chief Financial Officer</w:t>
      </w:r>
    </w:p>
    <w:p>
      <w:pPr>
        <w:spacing w:after="0" w:line="225" w:lineRule="exact"/>
        <w:rPr>
          <w:sz w:val="20"/>
          <w:szCs w:val="20"/>
          <w:color w:val="auto"/>
        </w:rPr>
      </w:pPr>
    </w:p>
    <w:p>
      <w:pPr>
        <w:ind w:left="4" w:right="100"/>
        <w:spacing w:after="0" w:line="289" w:lineRule="auto"/>
        <w:rPr>
          <w:sz w:val="20"/>
          <w:szCs w:val="20"/>
          <w:color w:val="auto"/>
        </w:rPr>
      </w:pPr>
      <w:r>
        <w:rPr>
          <w:rFonts w:ascii="Times New Roman" w:cs="Times New Roman" w:eastAsia="Times New Roman" w:hAnsi="Times New Roman"/>
          <w:sz w:val="17"/>
          <w:szCs w:val="17"/>
          <w:color w:val="auto"/>
        </w:rPr>
        <w:t>INSTRUCTION: The form may be signed by an executive officer or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sectPr>
      <w:pgSz w:w="11900" w:h="16838" w:orient="portrait"/>
      <w:cols w:equalWidth="0" w:num="1">
        <w:col w:w="11024"/>
      </w:cols>
      <w:pgMar w:left="436" w:top="121" w:right="439" w:bottom="28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2)"/>
      <w:numFmt w:val="lowerLetter"/>
      <w:start w:val="1"/>
    </w:lvl>
  </w:abstractNum>
  <w:abstractNum w:abstractNumId="2">
    <w:nsid w:val="46E87CCD"/>
    <w:multiLevelType w:val="hybridMultilevel"/>
    <w:lvl w:ilvl="0">
      <w:lvlJc w:val="left"/>
      <w:lvlText w:val="☒"/>
      <w:numFmt w:val="bullet"/>
      <w:start w:val="1"/>
    </w:lvl>
    <w:lvl w:ilvl="1">
      <w:lvlJc w:val="left"/>
      <w:lvlText w:val="(%2)"/>
      <w:numFmt w:val="lowerLetter"/>
      <w:start w:val="3"/>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2023-03-01T04:50:02Z</dcterms:created>
  <dcterms:modified xsi:type="dcterms:W3CDTF">2023-03-01T04:50:02Z</dcterms:modified>
</cp:coreProperties>
</file>