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4355"/>
                    </a:xfrm>
                    <a:prstGeom prst="rect">
                      <a:avLst/>
                    </a:prstGeom>
                    <a:noFill/>
                  </pic:spPr>
                </pic:pic>
              </a:graphicData>
            </a:graphic>
          </wp:anchor>
        </w:drawing>
      </w:r>
    </w:p>
    <w:p>
      <w:pPr>
        <w:spacing w:after="0" w:line="99" w:lineRule="exact"/>
        <w:rPr>
          <w:sz w:val="24"/>
          <w:szCs w:val="24"/>
          <w:color w:val="auto"/>
        </w:rPr>
      </w:pPr>
    </w:p>
    <w:p>
      <w:pPr>
        <w:sectPr>
          <w:pgSz w:w="11900" w:h="16876"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GOLDMAN SACHS GROUP INC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Flywire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11/30/2022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1" w:right="740" w:firstLine="1"/>
        <w:spacing w:after="0" w:line="253"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6"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5" w:lineRule="exact"/>
        <w:rPr>
          <w:sz w:val="24"/>
          <w:szCs w:val="24"/>
          <w:color w:val="auto"/>
        </w:rPr>
      </w:pPr>
    </w:p>
    <w:p>
      <w:pPr>
        <w:sectPr>
          <w:pgSz w:w="11900" w:h="16876" w:orient="portrait"/>
          <w:cols w:equalWidth="0" w:num="3">
            <w:col w:w="3180" w:space="720"/>
            <w:col w:w="3121" w:space="720"/>
            <w:col w:w="3339"/>
          </w:cols>
          <w:pgMar w:left="460" w:top="219" w:right="359" w:bottom="0" w:gutter="0" w:footer="0" w:header="0"/>
          <w:type w:val="continuous"/>
        </w:sectPr>
      </w:pP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15"/>
                <w:szCs w:val="15"/>
                <w:color w:val="auto"/>
              </w:rPr>
            </w:pPr>
          </w:p>
        </w:tc>
        <w:tc>
          <w:tcPr>
            <w:tcW w:w="3260" w:type="dxa"/>
            <w:vAlign w:val="bottom"/>
            <w:gridSpan w:val="9"/>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20"/>
              <w:spacing w:after="0" w:line="178" w:lineRule="exact"/>
              <w:rPr>
                <w:sz w:val="20"/>
                <w:szCs w:val="20"/>
                <w:color w:val="auto"/>
              </w:rPr>
            </w:pPr>
            <w:r>
              <w:rPr>
                <w:rFonts w:ascii="Arial" w:cs="Arial" w:eastAsia="Arial" w:hAnsi="Arial"/>
                <w:sz w:val="16"/>
                <w:szCs w:val="16"/>
                <w:color w:val="0000FF"/>
              </w:rPr>
              <w:t>NEW YORK</w:t>
            </w:r>
          </w:p>
        </w:tc>
        <w:tc>
          <w:tcPr>
            <w:tcW w:w="1180" w:type="dxa"/>
            <w:vAlign w:val="bottom"/>
            <w:gridSpan w:val="2"/>
          </w:tcPr>
          <w:p>
            <w:pPr>
              <w:ind w:left="40"/>
              <w:spacing w:after="0" w:line="178" w:lineRule="exact"/>
              <w:rPr>
                <w:sz w:val="20"/>
                <w:szCs w:val="20"/>
                <w:color w:val="auto"/>
              </w:rPr>
            </w:pPr>
            <w:r>
              <w:rPr>
                <w:rFonts w:ascii="Arial" w:cs="Arial" w:eastAsia="Arial" w:hAnsi="Arial"/>
                <w:sz w:val="16"/>
                <w:szCs w:val="16"/>
                <w:color w:val="0000FF"/>
              </w:rPr>
              <w:t>NY</w:t>
            </w:r>
          </w:p>
        </w:tc>
        <w:tc>
          <w:tcPr>
            <w:tcW w:w="1020" w:type="dxa"/>
            <w:vAlign w:val="bottom"/>
            <w:gridSpan w:val="3"/>
          </w:tcPr>
          <w:p>
            <w:pPr>
              <w:ind w:left="80"/>
              <w:spacing w:after="0" w:line="178" w:lineRule="exact"/>
              <w:rPr>
                <w:sz w:val="20"/>
                <w:szCs w:val="20"/>
                <w:color w:val="auto"/>
              </w:rPr>
            </w:pPr>
            <w:r>
              <w:rPr>
                <w:rFonts w:ascii="Arial" w:cs="Arial" w:eastAsia="Arial" w:hAnsi="Arial"/>
                <w:sz w:val="16"/>
                <w:szCs w:val="16"/>
                <w:color w:val="0000FF"/>
              </w:rPr>
              <w:t>10282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gridSpan w:val="7"/>
          </w:tcPr>
          <w:p>
            <w:pPr>
              <w:ind w:left="4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140"/>
              <w:spacing w:after="0" w:line="18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480" w:type="dxa"/>
            <w:vAlign w:val="bottom"/>
            <w:tcBorders>
              <w:top w:val="single" w:sz="8" w:color="2C2C2C"/>
            </w:tcBorders>
            <w:gridSpan w:val="17"/>
          </w:tcPr>
          <w:p>
            <w:pPr>
              <w:jc w:val="center"/>
              <w:ind w:left="47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60"/>
              <w:spacing w:after="0" w:line="121"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2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color w:val="0000FF"/>
              </w:rPr>
              <w:t>Voting Common Stock</w:t>
            </w:r>
          </w:p>
        </w:tc>
        <w:tc>
          <w:tcPr>
            <w:tcW w:w="1600" w:type="dxa"/>
            <w:vAlign w:val="bottom"/>
            <w:gridSpan w:val="5"/>
          </w:tcPr>
          <w:p>
            <w:pPr>
              <w:jc w:val="center"/>
              <w:ind w:left="449"/>
              <w:spacing w:after="0"/>
              <w:rPr>
                <w:sz w:val="20"/>
                <w:szCs w:val="20"/>
                <w:color w:val="auto"/>
              </w:rPr>
            </w:pPr>
            <w:r>
              <w:rPr>
                <w:rFonts w:ascii="Arial" w:cs="Arial" w:eastAsia="Arial" w:hAnsi="Arial"/>
                <w:sz w:val="16"/>
                <w:szCs w:val="16"/>
                <w:color w:val="0000FF"/>
                <w:w w:val="89"/>
              </w:rPr>
              <w:t>11/30/2022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0000FF"/>
              </w:rPr>
              <w:t>C</w:t>
            </w:r>
          </w:p>
        </w:tc>
        <w:tc>
          <w:tcPr>
            <w:tcW w:w="720" w:type="dxa"/>
            <w:vAlign w:val="bottom"/>
          </w:tcPr>
          <w:p>
            <w:pPr>
              <w:jc w:val="center"/>
              <w:ind w:left="56"/>
              <w:spacing w:after="0"/>
              <w:rPr>
                <w:sz w:val="20"/>
                <w:szCs w:val="20"/>
                <w:color w:val="auto"/>
              </w:rPr>
            </w:pPr>
            <w:r>
              <w:rPr>
                <w:rFonts w:ascii="Arial" w:cs="Arial" w:eastAsia="Arial" w:hAnsi="Arial"/>
                <w:sz w:val="16"/>
                <w:szCs w:val="16"/>
                <w:color w:val="0000FF"/>
                <w:w w:val="89"/>
              </w:rPr>
              <w:t>120,500</w:t>
            </w:r>
          </w:p>
        </w:tc>
        <w:tc>
          <w:tcPr>
            <w:tcW w:w="620" w:type="dxa"/>
            <w:vAlign w:val="bottom"/>
          </w:tcPr>
          <w:p>
            <w:pPr>
              <w:jc w:val="right"/>
              <w:ind w:right="157"/>
              <w:spacing w:after="0"/>
              <w:rPr>
                <w:sz w:val="20"/>
                <w:szCs w:val="20"/>
                <w:color w:val="auto"/>
              </w:rPr>
            </w:pPr>
            <w:r>
              <w:rPr>
                <w:rFonts w:ascii="Arial" w:cs="Arial" w:eastAsia="Arial" w:hAnsi="Arial"/>
                <w:sz w:val="16"/>
                <w:szCs w:val="16"/>
                <w:color w:val="0000FF"/>
              </w:rPr>
              <w:t>A</w:t>
            </w:r>
          </w:p>
        </w:tc>
        <w:tc>
          <w:tcPr>
            <w:tcW w:w="54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1240" w:type="dxa"/>
            <w:vAlign w:val="bottom"/>
            <w:gridSpan w:val="4"/>
          </w:tcPr>
          <w:p>
            <w:pPr>
              <w:jc w:val="center"/>
              <w:spacing w:after="0"/>
              <w:rPr>
                <w:sz w:val="20"/>
                <w:szCs w:val="20"/>
                <w:color w:val="auto"/>
              </w:rPr>
            </w:pPr>
            <w:r>
              <w:rPr>
                <w:rFonts w:ascii="Arial" w:cs="Arial" w:eastAsia="Arial" w:hAnsi="Arial"/>
                <w:sz w:val="16"/>
                <w:szCs w:val="16"/>
                <w:color w:val="0000FF"/>
                <w:w w:val="89"/>
              </w:rPr>
              <w:t>1,597,443</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6"/>
                <w:szCs w:val="16"/>
                <w:color w:val="0000FF"/>
              </w:rPr>
              <w:t>I</w:t>
            </w:r>
          </w:p>
        </w:tc>
        <w:tc>
          <w:tcPr>
            <w:tcW w:w="1180" w:type="dxa"/>
            <w:vAlign w:val="bottom"/>
            <w:gridSpan w:val="3"/>
          </w:tcPr>
          <w:p>
            <w:pPr>
              <w:ind w:left="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600" w:type="dxa"/>
            <w:vAlign w:val="bottom"/>
            <w:gridSpan w:val="5"/>
            <w:vMerge w:val="restart"/>
          </w:tcPr>
          <w:p>
            <w:pPr>
              <w:jc w:val="center"/>
              <w:ind w:left="449"/>
              <w:spacing w:after="0"/>
              <w:rPr>
                <w:sz w:val="20"/>
                <w:szCs w:val="20"/>
                <w:color w:val="auto"/>
              </w:rPr>
            </w:pPr>
            <w:r>
              <w:rPr>
                <w:rFonts w:ascii="Arial" w:cs="Arial" w:eastAsia="Arial" w:hAnsi="Arial"/>
                <w:sz w:val="16"/>
                <w:szCs w:val="16"/>
                <w:color w:val="0000FF"/>
                <w:w w:val="89"/>
              </w:rPr>
              <w:t>11/30/2022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Arial" w:cs="Arial" w:eastAsia="Arial" w:hAnsi="Arial"/>
                <w:sz w:val="12"/>
                <w:szCs w:val="12"/>
                <w:color w:val="0000FF"/>
              </w:rPr>
              <w:t>S</w:t>
            </w:r>
          </w:p>
        </w:tc>
        <w:tc>
          <w:tcPr>
            <w:tcW w:w="720" w:type="dxa"/>
            <w:vAlign w:val="bottom"/>
            <w:vMerge w:val="restart"/>
          </w:tcPr>
          <w:p>
            <w:pPr>
              <w:jc w:val="center"/>
              <w:ind w:left="56"/>
              <w:spacing w:after="0"/>
              <w:rPr>
                <w:sz w:val="20"/>
                <w:szCs w:val="20"/>
                <w:color w:val="auto"/>
              </w:rPr>
            </w:pPr>
            <w:r>
              <w:rPr>
                <w:rFonts w:ascii="Arial" w:cs="Arial" w:eastAsia="Arial" w:hAnsi="Arial"/>
                <w:sz w:val="16"/>
                <w:szCs w:val="16"/>
                <w:color w:val="0000FF"/>
                <w:w w:val="89"/>
              </w:rPr>
              <w:t>120,500</w:t>
            </w:r>
          </w:p>
        </w:tc>
        <w:tc>
          <w:tcPr>
            <w:tcW w:w="620" w:type="dxa"/>
            <w:vAlign w:val="bottom"/>
            <w:vMerge w:val="restart"/>
          </w:tcPr>
          <w:p>
            <w:pPr>
              <w:jc w:val="right"/>
              <w:ind w:right="157"/>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21.18</w:t>
            </w:r>
          </w:p>
        </w:tc>
        <w:tc>
          <w:tcPr>
            <w:tcW w:w="12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1,476,943</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180" w:type="dxa"/>
            <w:vAlign w:val="bottom"/>
            <w:gridSpan w:val="3"/>
          </w:tcPr>
          <w:p>
            <w:pPr>
              <w:ind w:left="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color w:val="0000FF"/>
              </w:rPr>
              <w:t>Voting Common Stock</w:t>
            </w:r>
          </w:p>
        </w:tc>
        <w:tc>
          <w:tcPr>
            <w:tcW w:w="1600" w:type="dxa"/>
            <w:vAlign w:val="bottom"/>
            <w:gridSpan w:val="5"/>
          </w:tcPr>
          <w:p>
            <w:pPr>
              <w:jc w:val="center"/>
              <w:ind w:left="429"/>
              <w:spacing w:after="0"/>
              <w:rPr>
                <w:sz w:val="20"/>
                <w:szCs w:val="20"/>
                <w:color w:val="auto"/>
              </w:rPr>
            </w:pPr>
            <w:r>
              <w:rPr>
                <w:rFonts w:ascii="Arial" w:cs="Arial" w:eastAsia="Arial" w:hAnsi="Arial"/>
                <w:sz w:val="16"/>
                <w:szCs w:val="16"/>
                <w:color w:val="0000FF"/>
                <w:w w:val="92"/>
              </w:rPr>
              <w:t>12/01/2022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0000FF"/>
              </w:rPr>
              <w:t>C</w:t>
            </w:r>
          </w:p>
        </w:tc>
        <w:tc>
          <w:tcPr>
            <w:tcW w:w="720" w:type="dxa"/>
            <w:vAlign w:val="bottom"/>
          </w:tcPr>
          <w:p>
            <w:pPr>
              <w:jc w:val="center"/>
              <w:ind w:left="56"/>
              <w:spacing w:after="0"/>
              <w:rPr>
                <w:sz w:val="20"/>
                <w:szCs w:val="20"/>
                <w:color w:val="auto"/>
              </w:rPr>
            </w:pPr>
            <w:r>
              <w:rPr>
                <w:rFonts w:ascii="Arial" w:cs="Arial" w:eastAsia="Arial" w:hAnsi="Arial"/>
                <w:sz w:val="16"/>
                <w:szCs w:val="16"/>
                <w:color w:val="0000FF"/>
                <w:w w:val="89"/>
              </w:rPr>
              <w:t>55,523</w:t>
            </w:r>
          </w:p>
        </w:tc>
        <w:tc>
          <w:tcPr>
            <w:tcW w:w="620" w:type="dxa"/>
            <w:vAlign w:val="bottom"/>
          </w:tcPr>
          <w:p>
            <w:pPr>
              <w:jc w:val="right"/>
              <w:ind w:right="157"/>
              <w:spacing w:after="0"/>
              <w:rPr>
                <w:sz w:val="20"/>
                <w:szCs w:val="20"/>
                <w:color w:val="auto"/>
              </w:rPr>
            </w:pPr>
            <w:r>
              <w:rPr>
                <w:rFonts w:ascii="Arial" w:cs="Arial" w:eastAsia="Arial" w:hAnsi="Arial"/>
                <w:sz w:val="16"/>
                <w:szCs w:val="16"/>
                <w:color w:val="0000FF"/>
              </w:rPr>
              <w:t>A</w:t>
            </w:r>
          </w:p>
        </w:tc>
        <w:tc>
          <w:tcPr>
            <w:tcW w:w="540" w:type="dxa"/>
            <w:vAlign w:val="bottom"/>
          </w:tcPr>
          <w:p>
            <w:pPr>
              <w:jc w:val="center"/>
              <w:spacing w:after="0"/>
              <w:rPr>
                <w:sz w:val="20"/>
                <w:szCs w:val="20"/>
                <w:color w:val="auto"/>
              </w:rPr>
            </w:pPr>
            <w:r>
              <w:rPr>
                <w:rFonts w:ascii="Arial" w:cs="Arial" w:eastAsia="Arial" w:hAnsi="Arial"/>
                <w:sz w:val="10"/>
                <w:szCs w:val="10"/>
                <w:color w:val="008000"/>
                <w:w w:val="97"/>
              </w:rPr>
              <w:t>(6)</w:t>
            </w:r>
          </w:p>
        </w:tc>
        <w:tc>
          <w:tcPr>
            <w:tcW w:w="1240" w:type="dxa"/>
            <w:vAlign w:val="bottom"/>
            <w:gridSpan w:val="4"/>
          </w:tcPr>
          <w:p>
            <w:pPr>
              <w:jc w:val="center"/>
              <w:spacing w:after="0"/>
              <w:rPr>
                <w:sz w:val="20"/>
                <w:szCs w:val="20"/>
                <w:color w:val="auto"/>
              </w:rPr>
            </w:pPr>
            <w:r>
              <w:rPr>
                <w:rFonts w:ascii="Arial" w:cs="Arial" w:eastAsia="Arial" w:hAnsi="Arial"/>
                <w:sz w:val="16"/>
                <w:szCs w:val="16"/>
                <w:color w:val="0000FF"/>
                <w:w w:val="89"/>
              </w:rPr>
              <w:t>968,851</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6"/>
                <w:szCs w:val="16"/>
                <w:color w:val="0000FF"/>
              </w:rPr>
              <w:t>I</w:t>
            </w:r>
          </w:p>
        </w:tc>
        <w:tc>
          <w:tcPr>
            <w:tcW w:w="1180" w:type="dxa"/>
            <w:vAlign w:val="bottom"/>
            <w:gridSpan w:val="3"/>
          </w:tcPr>
          <w:p>
            <w:pPr>
              <w:ind w:left="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600" w:type="dxa"/>
            <w:vAlign w:val="bottom"/>
            <w:gridSpan w:val="5"/>
            <w:vMerge w:val="restart"/>
          </w:tcPr>
          <w:p>
            <w:pPr>
              <w:jc w:val="center"/>
              <w:ind w:left="429"/>
              <w:spacing w:after="0"/>
              <w:rPr>
                <w:sz w:val="20"/>
                <w:szCs w:val="20"/>
                <w:color w:val="auto"/>
              </w:rPr>
            </w:pPr>
            <w:r>
              <w:rPr>
                <w:rFonts w:ascii="Arial" w:cs="Arial" w:eastAsia="Arial" w:hAnsi="Arial"/>
                <w:sz w:val="16"/>
                <w:szCs w:val="16"/>
                <w:color w:val="0000FF"/>
                <w:w w:val="92"/>
              </w:rPr>
              <w:t>12/01/2022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Arial" w:cs="Arial" w:eastAsia="Arial" w:hAnsi="Arial"/>
                <w:sz w:val="12"/>
                <w:szCs w:val="12"/>
                <w:color w:val="0000FF"/>
              </w:rPr>
              <w:t>S</w:t>
            </w:r>
          </w:p>
        </w:tc>
        <w:tc>
          <w:tcPr>
            <w:tcW w:w="720" w:type="dxa"/>
            <w:vAlign w:val="bottom"/>
            <w:vMerge w:val="restart"/>
          </w:tcPr>
          <w:p>
            <w:pPr>
              <w:jc w:val="center"/>
              <w:ind w:left="56"/>
              <w:spacing w:after="0"/>
              <w:rPr>
                <w:sz w:val="20"/>
                <w:szCs w:val="20"/>
                <w:color w:val="auto"/>
              </w:rPr>
            </w:pPr>
            <w:r>
              <w:rPr>
                <w:rFonts w:ascii="Arial" w:cs="Arial" w:eastAsia="Arial" w:hAnsi="Arial"/>
                <w:sz w:val="16"/>
                <w:szCs w:val="16"/>
                <w:color w:val="0000FF"/>
                <w:w w:val="89"/>
              </w:rPr>
              <w:t>55,523</w:t>
            </w:r>
          </w:p>
        </w:tc>
        <w:tc>
          <w:tcPr>
            <w:tcW w:w="620" w:type="dxa"/>
            <w:vAlign w:val="bottom"/>
            <w:vMerge w:val="restart"/>
          </w:tcPr>
          <w:p>
            <w:pPr>
              <w:jc w:val="right"/>
              <w:ind w:right="157"/>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21.62</w:t>
            </w:r>
          </w:p>
        </w:tc>
        <w:tc>
          <w:tcPr>
            <w:tcW w:w="12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913,328</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180" w:type="dxa"/>
            <w:vAlign w:val="bottom"/>
            <w:gridSpan w:val="3"/>
          </w:tcPr>
          <w:p>
            <w:pPr>
              <w:ind w:left="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5"/>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5"/>
          </w:tcPr>
          <w:p>
            <w:pPr>
              <w:jc w:val="center"/>
              <w:ind w:left="4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60" w:type="dxa"/>
            <w:vAlign w:val="bottom"/>
            <w:gridSpan w:val="13"/>
          </w:tcPr>
          <w:p>
            <w:pPr>
              <w:jc w:val="center"/>
              <w:ind w:right="26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2"/>
                <w:szCs w:val="12"/>
                <w:color w:val="0000FF"/>
              </w:rPr>
              <w:t>Voting</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0000FF"/>
                <w:w w:val="89"/>
              </w:rPr>
              <w:t>120,500</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3" w:lineRule="exact"/>
              <w:rPr>
                <w:sz w:val="20"/>
                <w:szCs w:val="20"/>
                <w:color w:val="auto"/>
              </w:rPr>
            </w:pPr>
            <w:r>
              <w:rPr>
                <w:rFonts w:ascii="Arial" w:cs="Arial" w:eastAsia="Arial" w:hAnsi="Arial"/>
                <w:sz w:val="12"/>
                <w:szCs w:val="12"/>
                <w:color w:val="0000FF"/>
              </w:rPr>
              <w:t>11/30/2022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3" w:lineRule="exact"/>
              <w:rPr>
                <w:sz w:val="20"/>
                <w:szCs w:val="20"/>
                <w:color w:val="auto"/>
              </w:rPr>
            </w:pPr>
            <w:r>
              <w:rPr>
                <w:rFonts w:ascii="Arial" w:cs="Arial" w:eastAsia="Arial" w:hAnsi="Arial"/>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jc w:val="right"/>
              <w:ind w:right="80"/>
              <w:spacing w:after="0" w:line="133" w:lineRule="exact"/>
              <w:rPr>
                <w:sz w:val="20"/>
                <w:szCs w:val="20"/>
                <w:color w:val="auto"/>
              </w:rPr>
            </w:pPr>
            <w:r>
              <w:rPr>
                <w:rFonts w:ascii="Arial" w:cs="Arial" w:eastAsia="Arial" w:hAnsi="Arial"/>
                <w:sz w:val="12"/>
                <w:szCs w:val="12"/>
                <w:color w:val="0000FF"/>
              </w:rPr>
              <w:t>120,500</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3" w:lineRule="exact"/>
              <w:rPr>
                <w:sz w:val="20"/>
                <w:szCs w:val="20"/>
                <w:color w:val="auto"/>
              </w:rPr>
            </w:pPr>
            <w:r>
              <w:rPr>
                <w:rFonts w:ascii="Arial" w:cs="Arial" w:eastAsia="Arial" w:hAnsi="Arial"/>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20" w:type="dxa"/>
            <w:vAlign w:val="bottom"/>
            <w:gridSpan w:val="2"/>
            <w:vMerge w:val="restart"/>
          </w:tcPr>
          <w:p>
            <w:pPr>
              <w:ind w:left="160"/>
              <w:spacing w:after="0" w:line="133" w:lineRule="exact"/>
              <w:rPr>
                <w:sz w:val="20"/>
                <w:szCs w:val="20"/>
                <w:color w:val="auto"/>
              </w:rPr>
            </w:pPr>
            <w:r>
              <w:rPr>
                <w:rFonts w:ascii="Arial" w:cs="Arial" w:eastAsia="Arial" w:hAnsi="Arial"/>
                <w:sz w:val="12"/>
                <w:szCs w:val="12"/>
                <w:color w:val="0000FF"/>
              </w:rPr>
              <w:t>1,258,859</w:t>
            </w:r>
          </w:p>
        </w:tc>
        <w:tc>
          <w:tcPr>
            <w:tcW w:w="500" w:type="dxa"/>
            <w:vAlign w:val="bottom"/>
            <w:vMerge w:val="restart"/>
          </w:tcPr>
          <w:p>
            <w:pPr>
              <w:ind w:left="360"/>
              <w:spacing w:after="0" w:line="133" w:lineRule="exact"/>
              <w:rPr>
                <w:sz w:val="20"/>
                <w:szCs w:val="20"/>
                <w:color w:val="auto"/>
              </w:rPr>
            </w:pPr>
            <w:r>
              <w:rPr>
                <w:rFonts w:ascii="Arial" w:cs="Arial" w:eastAsia="Arial" w:hAnsi="Arial"/>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Arial" w:cs="Arial" w:eastAsia="Arial" w:hAnsi="Arial"/>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8" w:lineRule="exact"/>
              <w:rPr>
                <w:sz w:val="20"/>
                <w:szCs w:val="20"/>
                <w:color w:val="auto"/>
              </w:rPr>
            </w:pPr>
            <w:r>
              <w:rPr>
                <w:rFonts w:ascii="Arial" w:cs="Arial" w:eastAsia="Arial" w:hAnsi="Arial"/>
                <w:sz w:val="9"/>
                <w:szCs w:val="9"/>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2"/>
                <w:szCs w:val="12"/>
                <w:color w:val="0000FF"/>
              </w:rPr>
              <w:t>Voting</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line="182" w:lineRule="exact"/>
              <w:rPr>
                <w:sz w:val="20"/>
                <w:szCs w:val="20"/>
                <w:color w:val="auto"/>
              </w:rPr>
            </w:pPr>
            <w:r>
              <w:rPr>
                <w:rFonts w:ascii="Arial" w:cs="Arial" w:eastAsia="Arial" w:hAnsi="Arial"/>
                <w:sz w:val="16"/>
                <w:szCs w:val="16"/>
                <w:color w:val="0000FF"/>
                <w:w w:val="98"/>
              </w:rPr>
              <w:t>55,523</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21" w:lineRule="exact"/>
              <w:rPr>
                <w:sz w:val="20"/>
                <w:szCs w:val="20"/>
                <w:color w:val="auto"/>
              </w:rPr>
            </w:pPr>
            <w:r>
              <w:rPr>
                <w:rFonts w:ascii="Arial" w:cs="Arial" w:eastAsia="Arial" w:hAnsi="Arial"/>
                <w:sz w:val="12"/>
                <w:szCs w:val="12"/>
                <w:color w:val="0000FF"/>
              </w:rPr>
              <w:t>12/01/2022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21" w:lineRule="exact"/>
              <w:rPr>
                <w:sz w:val="20"/>
                <w:szCs w:val="20"/>
                <w:color w:val="auto"/>
              </w:rPr>
            </w:pPr>
            <w:r>
              <w:rPr>
                <w:rFonts w:ascii="Arial" w:cs="Arial" w:eastAsia="Arial" w:hAnsi="Arial"/>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jc w:val="right"/>
              <w:ind w:right="100"/>
              <w:spacing w:after="0" w:line="121" w:lineRule="exact"/>
              <w:rPr>
                <w:sz w:val="20"/>
                <w:szCs w:val="20"/>
                <w:color w:val="auto"/>
              </w:rPr>
            </w:pPr>
            <w:r>
              <w:rPr>
                <w:rFonts w:ascii="Arial" w:cs="Arial" w:eastAsia="Arial" w:hAnsi="Arial"/>
                <w:sz w:val="12"/>
                <w:szCs w:val="12"/>
                <w:color w:val="0000FF"/>
              </w:rPr>
              <w:t>55,523</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21" w:lineRule="exact"/>
              <w:rPr>
                <w:sz w:val="20"/>
                <w:szCs w:val="20"/>
                <w:color w:val="auto"/>
              </w:rPr>
            </w:pPr>
            <w:r>
              <w:rPr>
                <w:rFonts w:ascii="Arial" w:cs="Arial" w:eastAsia="Arial" w:hAnsi="Arial"/>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20" w:type="dxa"/>
            <w:vAlign w:val="bottom"/>
            <w:gridSpan w:val="2"/>
            <w:vMerge w:val="restart"/>
          </w:tcPr>
          <w:p>
            <w:pPr>
              <w:ind w:left="160"/>
              <w:spacing w:after="0" w:line="121" w:lineRule="exact"/>
              <w:rPr>
                <w:sz w:val="20"/>
                <w:szCs w:val="20"/>
                <w:color w:val="auto"/>
              </w:rPr>
            </w:pPr>
            <w:r>
              <w:rPr>
                <w:rFonts w:ascii="Arial" w:cs="Arial" w:eastAsia="Arial" w:hAnsi="Arial"/>
                <w:sz w:val="12"/>
                <w:szCs w:val="12"/>
                <w:color w:val="0000FF"/>
              </w:rPr>
              <w:t>1,203,336</w:t>
            </w:r>
          </w:p>
        </w:tc>
        <w:tc>
          <w:tcPr>
            <w:tcW w:w="500" w:type="dxa"/>
            <w:vAlign w:val="bottom"/>
            <w:vMerge w:val="restart"/>
          </w:tcPr>
          <w:p>
            <w:pPr>
              <w:ind w:left="360"/>
              <w:spacing w:after="0" w:line="121" w:lineRule="exact"/>
              <w:rPr>
                <w:sz w:val="20"/>
                <w:szCs w:val="20"/>
                <w:color w:val="auto"/>
              </w:rPr>
            </w:pPr>
            <w:r>
              <w:rPr>
                <w:rFonts w:ascii="Arial" w:cs="Arial" w:eastAsia="Arial" w:hAnsi="Arial"/>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tcPr>
          <w:p>
            <w:pPr>
              <w:ind w:left="60"/>
              <w:spacing w:after="0" w:line="62" w:lineRule="exact"/>
              <w:rPr>
                <w:sz w:val="20"/>
                <w:szCs w:val="20"/>
                <w:color w:val="auto"/>
              </w:rPr>
            </w:pPr>
            <w:r>
              <w:rPr>
                <w:rFonts w:ascii="Arial" w:cs="Arial" w:eastAsia="Arial" w:hAnsi="Arial"/>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ind w:left="60"/>
              <w:spacing w:after="0" w:line="90" w:lineRule="exact"/>
              <w:rPr>
                <w:sz w:val="20"/>
                <w:szCs w:val="20"/>
                <w:color w:val="auto"/>
              </w:rPr>
            </w:pPr>
            <w:r>
              <w:rPr>
                <w:rFonts w:ascii="Arial" w:cs="Arial" w:eastAsia="Arial" w:hAnsi="Arial"/>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ind w:left="20"/>
              <w:spacing w:after="0" w:line="205" w:lineRule="exact"/>
              <w:rPr>
                <w:rFonts w:ascii="Arial" w:cs="Arial" w:eastAsia="Arial" w:hAnsi="Arial"/>
                <w:sz w:val="20"/>
                <w:szCs w:val="20"/>
                <w:color w:val="0000EE"/>
              </w:rPr>
            </w:pPr>
            <w:hyperlink r:id="rId12">
              <w:r>
                <w:rPr>
                  <w:rFonts w:ascii="Arial" w:cs="Arial" w:eastAsia="Arial" w:hAnsi="Arial"/>
                  <w:sz w:val="20"/>
                  <w:szCs w:val="20"/>
                  <w:color w:val="0000EE"/>
                </w:rPr>
                <w:t>GOLDMAN SACHS GROUP INC</w:t>
              </w:r>
            </w:hyperlink>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color w:val="0000FF"/>
                <w:w w:val="92"/>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NY</w:t>
            </w:r>
          </w:p>
        </w:tc>
        <w:tc>
          <w:tcPr>
            <w:tcW w:w="1020" w:type="dxa"/>
            <w:vAlign w:val="bottom"/>
            <w:gridSpan w:val="3"/>
          </w:tcPr>
          <w:p>
            <w:pPr>
              <w:ind w:left="440"/>
              <w:spacing w:after="0"/>
              <w:rPr>
                <w:sz w:val="20"/>
                <w:szCs w:val="20"/>
                <w:color w:val="auto"/>
              </w:rPr>
            </w:pPr>
            <w:r>
              <w:rPr>
                <w:rFonts w:ascii="Arial" w:cs="Arial" w:eastAsia="Arial" w:hAnsi="Arial"/>
                <w:sz w:val="16"/>
                <w:szCs w:val="16"/>
                <w:color w:val="0000FF"/>
              </w:rPr>
              <w:t>10282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ind w:left="20"/>
              <w:spacing w:after="0" w:line="205" w:lineRule="exact"/>
              <w:rPr>
                <w:rFonts w:ascii="Arial" w:cs="Arial" w:eastAsia="Arial" w:hAnsi="Arial"/>
                <w:sz w:val="20"/>
                <w:szCs w:val="20"/>
                <w:color w:val="0000EE"/>
              </w:rPr>
            </w:pPr>
            <w:hyperlink r:id="rId14">
              <w:r>
                <w:rPr>
                  <w:rFonts w:ascii="Arial" w:cs="Arial" w:eastAsia="Arial" w:hAnsi="Arial"/>
                  <w:sz w:val="20"/>
                  <w:szCs w:val="20"/>
                  <w:color w:val="0000EE"/>
                </w:rPr>
                <w:t>GOLDMAN SACHS &amp; CO. LLC</w:t>
              </w:r>
            </w:hyperlink>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color w:val="0000FF"/>
                <w:w w:val="92"/>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NY</w:t>
            </w:r>
          </w:p>
        </w:tc>
        <w:tc>
          <w:tcPr>
            <w:tcW w:w="1020" w:type="dxa"/>
            <w:vAlign w:val="bottom"/>
            <w:gridSpan w:val="3"/>
          </w:tcPr>
          <w:p>
            <w:pPr>
              <w:ind w:left="440"/>
              <w:spacing w:after="0"/>
              <w:rPr>
                <w:sz w:val="20"/>
                <w:szCs w:val="20"/>
                <w:color w:val="auto"/>
              </w:rPr>
            </w:pPr>
            <w:r>
              <w:rPr>
                <w:rFonts w:ascii="Arial" w:cs="Arial" w:eastAsia="Arial" w:hAnsi="Arial"/>
                <w:sz w:val="16"/>
                <w:szCs w:val="16"/>
                <w:color w:val="0000FF"/>
              </w:rPr>
              <w:t>10282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-5217795</wp:posOffset>
            </wp:positionV>
            <wp:extent cx="28575" cy="2208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08530"/>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Goldman Sachs PSI Global Holdings, LLC</w:t>
        </w:r>
      </w:hyperlink>
    </w:p>
    <w:p>
      <w:pPr>
        <w:sectPr>
          <w:pgSz w:w="11900" w:h="16876" w:orient="portrait"/>
          <w:cols w:equalWidth="0" w:num="1">
            <w:col w:w="11080"/>
          </w:cols>
          <w:pgMar w:left="460" w:top="219" w:right="359" w:bottom="0" w:gutter="0" w:footer="0" w:header="0"/>
          <w:type w:val="continuous"/>
        </w:sectPr>
      </w:pPr>
    </w:p>
    <w:p>
      <w:pPr>
        <w:spacing w:after="0" w:line="292"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76"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553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050" cy="5533390"/>
                    </a:xfrm>
                    <a:prstGeom prst="rect">
                      <a:avLst/>
                    </a:prstGeom>
                    <a:noFill/>
                  </pic:spPr>
                </pic:pic>
              </a:graphicData>
            </a:graphic>
          </wp:anchor>
        </w:drawing>
        <w:t>200 WEST STREET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2"/>
        </w:trPr>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620" w:type="dxa"/>
            <w:vAlign w:val="bottom"/>
          </w:tcPr>
          <w:p>
            <w:pPr>
              <w:ind w:left="240"/>
              <w:spacing w:after="0"/>
              <w:rPr>
                <w:sz w:val="20"/>
                <w:szCs w:val="20"/>
                <w:color w:val="auto"/>
              </w:rPr>
            </w:pPr>
            <w:r>
              <w:rPr>
                <w:rFonts w:ascii="Arial" w:cs="Arial" w:eastAsia="Arial" w:hAnsi="Arial"/>
                <w:sz w:val="16"/>
                <w:szCs w:val="16"/>
                <w:color w:val="0000FF"/>
              </w:rPr>
              <w:t>10282</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580" w:type="dxa"/>
            <w:vAlign w:val="bottom"/>
            <w:gridSpan w:val="4"/>
          </w:tcPr>
          <w:p>
            <w:pPr>
              <w:ind w:left="20"/>
              <w:spacing w:after="0" w:line="205" w:lineRule="exact"/>
              <w:rPr>
                <w:rFonts w:ascii="Arial" w:cs="Arial" w:eastAsia="Arial" w:hAnsi="Arial"/>
                <w:sz w:val="20"/>
                <w:szCs w:val="20"/>
                <w:color w:val="0000EE"/>
              </w:rPr>
            </w:pPr>
            <w:hyperlink r:id="rId18">
              <w:r>
                <w:rPr>
                  <w:rFonts w:ascii="Arial" w:cs="Arial" w:eastAsia="Arial" w:hAnsi="Arial"/>
                  <w:sz w:val="20"/>
                  <w:szCs w:val="20"/>
                  <w:color w:val="0000EE"/>
                </w:rPr>
                <w:t>StoneBridge 2020, L.P.</w:t>
              </w:r>
            </w:hyperlink>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9"/>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0000FF"/>
                <w:w w:val="92"/>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6"/>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620" w:type="dxa"/>
            <w:vAlign w:val="bottom"/>
          </w:tcPr>
          <w:p>
            <w:pPr>
              <w:ind w:left="240"/>
              <w:spacing w:after="0"/>
              <w:rPr>
                <w:sz w:val="20"/>
                <w:szCs w:val="20"/>
                <w:color w:val="auto"/>
              </w:rPr>
            </w:pPr>
            <w:r>
              <w:rPr>
                <w:rFonts w:ascii="Arial" w:cs="Arial" w:eastAsia="Arial" w:hAnsi="Arial"/>
                <w:sz w:val="16"/>
                <w:szCs w:val="16"/>
                <w:color w:val="0000FF"/>
              </w:rPr>
              <w:t>10282-2198</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Stonebridge 2020 Offshore Holdings II, L.P.</w:t>
        </w:r>
      </w:hyperlink>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9"/>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w w:val="92"/>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46"/>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20" w:type="dxa"/>
            <w:vAlign w:val="bottom"/>
          </w:tcPr>
          <w:p>
            <w:pPr>
              <w:ind w:left="2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Bridge Street Opportunity Advisors, L.L.C.</w:t>
        </w:r>
      </w:hyperlink>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9"/>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w w:val="92"/>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46"/>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20" w:type="dxa"/>
            <w:vAlign w:val="bottom"/>
          </w:tcPr>
          <w:p>
            <w:pPr>
              <w:ind w:left="2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jc w:val="both"/>
        <w:ind w:left="20" w:right="60" w:hanging="4"/>
        <w:spacing w:after="0" w:line="252"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Non-Voting Common Stock is convertible into an equal number of shares of Voting Common Stock immediately prior to the execution of the sale of such shares as reported in Table I. On November 30, 2022, the reporting person consummated the sale of all 120,500 shares of Non-Voting Common Stock, resulting in the automatic conversion of such shares into Voting Common Stock upon the execution of the sale of such shares as reported in Table I.</w:t>
      </w:r>
    </w:p>
    <w:p>
      <w:pPr>
        <w:spacing w:after="0" w:line="22" w:lineRule="exact"/>
        <w:rPr>
          <w:rFonts w:ascii="Arial" w:cs="Arial" w:eastAsia="Arial" w:hAnsi="Arial"/>
          <w:sz w:val="12"/>
          <w:szCs w:val="12"/>
          <w:color w:val="008000"/>
        </w:rPr>
      </w:pPr>
    </w:p>
    <w:p>
      <w:pPr>
        <w:ind w:left="20" w:right="180" w:hanging="4"/>
        <w:spacing w:after="0" w:line="24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8" w:lineRule="exact"/>
        <w:rPr>
          <w:rFonts w:ascii="Arial" w:cs="Arial" w:eastAsia="Arial" w:hAnsi="Arial"/>
          <w:sz w:val="12"/>
          <w:szCs w:val="12"/>
          <w:color w:val="008000"/>
        </w:rPr>
      </w:pPr>
    </w:p>
    <w:p>
      <w:pPr>
        <w:ind w:left="20" w:right="460" w:hanging="4"/>
        <w:spacing w:after="0" w:line="26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13" w:lineRule="exact"/>
        <w:rPr>
          <w:rFonts w:ascii="Arial" w:cs="Arial" w:eastAsia="Arial" w:hAnsi="Arial"/>
          <w:sz w:val="12"/>
          <w:szCs w:val="12"/>
          <w:color w:val="008000"/>
        </w:rPr>
      </w:pPr>
    </w:p>
    <w:p>
      <w:pPr>
        <w:ind w:left="20" w:right="40" w:hanging="4"/>
        <w:spacing w:after="0" w:line="26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spacing w:after="0" w:line="13" w:lineRule="exact"/>
        <w:rPr>
          <w:rFonts w:ascii="Arial" w:cs="Arial" w:eastAsia="Arial" w:hAnsi="Arial"/>
          <w:sz w:val="12"/>
          <w:szCs w:val="12"/>
          <w:color w:val="008000"/>
        </w:rPr>
      </w:pPr>
    </w:p>
    <w:p>
      <w:pPr>
        <w:ind w:left="20" w:right="140" w:hanging="4"/>
        <w:spacing w:after="0" w:line="26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13" w:lineRule="exact"/>
        <w:rPr>
          <w:rFonts w:ascii="Arial" w:cs="Arial" w:eastAsia="Arial" w:hAnsi="Arial"/>
          <w:sz w:val="12"/>
          <w:szCs w:val="12"/>
          <w:color w:val="008000"/>
        </w:rPr>
      </w:pPr>
    </w:p>
    <w:p>
      <w:pPr>
        <w:ind w:left="20" w:hanging="4"/>
        <w:spacing w:after="0" w:line="252"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Non-Voting Common Stock is convertible into an equal number of shares of Voting Common Stock immediately prior to the execution of the sale of such shares as reported in Table I. On December 1, 2022, the reporting person consummated the sale of all 55,523 shares of Non-Voting Common Stock, resulting in the automatic conversion of such shares into Voting Common Stock upon the execution of the sale of such shares as reported in Table I.</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25" w:lineRule="auto"/>
        <w:rPr>
          <w:sz w:val="20"/>
          <w:szCs w:val="20"/>
          <w:color w:val="auto"/>
        </w:rPr>
      </w:pPr>
      <w:r>
        <w:rPr>
          <w:rFonts w:ascii="Arial" w:cs="Arial" w:eastAsia="Arial" w:hAnsi="Arial"/>
          <w:sz w:val="16"/>
          <w:szCs w:val="16"/>
          <w:color w:val="0000FF"/>
        </w:rPr>
        <w:t xml:space="preserve">/s/ Jamison Yardley, Attorney-in- </w:t>
      </w:r>
      <w:r>
        <w:rPr>
          <w:rFonts w:ascii="Arial" w:cs="Arial" w:eastAsia="Arial" w:hAnsi="Arial"/>
          <w:sz w:val="32"/>
          <w:szCs w:val="32"/>
          <w:color w:val="0000FF"/>
          <w:vertAlign w:val="subscript"/>
        </w:rPr>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-26035</wp:posOffset>
            </wp:positionV>
            <wp:extent cx="1355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3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0"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68" w:right="519" w:bottom="5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2022-12-02T15:43:14Z</dcterms:created>
  <dcterms:modified xsi:type="dcterms:W3CDTF">2022-12-02T15:43:14Z</dcterms:modified>
</cp:coreProperties>
</file>