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201295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219075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FLYWIRE CORPORATION</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190500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140"/>
          </w:cols>
          <w:pgMar w:left="320" w:top="1280" w:right="439" w:bottom="1440" w:gutter="0" w:footer="0" w:header="0"/>
        </w:sectPr>
      </w:pPr>
    </w:p>
    <w:p>
      <w:pPr>
        <w:spacing w:after="0" w:line="200" w:lineRule="exact"/>
        <w:rPr>
          <w:sz w:val="24"/>
          <w:szCs w:val="24"/>
          <w:color w:val="auto"/>
        </w:rPr>
      </w:pPr>
    </w:p>
    <w:p>
      <w:pPr>
        <w:spacing w:after="0" w:line="240"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27-0690799</w:t>
      </w:r>
    </w:p>
    <w:p>
      <w:pPr>
        <w:spacing w:after="0" w:line="12" w:lineRule="exact"/>
        <w:rPr>
          <w:sz w:val="24"/>
          <w:szCs w:val="24"/>
          <w:color w:val="auto"/>
        </w:rPr>
      </w:pPr>
    </w:p>
    <w:p>
      <w:pPr>
        <w:sectPr>
          <w:pgSz w:w="11900" w:h="16838" w:orient="portrait"/>
          <w:cols w:equalWidth="0" w:num="3">
            <w:col w:w="4860" w:space="720"/>
            <w:col w:w="2660" w:space="720"/>
            <w:col w:w="2180"/>
          </w:cols>
          <w:pgMar w:left="320" w:top="1280" w:right="439" w:bottom="1440" w:gutter="0" w:footer="0" w:header="0"/>
          <w:type w:val="continuous"/>
        </w:sectPr>
      </w:pPr>
    </w:p>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860" w:space="720"/>
            <w:col w:w="2540" w:space="720"/>
            <w:col w:w="2300"/>
          </w:cols>
          <w:pgMar w:left="320" w:top="1280" w:right="439" w:bottom="1440" w:gutter="0" w:footer="0" w:header="0"/>
          <w:type w:val="continuous"/>
        </w:sectPr>
      </w:pPr>
    </w:p>
    <w:p>
      <w:pPr>
        <w:spacing w:after="0" w:line="150"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141 Tremont St #10</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ectPr>
          <w:pgSz w:w="11900" w:h="16838" w:orient="portrait"/>
          <w:cols w:equalWidth="0" w:num="1">
            <w:col w:w="11140"/>
          </w:cols>
          <w:pgMar w:left="320" w:top="1280" w:right="439" w:bottom="1440" w:gutter="0" w:footer="0" w:header="0"/>
          <w:type w:val="continuous"/>
        </w:sectPr>
      </w:pPr>
    </w:p>
    <w:p>
      <w:pPr>
        <w:spacing w:after="0" w:line="12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329-4524</w:t>
      </w:r>
    </w:p>
    <w:p>
      <w:pPr>
        <w:spacing w:after="0" w:line="1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8"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20" w:firstLine="8"/>
        <w:spacing w:after="0" w:line="411" w:lineRule="auto"/>
        <w:tabs>
          <w:tab w:leader="none" w:pos="3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20" w:type="dxa"/>
        <w:tblCellMar>
          <w:top w:w="0" w:type="dxa"/>
          <w:left w:w="0" w:type="dxa"/>
          <w:bottom w:w="0" w:type="dxa"/>
          <w:right w:w="0" w:type="dxa"/>
        </w:tblCellMar>
      </w:tblPr>
      <w:tr>
        <w:trPr>
          <w:trHeight w:val="149"/>
        </w:trPr>
        <w:tc>
          <w:tcPr>
            <w:tcW w:w="4900" w:type="dxa"/>
            <w:vAlign w:val="bottom"/>
            <w:vMerge w:val="restart"/>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840" w:type="dxa"/>
            <w:vAlign w:val="bottom"/>
          </w:tcPr>
          <w:p>
            <w:pPr>
              <w:jc w:val="center"/>
              <w:ind w:left="159"/>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4900" w:type="dxa"/>
            <w:vAlign w:val="bottom"/>
            <w:tcBorders>
              <w:bottom w:val="single" w:sz="8" w:color="auto"/>
            </w:tcBorders>
            <w:vMerge w:val="continue"/>
          </w:tcPr>
          <w:p>
            <w:pPr>
              <w:spacing w:after="0"/>
              <w:rPr>
                <w:sz w:val="16"/>
                <w:szCs w:val="16"/>
                <w:color w:val="auto"/>
              </w:rPr>
            </w:pPr>
          </w:p>
        </w:tc>
        <w:tc>
          <w:tcPr>
            <w:tcW w:w="22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840" w:type="dxa"/>
            <w:vAlign w:val="bottom"/>
            <w:tcBorders>
              <w:bottom w:val="single" w:sz="8" w:color="auto"/>
            </w:tcBorders>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6"/>
        </w:trPr>
        <w:tc>
          <w:tcPr>
            <w:tcW w:w="4900" w:type="dxa"/>
            <w:vAlign w:val="bottom"/>
          </w:tcPr>
          <w:p>
            <w:pPr>
              <w:jc w:val="center"/>
              <w:ind w:right="319"/>
              <w:spacing w:after="0" w:line="196" w:lineRule="exact"/>
              <w:rPr>
                <w:sz w:val="20"/>
                <w:szCs w:val="20"/>
                <w:color w:val="auto"/>
              </w:rPr>
            </w:pPr>
            <w:r>
              <w:rPr>
                <w:rFonts w:ascii="Times New Roman" w:cs="Times New Roman" w:eastAsia="Times New Roman" w:hAnsi="Times New Roman"/>
                <w:sz w:val="18"/>
                <w:szCs w:val="18"/>
                <w:color w:val="auto"/>
                <w:w w:val="99"/>
              </w:rPr>
              <w:t>Voting Common Stock, $0.0001 par value per share</w:t>
            </w:r>
          </w:p>
        </w:tc>
        <w:tc>
          <w:tcPr>
            <w:tcW w:w="2280" w:type="dxa"/>
            <w:vAlign w:val="bottom"/>
          </w:tcPr>
          <w:p>
            <w:pPr>
              <w:jc w:val="center"/>
              <w:ind w:right="82"/>
              <w:spacing w:after="0" w:line="196" w:lineRule="exact"/>
              <w:rPr>
                <w:sz w:val="20"/>
                <w:szCs w:val="20"/>
                <w:color w:val="auto"/>
              </w:rPr>
            </w:pPr>
            <w:r>
              <w:rPr>
                <w:rFonts w:ascii="Times New Roman" w:cs="Times New Roman" w:eastAsia="Times New Roman" w:hAnsi="Times New Roman"/>
                <w:sz w:val="18"/>
                <w:szCs w:val="18"/>
                <w:color w:val="auto"/>
              </w:rPr>
              <w:t>FLYW</w:t>
            </w:r>
          </w:p>
        </w:tc>
        <w:tc>
          <w:tcPr>
            <w:tcW w:w="3840" w:type="dxa"/>
            <w:vAlign w:val="bottom"/>
          </w:tcPr>
          <w:p>
            <w:pPr>
              <w:jc w:val="center"/>
              <w:ind w:left="159"/>
              <w:spacing w:after="0" w:line="196"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840" w:type="dxa"/>
            <w:vAlign w:val="bottom"/>
          </w:tcPr>
          <w:p>
            <w:pPr>
              <w:jc w:val="center"/>
              <w:ind w:left="159"/>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4"/>
          <w:szCs w:val="24"/>
          <w:color w:val="auto"/>
        </w:rPr>
      </w:pPr>
    </w:p>
    <w:p>
      <w:pPr>
        <w:ind w:right="2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280" w:right="439" w:bottom="1440" w:gutter="0" w:footer="0" w:header="0"/>
          <w:type w:val="continuous"/>
        </w:sectPr>
      </w:pPr>
    </w:p>
    <w:bookmarkStart w:id="1" w:name="page2"/>
    <w:bookmarkEnd w:id="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May 15, 2026, Flywire Corporation (the “Company”) issued a press release announcing the closing of the Repurchase Transaction (as defined in Item 8.01 of this Current Report on Form 8-K). A copy of the Company’s press release is furnished as Exhibit 99.1 to this Current Report on Form 8-K and is incorporated by reference herein.</w:t>
      </w:r>
    </w:p>
    <w:p>
      <w:pPr>
        <w:spacing w:after="0" w:line="13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w:t>
      </w:r>
    </w:p>
    <w:p>
      <w:pPr>
        <w:spacing w:after="0" w:line="14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May 13, 2026, the Company entered into a privately negotiated securities repurchase agreement (the “Repurchase Agreement”) pursuant to which the Company agreed to repurchase 1,873,320 shares of its non-voting common stock from the seller for an aggregate purchase price of approximately $29 million (the “Repurchase Transaction”).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Repurchase Transaction closed on May 14, 2026 and was effected pursuant to the Company's previously announced stock repurchase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Repurchase Transaction, no shares of the Company’s non-voting common stock were outstanding.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8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364"/>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180" w:type="dxa"/>
            <w:vAlign w:val="bottom"/>
            <w:gridSpan w:val="2"/>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Flywire Corporation Press Release dated May 15, 2026.</w:t>
            </w: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60" w:type="dxa"/>
            <w:vAlign w:val="bottom"/>
            <w:tcBorders>
              <w:right w:val="single" w:sz="8" w:color="0000EE"/>
            </w:tcBorders>
            <w:gridSpan w:val="2"/>
            <w:shd w:val="clear" w:color="auto" w:fill="0000FF"/>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FLYWIRE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Cosmin Pitigoi</w:t>
            </w:r>
          </w:p>
        </w:tc>
      </w:tr>
      <w:tr>
        <w:trPr>
          <w:trHeight w:val="205"/>
        </w:trPr>
        <w:tc>
          <w:tcPr>
            <w:tcW w:w="10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Cosmin Pitigoi</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Flywire Continues Execution on Buyback Plan Through Direct Repurchase Agreement</w:t>
      </w:r>
    </w:p>
    <w:p>
      <w:pPr>
        <w:spacing w:after="0" w:line="314" w:lineRule="exact"/>
        <w:rPr>
          <w:sz w:val="20"/>
          <w:szCs w:val="20"/>
          <w:color w:val="auto"/>
        </w:rPr>
      </w:pPr>
    </w:p>
    <w:p>
      <w:pPr>
        <w:ind w:right="36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BOSTON, MA, USA – May 15, 2026 </w:t>
      </w:r>
      <w:r>
        <w:rPr>
          <w:rFonts w:ascii="Times New Roman" w:cs="Times New Roman" w:eastAsia="Times New Roman" w:hAnsi="Times New Roman"/>
          <w:sz w:val="22"/>
          <w:szCs w:val="22"/>
          <w:color w:val="auto"/>
        </w:rPr>
        <w:t>— Flywire Corporation (Nasdaq: FLYW) (“Flywire” or the “Company”), a global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payments enablement and software company, today announced a significant step in the execution of its previously announced plan to repurchase up to $50 million shares of its common stock. In connection with its First Quarter 2026 earnings release, Flywire announced an intention to enter into an accelerated share repurchase (ASR) program of up to $50 million in shares as part of its existing $300 million share repurchase program - a direct expression of the Company’s confidence in its long-term value and its disciplined approach to capital allocation.</w:t>
      </w:r>
    </w:p>
    <w:p>
      <w:pPr>
        <w:spacing w:after="0" w:line="17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Flywire has entered into a privately negotiated definitive agreement with a pre-IPO shareholder to purchase all of the Company’s outstanding non-voting common stock (approximately 1.87 million shares) for an aggregate sum of approximately $29 million. Flywire is funding the transaction entirely with cash on its balance sheet under its existing share repurchase program. The per share repurchase price represents a discount to the closing market price of the Company’s common stock on May 13, 2026. The Company is acquiring only the investor’s shares of non-voting common stock, and such investor continued to hold its shares of voting stock as of the closing of the transaction.</w:t>
      </w:r>
    </w:p>
    <w:p>
      <w:pPr>
        <w:spacing w:after="0" w:line="181"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color w:val="auto"/>
        </w:rPr>
        <w:t>This direct purchase replaces the need to execute a formal ASR program. Flywire will continue to execute against the plan of buying back up to $50 million under its existing share repurchase authorization, as intended under the prior ASR announcement. The ultimate amount and timing of repurchases will be informed by prevailing market conditions and price levels, ensuring alignment with return thresholds and broader capital allocation priorities, including continued investment in organic growth and selective M&amp;A. Going forward, Flywire remains committed to maintaining annual net dilution at approximately 3% over time and will continue to be opportunistic in the market when conditions and pricing are attractive, under its existing $300 million share repurchase program.</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We remain focused on capturing market dislocation and delivering significant value to our shareholders, while maintaining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flexibility to continue investing in the innovation and expansion of our core verticals</w:t>
      </w:r>
      <w:r>
        <w:rPr>
          <w:rFonts w:ascii="Times New Roman" w:cs="Times New Roman" w:eastAsia="Times New Roman" w:hAnsi="Times New Roman"/>
          <w:sz w:val="21"/>
          <w:szCs w:val="21"/>
          <w:color w:val="auto"/>
        </w:rPr>
        <w:t>," - said Cosmin Pitigoi, Flywire CFO.</w:t>
      </w:r>
    </w:p>
    <w:p>
      <w:pPr>
        <w:spacing w:after="0" w:line="13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Following the completion of this repurchase, the shares of non-voting common stock will be retired, and there will be no non-voting common stock outstanding.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Flywire</w:t>
      </w:r>
    </w:p>
    <w:p>
      <w:pPr>
        <w:spacing w:after="0" w:line="21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0A0A0A"/>
        </w:rPr>
        <w:t>Flywire is a global payments enablement and software company. We combine our proprietary global payments network, next-gen payments platform and vertical-specific software to deliver the most important and complex payments for our clients and their customers.</w:t>
      </w:r>
    </w:p>
    <w:p>
      <w:pPr>
        <w:spacing w:after="0" w:line="17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0A0A0A"/>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such as NetSuite,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800735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0A0A0A"/>
        </w:rPr>
        <w:t>organizations can optimize the payment experience for their customers while eliminating operational challenges.</w:t>
      </w:r>
    </w:p>
    <w:p>
      <w:pPr>
        <w:spacing w:after="0" w:line="20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0A0A0A"/>
        </w:rPr>
        <w:t xml:space="preserve">Flywire supports approximately 5,100** clients with diverse payment methods in more than 140 currencies across more than 240 countries and territories around the world. Flywire is headquartered in Boston, MA, USA, with global offices. For more information, visit </w:t>
      </w:r>
      <w:r>
        <w:rPr>
          <w:rFonts w:ascii="Times New Roman" w:cs="Times New Roman" w:eastAsia="Times New Roman" w:hAnsi="Times New Roman"/>
          <w:sz w:val="22"/>
          <w:szCs w:val="22"/>
          <w:color w:val="000000"/>
        </w:rPr>
        <w:t>www.flywire.com</w:t>
      </w:r>
      <w:r>
        <w:rPr>
          <w:rFonts w:ascii="Times New Roman" w:cs="Times New Roman" w:eastAsia="Times New Roman" w:hAnsi="Times New Roman"/>
          <w:sz w:val="22"/>
          <w:szCs w:val="22"/>
          <w:color w:val="0A0A0A"/>
        </w:rPr>
        <w:t xml:space="preserve">. Follow Flywire on </w:t>
      </w:r>
      <w:r>
        <w:rPr>
          <w:rFonts w:ascii="Times New Roman" w:cs="Times New Roman" w:eastAsia="Times New Roman" w:hAnsi="Times New Roman"/>
          <w:sz w:val="22"/>
          <w:szCs w:val="22"/>
          <w:color w:val="000000"/>
        </w:rPr>
        <w:t>X</w:t>
      </w:r>
      <w:r>
        <w:rPr>
          <w:rFonts w:ascii="Times New Roman" w:cs="Times New Roman" w:eastAsia="Times New Roman" w:hAnsi="Times New Roman"/>
          <w:sz w:val="22"/>
          <w:szCs w:val="22"/>
          <w:color w:val="0A0A0A"/>
        </w:rPr>
        <w:t xml:space="preserve">, </w:t>
      </w:r>
      <w:r>
        <w:rPr>
          <w:rFonts w:ascii="Times New Roman" w:cs="Times New Roman" w:eastAsia="Times New Roman" w:hAnsi="Times New Roman"/>
          <w:sz w:val="22"/>
          <w:szCs w:val="22"/>
          <w:color w:val="000000"/>
        </w:rPr>
        <w:t>LinkedIn</w:t>
      </w:r>
      <w:r>
        <w:rPr>
          <w:rFonts w:ascii="Times New Roman" w:cs="Times New Roman" w:eastAsia="Times New Roman" w:hAnsi="Times New Roman"/>
          <w:sz w:val="22"/>
          <w:szCs w:val="22"/>
          <w:color w:val="0A0A0A"/>
        </w:rPr>
        <w:t xml:space="preserve"> and </w:t>
      </w:r>
      <w:r>
        <w:rPr>
          <w:rFonts w:ascii="Times New Roman" w:cs="Times New Roman" w:eastAsia="Times New Roman" w:hAnsi="Times New Roman"/>
          <w:sz w:val="22"/>
          <w:szCs w:val="22"/>
          <w:color w:val="000000"/>
        </w:rPr>
        <w:t>Facebook</w:t>
      </w:r>
      <w:r>
        <w:rPr>
          <w:rFonts w:ascii="Times New Roman" w:cs="Times New Roman" w:eastAsia="Times New Roman" w:hAnsi="Times New Roman"/>
          <w:sz w:val="22"/>
          <w:szCs w:val="22"/>
          <w:color w:val="0A0A0A"/>
        </w:rPr>
        <w:t>.</w:t>
      </w:r>
    </w:p>
    <w:p>
      <w:pPr>
        <w:spacing w:after="0" w:line="169" w:lineRule="exact"/>
        <w:rPr>
          <w:sz w:val="20"/>
          <w:szCs w:val="20"/>
          <w:color w:val="auto"/>
        </w:rPr>
      </w:pPr>
    </w:p>
    <w:p>
      <w:pPr>
        <w:ind w:right="5400"/>
        <w:spacing w:after="0" w:line="437" w:lineRule="auto"/>
        <w:rPr>
          <w:sz w:val="20"/>
          <w:szCs w:val="20"/>
          <w:color w:val="auto"/>
        </w:rPr>
      </w:pPr>
      <w:r>
        <w:rPr>
          <w:rFonts w:ascii="Times New Roman" w:cs="Times New Roman" w:eastAsia="Times New Roman" w:hAnsi="Times New Roman"/>
          <w:sz w:val="22"/>
          <w:szCs w:val="22"/>
          <w:i w:val="1"/>
          <w:iCs w:val="1"/>
          <w:color w:val="0A0A0A"/>
        </w:rPr>
        <w:t xml:space="preserve">**Excludes clients from Flywire’s Sertifi and Invoiced acquisitions </w:t>
      </w:r>
      <w:r>
        <w:rPr>
          <w:rFonts w:ascii="Times New Roman" w:cs="Times New Roman" w:eastAsia="Times New Roman" w:hAnsi="Times New Roman"/>
          <w:sz w:val="22"/>
          <w:szCs w:val="22"/>
          <w:b w:val="1"/>
          <w:bCs w:val="1"/>
          <w:i w:val="1"/>
          <w:iCs w:val="1"/>
          <w:color w:val="0A0A0A"/>
        </w:rPr>
        <w:t>Safe Harbor Statement</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0A0A0A"/>
        </w:rPr>
        <w:t>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and its share repurchase program.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uncertainties associated with the timing and scope of future repurchases by Flywire of its common stock, including the timing, value and number of shares repurchased, and the timing and duration of Flywire’s share repurchase program, which may be discontinued, accelerated, suspended or delayed at any time due to various factors, including market conditions and the level of other investing activities and uses of cash; Flywire’s ability to enter new client verticals, including its relatively new hospitality sector; Flywire’s expectations regarding anticipated technology needs and developments and its ability to address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802640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5" w:name="page6"/>
    <w:bookmarkEnd w:id="5"/>
    <w:p>
      <w:pPr>
        <w:spacing w:after="0" w:line="243" w:lineRule="auto"/>
        <w:rPr>
          <w:sz w:val="20"/>
          <w:szCs w:val="20"/>
          <w:color w:val="auto"/>
        </w:rPr>
      </w:pPr>
      <w:r>
        <w:rPr>
          <w:rFonts w:ascii="Times New Roman" w:cs="Times New Roman" w:eastAsia="Times New Roman" w:hAnsi="Times New Roman"/>
          <w:sz w:val="21"/>
          <w:szCs w:val="21"/>
          <w:color w:val="0A0A0A"/>
        </w:rPr>
        <w:t xml:space="preserve">needs and developments with its solutions;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Flywire’s ability to adapt its business to changes in government policy regarding tariffs and immigration; economic and industry trends, including the risk of a global recession, projected growth, or trend analysis; the effects of global events and geopolitical conflicts, including without limitation the recent hostilities in Ukraine and involving Israel, Hamas and Iran; Flywire’s ability to adapt to recommended or implemented U.S. policy changes, in particular those that impact higher education, the desire for foreign students to study in the U.S., immigration and visa policy, and changes to regulatory agencies and depth of enforcement of regulations; Flywire’s ability to adapt to changes in U.S. federal income or other tax laws or the interpretation of tax laws, including the Inflation Reduction Act of 2022 and The One Big Beautiful Bill Act of 2025;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w:t>
      </w:r>
      <w:r>
        <w:rPr>
          <w:rFonts w:ascii="Times New Roman" w:cs="Times New Roman" w:eastAsia="Times New Roman" w:hAnsi="Times New Roman"/>
          <w:sz w:val="21"/>
          <w:szCs w:val="21"/>
          <w:color w:val="000000"/>
        </w:rPr>
        <w:t>ended</w:t>
      </w:r>
      <w:r>
        <w:rPr>
          <w:rFonts w:ascii="Times New Roman" w:cs="Times New Roman" w:eastAsia="Times New Roman" w:hAnsi="Times New Roman"/>
          <w:sz w:val="21"/>
          <w:szCs w:val="21"/>
          <w:color w:val="0A0A0A"/>
        </w:rPr>
        <w:t xml:space="preserve"> </w:t>
      </w:r>
      <w:r>
        <w:rPr>
          <w:rFonts w:ascii="Times New Roman" w:cs="Times New Roman" w:eastAsia="Times New Roman" w:hAnsi="Times New Roman"/>
          <w:sz w:val="21"/>
          <w:szCs w:val="21"/>
          <w:color w:val="000000"/>
        </w:rPr>
        <w:t>December 31, 2025 and Quarterly Report on Form 10-Q for the quarter ended March 31, 2026, whi</w:t>
      </w:r>
      <w:r>
        <w:rPr>
          <w:rFonts w:ascii="Times New Roman" w:cs="Times New Roman" w:eastAsia="Times New Roman" w:hAnsi="Times New Roman"/>
          <w:sz w:val="21"/>
          <w:szCs w:val="21"/>
          <w:color w:val="0A0A0A"/>
        </w:rPr>
        <w:t>ch are on file with the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0A0A0A"/>
        </w:rPr>
        <w:t xml:space="preserve">Securities and Exchange Commission (SEC) and available on the SEC's website at </w:t>
      </w:r>
      <w:r>
        <w:rPr>
          <w:rFonts w:ascii="Times New Roman" w:cs="Times New Roman" w:eastAsia="Times New Roman" w:hAnsi="Times New Roman"/>
          <w:sz w:val="21"/>
          <w:szCs w:val="21"/>
          <w:color w:val="000000"/>
        </w:rPr>
        <w:t>https://www.sec.gov/</w:t>
      </w:r>
      <w:r>
        <w:rPr>
          <w:rFonts w:ascii="Times New Roman" w:cs="Times New Roman" w:eastAsia="Times New Roman" w:hAnsi="Times New Roman"/>
          <w:sz w:val="21"/>
          <w:szCs w:val="21"/>
          <w:color w:val="0A0A0A"/>
        </w:rPr>
        <w:t>. The information in this release is provided only as of the date of this release, and Flywire undertakes no obligation to update any forward-looking statements contained in this release on account of new information, future events, or otherwise,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Masha Kahn</w:t>
      </w:r>
    </w:p>
    <w:p>
      <w:pPr>
        <w:spacing w:after="0"/>
        <w:rPr>
          <w:sz w:val="20"/>
          <w:szCs w:val="20"/>
          <w:color w:val="auto"/>
        </w:rPr>
      </w:pPr>
      <w:r>
        <w:rPr>
          <w:rFonts w:ascii="Times New Roman" w:cs="Times New Roman" w:eastAsia="Times New Roman" w:hAnsi="Times New Roman"/>
          <w:sz w:val="22"/>
          <w:szCs w:val="22"/>
          <w:b w:val="1"/>
          <w:bCs w:val="1"/>
          <w:color w:val="1155CC"/>
        </w:rPr>
        <w:t>ir@Flywire.com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Sarah King</w:t>
      </w:r>
    </w:p>
    <w:p>
      <w:pPr>
        <w:spacing w:after="0"/>
        <w:rPr>
          <w:sz w:val="20"/>
          <w:szCs w:val="20"/>
          <w:color w:val="auto"/>
        </w:rPr>
      </w:pPr>
      <w:r>
        <w:rPr>
          <w:rFonts w:ascii="Times New Roman" w:cs="Times New Roman" w:eastAsia="Times New Roman" w:hAnsi="Times New Roman"/>
          <w:sz w:val="22"/>
          <w:szCs w:val="22"/>
          <w:b w:val="1"/>
          <w:bCs w:val="1"/>
          <w:color w:val="1155CC"/>
        </w:rPr>
        <w:t>Media@Flywire.com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1525905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2026-05-15T08:06:26Z</dcterms:created>
  <dcterms:modified xsi:type="dcterms:W3CDTF">2026-05-15T08:06:26Z</dcterms:modified>
</cp:coreProperties>
</file>