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wp:posOffset>
            </wp:positionH>
            <wp:positionV relativeFrom="paragraph">
              <wp:posOffset>198120</wp:posOffset>
            </wp:positionV>
            <wp:extent cx="65328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8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238125</wp:posOffset>
            </wp:positionV>
            <wp:extent cx="65328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288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479"/>
        <w:spacing w:after="0"/>
        <w:rPr>
          <w:sz w:val="20"/>
          <w:szCs w:val="20"/>
          <w:color w:val="auto"/>
        </w:rPr>
      </w:pPr>
      <w:r>
        <w:rPr>
          <w:rFonts w:ascii="Arial" w:cs="Arial" w:eastAsia="Arial" w:hAnsi="Arial"/>
          <w:sz w:val="30"/>
          <w:szCs w:val="30"/>
          <w:b w:val="1"/>
          <w:bCs w:val="1"/>
          <w:color w:val="auto"/>
        </w:rPr>
        <w:t>UNITED STATES</w:t>
      </w:r>
    </w:p>
    <w:p>
      <w:pPr>
        <w:spacing w:after="0" w:line="45" w:lineRule="exact"/>
        <w:rPr>
          <w:sz w:val="24"/>
          <w:szCs w:val="24"/>
          <w:color w:val="auto"/>
        </w:rPr>
      </w:pPr>
    </w:p>
    <w:p>
      <w:pPr>
        <w:jc w:val="center"/>
        <w:ind w:right="-479"/>
        <w:spacing w:after="0"/>
        <w:rPr>
          <w:sz w:val="20"/>
          <w:szCs w:val="20"/>
          <w:color w:val="auto"/>
        </w:rPr>
      </w:pPr>
      <w:r>
        <w:rPr>
          <w:rFonts w:ascii="Arial" w:cs="Arial" w:eastAsia="Arial" w:hAnsi="Arial"/>
          <w:sz w:val="30"/>
          <w:szCs w:val="30"/>
          <w:b w:val="1"/>
          <w:bCs w:val="1"/>
          <w:color w:val="auto"/>
        </w:rPr>
        <w:t>SECURITIES AND EXCHANGE COMMISSION</w:t>
      </w:r>
    </w:p>
    <w:p>
      <w:pPr>
        <w:ind w:left="44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210185</wp:posOffset>
            </wp:positionV>
            <wp:extent cx="1377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479"/>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234950</wp:posOffset>
            </wp:positionV>
            <wp:extent cx="13773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80"/>
        <w:spacing w:after="0"/>
        <w:rPr>
          <w:sz w:val="20"/>
          <w:szCs w:val="20"/>
          <w:color w:val="auto"/>
        </w:rPr>
      </w:pPr>
      <w:r>
        <w:rPr>
          <w:rFonts w:ascii="Arial" w:cs="Arial" w:eastAsia="Arial" w:hAnsi="Arial"/>
          <w:sz w:val="17"/>
          <w:szCs w:val="17"/>
          <w:b w:val="1"/>
          <w:bCs w:val="1"/>
          <w:color w:val="auto"/>
        </w:rPr>
        <w:t>(Mark One)</w:t>
      </w:r>
    </w:p>
    <w:p>
      <w:pPr>
        <w:spacing w:after="0" w:line="8" w:lineRule="exact"/>
        <w:rPr>
          <w:sz w:val="24"/>
          <w:szCs w:val="24"/>
          <w:color w:val="auto"/>
        </w:rPr>
      </w:pPr>
    </w:p>
    <w:p>
      <w:pPr>
        <w:ind w:left="880" w:right="40" w:hanging="400"/>
        <w:spacing w:after="0" w:line="249" w:lineRule="auto"/>
        <w:tabs>
          <w:tab w:leader="none" w:pos="8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4" w:lineRule="exact"/>
        <w:rPr>
          <w:sz w:val="24"/>
          <w:szCs w:val="24"/>
          <w:color w:val="auto"/>
        </w:rPr>
      </w:pPr>
    </w:p>
    <w:p>
      <w:pPr>
        <w:jc w:val="center"/>
        <w:ind w:right="-479"/>
        <w:spacing w:after="0"/>
        <w:rPr>
          <w:sz w:val="20"/>
          <w:szCs w:val="20"/>
          <w:color w:val="auto"/>
        </w:rPr>
      </w:pPr>
      <w:r>
        <w:rPr>
          <w:rFonts w:ascii="Arial" w:cs="Arial" w:eastAsia="Arial" w:hAnsi="Arial"/>
          <w:sz w:val="17"/>
          <w:szCs w:val="17"/>
          <w:b w:val="1"/>
          <w:bCs w:val="1"/>
          <w:color w:val="auto"/>
        </w:rPr>
        <w:t>For the quarterly period ended June 30, 2021</w:t>
      </w:r>
    </w:p>
    <w:p>
      <w:pPr>
        <w:spacing w:after="0" w:line="195" w:lineRule="exact"/>
        <w:rPr>
          <w:sz w:val="24"/>
          <w:szCs w:val="24"/>
          <w:color w:val="auto"/>
        </w:rPr>
      </w:pPr>
    </w:p>
    <w:p>
      <w:pPr>
        <w:jc w:val="center"/>
        <w:ind w:right="-479"/>
        <w:spacing w:after="0"/>
        <w:rPr>
          <w:sz w:val="20"/>
          <w:szCs w:val="20"/>
          <w:color w:val="auto"/>
        </w:rPr>
      </w:pPr>
      <w:r>
        <w:rPr>
          <w:rFonts w:ascii="Arial" w:cs="Arial" w:eastAsia="Arial" w:hAnsi="Arial"/>
          <w:sz w:val="17"/>
          <w:szCs w:val="17"/>
          <w:b w:val="1"/>
          <w:bCs w:val="1"/>
          <w:color w:val="auto"/>
        </w:rPr>
        <w:t>OR</w:t>
      </w:r>
    </w:p>
    <w:p>
      <w:pPr>
        <w:spacing w:after="0" w:line="211" w:lineRule="exact"/>
        <w:rPr>
          <w:sz w:val="24"/>
          <w:szCs w:val="24"/>
          <w:color w:val="auto"/>
        </w:rPr>
      </w:pPr>
    </w:p>
    <w:p>
      <w:pPr>
        <w:ind w:left="880" w:right="40" w:hanging="400"/>
        <w:spacing w:after="0" w:line="275" w:lineRule="auto"/>
        <w:tabs>
          <w:tab w:leader="none" w:pos="8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38" w:lineRule="exact"/>
        <w:rPr>
          <w:sz w:val="24"/>
          <w:szCs w:val="24"/>
          <w:color w:val="auto"/>
        </w:rPr>
      </w:pPr>
    </w:p>
    <w:p>
      <w:pPr>
        <w:ind w:left="3360"/>
        <w:spacing w:after="0"/>
        <w:tabs>
          <w:tab w:leader="none" w:pos="67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-6350</wp:posOffset>
            </wp:positionV>
            <wp:extent cx="1345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75" w:lineRule="exact"/>
        <w:rPr>
          <w:sz w:val="24"/>
          <w:szCs w:val="24"/>
          <w:color w:val="auto"/>
        </w:rPr>
      </w:pPr>
    </w:p>
    <w:p>
      <w:pPr>
        <w:ind w:left="4160"/>
        <w:spacing w:after="0"/>
        <w:rPr>
          <w:sz w:val="20"/>
          <w:szCs w:val="20"/>
          <w:color w:val="auto"/>
        </w:rPr>
      </w:pPr>
      <w:r>
        <w:rPr>
          <w:rFonts w:ascii="Arial" w:cs="Arial" w:eastAsia="Arial" w:hAnsi="Arial"/>
          <w:sz w:val="17"/>
          <w:szCs w:val="17"/>
          <w:b w:val="1"/>
          <w:bCs w:val="1"/>
          <w:color w:val="auto"/>
        </w:rPr>
        <w:t>Commission File Number: 001-40430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217170</wp:posOffset>
            </wp:positionV>
            <wp:extent cx="1377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479"/>
        <w:spacing w:after="0"/>
        <w:rPr>
          <w:sz w:val="20"/>
          <w:szCs w:val="20"/>
          <w:color w:val="auto"/>
        </w:rPr>
      </w:pPr>
      <w:r>
        <w:rPr>
          <w:rFonts w:ascii="Arial" w:cs="Arial" w:eastAsia="Arial" w:hAnsi="Arial"/>
          <w:sz w:val="40"/>
          <w:szCs w:val="40"/>
          <w:b w:val="1"/>
          <w:bCs w:val="1"/>
          <w:color w:val="auto"/>
        </w:rPr>
        <w:t>FLYWIRE CORPORATION</w:t>
      </w:r>
    </w:p>
    <w:p>
      <w:pPr>
        <w:spacing w:after="0" w:line="55" w:lineRule="exact"/>
        <w:rPr>
          <w:sz w:val="24"/>
          <w:szCs w:val="24"/>
          <w:color w:val="auto"/>
        </w:rPr>
      </w:pPr>
    </w:p>
    <w:p>
      <w:pPr>
        <w:ind w:left="350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212725</wp:posOffset>
            </wp:positionV>
            <wp:extent cx="1377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820" w:type="dxa"/>
        <w:tblCellMar>
          <w:top w:w="0" w:type="dxa"/>
          <w:left w:w="0" w:type="dxa"/>
          <w:bottom w:w="0" w:type="dxa"/>
          <w:right w:w="0" w:type="dxa"/>
        </w:tblCellMar>
      </w:tblPr>
      <w:tr>
        <w:trPr>
          <w:trHeight w:val="198"/>
        </w:trPr>
        <w:tc>
          <w:tcPr>
            <w:tcW w:w="4200" w:type="dxa"/>
            <w:vAlign w:val="bottom"/>
          </w:tcPr>
          <w:p>
            <w:pPr>
              <w:jc w:val="center"/>
              <w:ind w:right="1624"/>
              <w:spacing w:after="0"/>
              <w:rPr>
                <w:sz w:val="20"/>
                <w:szCs w:val="20"/>
                <w:color w:val="auto"/>
              </w:rPr>
            </w:pPr>
            <w:r>
              <w:rPr>
                <w:rFonts w:ascii="Arial" w:cs="Arial" w:eastAsia="Arial" w:hAnsi="Arial"/>
                <w:sz w:val="17"/>
                <w:szCs w:val="17"/>
                <w:b w:val="1"/>
                <w:bCs w:val="1"/>
                <w:color w:val="auto"/>
                <w:w w:val="99"/>
              </w:rPr>
              <w:t>Delaware</w:t>
            </w:r>
          </w:p>
        </w:tc>
        <w:tc>
          <w:tcPr>
            <w:tcW w:w="2820" w:type="dxa"/>
            <w:vAlign w:val="bottom"/>
          </w:tcPr>
          <w:p>
            <w:pPr>
              <w:jc w:val="right"/>
              <w:ind w:right="46"/>
              <w:spacing w:after="0"/>
              <w:rPr>
                <w:sz w:val="20"/>
                <w:szCs w:val="20"/>
                <w:color w:val="auto"/>
              </w:rPr>
            </w:pPr>
            <w:r>
              <w:rPr>
                <w:rFonts w:ascii="Arial" w:cs="Arial" w:eastAsia="Arial" w:hAnsi="Arial"/>
                <w:sz w:val="17"/>
                <w:szCs w:val="17"/>
                <w:b w:val="1"/>
                <w:bCs w:val="1"/>
                <w:color w:val="auto"/>
              </w:rPr>
              <w:t>27-0690799</w:t>
            </w:r>
          </w:p>
        </w:tc>
      </w:tr>
      <w:tr>
        <w:trPr>
          <w:trHeight w:val="151"/>
        </w:trPr>
        <w:tc>
          <w:tcPr>
            <w:tcW w:w="4200" w:type="dxa"/>
            <w:vAlign w:val="bottom"/>
          </w:tcPr>
          <w:p>
            <w:pPr>
              <w:jc w:val="center"/>
              <w:ind w:right="1604"/>
              <w:spacing w:after="0"/>
              <w:rPr>
                <w:sz w:val="20"/>
                <w:szCs w:val="20"/>
                <w:color w:val="auto"/>
              </w:rPr>
            </w:pPr>
            <w:r>
              <w:rPr>
                <w:rFonts w:ascii="Arial" w:cs="Arial" w:eastAsia="Arial" w:hAnsi="Arial"/>
                <w:sz w:val="13"/>
                <w:szCs w:val="13"/>
                <w:b w:val="1"/>
                <w:bCs w:val="1"/>
                <w:color w:val="auto"/>
              </w:rPr>
              <w:t>(State or other jurisdiction of</w:t>
            </w:r>
          </w:p>
        </w:tc>
        <w:tc>
          <w:tcPr>
            <w:tcW w:w="2820" w:type="dxa"/>
            <w:vAlign w:val="bottom"/>
          </w:tcPr>
          <w:p>
            <w:pPr>
              <w:jc w:val="center"/>
              <w:ind w:left="1606"/>
              <w:spacing w:after="0"/>
              <w:rPr>
                <w:sz w:val="20"/>
                <w:szCs w:val="20"/>
                <w:color w:val="auto"/>
              </w:rPr>
            </w:pPr>
            <w:r>
              <w:rPr>
                <w:rFonts w:ascii="Arial" w:cs="Arial" w:eastAsia="Arial" w:hAnsi="Arial"/>
                <w:sz w:val="13"/>
                <w:szCs w:val="13"/>
                <w:b w:val="1"/>
                <w:bCs w:val="1"/>
                <w:color w:val="auto"/>
              </w:rPr>
              <w:t>(I.R.S. Employer</w:t>
            </w:r>
          </w:p>
        </w:tc>
      </w:tr>
      <w:tr>
        <w:trPr>
          <w:trHeight w:val="178"/>
        </w:trPr>
        <w:tc>
          <w:tcPr>
            <w:tcW w:w="4200" w:type="dxa"/>
            <w:vAlign w:val="bottom"/>
          </w:tcPr>
          <w:p>
            <w:pPr>
              <w:jc w:val="center"/>
              <w:ind w:right="1604"/>
              <w:spacing w:after="0"/>
              <w:rPr>
                <w:sz w:val="20"/>
                <w:szCs w:val="20"/>
                <w:color w:val="auto"/>
              </w:rPr>
            </w:pPr>
            <w:r>
              <w:rPr>
                <w:rFonts w:ascii="Arial" w:cs="Arial" w:eastAsia="Arial" w:hAnsi="Arial"/>
                <w:sz w:val="13"/>
                <w:szCs w:val="13"/>
                <w:b w:val="1"/>
                <w:bCs w:val="1"/>
                <w:color w:val="auto"/>
              </w:rPr>
              <w:t>incorporation or organization)</w:t>
            </w:r>
          </w:p>
        </w:tc>
        <w:tc>
          <w:tcPr>
            <w:tcW w:w="2820" w:type="dxa"/>
            <w:vAlign w:val="bottom"/>
          </w:tcPr>
          <w:p>
            <w:pPr>
              <w:jc w:val="center"/>
              <w:ind w:left="1606"/>
              <w:spacing w:after="0"/>
              <w:rPr>
                <w:sz w:val="20"/>
                <w:szCs w:val="20"/>
                <w:color w:val="auto"/>
              </w:rPr>
            </w:pPr>
            <w:r>
              <w:rPr>
                <w:rFonts w:ascii="Arial" w:cs="Arial" w:eastAsia="Arial" w:hAnsi="Arial"/>
                <w:sz w:val="13"/>
                <w:szCs w:val="13"/>
                <w:b w:val="1"/>
                <w:bCs w:val="1"/>
                <w:color w:val="auto"/>
              </w:rPr>
              <w:t>Identification No.)</w:t>
            </w:r>
          </w:p>
        </w:tc>
      </w:tr>
      <w:tr>
        <w:trPr>
          <w:trHeight w:val="368"/>
        </w:trPr>
        <w:tc>
          <w:tcPr>
            <w:tcW w:w="4200" w:type="dxa"/>
            <w:vAlign w:val="bottom"/>
          </w:tcPr>
          <w:p>
            <w:pPr>
              <w:jc w:val="center"/>
              <w:ind w:right="1604"/>
              <w:spacing w:after="0"/>
              <w:rPr>
                <w:sz w:val="20"/>
                <w:szCs w:val="20"/>
                <w:color w:val="auto"/>
              </w:rPr>
            </w:pPr>
            <w:r>
              <w:rPr>
                <w:rFonts w:ascii="Arial" w:cs="Arial" w:eastAsia="Arial" w:hAnsi="Arial"/>
                <w:sz w:val="17"/>
                <w:szCs w:val="17"/>
                <w:b w:val="1"/>
                <w:bCs w:val="1"/>
                <w:color w:val="auto"/>
                <w:w w:val="97"/>
              </w:rPr>
              <w:t>141 Tremont St #10</w:t>
            </w:r>
          </w:p>
        </w:tc>
        <w:tc>
          <w:tcPr>
            <w:tcW w:w="2820" w:type="dxa"/>
            <w:vAlign w:val="bottom"/>
          </w:tcPr>
          <w:p>
            <w:pPr>
              <w:spacing w:after="0"/>
              <w:rPr>
                <w:sz w:val="24"/>
                <w:szCs w:val="24"/>
                <w:color w:val="auto"/>
              </w:rPr>
            </w:pPr>
          </w:p>
        </w:tc>
      </w:tr>
      <w:tr>
        <w:trPr>
          <w:trHeight w:val="211"/>
        </w:trPr>
        <w:tc>
          <w:tcPr>
            <w:tcW w:w="4200" w:type="dxa"/>
            <w:vAlign w:val="bottom"/>
          </w:tcPr>
          <w:p>
            <w:pPr>
              <w:jc w:val="center"/>
              <w:ind w:right="1604"/>
              <w:spacing w:after="0"/>
              <w:rPr>
                <w:sz w:val="20"/>
                <w:szCs w:val="20"/>
                <w:color w:val="auto"/>
              </w:rPr>
            </w:pPr>
            <w:r>
              <w:rPr>
                <w:rFonts w:ascii="Arial" w:cs="Arial" w:eastAsia="Arial" w:hAnsi="Arial"/>
                <w:sz w:val="17"/>
                <w:szCs w:val="17"/>
                <w:b w:val="1"/>
                <w:bCs w:val="1"/>
                <w:color w:val="auto"/>
                <w:w w:val="97"/>
              </w:rPr>
              <w:t>Boston, MA</w:t>
            </w:r>
          </w:p>
        </w:tc>
        <w:tc>
          <w:tcPr>
            <w:tcW w:w="2820" w:type="dxa"/>
            <w:vAlign w:val="bottom"/>
          </w:tcPr>
          <w:p>
            <w:pPr>
              <w:jc w:val="right"/>
              <w:ind w:right="266"/>
              <w:spacing w:after="0"/>
              <w:rPr>
                <w:sz w:val="20"/>
                <w:szCs w:val="20"/>
                <w:color w:val="auto"/>
              </w:rPr>
            </w:pPr>
            <w:r>
              <w:rPr>
                <w:rFonts w:ascii="Arial" w:cs="Arial" w:eastAsia="Arial" w:hAnsi="Arial"/>
                <w:sz w:val="17"/>
                <w:szCs w:val="17"/>
                <w:b w:val="1"/>
                <w:bCs w:val="1"/>
                <w:color w:val="auto"/>
              </w:rPr>
              <w:t>02111</w:t>
            </w:r>
          </w:p>
        </w:tc>
      </w:tr>
      <w:tr>
        <w:trPr>
          <w:trHeight w:val="178"/>
        </w:trPr>
        <w:tc>
          <w:tcPr>
            <w:tcW w:w="4200" w:type="dxa"/>
            <w:vAlign w:val="bottom"/>
          </w:tcPr>
          <w:p>
            <w:pPr>
              <w:jc w:val="center"/>
              <w:ind w:right="1604"/>
              <w:spacing w:after="0"/>
              <w:rPr>
                <w:sz w:val="20"/>
                <w:szCs w:val="20"/>
                <w:color w:val="auto"/>
              </w:rPr>
            </w:pPr>
            <w:r>
              <w:rPr>
                <w:rFonts w:ascii="Arial" w:cs="Arial" w:eastAsia="Arial" w:hAnsi="Arial"/>
                <w:sz w:val="13"/>
                <w:szCs w:val="13"/>
                <w:b w:val="1"/>
                <w:bCs w:val="1"/>
                <w:color w:val="auto"/>
              </w:rPr>
              <w:t>(Address of principal executive offices)</w:t>
            </w:r>
          </w:p>
        </w:tc>
        <w:tc>
          <w:tcPr>
            <w:tcW w:w="2820" w:type="dxa"/>
            <w:vAlign w:val="bottom"/>
          </w:tcPr>
          <w:p>
            <w:pPr>
              <w:jc w:val="center"/>
              <w:ind w:left="1606"/>
              <w:spacing w:after="0"/>
              <w:rPr>
                <w:sz w:val="20"/>
                <w:szCs w:val="20"/>
                <w:color w:val="auto"/>
              </w:rPr>
            </w:pPr>
            <w:r>
              <w:rPr>
                <w:rFonts w:ascii="Arial" w:cs="Arial" w:eastAsia="Arial" w:hAnsi="Arial"/>
                <w:sz w:val="13"/>
                <w:szCs w:val="13"/>
                <w:b w:val="1"/>
                <w:bCs w:val="1"/>
                <w:color w:val="auto"/>
              </w:rPr>
              <w:t>(Zip Code)</w:t>
            </w:r>
          </w:p>
        </w:tc>
      </w:tr>
    </w:tbl>
    <w:p>
      <w:pPr>
        <w:spacing w:after="0" w:line="166" w:lineRule="exact"/>
        <w:rPr>
          <w:sz w:val="24"/>
          <w:szCs w:val="24"/>
          <w:color w:val="auto"/>
        </w:rPr>
      </w:pPr>
    </w:p>
    <w:p>
      <w:pPr>
        <w:ind w:left="2940"/>
        <w:spacing w:after="0"/>
        <w:rPr>
          <w:sz w:val="20"/>
          <w:szCs w:val="20"/>
          <w:color w:val="auto"/>
        </w:rPr>
      </w:pPr>
      <w:r>
        <w:rPr>
          <w:rFonts w:ascii="Arial" w:cs="Arial" w:eastAsia="Arial" w:hAnsi="Arial"/>
          <w:sz w:val="17"/>
          <w:szCs w:val="17"/>
          <w:b w:val="1"/>
          <w:bCs w:val="1"/>
          <w:color w:val="auto"/>
        </w:rPr>
        <w:t>Registrant’s telephone number, including area code: (617) 329-4524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225425</wp:posOffset>
            </wp:positionV>
            <wp:extent cx="1377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left="3320"/>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30" w:lineRule="exact"/>
        <w:rPr>
          <w:sz w:val="24"/>
          <w:szCs w:val="24"/>
          <w:color w:val="auto"/>
        </w:rPr>
      </w:pPr>
    </w:p>
    <w:tbl>
      <w:tblPr>
        <w:tblLayout w:type="fixed"/>
        <w:tblInd w:w="480" w:type="dxa"/>
        <w:tblCellMar>
          <w:top w:w="0" w:type="dxa"/>
          <w:left w:w="0" w:type="dxa"/>
          <w:bottom w:w="0" w:type="dxa"/>
          <w:right w:w="0" w:type="dxa"/>
        </w:tblCellMar>
      </w:tblPr>
      <w:tr>
        <w:trPr>
          <w:trHeight w:val="151"/>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Trading</w:t>
            </w:r>
          </w:p>
        </w:tc>
        <w:tc>
          <w:tcPr>
            <w:tcW w:w="3280" w:type="dxa"/>
            <w:vAlign w:val="bottom"/>
          </w:tcPr>
          <w:p>
            <w:pPr>
              <w:jc w:val="center"/>
              <w:spacing w:after="0"/>
              <w:rPr>
                <w:sz w:val="20"/>
                <w:szCs w:val="20"/>
                <w:color w:val="auto"/>
              </w:rPr>
            </w:pPr>
            <w:r>
              <w:rPr>
                <w:rFonts w:ascii="Arial" w:cs="Arial" w:eastAsia="Arial" w:hAnsi="Arial"/>
                <w:sz w:val="13"/>
                <w:szCs w:val="13"/>
                <w:b w:val="1"/>
                <w:bCs w:val="1"/>
                <w:color w:val="auto"/>
              </w:rPr>
              <w:t>Name of each exchange</w:t>
            </w:r>
          </w:p>
        </w:tc>
      </w:tr>
      <w:tr>
        <w:trPr>
          <w:trHeight w:val="175"/>
        </w:trPr>
        <w:tc>
          <w:tcPr>
            <w:tcW w:w="3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Title of each class</w:t>
            </w:r>
          </w:p>
        </w:tc>
        <w:tc>
          <w:tcPr>
            <w:tcW w:w="3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Symbol(s)</w:t>
            </w:r>
          </w:p>
        </w:tc>
        <w:tc>
          <w:tcPr>
            <w:tcW w:w="3280" w:type="dxa"/>
            <w:vAlign w:val="bottom"/>
          </w:tcPr>
          <w:p>
            <w:pPr>
              <w:jc w:val="center"/>
              <w:spacing w:after="0"/>
              <w:rPr>
                <w:sz w:val="20"/>
                <w:szCs w:val="20"/>
                <w:color w:val="auto"/>
              </w:rPr>
            </w:pPr>
            <w:r>
              <w:rPr>
                <w:rFonts w:ascii="Arial" w:cs="Arial" w:eastAsia="Arial" w:hAnsi="Arial"/>
                <w:sz w:val="13"/>
                <w:szCs w:val="13"/>
                <w:b w:val="1"/>
                <w:bCs w:val="1"/>
                <w:color w:val="auto"/>
              </w:rPr>
              <w:t>on which registered</w:t>
            </w:r>
          </w:p>
        </w:tc>
      </w:tr>
      <w:tr>
        <w:trPr>
          <w:trHeight w:val="161"/>
        </w:trPr>
        <w:tc>
          <w:tcPr>
            <w:tcW w:w="350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7"/>
                <w:szCs w:val="17"/>
                <w:b w:val="1"/>
                <w:bCs w:val="1"/>
                <w:color w:val="auto"/>
                <w:w w:val="98"/>
              </w:rPr>
              <w:t>Voting common stock, $0.0001 par value</w:t>
            </w:r>
          </w:p>
        </w:tc>
        <w:tc>
          <w:tcPr>
            <w:tcW w:w="100" w:type="dxa"/>
            <w:vAlign w:val="bottom"/>
          </w:tcPr>
          <w:p>
            <w:pPr>
              <w:spacing w:after="0"/>
              <w:rPr>
                <w:sz w:val="13"/>
                <w:szCs w:val="13"/>
                <w:color w:val="auto"/>
              </w:rPr>
            </w:pPr>
          </w:p>
        </w:tc>
        <w:tc>
          <w:tcPr>
            <w:tcW w:w="330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7"/>
                <w:szCs w:val="17"/>
                <w:b w:val="1"/>
                <w:bCs w:val="1"/>
                <w:color w:val="auto"/>
                <w:w w:val="95"/>
              </w:rPr>
              <w:t>FLYW</w:t>
            </w:r>
          </w:p>
        </w:tc>
        <w:tc>
          <w:tcPr>
            <w:tcW w:w="100" w:type="dxa"/>
            <w:vAlign w:val="bottom"/>
          </w:tcPr>
          <w:p>
            <w:pPr>
              <w:spacing w:after="0"/>
              <w:rPr>
                <w:sz w:val="13"/>
                <w:szCs w:val="13"/>
                <w:color w:val="auto"/>
              </w:rPr>
            </w:pPr>
          </w:p>
        </w:tc>
        <w:tc>
          <w:tcPr>
            <w:tcW w:w="328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7"/>
                <w:szCs w:val="17"/>
                <w:b w:val="1"/>
                <w:bCs w:val="1"/>
                <w:color w:val="auto"/>
                <w:w w:val="98"/>
              </w:rPr>
              <w:t>The Nasdaq Stock Market LLC</w:t>
            </w:r>
          </w:p>
        </w:tc>
      </w:tr>
      <w:tr>
        <w:trPr>
          <w:trHeight w:val="222"/>
        </w:trPr>
        <w:tc>
          <w:tcPr>
            <w:tcW w:w="36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9"/>
              </w:rPr>
              <w:t>per share</w:t>
            </w: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80" w:type="dxa"/>
            <w:vAlign w:val="bottom"/>
          </w:tcPr>
          <w:p>
            <w:pPr>
              <w:jc w:val="center"/>
              <w:spacing w:after="0"/>
              <w:rPr>
                <w:sz w:val="20"/>
                <w:szCs w:val="20"/>
                <w:color w:val="auto"/>
              </w:rPr>
            </w:pPr>
            <w:r>
              <w:rPr>
                <w:rFonts w:ascii="Arial" w:cs="Arial" w:eastAsia="Arial" w:hAnsi="Arial"/>
                <w:sz w:val="17"/>
                <w:szCs w:val="17"/>
                <w:b w:val="1"/>
                <w:bCs w:val="1"/>
                <w:color w:val="auto"/>
                <w:w w:val="98"/>
              </w:rPr>
              <w:t>(Nasdaq Global Select Market)</w:t>
            </w:r>
          </w:p>
        </w:tc>
      </w:tr>
    </w:tbl>
    <w:p>
      <w:pPr>
        <w:spacing w:after="0" w:line="189" w:lineRule="exact"/>
        <w:rPr>
          <w:sz w:val="24"/>
          <w:szCs w:val="24"/>
          <w:color w:val="auto"/>
        </w:rPr>
      </w:pPr>
    </w:p>
    <w:p>
      <w:pPr>
        <w:ind w:left="480" w:right="40" w:firstLine="411"/>
        <w:spacing w:after="0" w:line="24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ind w:left="480"/>
        <w:spacing w:after="0" w:line="196" w:lineRule="exact"/>
        <w:tabs>
          <w:tab w:leader="none" w:pos="5740" w:val="left"/>
          <w:tab w:leader="none" w:pos="6440" w:val="left"/>
        </w:tabs>
        <w:rPr>
          <w:sz w:val="20"/>
          <w:szCs w:val="20"/>
          <w:color w:val="auto"/>
        </w:rPr>
      </w:pPr>
      <w:r>
        <w:rPr>
          <w:rFonts w:ascii="Arial" w:cs="Arial" w:eastAsia="Arial" w:hAnsi="Arial"/>
          <w:sz w:val="17"/>
          <w:szCs w:val="17"/>
          <w:color w:val="auto"/>
        </w:rPr>
        <w:t>(2) has been subject to such filing requirements for the past 90 days.</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ind w:left="480" w:right="400" w:firstLine="411"/>
        <w:spacing w:after="0" w:line="19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5" w:lineRule="exact"/>
        <w:rPr>
          <w:sz w:val="24"/>
          <w:szCs w:val="24"/>
          <w:color w:val="auto"/>
        </w:rPr>
      </w:pPr>
    </w:p>
    <w:p>
      <w:pPr>
        <w:ind w:left="480" w:right="200" w:firstLine="411"/>
        <w:spacing w:after="0" w:line="23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480" w:type="dxa"/>
        <w:tblCellMar>
          <w:top w:w="0" w:type="dxa"/>
          <w:left w:w="0" w:type="dxa"/>
          <w:bottom w:w="0" w:type="dxa"/>
          <w:right w:w="0" w:type="dxa"/>
        </w:tblCellMar>
      </w:tblPr>
      <w:tr>
        <w:trPr>
          <w:trHeight w:val="264"/>
        </w:trPr>
        <w:tc>
          <w:tcPr>
            <w:tcW w:w="18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5000" w:type="dxa"/>
            <w:vAlign w:val="bottom"/>
          </w:tcPr>
          <w:p>
            <w:pPr>
              <w:ind w:left="2800"/>
              <w:spacing w:after="0"/>
              <w:rPr>
                <w:sz w:val="20"/>
                <w:szCs w:val="20"/>
                <w:color w:val="auto"/>
              </w:rPr>
            </w:pPr>
            <w:r>
              <w:rPr>
                <w:rFonts w:ascii="Arial" w:cs="Arial" w:eastAsia="Arial" w:hAnsi="Arial"/>
                <w:sz w:val="17"/>
                <w:szCs w:val="17"/>
                <w:color w:val="auto"/>
              </w:rPr>
              <w:t>Accelerated filer</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3"/>
        </w:trPr>
        <w:tc>
          <w:tcPr>
            <w:tcW w:w="1820" w:type="dxa"/>
            <w:vAlign w:val="bottom"/>
          </w:tcPr>
          <w:p>
            <w:pPr>
              <w:spacing w:after="0"/>
              <w:rPr>
                <w:sz w:val="20"/>
                <w:szCs w:val="20"/>
                <w:color w:val="auto"/>
              </w:rPr>
            </w:pPr>
            <w:r>
              <w:rPr>
                <w:rFonts w:ascii="Arial" w:cs="Arial" w:eastAsia="Arial" w:hAnsi="Arial"/>
                <w:sz w:val="17"/>
                <w:szCs w:val="17"/>
                <w:color w:val="auto"/>
              </w:rPr>
              <w:t>Non-accelerated filer</w:t>
            </w:r>
          </w:p>
        </w:tc>
        <w:tc>
          <w:tcPr>
            <w:tcW w:w="31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5000" w:type="dxa"/>
            <w:vAlign w:val="bottom"/>
          </w:tcPr>
          <w:p>
            <w:pPr>
              <w:ind w:left="2800"/>
              <w:spacing w:after="0"/>
              <w:rPr>
                <w:sz w:val="20"/>
                <w:szCs w:val="20"/>
                <w:color w:val="auto"/>
              </w:rPr>
            </w:pPr>
            <w:r>
              <w:rPr>
                <w:rFonts w:ascii="Arial" w:cs="Arial" w:eastAsia="Arial" w:hAnsi="Arial"/>
                <w:sz w:val="17"/>
                <w:szCs w:val="17"/>
                <w:color w:val="auto"/>
              </w:rPr>
              <w:t>Smaller reporting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3"/>
        </w:trPr>
        <w:tc>
          <w:tcPr>
            <w:tcW w:w="18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00" w:type="dxa"/>
            <w:vAlign w:val="bottom"/>
          </w:tcPr>
          <w:p>
            <w:pPr>
              <w:ind w:left="2800"/>
              <w:spacing w:after="0"/>
              <w:rPr>
                <w:sz w:val="20"/>
                <w:szCs w:val="20"/>
                <w:color w:val="auto"/>
              </w:rPr>
            </w:pPr>
            <w:r>
              <w:rPr>
                <w:rFonts w:ascii="Arial" w:cs="Arial" w:eastAsia="Arial" w:hAnsi="Arial"/>
                <w:sz w:val="17"/>
                <w:szCs w:val="17"/>
                <w:color w:val="auto"/>
              </w:rPr>
              <w:t>Emerging growth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83" w:lineRule="exact"/>
        <w:rPr>
          <w:sz w:val="24"/>
          <w:szCs w:val="24"/>
          <w:color w:val="auto"/>
        </w:rPr>
      </w:pPr>
    </w:p>
    <w:p>
      <w:pPr>
        <w:ind w:left="480" w:right="380" w:firstLine="411"/>
        <w:spacing w:after="0" w:line="20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0" w:lineRule="exact"/>
        <w:rPr>
          <w:sz w:val="24"/>
          <w:szCs w:val="24"/>
          <w:color w:val="auto"/>
        </w:rPr>
      </w:pPr>
    </w:p>
    <w:p>
      <w:pPr>
        <w:ind w:left="900"/>
        <w:spacing w:after="0" w:line="196" w:lineRule="exact"/>
        <w:tabs>
          <w:tab w:leader="none" w:pos="9460" w:val="left"/>
          <w:tab w:leader="none" w:pos="101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52" w:lineRule="exact"/>
        <w:rPr>
          <w:sz w:val="24"/>
          <w:szCs w:val="24"/>
          <w:color w:val="auto"/>
        </w:rPr>
      </w:pPr>
    </w:p>
    <w:p>
      <w:pPr>
        <w:ind w:left="480" w:right="80" w:firstLine="411"/>
        <w:spacing w:after="0"/>
        <w:rPr>
          <w:sz w:val="20"/>
          <w:szCs w:val="20"/>
          <w:color w:val="auto"/>
        </w:rPr>
      </w:pPr>
      <w:r>
        <w:rPr>
          <w:rFonts w:ascii="Arial" w:cs="Arial" w:eastAsia="Arial" w:hAnsi="Arial"/>
          <w:sz w:val="17"/>
          <w:szCs w:val="17"/>
          <w:color w:val="auto"/>
        </w:rPr>
        <w:t>As of August 11, 2021, the registrant had 98,829,293 shares of voting common stock, $0.0001 par value per share, outstanding and 5,988,378 shares of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wp:posOffset>
            </wp:positionH>
            <wp:positionV relativeFrom="paragraph">
              <wp:posOffset>128270</wp:posOffset>
            </wp:positionV>
            <wp:extent cx="6532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28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168275</wp:posOffset>
            </wp:positionV>
            <wp:extent cx="65328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32880" cy="8255"/>
                    </a:xfrm>
                    <a:prstGeom prst="rect">
                      <a:avLst/>
                    </a:prstGeom>
                    <a:noFill/>
                  </pic:spPr>
                </pic:pic>
              </a:graphicData>
            </a:graphic>
          </wp:anchor>
        </w:drawing>
      </w:r>
    </w:p>
    <w:p>
      <w:pPr>
        <w:sectPr>
          <w:pgSz w:w="11900" w:h="16838" w:orient="portrait"/>
          <w:cols w:equalWidth="0" w:num="1">
            <w:col w:w="10760"/>
          </w:cols>
          <w:pgMar w:left="320" w:top="224" w:right="819" w:bottom="59"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Table of Contents</w:t>
      </w:r>
    </w:p>
    <w:p>
      <w:pPr>
        <w:spacing w:after="0" w:line="242" w:lineRule="exact"/>
        <w:rPr>
          <w:sz w:val="20"/>
          <w:szCs w:val="20"/>
          <w:color w:val="auto"/>
        </w:rPr>
      </w:pPr>
    </w:p>
    <w:tbl>
      <w:tblPr>
        <w:tblLayout w:type="fixed"/>
        <w:tblInd w:w="480" w:type="dxa"/>
        <w:tblCellMar>
          <w:top w:w="0" w:type="dxa"/>
          <w:left w:w="0" w:type="dxa"/>
          <w:bottom w:w="0" w:type="dxa"/>
          <w:right w:w="0" w:type="dxa"/>
        </w:tblCellMar>
      </w:tblPr>
      <w:tr>
        <w:trPr>
          <w:trHeight w:val="163"/>
        </w:trPr>
        <w:tc>
          <w:tcPr>
            <w:tcW w:w="10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PART I.</w:t>
            </w:r>
          </w:p>
        </w:tc>
        <w:tc>
          <w:tcPr>
            <w:tcW w:w="2100" w:type="dxa"/>
            <w:vAlign w:val="bottom"/>
            <w:gridSpan w:val="8"/>
            <w:vMerge w:val="restart"/>
          </w:tcPr>
          <w:p>
            <w:pPr>
              <w:spacing w:after="0"/>
              <w:rPr>
                <w:rFonts w:ascii="Arial" w:cs="Arial" w:eastAsia="Arial" w:hAnsi="Arial"/>
                <w:sz w:val="17"/>
                <w:szCs w:val="17"/>
                <w:color w:val="0000EE"/>
                <w:w w:val="97"/>
              </w:rPr>
            </w:pPr>
            <w:hyperlink w:anchor="page5">
              <w:r>
                <w:rPr>
                  <w:rFonts w:ascii="Arial" w:cs="Arial" w:eastAsia="Arial" w:hAnsi="Arial"/>
                  <w:sz w:val="17"/>
                  <w:szCs w:val="17"/>
                  <w:color w:val="0000EE"/>
                  <w:w w:val="97"/>
                </w:rPr>
                <w:t>FINANCIAL INFORMATION</w:t>
              </w:r>
            </w:hyperlink>
          </w:p>
        </w:tc>
        <w:tc>
          <w:tcPr>
            <w:tcW w:w="6800" w:type="dxa"/>
            <w:vAlign w:val="bottom"/>
            <w:gridSpan w:val="12"/>
            <w:vMerge w:val="restart"/>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2"/>
        </w:trPr>
        <w:tc>
          <w:tcPr>
            <w:tcW w:w="1000" w:type="dxa"/>
            <w:vAlign w:val="bottom"/>
            <w:gridSpan w:val="2"/>
            <w:vMerge w:val="continue"/>
          </w:tcPr>
          <w:p>
            <w:pPr>
              <w:spacing w:after="0"/>
              <w:rPr>
                <w:sz w:val="13"/>
                <w:szCs w:val="13"/>
                <w:color w:val="auto"/>
              </w:rPr>
            </w:pPr>
          </w:p>
        </w:tc>
        <w:tc>
          <w:tcPr>
            <w:tcW w:w="2100" w:type="dxa"/>
            <w:vAlign w:val="bottom"/>
            <w:tcBorders>
              <w:bottom w:val="single" w:sz="8" w:color="0000EE"/>
            </w:tcBorders>
            <w:gridSpan w:val="8"/>
            <w:vMerge w:val="continue"/>
          </w:tcPr>
          <w:p>
            <w:pPr>
              <w:spacing w:after="0"/>
              <w:rPr>
                <w:sz w:val="13"/>
                <w:szCs w:val="13"/>
                <w:color w:val="auto"/>
              </w:rPr>
            </w:pPr>
          </w:p>
        </w:tc>
        <w:tc>
          <w:tcPr>
            <w:tcW w:w="6800" w:type="dxa"/>
            <w:vAlign w:val="bottom"/>
            <w:gridSpan w:val="12"/>
            <w:vMerge w:val="continue"/>
          </w:tcPr>
          <w:p>
            <w:pPr>
              <w:spacing w:after="0"/>
              <w:rPr>
                <w:sz w:val="13"/>
                <w:szCs w:val="13"/>
                <w:color w:val="auto"/>
              </w:rPr>
            </w:pPr>
          </w:p>
        </w:tc>
        <w:tc>
          <w:tcPr>
            <w:tcW w:w="340" w:type="dxa"/>
            <w:vAlign w:val="bottom"/>
          </w:tcPr>
          <w:p>
            <w:pPr>
              <w:jc w:val="right"/>
              <w:spacing w:after="0" w:line="157"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69"/>
        </w:trPr>
        <w:tc>
          <w:tcPr>
            <w:tcW w:w="1000" w:type="dxa"/>
            <w:vAlign w:val="bottom"/>
            <w:gridSpan w:val="2"/>
          </w:tcPr>
          <w:p>
            <w:pPr>
              <w:spacing w:after="0" w:line="169" w:lineRule="exact"/>
              <w:rPr>
                <w:sz w:val="20"/>
                <w:szCs w:val="20"/>
                <w:color w:val="auto"/>
              </w:rPr>
            </w:pPr>
            <w:r>
              <w:rPr>
                <w:rFonts w:ascii="Arial" w:cs="Arial" w:eastAsia="Arial" w:hAnsi="Arial"/>
                <w:sz w:val="17"/>
                <w:szCs w:val="17"/>
                <w:color w:val="auto"/>
              </w:rPr>
              <w:t>Item 1.</w:t>
            </w:r>
          </w:p>
        </w:tc>
        <w:tc>
          <w:tcPr>
            <w:tcW w:w="8900" w:type="dxa"/>
            <w:vAlign w:val="bottom"/>
            <w:gridSpan w:val="20"/>
          </w:tcPr>
          <w:p>
            <w:pPr>
              <w:spacing w:after="0" w:line="169" w:lineRule="exact"/>
              <w:rPr>
                <w:rFonts w:ascii="Arial" w:cs="Arial" w:eastAsia="Arial" w:hAnsi="Arial"/>
                <w:sz w:val="17"/>
                <w:szCs w:val="17"/>
                <w:color w:val="0000EE"/>
              </w:rPr>
            </w:pPr>
            <w:hyperlink w:anchor="page5">
              <w:r>
                <w:rPr>
                  <w:rFonts w:ascii="Arial" w:cs="Arial" w:eastAsia="Arial" w:hAnsi="Arial"/>
                  <w:sz w:val="17"/>
                  <w:szCs w:val="17"/>
                  <w:color w:val="0000EE"/>
                </w:rPr>
                <w:t>Financial Statements (Unaudited)</w:t>
              </w:r>
            </w:hyperlink>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tcBorders>
              <w:bottom w:val="single" w:sz="8" w:color="0000EE"/>
            </w:tcBorders>
            <w:gridSpan w:val="12"/>
          </w:tcPr>
          <w:p>
            <w:pPr>
              <w:spacing w:after="0" w:line="169" w:lineRule="exact"/>
              <w:rPr>
                <w:rFonts w:ascii="Arial" w:cs="Arial" w:eastAsia="Arial" w:hAnsi="Arial"/>
                <w:sz w:val="17"/>
                <w:szCs w:val="17"/>
                <w:color w:val="0000EE"/>
                <w:w w:val="98"/>
              </w:rPr>
            </w:pPr>
            <w:hyperlink w:anchor="page5">
              <w:r>
                <w:rPr>
                  <w:rFonts w:ascii="Arial" w:cs="Arial" w:eastAsia="Arial" w:hAnsi="Arial"/>
                  <w:sz w:val="17"/>
                  <w:szCs w:val="17"/>
                  <w:color w:val="0000EE"/>
                  <w:w w:val="98"/>
                </w:rPr>
                <w:t>Condensed Consolidated Balance Sheets</w:t>
              </w:r>
            </w:hyperlink>
          </w:p>
        </w:tc>
        <w:tc>
          <w:tcPr>
            <w:tcW w:w="5780" w:type="dxa"/>
            <w:vAlign w:val="bottom"/>
            <w:gridSpan w:val="8"/>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920" w:type="dxa"/>
            <w:vAlign w:val="bottom"/>
            <w:tcBorders>
              <w:bottom w:val="single" w:sz="8" w:color="0000EE"/>
            </w:tcBorders>
            <w:gridSpan w:val="17"/>
          </w:tcPr>
          <w:p>
            <w:pPr>
              <w:spacing w:after="0" w:line="169" w:lineRule="exact"/>
              <w:rPr>
                <w:rFonts w:ascii="Arial" w:cs="Arial" w:eastAsia="Arial" w:hAnsi="Arial"/>
                <w:sz w:val="17"/>
                <w:szCs w:val="17"/>
                <w:color w:val="0000EE"/>
                <w:w w:val="98"/>
              </w:rPr>
            </w:pPr>
            <w:hyperlink w:anchor="page6">
              <w:r>
                <w:rPr>
                  <w:rFonts w:ascii="Arial" w:cs="Arial" w:eastAsia="Arial" w:hAnsi="Arial"/>
                  <w:sz w:val="17"/>
                  <w:szCs w:val="17"/>
                  <w:color w:val="0000EE"/>
                  <w:w w:val="98"/>
                </w:rPr>
                <w:t>Condensed Consolidated Statements of Operations and Comprehensive (Loss)</w:t>
              </w:r>
            </w:hyperlink>
          </w:p>
        </w:tc>
        <w:tc>
          <w:tcPr>
            <w:tcW w:w="2980" w:type="dxa"/>
            <w:vAlign w:val="bottom"/>
            <w:gridSpan w:val="3"/>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80" w:type="dxa"/>
            <w:vAlign w:val="bottom"/>
            <w:tcBorders>
              <w:bottom w:val="single" w:sz="8" w:color="0000EE"/>
            </w:tcBorders>
            <w:gridSpan w:val="19"/>
          </w:tcPr>
          <w:p>
            <w:pPr>
              <w:spacing w:after="0" w:line="169" w:lineRule="exact"/>
              <w:rPr>
                <w:rFonts w:ascii="Arial" w:cs="Arial" w:eastAsia="Arial" w:hAnsi="Arial"/>
                <w:sz w:val="17"/>
                <w:szCs w:val="17"/>
                <w:color w:val="0000EE"/>
                <w:w w:val="98"/>
              </w:rPr>
            </w:pPr>
            <w:hyperlink w:anchor="page7">
              <w:r>
                <w:rPr>
                  <w:rFonts w:ascii="Arial" w:cs="Arial" w:eastAsia="Arial" w:hAnsi="Arial"/>
                  <w:sz w:val="17"/>
                  <w:szCs w:val="17"/>
                  <w:color w:val="0000EE"/>
                  <w:w w:val="98"/>
                </w:rPr>
                <w:t>Condensed Consolidated Statements of Convertible Preferred Stock, Redeemable Convertible Preferred Stock and</w:t>
              </w:r>
            </w:hyperlink>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tcBorders>
              <w:bottom w:val="single" w:sz="8" w:color="0000EE"/>
            </w:tcBorders>
            <w:gridSpan w:val="9"/>
          </w:tcPr>
          <w:p>
            <w:pPr>
              <w:spacing w:after="0" w:line="169" w:lineRule="exact"/>
              <w:rPr>
                <w:rFonts w:ascii="Arial" w:cs="Arial" w:eastAsia="Arial" w:hAnsi="Arial"/>
                <w:sz w:val="17"/>
                <w:szCs w:val="17"/>
                <w:color w:val="0000EE"/>
                <w:w w:val="98"/>
              </w:rPr>
            </w:pPr>
            <w:hyperlink w:anchor="page7">
              <w:r>
                <w:rPr>
                  <w:rFonts w:ascii="Arial" w:cs="Arial" w:eastAsia="Arial" w:hAnsi="Arial"/>
                  <w:sz w:val="17"/>
                  <w:szCs w:val="17"/>
                  <w:color w:val="0000EE"/>
                  <w:w w:val="98"/>
                </w:rPr>
                <w:t>Stockholders’ Equity (Deficit)</w:t>
              </w:r>
            </w:hyperlink>
          </w:p>
        </w:tc>
        <w:tc>
          <w:tcPr>
            <w:tcW w:w="6740" w:type="dxa"/>
            <w:vAlign w:val="bottom"/>
            <w:gridSpan w:val="11"/>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900" w:type="dxa"/>
            <w:vAlign w:val="bottom"/>
            <w:gridSpan w:val="20"/>
          </w:tcPr>
          <w:p>
            <w:pPr>
              <w:spacing w:after="0" w:line="169" w:lineRule="exact"/>
              <w:rPr>
                <w:rFonts w:ascii="Arial" w:cs="Arial" w:eastAsia="Arial" w:hAnsi="Arial"/>
                <w:sz w:val="17"/>
                <w:szCs w:val="17"/>
                <w:color w:val="0000EE"/>
              </w:rPr>
            </w:pPr>
            <w:hyperlink w:anchor="page10">
              <w:r>
                <w:rPr>
                  <w:rFonts w:ascii="Arial" w:cs="Arial" w:eastAsia="Arial" w:hAnsi="Arial"/>
                  <w:sz w:val="17"/>
                  <w:szCs w:val="17"/>
                  <w:color w:val="0000EE"/>
                </w:rPr>
                <w:t>Condensed Consolidated Statements of Cash Flows</w:t>
              </w:r>
            </w:hyperlink>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900" w:type="dxa"/>
            <w:vAlign w:val="bottom"/>
            <w:gridSpan w:val="20"/>
          </w:tcPr>
          <w:p>
            <w:pPr>
              <w:spacing w:after="0" w:line="169" w:lineRule="exact"/>
              <w:rPr>
                <w:rFonts w:ascii="Arial" w:cs="Arial" w:eastAsia="Arial" w:hAnsi="Arial"/>
                <w:sz w:val="17"/>
                <w:szCs w:val="17"/>
                <w:color w:val="0000EE"/>
              </w:rPr>
            </w:pPr>
            <w:hyperlink w:anchor="page12">
              <w:r>
                <w:rPr>
                  <w:rFonts w:ascii="Arial" w:cs="Arial" w:eastAsia="Arial" w:hAnsi="Arial"/>
                  <w:sz w:val="17"/>
                  <w:szCs w:val="17"/>
                  <w:color w:val="0000EE"/>
                </w:rPr>
                <w:t>Notes to Condensed Consolidated Financial Statements</w:t>
              </w:r>
            </w:hyperlink>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gridSpan w:val="2"/>
          </w:tcPr>
          <w:p>
            <w:pPr>
              <w:spacing w:after="0" w:line="169" w:lineRule="exact"/>
              <w:rPr>
                <w:sz w:val="20"/>
                <w:szCs w:val="20"/>
                <w:color w:val="auto"/>
              </w:rPr>
            </w:pPr>
            <w:r>
              <w:rPr>
                <w:rFonts w:ascii="Arial" w:cs="Arial" w:eastAsia="Arial" w:hAnsi="Arial"/>
                <w:sz w:val="17"/>
                <w:szCs w:val="17"/>
                <w:color w:val="auto"/>
              </w:rPr>
              <w:t>Item 2.</w:t>
            </w:r>
          </w:p>
        </w:tc>
        <w:tc>
          <w:tcPr>
            <w:tcW w:w="6620" w:type="dxa"/>
            <w:vAlign w:val="bottom"/>
            <w:tcBorders>
              <w:bottom w:val="single" w:sz="8" w:color="0000EE"/>
            </w:tcBorders>
            <w:gridSpan w:val="18"/>
          </w:tcPr>
          <w:p>
            <w:pPr>
              <w:spacing w:after="0" w:line="169" w:lineRule="exact"/>
              <w:rPr>
                <w:rFonts w:ascii="Arial" w:cs="Arial" w:eastAsia="Arial" w:hAnsi="Arial"/>
                <w:sz w:val="17"/>
                <w:szCs w:val="17"/>
                <w:color w:val="0000EE"/>
                <w:w w:val="98"/>
              </w:rPr>
            </w:pPr>
            <w:hyperlink w:anchor="page30">
              <w:r>
                <w:rPr>
                  <w:rFonts w:ascii="Arial" w:cs="Arial" w:eastAsia="Arial" w:hAnsi="Arial"/>
                  <w:sz w:val="17"/>
                  <w:szCs w:val="17"/>
                  <w:color w:val="0000EE"/>
                  <w:w w:val="98"/>
                </w:rPr>
                <w:t>Management’s Discussion and Analysis of Financial Condition and Results of Operations</w:t>
              </w:r>
            </w:hyperlink>
          </w:p>
        </w:tc>
        <w:tc>
          <w:tcPr>
            <w:tcW w:w="2280" w:type="dxa"/>
            <w:vAlign w:val="bottom"/>
            <w:gridSpan w:val="2"/>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169"/>
        </w:trPr>
        <w:tc>
          <w:tcPr>
            <w:tcW w:w="1000" w:type="dxa"/>
            <w:vAlign w:val="bottom"/>
            <w:gridSpan w:val="2"/>
          </w:tcPr>
          <w:p>
            <w:pPr>
              <w:spacing w:after="0" w:line="169" w:lineRule="exact"/>
              <w:rPr>
                <w:sz w:val="20"/>
                <w:szCs w:val="20"/>
                <w:color w:val="auto"/>
              </w:rPr>
            </w:pPr>
            <w:r>
              <w:rPr>
                <w:rFonts w:ascii="Arial" w:cs="Arial" w:eastAsia="Arial" w:hAnsi="Arial"/>
                <w:sz w:val="17"/>
                <w:szCs w:val="17"/>
                <w:color w:val="auto"/>
              </w:rPr>
              <w:t>Item 3.</w:t>
            </w:r>
          </w:p>
        </w:tc>
        <w:tc>
          <w:tcPr>
            <w:tcW w:w="8900" w:type="dxa"/>
            <w:vAlign w:val="bottom"/>
            <w:gridSpan w:val="20"/>
          </w:tcPr>
          <w:p>
            <w:pPr>
              <w:spacing w:after="0" w:line="169" w:lineRule="exact"/>
              <w:rPr>
                <w:rFonts w:ascii="Arial" w:cs="Arial" w:eastAsia="Arial" w:hAnsi="Arial"/>
                <w:sz w:val="17"/>
                <w:szCs w:val="17"/>
                <w:color w:val="0000EE"/>
              </w:rPr>
            </w:pPr>
            <w:hyperlink w:anchor="page47">
              <w:r>
                <w:rPr>
                  <w:rFonts w:ascii="Arial" w:cs="Arial" w:eastAsia="Arial" w:hAnsi="Arial"/>
                  <w:sz w:val="17"/>
                  <w:szCs w:val="17"/>
                  <w:color w:val="0000EE"/>
                </w:rPr>
                <w:t>Quantitative and Qualitative Disclosures About Market Risk</w:t>
              </w:r>
            </w:hyperlink>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69"/>
        </w:trPr>
        <w:tc>
          <w:tcPr>
            <w:tcW w:w="1000" w:type="dxa"/>
            <w:vAlign w:val="bottom"/>
            <w:gridSpan w:val="2"/>
          </w:tcPr>
          <w:p>
            <w:pPr>
              <w:spacing w:after="0" w:line="169" w:lineRule="exact"/>
              <w:rPr>
                <w:sz w:val="20"/>
                <w:szCs w:val="20"/>
                <w:color w:val="auto"/>
              </w:rPr>
            </w:pPr>
            <w:r>
              <w:rPr>
                <w:rFonts w:ascii="Arial" w:cs="Arial" w:eastAsia="Arial" w:hAnsi="Arial"/>
                <w:sz w:val="17"/>
                <w:szCs w:val="17"/>
                <w:color w:val="auto"/>
              </w:rPr>
              <w:t>Item 4.</w:t>
            </w:r>
          </w:p>
        </w:tc>
        <w:tc>
          <w:tcPr>
            <w:tcW w:w="4400" w:type="dxa"/>
            <w:vAlign w:val="bottom"/>
            <w:tcBorders>
              <w:top w:val="single" w:sz="8" w:color="0000EE"/>
            </w:tcBorders>
            <w:gridSpan w:val="15"/>
          </w:tcPr>
          <w:p>
            <w:pPr>
              <w:spacing w:after="0" w:line="169" w:lineRule="exact"/>
              <w:rPr>
                <w:rFonts w:ascii="Arial" w:cs="Arial" w:eastAsia="Arial" w:hAnsi="Arial"/>
                <w:sz w:val="17"/>
                <w:szCs w:val="17"/>
                <w:color w:val="0000EE"/>
              </w:rPr>
            </w:pPr>
            <w:hyperlink w:anchor="page47">
              <w:r>
                <w:rPr>
                  <w:rFonts w:ascii="Arial" w:cs="Arial" w:eastAsia="Arial" w:hAnsi="Arial"/>
                  <w:sz w:val="17"/>
                  <w:szCs w:val="17"/>
                  <w:color w:val="0000EE"/>
                </w:rPr>
                <w:t>Controls and Procedures</w:t>
              </w:r>
            </w:hyperlink>
          </w:p>
        </w:tc>
        <w:tc>
          <w:tcPr>
            <w:tcW w:w="4500" w:type="dxa"/>
            <w:vAlign w:val="bottom"/>
            <w:gridSpan w:val="5"/>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69"/>
        </w:trPr>
        <w:tc>
          <w:tcPr>
            <w:tcW w:w="1000" w:type="dxa"/>
            <w:vAlign w:val="bottom"/>
            <w:gridSpan w:val="2"/>
          </w:tcPr>
          <w:p>
            <w:pPr>
              <w:spacing w:after="0" w:line="169" w:lineRule="exact"/>
              <w:rPr>
                <w:sz w:val="20"/>
                <w:szCs w:val="20"/>
                <w:color w:val="auto"/>
              </w:rPr>
            </w:pPr>
            <w:r>
              <w:rPr>
                <w:rFonts w:ascii="Arial" w:cs="Arial" w:eastAsia="Arial" w:hAnsi="Arial"/>
                <w:sz w:val="17"/>
                <w:szCs w:val="17"/>
                <w:b w:val="1"/>
                <w:bCs w:val="1"/>
                <w:color w:val="auto"/>
              </w:rPr>
              <w:t>PART II.</w:t>
            </w:r>
          </w:p>
        </w:tc>
        <w:tc>
          <w:tcPr>
            <w:tcW w:w="1860" w:type="dxa"/>
            <w:vAlign w:val="bottom"/>
            <w:tcBorders>
              <w:top w:val="single" w:sz="8" w:color="0000EE"/>
            </w:tcBorders>
            <w:gridSpan w:val="7"/>
          </w:tcPr>
          <w:p>
            <w:pPr>
              <w:spacing w:after="0" w:line="169" w:lineRule="exact"/>
              <w:rPr>
                <w:rFonts w:ascii="Arial" w:cs="Arial" w:eastAsia="Arial" w:hAnsi="Arial"/>
                <w:sz w:val="17"/>
                <w:szCs w:val="17"/>
                <w:color w:val="0000EE"/>
              </w:rPr>
            </w:pPr>
            <w:hyperlink w:anchor="page48">
              <w:r>
                <w:rPr>
                  <w:rFonts w:ascii="Arial" w:cs="Arial" w:eastAsia="Arial" w:hAnsi="Arial"/>
                  <w:sz w:val="17"/>
                  <w:szCs w:val="17"/>
                  <w:color w:val="0000EE"/>
                </w:rPr>
                <w:t>OTHER INFORMATION</w:t>
              </w:r>
            </w:hyperlink>
          </w:p>
        </w:tc>
        <w:tc>
          <w:tcPr>
            <w:tcW w:w="7040" w:type="dxa"/>
            <w:vAlign w:val="bottom"/>
            <w:gridSpan w:val="13"/>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69"/>
        </w:trPr>
        <w:tc>
          <w:tcPr>
            <w:tcW w:w="1000" w:type="dxa"/>
            <w:vAlign w:val="bottom"/>
            <w:gridSpan w:val="2"/>
          </w:tcPr>
          <w:p>
            <w:pPr>
              <w:spacing w:after="0" w:line="169" w:lineRule="exact"/>
              <w:rPr>
                <w:sz w:val="20"/>
                <w:szCs w:val="20"/>
                <w:color w:val="auto"/>
              </w:rPr>
            </w:pPr>
            <w:r>
              <w:rPr>
                <w:rFonts w:ascii="Arial" w:cs="Arial" w:eastAsia="Arial" w:hAnsi="Arial"/>
                <w:sz w:val="17"/>
                <w:szCs w:val="17"/>
                <w:color w:val="auto"/>
              </w:rPr>
              <w:t>Item 1.</w:t>
            </w:r>
          </w:p>
        </w:tc>
        <w:tc>
          <w:tcPr>
            <w:tcW w:w="1800" w:type="dxa"/>
            <w:vAlign w:val="bottom"/>
            <w:tcBorders>
              <w:top w:val="single" w:sz="8" w:color="0000EE"/>
            </w:tcBorders>
            <w:gridSpan w:val="5"/>
          </w:tcPr>
          <w:p>
            <w:pPr>
              <w:spacing w:after="0" w:line="169" w:lineRule="exact"/>
              <w:rPr>
                <w:rFonts w:ascii="Arial" w:cs="Arial" w:eastAsia="Arial" w:hAnsi="Arial"/>
                <w:sz w:val="17"/>
                <w:szCs w:val="17"/>
                <w:color w:val="0000EE"/>
              </w:rPr>
            </w:pPr>
            <w:hyperlink w:anchor="page48">
              <w:r>
                <w:rPr>
                  <w:rFonts w:ascii="Arial" w:cs="Arial" w:eastAsia="Arial" w:hAnsi="Arial"/>
                  <w:sz w:val="17"/>
                  <w:szCs w:val="17"/>
                  <w:color w:val="0000EE"/>
                </w:rPr>
                <w:t>Legal Proceedings</w:t>
              </w:r>
            </w:hyperlink>
          </w:p>
        </w:tc>
        <w:tc>
          <w:tcPr>
            <w:tcW w:w="7100" w:type="dxa"/>
            <w:vAlign w:val="bottom"/>
            <w:gridSpan w:val="15"/>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69"/>
        </w:trPr>
        <w:tc>
          <w:tcPr>
            <w:tcW w:w="1000" w:type="dxa"/>
            <w:vAlign w:val="bottom"/>
            <w:gridSpan w:val="2"/>
          </w:tcPr>
          <w:p>
            <w:pPr>
              <w:spacing w:after="0" w:line="169" w:lineRule="exact"/>
              <w:rPr>
                <w:sz w:val="20"/>
                <w:szCs w:val="20"/>
                <w:color w:val="auto"/>
              </w:rPr>
            </w:pPr>
            <w:r>
              <w:rPr>
                <w:rFonts w:ascii="Arial" w:cs="Arial" w:eastAsia="Arial" w:hAnsi="Arial"/>
                <w:sz w:val="17"/>
                <w:szCs w:val="17"/>
                <w:color w:val="auto"/>
              </w:rPr>
              <w:t>Item 1A.</w:t>
            </w:r>
          </w:p>
        </w:tc>
        <w:tc>
          <w:tcPr>
            <w:tcW w:w="1400" w:type="dxa"/>
            <w:vAlign w:val="bottom"/>
            <w:tcBorders>
              <w:top w:val="single" w:sz="8" w:color="0000EE"/>
            </w:tcBorders>
            <w:gridSpan w:val="4"/>
          </w:tcPr>
          <w:p>
            <w:pPr>
              <w:spacing w:after="0" w:line="169" w:lineRule="exact"/>
              <w:rPr>
                <w:rFonts w:ascii="Arial" w:cs="Arial" w:eastAsia="Arial" w:hAnsi="Arial"/>
                <w:sz w:val="17"/>
                <w:szCs w:val="17"/>
                <w:color w:val="0000EE"/>
              </w:rPr>
            </w:pPr>
            <w:hyperlink w:anchor="page48">
              <w:r>
                <w:rPr>
                  <w:rFonts w:ascii="Arial" w:cs="Arial" w:eastAsia="Arial" w:hAnsi="Arial"/>
                  <w:sz w:val="17"/>
                  <w:szCs w:val="17"/>
                  <w:color w:val="0000EE"/>
                </w:rPr>
                <w:t>Risk Factors</w:t>
              </w:r>
            </w:hyperlink>
          </w:p>
        </w:tc>
        <w:tc>
          <w:tcPr>
            <w:tcW w:w="7500" w:type="dxa"/>
            <w:vAlign w:val="bottom"/>
            <w:gridSpan w:val="16"/>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gridSpan w:val="2"/>
          </w:tcPr>
          <w:p>
            <w:pPr>
              <w:spacing w:after="0" w:line="169" w:lineRule="exact"/>
              <w:rPr>
                <w:sz w:val="20"/>
                <w:szCs w:val="20"/>
                <w:color w:val="auto"/>
              </w:rPr>
            </w:pPr>
            <w:r>
              <w:rPr>
                <w:rFonts w:ascii="Arial" w:cs="Arial" w:eastAsia="Arial" w:hAnsi="Arial"/>
                <w:sz w:val="17"/>
                <w:szCs w:val="17"/>
                <w:color w:val="auto"/>
              </w:rPr>
              <w:t>Item 2.</w:t>
            </w:r>
          </w:p>
        </w:tc>
        <w:tc>
          <w:tcPr>
            <w:tcW w:w="4540" w:type="dxa"/>
            <w:vAlign w:val="bottom"/>
            <w:tcBorders>
              <w:bottom w:val="single" w:sz="8" w:color="0000EE"/>
            </w:tcBorders>
            <w:gridSpan w:val="16"/>
          </w:tcPr>
          <w:p>
            <w:pPr>
              <w:spacing w:after="0" w:line="169" w:lineRule="exact"/>
              <w:rPr>
                <w:rFonts w:ascii="Arial" w:cs="Arial" w:eastAsia="Arial" w:hAnsi="Arial"/>
                <w:sz w:val="17"/>
                <w:szCs w:val="17"/>
                <w:color w:val="0000EE"/>
                <w:w w:val="98"/>
              </w:rPr>
            </w:pPr>
            <w:hyperlink w:anchor="page85">
              <w:r>
                <w:rPr>
                  <w:rFonts w:ascii="Arial" w:cs="Arial" w:eastAsia="Arial" w:hAnsi="Arial"/>
                  <w:sz w:val="17"/>
                  <w:szCs w:val="17"/>
                  <w:color w:val="0000EE"/>
                  <w:w w:val="98"/>
                </w:rPr>
                <w:t>Unregistered Sales of Equity Securities and Use of Proceeds</w:t>
              </w:r>
            </w:hyperlink>
          </w:p>
        </w:tc>
        <w:tc>
          <w:tcPr>
            <w:tcW w:w="4360" w:type="dxa"/>
            <w:vAlign w:val="bottom"/>
            <w:gridSpan w:val="4"/>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69"/>
        </w:trPr>
        <w:tc>
          <w:tcPr>
            <w:tcW w:w="1000" w:type="dxa"/>
            <w:vAlign w:val="bottom"/>
            <w:gridSpan w:val="2"/>
          </w:tcPr>
          <w:p>
            <w:pPr>
              <w:spacing w:after="0" w:line="169" w:lineRule="exact"/>
              <w:rPr>
                <w:sz w:val="20"/>
                <w:szCs w:val="20"/>
                <w:color w:val="auto"/>
              </w:rPr>
            </w:pPr>
            <w:r>
              <w:rPr>
                <w:rFonts w:ascii="Arial" w:cs="Arial" w:eastAsia="Arial" w:hAnsi="Arial"/>
                <w:sz w:val="17"/>
                <w:szCs w:val="17"/>
                <w:color w:val="auto"/>
              </w:rPr>
              <w:t>Item 3.</w:t>
            </w:r>
          </w:p>
        </w:tc>
        <w:tc>
          <w:tcPr>
            <w:tcW w:w="2400" w:type="dxa"/>
            <w:vAlign w:val="bottom"/>
            <w:tcBorders>
              <w:bottom w:val="single" w:sz="8" w:color="0000EE"/>
            </w:tcBorders>
            <w:gridSpan w:val="10"/>
          </w:tcPr>
          <w:p>
            <w:pPr>
              <w:spacing w:after="0" w:line="169" w:lineRule="exact"/>
              <w:rPr>
                <w:rFonts w:ascii="Arial" w:cs="Arial" w:eastAsia="Arial" w:hAnsi="Arial"/>
                <w:sz w:val="17"/>
                <w:szCs w:val="17"/>
                <w:color w:val="0000EE"/>
                <w:w w:val="98"/>
              </w:rPr>
            </w:pPr>
            <w:hyperlink w:anchor="page85">
              <w:r>
                <w:rPr>
                  <w:rFonts w:ascii="Arial" w:cs="Arial" w:eastAsia="Arial" w:hAnsi="Arial"/>
                  <w:sz w:val="17"/>
                  <w:szCs w:val="17"/>
                  <w:color w:val="0000EE"/>
                  <w:w w:val="98"/>
                </w:rPr>
                <w:t>Defaults Upon Senior Securities</w:t>
              </w:r>
            </w:hyperlink>
          </w:p>
        </w:tc>
        <w:tc>
          <w:tcPr>
            <w:tcW w:w="6500" w:type="dxa"/>
            <w:vAlign w:val="bottom"/>
            <w:gridSpan w:val="10"/>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69"/>
        </w:trPr>
        <w:tc>
          <w:tcPr>
            <w:tcW w:w="1000" w:type="dxa"/>
            <w:vAlign w:val="bottom"/>
            <w:gridSpan w:val="2"/>
          </w:tcPr>
          <w:p>
            <w:pPr>
              <w:spacing w:after="0" w:line="169" w:lineRule="exact"/>
              <w:rPr>
                <w:sz w:val="20"/>
                <w:szCs w:val="20"/>
                <w:color w:val="auto"/>
              </w:rPr>
            </w:pPr>
            <w:r>
              <w:rPr>
                <w:rFonts w:ascii="Arial" w:cs="Arial" w:eastAsia="Arial" w:hAnsi="Arial"/>
                <w:sz w:val="17"/>
                <w:szCs w:val="17"/>
                <w:color w:val="auto"/>
              </w:rPr>
              <w:t>Item 4.</w:t>
            </w:r>
          </w:p>
        </w:tc>
        <w:tc>
          <w:tcPr>
            <w:tcW w:w="1820" w:type="dxa"/>
            <w:vAlign w:val="bottom"/>
            <w:tcBorders>
              <w:bottom w:val="single" w:sz="8" w:color="0000EE"/>
            </w:tcBorders>
            <w:gridSpan w:val="6"/>
          </w:tcPr>
          <w:p>
            <w:pPr>
              <w:spacing w:after="0" w:line="169" w:lineRule="exact"/>
              <w:rPr>
                <w:rFonts w:ascii="Arial" w:cs="Arial" w:eastAsia="Arial" w:hAnsi="Arial"/>
                <w:sz w:val="17"/>
                <w:szCs w:val="17"/>
                <w:color w:val="0000EE"/>
                <w:w w:val="98"/>
              </w:rPr>
            </w:pPr>
            <w:hyperlink w:anchor="page85">
              <w:r>
                <w:rPr>
                  <w:rFonts w:ascii="Arial" w:cs="Arial" w:eastAsia="Arial" w:hAnsi="Arial"/>
                  <w:sz w:val="17"/>
                  <w:szCs w:val="17"/>
                  <w:color w:val="0000EE"/>
                  <w:w w:val="98"/>
                </w:rPr>
                <w:t>Mine Safety Disclosures</w:t>
              </w:r>
            </w:hyperlink>
          </w:p>
        </w:tc>
        <w:tc>
          <w:tcPr>
            <w:tcW w:w="7080" w:type="dxa"/>
            <w:vAlign w:val="bottom"/>
            <w:gridSpan w:val="14"/>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69"/>
        </w:trPr>
        <w:tc>
          <w:tcPr>
            <w:tcW w:w="1000" w:type="dxa"/>
            <w:vAlign w:val="bottom"/>
            <w:gridSpan w:val="2"/>
          </w:tcPr>
          <w:p>
            <w:pPr>
              <w:spacing w:after="0" w:line="169" w:lineRule="exact"/>
              <w:rPr>
                <w:sz w:val="20"/>
                <w:szCs w:val="20"/>
                <w:color w:val="auto"/>
              </w:rPr>
            </w:pPr>
            <w:r>
              <w:rPr>
                <w:rFonts w:ascii="Arial" w:cs="Arial" w:eastAsia="Arial" w:hAnsi="Arial"/>
                <w:sz w:val="17"/>
                <w:szCs w:val="17"/>
                <w:color w:val="auto"/>
              </w:rPr>
              <w:t>Item 5.</w:t>
            </w:r>
          </w:p>
        </w:tc>
        <w:tc>
          <w:tcPr>
            <w:tcW w:w="1320" w:type="dxa"/>
            <w:vAlign w:val="bottom"/>
            <w:tcBorders>
              <w:bottom w:val="single" w:sz="8" w:color="0000EE"/>
            </w:tcBorders>
            <w:gridSpan w:val="3"/>
          </w:tcPr>
          <w:p>
            <w:pPr>
              <w:spacing w:after="0" w:line="169" w:lineRule="exact"/>
              <w:rPr>
                <w:rFonts w:ascii="Arial" w:cs="Arial" w:eastAsia="Arial" w:hAnsi="Arial"/>
                <w:sz w:val="17"/>
                <w:szCs w:val="17"/>
                <w:color w:val="0000EE"/>
                <w:w w:val="98"/>
              </w:rPr>
            </w:pPr>
            <w:hyperlink w:anchor="page85">
              <w:r>
                <w:rPr>
                  <w:rFonts w:ascii="Arial" w:cs="Arial" w:eastAsia="Arial" w:hAnsi="Arial"/>
                  <w:sz w:val="17"/>
                  <w:szCs w:val="17"/>
                  <w:color w:val="0000EE"/>
                  <w:w w:val="98"/>
                </w:rPr>
                <w:t>Other Information</w:t>
              </w:r>
            </w:hyperlink>
          </w:p>
        </w:tc>
        <w:tc>
          <w:tcPr>
            <w:tcW w:w="7580" w:type="dxa"/>
            <w:vAlign w:val="bottom"/>
            <w:gridSpan w:val="17"/>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69"/>
        </w:trPr>
        <w:tc>
          <w:tcPr>
            <w:tcW w:w="1000" w:type="dxa"/>
            <w:vAlign w:val="bottom"/>
            <w:gridSpan w:val="2"/>
          </w:tcPr>
          <w:p>
            <w:pPr>
              <w:spacing w:after="0" w:line="169" w:lineRule="exact"/>
              <w:rPr>
                <w:sz w:val="20"/>
                <w:szCs w:val="20"/>
                <w:color w:val="auto"/>
              </w:rPr>
            </w:pPr>
            <w:r>
              <w:rPr>
                <w:rFonts w:ascii="Arial" w:cs="Arial" w:eastAsia="Arial" w:hAnsi="Arial"/>
                <w:sz w:val="17"/>
                <w:szCs w:val="17"/>
                <w:color w:val="auto"/>
              </w:rPr>
              <w:t>Item 6.</w:t>
            </w:r>
          </w:p>
        </w:tc>
        <w:tc>
          <w:tcPr>
            <w:tcW w:w="8900" w:type="dxa"/>
            <w:vAlign w:val="bottom"/>
            <w:gridSpan w:val="20"/>
          </w:tcPr>
          <w:p>
            <w:pPr>
              <w:spacing w:after="0" w:line="169" w:lineRule="exact"/>
              <w:rPr>
                <w:rFonts w:ascii="Arial" w:cs="Arial" w:eastAsia="Arial" w:hAnsi="Arial"/>
                <w:sz w:val="17"/>
                <w:szCs w:val="17"/>
                <w:color w:val="0000EE"/>
              </w:rPr>
            </w:pPr>
            <w:hyperlink w:anchor="page86">
              <w:r>
                <w:rPr>
                  <w:rFonts w:ascii="Arial" w:cs="Arial" w:eastAsia="Arial" w:hAnsi="Arial"/>
                  <w:sz w:val="17"/>
                  <w:szCs w:val="17"/>
                  <w:color w:val="0000EE"/>
                </w:rPr>
                <w:t>Exhibits</w:t>
              </w:r>
            </w:hyperlink>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169"/>
        </w:trPr>
        <w:tc>
          <w:tcPr>
            <w:tcW w:w="1000" w:type="dxa"/>
            <w:vAlign w:val="bottom"/>
            <w:gridSpan w:val="2"/>
          </w:tcPr>
          <w:p>
            <w:pPr>
              <w:spacing w:after="0" w:line="169" w:lineRule="exact"/>
              <w:rPr>
                <w:rFonts w:ascii="Arial" w:cs="Arial" w:eastAsia="Arial" w:hAnsi="Arial"/>
                <w:sz w:val="17"/>
                <w:szCs w:val="17"/>
                <w:color w:val="0000EE"/>
              </w:rPr>
            </w:pPr>
            <w:hyperlink w:anchor="page87">
              <w:r>
                <w:rPr>
                  <w:rFonts w:ascii="Arial" w:cs="Arial" w:eastAsia="Arial" w:hAnsi="Arial"/>
                  <w:sz w:val="17"/>
                  <w:szCs w:val="17"/>
                  <w:color w:val="0000EE"/>
                </w:rPr>
                <w:t>Signatures</w:t>
              </w:r>
            </w:hyperlink>
          </w:p>
        </w:tc>
        <w:tc>
          <w:tcPr>
            <w:tcW w:w="600" w:type="dxa"/>
            <w:vAlign w:val="bottom"/>
            <w:tcBorders>
              <w:top w:val="single" w:sz="8" w:color="0000EE"/>
            </w:tcBorders>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720"/>
          </w:cols>
          <w:pgMar w:left="320" w:top="464" w:right="85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5" w:lineRule="exact"/>
        <w:rPr>
          <w:sz w:val="20"/>
          <w:szCs w:val="20"/>
          <w:color w:val="auto"/>
        </w:rPr>
      </w:pPr>
    </w:p>
    <w:p>
      <w:pPr>
        <w:ind w:left="480" w:right="20" w:firstLine="926"/>
        <w:spacing w:after="0" w:line="250" w:lineRule="auto"/>
        <w:rPr>
          <w:sz w:val="20"/>
          <w:szCs w:val="20"/>
          <w:color w:val="auto"/>
        </w:rPr>
      </w:pPr>
      <w:r>
        <w:rPr>
          <w:rFonts w:ascii="Arial" w:cs="Arial" w:eastAsia="Arial" w:hAnsi="Arial"/>
          <w:sz w:val="16"/>
          <w:szCs w:val="16"/>
          <w:color w:val="auto"/>
        </w:rPr>
        <w:t>This Quarterly Report on Form 10-Q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spacing w:after="0" w:line="93" w:lineRule="exact"/>
        <w:rPr>
          <w:sz w:val="20"/>
          <w:szCs w:val="20"/>
          <w:color w:val="auto"/>
        </w:rPr>
      </w:pPr>
    </w:p>
    <w:p>
      <w:pPr>
        <w:ind w:left="1380" w:right="260" w:hanging="497"/>
        <w:spacing w:after="0" w:line="237" w:lineRule="auto"/>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101"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plan and our ability to effectively manage our growth;</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cross-border expansion plans and ability to expand internationally;</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anticipated trends, growth rates, and challenges in our business and in the markets in which we operate;</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sufficiency of our cash and cash equivalents to meet our liquidity needs;</w:t>
      </w:r>
    </w:p>
    <w:p>
      <w:pPr>
        <w:spacing w:after="0" w:line="107" w:lineRule="exact"/>
        <w:rPr>
          <w:rFonts w:ascii="Arial" w:cs="Arial" w:eastAsia="Arial" w:hAnsi="Arial"/>
          <w:sz w:val="17"/>
          <w:szCs w:val="17"/>
          <w:color w:val="auto"/>
        </w:rPr>
      </w:pPr>
    </w:p>
    <w:p>
      <w:pPr>
        <w:ind w:left="1380" w:right="42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political, economic, legal, social and health risks, including the recent COVID-19 pandemic and subsequent public health measures that may affect our business or the global economy;</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beliefs and objectives for future operations;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protect our brand;</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and grow the payment volume that we process;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further attract, retain, and expand our client base;</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new solutions and services and bring them to market in a timely manner;</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concerning relationships with third parties, including strategic partners;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increased competition in our markets and our ability to compete effectively;</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acquisitions or investments in complementary companies, products, services, or technologies;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enter new client verticals, including our relatively new B2B sector;</w:t>
      </w:r>
    </w:p>
    <w:p>
      <w:pPr>
        <w:spacing w:after="0" w:line="107" w:lineRule="exact"/>
        <w:rPr>
          <w:rFonts w:ascii="Arial" w:cs="Arial" w:eastAsia="Arial" w:hAnsi="Arial"/>
          <w:sz w:val="17"/>
          <w:szCs w:val="17"/>
          <w:color w:val="auto"/>
        </w:rPr>
      </w:pPr>
    </w:p>
    <w:p>
      <w:pPr>
        <w:ind w:left="1380" w:right="52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anticipated technology needs and developments and our ability to address those needs and developments with our solutions;</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litigation and legal and regulatory matters;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ability to meet existing performance obligations and maintain the operability of our solutions;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effects of existing and developing laws and regulations, including with respect to payments and financial services, taxation, privacy and data protection;</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economic and industry trends, projected growth, or trend analysis;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and retain qualified employees;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the security and availability of our solutions;</w:t>
      </w:r>
    </w:p>
    <w:p>
      <w:pPr>
        <w:sectPr>
          <w:pgSz w:w="11900" w:h="16838" w:orient="portrait"/>
          <w:cols w:equalWidth="0" w:num="1">
            <w:col w:w="10760"/>
          </w:cols>
          <w:pgMar w:left="320" w:top="464" w:right="81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1380" w:hanging="497"/>
        <w:spacing w:after="0"/>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increased expenses associated with being a public company; and</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future market price of our common stock.</w:t>
      </w:r>
    </w:p>
    <w:p>
      <w:pPr>
        <w:spacing w:after="0" w:line="195" w:lineRule="exact"/>
        <w:rPr>
          <w:sz w:val="20"/>
          <w:szCs w:val="20"/>
          <w:color w:val="auto"/>
        </w:rPr>
      </w:pPr>
    </w:p>
    <w:p>
      <w:pPr>
        <w:ind w:left="480" w:right="80" w:firstLine="926"/>
        <w:spacing w:after="0" w:line="234" w:lineRule="auto"/>
        <w:rPr>
          <w:sz w:val="20"/>
          <w:szCs w:val="20"/>
          <w:color w:val="auto"/>
        </w:rPr>
      </w:pPr>
      <w:r>
        <w:rPr>
          <w:rFonts w:ascii="Arial" w:cs="Arial" w:eastAsia="Arial" w:hAnsi="Arial"/>
          <w:sz w:val="17"/>
          <w:szCs w:val="17"/>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Form 10-Q. Other sections of this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91" w:lineRule="exact"/>
        <w:rPr>
          <w:sz w:val="20"/>
          <w:szCs w:val="20"/>
          <w:color w:val="auto"/>
        </w:rPr>
      </w:pPr>
    </w:p>
    <w:p>
      <w:pPr>
        <w:ind w:left="480" w:firstLine="926"/>
        <w:spacing w:after="0" w:line="234"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91" w:lineRule="exact"/>
        <w:rPr>
          <w:sz w:val="20"/>
          <w:szCs w:val="20"/>
          <w:color w:val="auto"/>
        </w:rPr>
      </w:pPr>
    </w:p>
    <w:p>
      <w:pPr>
        <w:ind w:left="480" w:right="40" w:firstLine="926"/>
        <w:spacing w:after="0" w:line="235"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90" w:lineRule="exact"/>
        <w:rPr>
          <w:sz w:val="20"/>
          <w:szCs w:val="20"/>
          <w:color w:val="auto"/>
        </w:rPr>
      </w:pPr>
    </w:p>
    <w:p>
      <w:pPr>
        <w:ind w:left="480" w:right="20" w:firstLine="926"/>
        <w:spacing w:after="0" w:line="250" w:lineRule="auto"/>
        <w:rPr>
          <w:sz w:val="20"/>
          <w:szCs w:val="20"/>
          <w:color w:val="auto"/>
        </w:rPr>
      </w:pPr>
      <w:r>
        <w:rPr>
          <w:rFonts w:ascii="Arial" w:cs="Arial" w:eastAsia="Arial" w:hAnsi="Arial"/>
          <w:sz w:val="16"/>
          <w:szCs w:val="16"/>
          <w:color w:val="auto"/>
        </w:rPr>
        <w:t>Investors, the media, and others should note that we intend to announce material information to the public through filings with the SEC, the investor relations page on our website, blog posts on our website (www.flywire.com), press releases, public conference calls, webcasts, and our Twitter feed (@flywire).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our website are not incorporated into this filing. We have included our investor relations website address only as an inactive textual reference and do not intend it to be an active link to our website.</w:t>
      </w:r>
    </w:p>
    <w:p>
      <w:pPr>
        <w:spacing w:after="0" w:line="12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760"/>
          </w:cols>
          <w:pgMar w:left="320" w:top="464" w:right="8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8680" w:type="dxa"/>
            <w:vAlign w:val="bottom"/>
            <w:gridSpan w:val="4"/>
          </w:tcPr>
          <w:p>
            <w:pPr>
              <w:spacing w:after="0"/>
              <w:rPr>
                <w:rFonts w:ascii="Arial" w:cs="Arial" w:eastAsia="Arial" w:hAnsi="Arial"/>
                <w:sz w:val="17"/>
                <w:szCs w:val="17"/>
                <w:b w:val="1"/>
                <w:bCs w:val="1"/>
                <w:color w:val="0000EE"/>
              </w:rPr>
            </w:pPr>
            <w:hyperlink w:anchor="page2">
              <w:r>
                <w:rPr>
                  <w:rFonts w:ascii="Arial" w:cs="Arial" w:eastAsia="Arial" w:hAnsi="Arial"/>
                  <w:sz w:val="17"/>
                  <w:szCs w:val="17"/>
                  <w:b w:val="1"/>
                  <w:bCs w:val="1"/>
                  <w:color w:val="0000EE"/>
                </w:rPr>
                <w:t>Table of Contents</w:t>
              </w:r>
            </w:hyperlink>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96"/>
        </w:trPr>
        <w:tc>
          <w:tcPr>
            <w:tcW w:w="4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420" w:type="dxa"/>
            <w:vAlign w:val="bottom"/>
          </w:tcPr>
          <w:p>
            <w:pPr>
              <w:jc w:val="center"/>
              <w:ind w:left="1216"/>
              <w:spacing w:after="0"/>
              <w:rPr>
                <w:sz w:val="20"/>
                <w:szCs w:val="20"/>
                <w:color w:val="auto"/>
              </w:rPr>
            </w:pPr>
            <w:r>
              <w:rPr>
                <w:rFonts w:ascii="Arial" w:cs="Arial" w:eastAsia="Arial" w:hAnsi="Arial"/>
                <w:sz w:val="17"/>
                <w:szCs w:val="17"/>
                <w:b w:val="1"/>
                <w:bCs w:val="1"/>
                <w:color w:val="auto"/>
                <w:w w:val="98"/>
              </w:rPr>
              <w:t>PART I—FINANCIAL INFORMATION</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48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120" w:type="dxa"/>
            <w:vAlign w:val="bottom"/>
          </w:tcPr>
          <w:p>
            <w:pPr>
              <w:spacing w:after="0"/>
              <w:rPr>
                <w:sz w:val="24"/>
                <w:szCs w:val="24"/>
                <w:color w:val="auto"/>
              </w:rPr>
            </w:pPr>
          </w:p>
        </w:tc>
        <w:tc>
          <w:tcPr>
            <w:tcW w:w="7420" w:type="dxa"/>
            <w:vAlign w:val="bottom"/>
          </w:tcPr>
          <w:p>
            <w:pPr>
              <w:ind w:left="140"/>
              <w:spacing w:after="0"/>
              <w:rPr>
                <w:sz w:val="20"/>
                <w:szCs w:val="20"/>
                <w:color w:val="auto"/>
              </w:rPr>
            </w:pPr>
            <w:r>
              <w:rPr>
                <w:rFonts w:ascii="Arial" w:cs="Arial" w:eastAsia="Arial" w:hAnsi="Arial"/>
                <w:sz w:val="17"/>
                <w:szCs w:val="17"/>
                <w:b w:val="1"/>
                <w:bCs w:val="1"/>
                <w:color w:val="auto"/>
              </w:rPr>
              <w:t>Financial Statements.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20" w:type="dxa"/>
            <w:vAlign w:val="bottom"/>
          </w:tcPr>
          <w:p>
            <w:pPr>
              <w:jc w:val="center"/>
              <w:ind w:left="1216"/>
              <w:spacing w:after="0"/>
              <w:rPr>
                <w:sz w:val="20"/>
                <w:szCs w:val="20"/>
                <w:color w:val="auto"/>
              </w:rPr>
            </w:pPr>
            <w:r>
              <w:rPr>
                <w:rFonts w:ascii="Arial" w:cs="Arial" w:eastAsia="Arial" w:hAnsi="Arial"/>
                <w:sz w:val="17"/>
                <w:szCs w:val="17"/>
                <w:b w:val="1"/>
                <w:bCs w:val="1"/>
                <w:color w:val="auto"/>
                <w:w w:val="97"/>
              </w:rPr>
              <w:t>FLYWIRE CORPORATION</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tcPr>
          <w:p>
            <w:pPr>
              <w:jc w:val="center"/>
              <w:ind w:left="1216"/>
              <w:spacing w:after="0"/>
              <w:rPr>
                <w:sz w:val="20"/>
                <w:szCs w:val="20"/>
                <w:color w:val="auto"/>
              </w:rPr>
            </w:pPr>
            <w:r>
              <w:rPr>
                <w:rFonts w:ascii="Arial" w:cs="Arial" w:eastAsia="Arial" w:hAnsi="Arial"/>
                <w:sz w:val="17"/>
                <w:szCs w:val="17"/>
                <w:b w:val="1"/>
                <w:bCs w:val="1"/>
                <w:color w:val="auto"/>
                <w:w w:val="98"/>
              </w:rPr>
              <w:t>UNAUDITED CONDENSED CONSOLIDATED BALANCE SHEETS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20" w:type="dxa"/>
            <w:vAlign w:val="bottom"/>
          </w:tcPr>
          <w:p>
            <w:pPr>
              <w:jc w:val="center"/>
              <w:ind w:left="1216"/>
              <w:spacing w:after="0"/>
              <w:rPr>
                <w:sz w:val="20"/>
                <w:szCs w:val="20"/>
                <w:color w:val="auto"/>
              </w:rPr>
            </w:pPr>
            <w:r>
              <w:rPr>
                <w:rFonts w:ascii="Arial" w:cs="Arial" w:eastAsia="Arial" w:hAnsi="Arial"/>
                <w:sz w:val="17"/>
                <w:szCs w:val="17"/>
                <w:color w:val="auto"/>
                <w:w w:val="98"/>
              </w:rPr>
              <w:t>(Amounts in thousands, except share and per share amounts)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55"/>
        </w:trPr>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r>
      <w:tr>
        <w:trPr>
          <w:trHeight w:val="163"/>
        </w:trPr>
        <w:tc>
          <w:tcPr>
            <w:tcW w:w="480" w:type="dxa"/>
            <w:vAlign w:val="bottom"/>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182"/>
        </w:trPr>
        <w:tc>
          <w:tcPr>
            <w:tcW w:w="480" w:type="dxa"/>
            <w:vAlign w:val="bottom"/>
          </w:tcPr>
          <w:p>
            <w:pPr>
              <w:spacing w:after="0"/>
              <w:rPr>
                <w:sz w:val="15"/>
                <w:szCs w:val="15"/>
                <w:color w:val="auto"/>
              </w:rPr>
            </w:pPr>
          </w:p>
        </w:tc>
        <w:tc>
          <w:tcPr>
            <w:tcW w:w="660" w:type="dxa"/>
            <w:vAlign w:val="bottom"/>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5"/>
                <w:szCs w:val="15"/>
                <w:color w:val="auto"/>
              </w:rPr>
            </w:pPr>
          </w:p>
        </w:tc>
        <w:tc>
          <w:tcPr>
            <w:tcW w:w="7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480" w:type="dxa"/>
            <w:vAlign w:val="bottom"/>
          </w:tcPr>
          <w:p>
            <w:pPr>
              <w:spacing w:after="0"/>
              <w:rPr>
                <w:sz w:val="16"/>
                <w:szCs w:val="16"/>
                <w:color w:val="auto"/>
              </w:rPr>
            </w:pPr>
          </w:p>
        </w:tc>
        <w:tc>
          <w:tcPr>
            <w:tcW w:w="8200" w:type="dxa"/>
            <w:vAlign w:val="bottom"/>
            <w:gridSpan w:val="3"/>
          </w:tcPr>
          <w:p>
            <w:pPr>
              <w:spacing w:after="0" w:line="189" w:lineRule="exact"/>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80" w:type="dxa"/>
            <w:vAlign w:val="bottom"/>
          </w:tcPr>
          <w:p>
            <w:pPr>
              <w:spacing w:after="0"/>
              <w:rPr>
                <w:sz w:val="16"/>
                <w:szCs w:val="16"/>
                <w:color w:val="auto"/>
              </w:rPr>
            </w:pPr>
          </w:p>
        </w:tc>
        <w:tc>
          <w:tcPr>
            <w:tcW w:w="820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412,026</w:t>
            </w:r>
          </w:p>
        </w:tc>
        <w:tc>
          <w:tcPr>
            <w:tcW w:w="1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104,052</w:t>
            </w:r>
          </w:p>
        </w:tc>
      </w:tr>
      <w:tr>
        <w:trPr>
          <w:trHeight w:val="189"/>
        </w:trPr>
        <w:tc>
          <w:tcPr>
            <w:tcW w:w="480" w:type="dxa"/>
            <w:vAlign w:val="bottom"/>
          </w:tcPr>
          <w:p>
            <w:pPr>
              <w:spacing w:after="0"/>
              <w:rPr>
                <w:sz w:val="16"/>
                <w:szCs w:val="16"/>
                <w:color w:val="auto"/>
              </w:rPr>
            </w:pPr>
          </w:p>
        </w:tc>
        <w:tc>
          <w:tcPr>
            <w:tcW w:w="820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Restricted cash</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5,000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5,000</w:t>
            </w:r>
          </w:p>
        </w:tc>
      </w:tr>
      <w:tr>
        <w:trPr>
          <w:trHeight w:val="189"/>
        </w:trPr>
        <w:tc>
          <w:tcPr>
            <w:tcW w:w="480" w:type="dxa"/>
            <w:vAlign w:val="bottom"/>
          </w:tcPr>
          <w:p>
            <w:pPr>
              <w:spacing w:after="0"/>
              <w:rPr>
                <w:sz w:val="16"/>
                <w:szCs w:val="16"/>
                <w:color w:val="auto"/>
              </w:rPr>
            </w:pPr>
          </w:p>
        </w:tc>
        <w:tc>
          <w:tcPr>
            <w:tcW w:w="820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7"/>
                <w:szCs w:val="17"/>
                <w:color w:val="auto"/>
              </w:rPr>
              <w:t>Accounts receivable, net of allowance for doubtful accounts of $167 and $496, respectively</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11,621</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11,573</w:t>
            </w:r>
          </w:p>
        </w:tc>
      </w:tr>
      <w:tr>
        <w:trPr>
          <w:trHeight w:val="189"/>
        </w:trPr>
        <w:tc>
          <w:tcPr>
            <w:tcW w:w="480" w:type="dxa"/>
            <w:vAlign w:val="bottom"/>
          </w:tcPr>
          <w:p>
            <w:pPr>
              <w:spacing w:after="0"/>
              <w:rPr>
                <w:sz w:val="16"/>
                <w:szCs w:val="16"/>
                <w:color w:val="auto"/>
              </w:rPr>
            </w:pPr>
          </w:p>
        </w:tc>
        <w:tc>
          <w:tcPr>
            <w:tcW w:w="820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Unbilled receivables</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1,006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1,698</w:t>
            </w:r>
          </w:p>
        </w:tc>
      </w:tr>
      <w:tr>
        <w:trPr>
          <w:trHeight w:val="189"/>
        </w:trPr>
        <w:tc>
          <w:tcPr>
            <w:tcW w:w="480" w:type="dxa"/>
            <w:vAlign w:val="bottom"/>
          </w:tcPr>
          <w:p>
            <w:pPr>
              <w:spacing w:after="0"/>
              <w:rPr>
                <w:sz w:val="16"/>
                <w:szCs w:val="16"/>
                <w:color w:val="auto"/>
              </w:rPr>
            </w:pPr>
          </w:p>
        </w:tc>
        <w:tc>
          <w:tcPr>
            <w:tcW w:w="820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7"/>
                <w:szCs w:val="17"/>
                <w:color w:val="auto"/>
              </w:rPr>
              <w:t>Funds receivable from payment partners</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17,025</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22,481</w:t>
            </w:r>
          </w:p>
        </w:tc>
      </w:tr>
      <w:tr>
        <w:trPr>
          <w:trHeight w:val="194"/>
        </w:trPr>
        <w:tc>
          <w:tcPr>
            <w:tcW w:w="480" w:type="dxa"/>
            <w:vAlign w:val="bottom"/>
          </w:tcPr>
          <w:p>
            <w:pPr>
              <w:spacing w:after="0"/>
              <w:rPr>
                <w:sz w:val="16"/>
                <w:szCs w:val="16"/>
                <w:color w:val="auto"/>
              </w:rPr>
            </w:pPr>
          </w:p>
        </w:tc>
        <w:tc>
          <w:tcPr>
            <w:tcW w:w="820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10,821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3,754</w:t>
            </w:r>
          </w:p>
        </w:tc>
        <w:tc>
          <w:tcPr>
            <w:tcW w:w="100" w:type="dxa"/>
            <w:vAlign w:val="bottom"/>
          </w:tcPr>
          <w:p>
            <w:pPr>
              <w:spacing w:after="0"/>
              <w:rPr>
                <w:sz w:val="16"/>
                <w:szCs w:val="16"/>
                <w:color w:val="auto"/>
              </w:rPr>
            </w:pPr>
          </w:p>
        </w:tc>
      </w:tr>
      <w:tr>
        <w:trPr>
          <w:trHeight w:val="189"/>
        </w:trPr>
        <w:tc>
          <w:tcPr>
            <w:tcW w:w="480" w:type="dxa"/>
            <w:vAlign w:val="bottom"/>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2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457,499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148,558</w:t>
            </w:r>
          </w:p>
        </w:tc>
      </w:tr>
      <w:tr>
        <w:trPr>
          <w:trHeight w:val="189"/>
        </w:trPr>
        <w:tc>
          <w:tcPr>
            <w:tcW w:w="480" w:type="dxa"/>
            <w:vAlign w:val="bottom"/>
          </w:tcPr>
          <w:p>
            <w:pPr>
              <w:spacing w:after="0"/>
              <w:rPr>
                <w:sz w:val="16"/>
                <w:szCs w:val="16"/>
                <w:color w:val="auto"/>
              </w:rPr>
            </w:pPr>
          </w:p>
        </w:tc>
        <w:tc>
          <w:tcPr>
            <w:tcW w:w="8200" w:type="dxa"/>
            <w:vAlign w:val="bottom"/>
            <w:gridSpan w:val="3"/>
          </w:tcPr>
          <w:p>
            <w:pPr>
              <w:spacing w:after="0" w:line="189" w:lineRule="exact"/>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7,536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5,101</w:t>
            </w:r>
          </w:p>
        </w:tc>
      </w:tr>
      <w:tr>
        <w:trPr>
          <w:trHeight w:val="189"/>
        </w:trPr>
        <w:tc>
          <w:tcPr>
            <w:tcW w:w="480" w:type="dxa"/>
            <w:vAlign w:val="bottom"/>
          </w:tcPr>
          <w:p>
            <w:pPr>
              <w:spacing w:after="0"/>
              <w:rPr>
                <w:sz w:val="16"/>
                <w:szCs w:val="16"/>
                <w:color w:val="auto"/>
              </w:rPr>
            </w:pPr>
          </w:p>
        </w:tc>
        <w:tc>
          <w:tcPr>
            <w:tcW w:w="82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Intangible assets, net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65,033</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68,211</w:t>
            </w:r>
          </w:p>
        </w:tc>
      </w:tr>
      <w:tr>
        <w:trPr>
          <w:trHeight w:val="189"/>
        </w:trPr>
        <w:tc>
          <w:tcPr>
            <w:tcW w:w="480" w:type="dxa"/>
            <w:vAlign w:val="bottom"/>
          </w:tcPr>
          <w:p>
            <w:pPr>
              <w:spacing w:after="0"/>
              <w:rPr>
                <w:sz w:val="16"/>
                <w:szCs w:val="16"/>
                <w:color w:val="auto"/>
              </w:rPr>
            </w:pPr>
          </w:p>
        </w:tc>
        <w:tc>
          <w:tcPr>
            <w:tcW w:w="660" w:type="dxa"/>
            <w:vAlign w:val="bottom"/>
          </w:tcPr>
          <w:p>
            <w:pPr>
              <w:spacing w:after="0" w:line="189" w:lineRule="exact"/>
              <w:rPr>
                <w:sz w:val="20"/>
                <w:szCs w:val="20"/>
                <w:color w:val="auto"/>
              </w:rPr>
            </w:pPr>
            <w:r>
              <w:rPr>
                <w:rFonts w:ascii="Arial" w:cs="Arial" w:eastAsia="Arial" w:hAnsi="Arial"/>
                <w:sz w:val="17"/>
                <w:szCs w:val="17"/>
                <w:color w:val="auto"/>
                <w:w w:val="98"/>
              </w:rPr>
              <w:t>Goodwill</w:t>
            </w:r>
          </w:p>
        </w:tc>
        <w:tc>
          <w:tcPr>
            <w:tcW w:w="1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44,656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44,650</w:t>
            </w:r>
          </w:p>
        </w:tc>
      </w:tr>
      <w:tr>
        <w:trPr>
          <w:trHeight w:val="189"/>
        </w:trPr>
        <w:tc>
          <w:tcPr>
            <w:tcW w:w="480" w:type="dxa"/>
            <w:vAlign w:val="bottom"/>
          </w:tcPr>
          <w:p>
            <w:pPr>
              <w:spacing w:after="0"/>
              <w:rPr>
                <w:sz w:val="16"/>
                <w:szCs w:val="16"/>
                <w:color w:val="auto"/>
              </w:rPr>
            </w:pPr>
          </w:p>
        </w:tc>
        <w:tc>
          <w:tcPr>
            <w:tcW w:w="82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5,365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4,922</w:t>
            </w:r>
          </w:p>
        </w:tc>
        <w:tc>
          <w:tcPr>
            <w:tcW w:w="100" w:type="dxa"/>
            <w:vAlign w:val="bottom"/>
            <w:shd w:val="clear" w:color="auto" w:fill="CCEEFF"/>
          </w:tcPr>
          <w:p>
            <w:pPr>
              <w:spacing w:after="0"/>
              <w:rPr>
                <w:sz w:val="16"/>
                <w:szCs w:val="16"/>
                <w:color w:val="auto"/>
              </w:rPr>
            </w:pPr>
          </w:p>
        </w:tc>
      </w:tr>
      <w:tr>
        <w:trPr>
          <w:trHeight w:val="194"/>
        </w:trPr>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20" w:type="dxa"/>
            <w:vAlign w:val="bottom"/>
          </w:tcPr>
          <w:p>
            <w:pPr>
              <w:ind w:left="220"/>
              <w:spacing w:after="0" w:line="194" w:lineRule="exact"/>
              <w:rPr>
                <w:sz w:val="20"/>
                <w:szCs w:val="20"/>
                <w:color w:val="auto"/>
              </w:rPr>
            </w:pPr>
            <w:r>
              <w:rPr>
                <w:rFonts w:ascii="Arial" w:cs="Arial" w:eastAsia="Arial" w:hAnsi="Arial"/>
                <w:sz w:val="17"/>
                <w:szCs w:val="17"/>
                <w:color w:val="auto"/>
              </w:rPr>
              <w:t>Total assets</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580,089</w:t>
            </w:r>
          </w:p>
        </w:tc>
        <w:tc>
          <w:tcPr>
            <w:tcW w:w="180" w:type="dxa"/>
            <w:vAlign w:val="bottom"/>
          </w:tcPr>
          <w:p>
            <w:pPr>
              <w:spacing w:after="0"/>
              <w:rPr>
                <w:sz w:val="16"/>
                <w:szCs w:val="16"/>
                <w:color w:val="auto"/>
              </w:rPr>
            </w:pPr>
          </w:p>
        </w:tc>
        <w:tc>
          <w:tcPr>
            <w:tcW w:w="320" w:type="dxa"/>
            <w:vAlign w:val="bottom"/>
            <w:gridSpan w:val="2"/>
          </w:tcPr>
          <w:p>
            <w:pPr>
              <w:ind w:lef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271,442</w:t>
            </w:r>
          </w:p>
        </w:tc>
      </w:tr>
      <w:tr>
        <w:trPr>
          <w:trHeight w:val="20"/>
        </w:trPr>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480" w:type="dxa"/>
            <w:vAlign w:val="bottom"/>
          </w:tcPr>
          <w:p>
            <w:pPr>
              <w:spacing w:after="0"/>
              <w:rPr>
                <w:sz w:val="13"/>
                <w:szCs w:val="13"/>
                <w:color w:val="auto"/>
              </w:rPr>
            </w:pPr>
          </w:p>
        </w:tc>
        <w:tc>
          <w:tcPr>
            <w:tcW w:w="8200" w:type="dxa"/>
            <w:vAlign w:val="bottom"/>
            <w:gridSpan w:val="3"/>
            <w:shd w:val="clear" w:color="auto" w:fill="CCEEFF"/>
          </w:tcPr>
          <w:p>
            <w:pPr>
              <w:spacing w:after="0" w:line="159" w:lineRule="exact"/>
              <w:rPr>
                <w:sz w:val="20"/>
                <w:szCs w:val="20"/>
                <w:color w:val="auto"/>
              </w:rPr>
            </w:pPr>
            <w:r>
              <w:rPr>
                <w:rFonts w:ascii="Arial" w:cs="Arial" w:eastAsia="Arial" w:hAnsi="Arial"/>
                <w:sz w:val="17"/>
                <w:szCs w:val="17"/>
                <w:b w:val="1"/>
                <w:bCs w:val="1"/>
                <w:color w:val="auto"/>
              </w:rPr>
              <w:t>Liabilities, Convertible Preferred Stock, Redeemable Convertible Preferred Stock and Stockholders’</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0"/>
        </w:trPr>
        <w:tc>
          <w:tcPr>
            <w:tcW w:w="480" w:type="dxa"/>
            <w:vAlign w:val="bottom"/>
          </w:tcPr>
          <w:p>
            <w:pPr>
              <w:spacing w:after="0"/>
              <w:rPr>
                <w:sz w:val="18"/>
                <w:szCs w:val="18"/>
                <w:color w:val="auto"/>
              </w:rPr>
            </w:pPr>
          </w:p>
        </w:tc>
        <w:tc>
          <w:tcPr>
            <w:tcW w:w="8200" w:type="dxa"/>
            <w:vAlign w:val="bottom"/>
            <w:gridSpan w:val="3"/>
            <w:shd w:val="clear" w:color="auto" w:fill="CCEEFF"/>
          </w:tcPr>
          <w:p>
            <w:pPr>
              <w:ind w:left="160"/>
              <w:spacing w:after="0"/>
              <w:rPr>
                <w:sz w:val="20"/>
                <w:szCs w:val="20"/>
                <w:color w:val="auto"/>
              </w:rPr>
            </w:pPr>
            <w:r>
              <w:rPr>
                <w:rFonts w:ascii="Arial" w:cs="Arial" w:eastAsia="Arial" w:hAnsi="Arial"/>
                <w:sz w:val="17"/>
                <w:szCs w:val="17"/>
                <w:b w:val="1"/>
                <w:bCs w:val="1"/>
                <w:color w:val="auto"/>
              </w:rPr>
              <w:t>Equity (Deficit)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89"/>
        </w:trPr>
        <w:tc>
          <w:tcPr>
            <w:tcW w:w="480" w:type="dxa"/>
            <w:vAlign w:val="bottom"/>
          </w:tcPr>
          <w:p>
            <w:pPr>
              <w:spacing w:after="0"/>
              <w:rPr>
                <w:sz w:val="16"/>
                <w:szCs w:val="16"/>
                <w:color w:val="auto"/>
              </w:rPr>
            </w:pPr>
          </w:p>
        </w:tc>
        <w:tc>
          <w:tcPr>
            <w:tcW w:w="8200" w:type="dxa"/>
            <w:vAlign w:val="bottom"/>
            <w:gridSpan w:val="3"/>
          </w:tcPr>
          <w:p>
            <w:pPr>
              <w:spacing w:after="0" w:line="189" w:lineRule="exact"/>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80" w:type="dxa"/>
            <w:vAlign w:val="bottom"/>
          </w:tcPr>
          <w:p>
            <w:pPr>
              <w:spacing w:after="0"/>
              <w:rPr>
                <w:sz w:val="16"/>
                <w:szCs w:val="16"/>
                <w:color w:val="auto"/>
              </w:rPr>
            </w:pPr>
          </w:p>
        </w:tc>
        <w:tc>
          <w:tcPr>
            <w:tcW w:w="820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10,454</w:t>
            </w:r>
          </w:p>
        </w:tc>
        <w:tc>
          <w:tcPr>
            <w:tcW w:w="32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5,436</w:t>
            </w:r>
          </w:p>
        </w:tc>
      </w:tr>
      <w:tr>
        <w:trPr>
          <w:trHeight w:val="189"/>
        </w:trPr>
        <w:tc>
          <w:tcPr>
            <w:tcW w:w="480" w:type="dxa"/>
            <w:vAlign w:val="bottom"/>
          </w:tcPr>
          <w:p>
            <w:pPr>
              <w:spacing w:after="0"/>
              <w:rPr>
                <w:sz w:val="16"/>
                <w:szCs w:val="16"/>
                <w:color w:val="auto"/>
              </w:rPr>
            </w:pPr>
          </w:p>
        </w:tc>
        <w:tc>
          <w:tcPr>
            <w:tcW w:w="820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Funds payable to clients</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45,511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59,986</w:t>
            </w:r>
          </w:p>
        </w:tc>
      </w:tr>
      <w:tr>
        <w:trPr>
          <w:trHeight w:val="189"/>
        </w:trPr>
        <w:tc>
          <w:tcPr>
            <w:tcW w:w="480" w:type="dxa"/>
            <w:vAlign w:val="bottom"/>
          </w:tcPr>
          <w:p>
            <w:pPr>
              <w:spacing w:after="0"/>
              <w:rPr>
                <w:sz w:val="16"/>
                <w:szCs w:val="16"/>
                <w:color w:val="auto"/>
              </w:rPr>
            </w:pPr>
          </w:p>
        </w:tc>
        <w:tc>
          <w:tcPr>
            <w:tcW w:w="820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14,084</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14,991</w:t>
            </w:r>
          </w:p>
        </w:tc>
      </w:tr>
      <w:tr>
        <w:trPr>
          <w:trHeight w:val="189"/>
        </w:trPr>
        <w:tc>
          <w:tcPr>
            <w:tcW w:w="480" w:type="dxa"/>
            <w:vAlign w:val="bottom"/>
          </w:tcPr>
          <w:p>
            <w:pPr>
              <w:spacing w:after="0"/>
              <w:rPr>
                <w:sz w:val="16"/>
                <w:szCs w:val="16"/>
                <w:color w:val="auto"/>
              </w:rPr>
            </w:pPr>
          </w:p>
        </w:tc>
        <w:tc>
          <w:tcPr>
            <w:tcW w:w="820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Deferred revenue</w:t>
            </w:r>
          </w:p>
        </w:tc>
        <w:tc>
          <w:tcPr>
            <w:tcW w:w="10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836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1,227</w:t>
            </w:r>
          </w:p>
        </w:tc>
      </w:tr>
      <w:tr>
        <w:trPr>
          <w:trHeight w:val="189"/>
        </w:trPr>
        <w:tc>
          <w:tcPr>
            <w:tcW w:w="480" w:type="dxa"/>
            <w:vAlign w:val="bottom"/>
          </w:tcPr>
          <w:p>
            <w:pPr>
              <w:spacing w:after="0"/>
              <w:rPr>
                <w:sz w:val="16"/>
                <w:szCs w:val="16"/>
                <w:color w:val="auto"/>
              </w:rPr>
            </w:pPr>
          </w:p>
        </w:tc>
        <w:tc>
          <w:tcPr>
            <w:tcW w:w="820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7"/>
                <w:szCs w:val="17"/>
                <w:color w:val="auto"/>
              </w:rPr>
              <w:t>Contingent consideration</w:t>
            </w: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7,079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6,740</w:t>
            </w:r>
          </w:p>
        </w:tc>
        <w:tc>
          <w:tcPr>
            <w:tcW w:w="100" w:type="dxa"/>
            <w:vAlign w:val="bottom"/>
            <w:shd w:val="clear" w:color="auto" w:fill="CCEEFF"/>
          </w:tcPr>
          <w:p>
            <w:pPr>
              <w:spacing w:after="0"/>
              <w:rPr>
                <w:sz w:val="16"/>
                <w:szCs w:val="16"/>
                <w:color w:val="auto"/>
              </w:rPr>
            </w:pPr>
          </w:p>
        </w:tc>
      </w:tr>
      <w:tr>
        <w:trPr>
          <w:trHeight w:val="194"/>
        </w:trPr>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20" w:type="dxa"/>
            <w:vAlign w:val="bottom"/>
          </w:tcPr>
          <w:p>
            <w:pPr>
              <w:ind w:left="220"/>
              <w:spacing w:after="0" w:line="194" w:lineRule="exact"/>
              <w:rPr>
                <w:sz w:val="20"/>
                <w:szCs w:val="20"/>
                <w:color w:val="auto"/>
              </w:rPr>
            </w:pPr>
            <w:r>
              <w:rPr>
                <w:rFonts w:ascii="Arial" w:cs="Arial" w:eastAsia="Arial" w:hAnsi="Arial"/>
                <w:sz w:val="17"/>
                <w:szCs w:val="17"/>
                <w:color w:val="auto"/>
              </w:rPr>
              <w:t>Total current liabilities</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77,964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88,380</w:t>
            </w:r>
          </w:p>
        </w:tc>
      </w:tr>
      <w:tr>
        <w:trPr>
          <w:trHeight w:val="189"/>
        </w:trPr>
        <w:tc>
          <w:tcPr>
            <w:tcW w:w="480" w:type="dxa"/>
            <w:vAlign w:val="bottom"/>
          </w:tcPr>
          <w:p>
            <w:pPr>
              <w:spacing w:after="0"/>
              <w:rPr>
                <w:sz w:val="16"/>
                <w:szCs w:val="16"/>
                <w:color w:val="auto"/>
              </w:rPr>
            </w:pPr>
          </w:p>
        </w:tc>
        <w:tc>
          <w:tcPr>
            <w:tcW w:w="82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Deferred tax liabilities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663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481</w:t>
            </w:r>
          </w:p>
        </w:tc>
      </w:tr>
      <w:tr>
        <w:trPr>
          <w:trHeight w:val="189"/>
        </w:trPr>
        <w:tc>
          <w:tcPr>
            <w:tcW w:w="480" w:type="dxa"/>
            <w:vAlign w:val="bottom"/>
          </w:tcPr>
          <w:p>
            <w:pPr>
              <w:spacing w:after="0"/>
              <w:rPr>
                <w:sz w:val="16"/>
                <w:szCs w:val="16"/>
                <w:color w:val="auto"/>
              </w:rPr>
            </w:pPr>
          </w:p>
        </w:tc>
        <w:tc>
          <w:tcPr>
            <w:tcW w:w="8200" w:type="dxa"/>
            <w:vAlign w:val="bottom"/>
            <w:gridSpan w:val="3"/>
          </w:tcPr>
          <w:p>
            <w:pPr>
              <w:spacing w:after="0" w:line="189" w:lineRule="exact"/>
              <w:rPr>
                <w:sz w:val="20"/>
                <w:szCs w:val="20"/>
                <w:color w:val="auto"/>
              </w:rPr>
            </w:pPr>
            <w:r>
              <w:rPr>
                <w:rFonts w:ascii="Arial" w:cs="Arial" w:eastAsia="Arial" w:hAnsi="Arial"/>
                <w:sz w:val="17"/>
                <w:szCs w:val="17"/>
                <w:color w:val="auto"/>
              </w:rPr>
              <w:t>Contingent consideration, net of current portion</w:t>
            </w:r>
          </w:p>
        </w:tc>
        <w:tc>
          <w:tcPr>
            <w:tcW w:w="100" w:type="dxa"/>
            <w:vAlign w:val="bottom"/>
          </w:tcPr>
          <w:p>
            <w:pPr>
              <w:spacing w:after="0"/>
              <w:rPr>
                <w:sz w:val="16"/>
                <w:szCs w:val="16"/>
                <w:color w:val="auto"/>
              </w:rPr>
            </w:pPr>
          </w:p>
        </w:tc>
        <w:tc>
          <w:tcPr>
            <w:tcW w:w="86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5,760</w:t>
            </w:r>
          </w:p>
        </w:tc>
      </w:tr>
      <w:tr>
        <w:trPr>
          <w:trHeight w:val="189"/>
        </w:trPr>
        <w:tc>
          <w:tcPr>
            <w:tcW w:w="480" w:type="dxa"/>
            <w:vAlign w:val="bottom"/>
          </w:tcPr>
          <w:p>
            <w:pPr>
              <w:spacing w:after="0"/>
              <w:rPr>
                <w:sz w:val="16"/>
                <w:szCs w:val="16"/>
                <w:color w:val="auto"/>
              </w:rPr>
            </w:pPr>
          </w:p>
        </w:tc>
        <w:tc>
          <w:tcPr>
            <w:tcW w:w="82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Preferred stock warrant liability</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1,932</w:t>
            </w:r>
          </w:p>
        </w:tc>
      </w:tr>
      <w:tr>
        <w:trPr>
          <w:trHeight w:val="189"/>
        </w:trPr>
        <w:tc>
          <w:tcPr>
            <w:tcW w:w="480" w:type="dxa"/>
            <w:vAlign w:val="bottom"/>
          </w:tcPr>
          <w:p>
            <w:pPr>
              <w:spacing w:after="0"/>
              <w:rPr>
                <w:sz w:val="16"/>
                <w:szCs w:val="16"/>
                <w:color w:val="auto"/>
              </w:rPr>
            </w:pPr>
          </w:p>
        </w:tc>
        <w:tc>
          <w:tcPr>
            <w:tcW w:w="8200" w:type="dxa"/>
            <w:vAlign w:val="bottom"/>
            <w:gridSpan w:val="3"/>
          </w:tcPr>
          <w:p>
            <w:pPr>
              <w:spacing w:after="0" w:line="189" w:lineRule="exact"/>
              <w:rPr>
                <w:sz w:val="20"/>
                <w:szCs w:val="20"/>
                <w:color w:val="auto"/>
              </w:rPr>
            </w:pPr>
            <w:r>
              <w:rPr>
                <w:rFonts w:ascii="Arial" w:cs="Arial" w:eastAsia="Arial" w:hAnsi="Arial"/>
                <w:sz w:val="17"/>
                <w:szCs w:val="17"/>
                <w:color w:val="auto"/>
              </w:rPr>
              <w:t>Long-term debt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24,447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24,352</w:t>
            </w:r>
          </w:p>
        </w:tc>
      </w:tr>
      <w:tr>
        <w:trPr>
          <w:trHeight w:val="189"/>
        </w:trPr>
        <w:tc>
          <w:tcPr>
            <w:tcW w:w="480" w:type="dxa"/>
            <w:vAlign w:val="bottom"/>
          </w:tcPr>
          <w:p>
            <w:pPr>
              <w:spacing w:after="0"/>
              <w:rPr>
                <w:sz w:val="16"/>
                <w:szCs w:val="16"/>
                <w:color w:val="auto"/>
              </w:rPr>
            </w:pPr>
          </w:p>
        </w:tc>
        <w:tc>
          <w:tcPr>
            <w:tcW w:w="82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Other liabilities</w:t>
            </w: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2,037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2,129</w:t>
            </w:r>
          </w:p>
        </w:tc>
        <w:tc>
          <w:tcPr>
            <w:tcW w:w="100" w:type="dxa"/>
            <w:vAlign w:val="bottom"/>
            <w:shd w:val="clear" w:color="auto" w:fill="CCEEFF"/>
          </w:tcPr>
          <w:p>
            <w:pPr>
              <w:spacing w:after="0"/>
              <w:rPr>
                <w:sz w:val="16"/>
                <w:szCs w:val="16"/>
                <w:color w:val="auto"/>
              </w:rPr>
            </w:pPr>
          </w:p>
        </w:tc>
      </w:tr>
      <w:tr>
        <w:trPr>
          <w:trHeight w:val="200"/>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20" w:type="dxa"/>
            <w:vAlign w:val="bottom"/>
          </w:tcPr>
          <w:p>
            <w:pPr>
              <w:ind w:left="220"/>
              <w:spacing w:after="0" w:line="194" w:lineRule="exact"/>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7"/>
                <w:szCs w:val="17"/>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105,111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123,034</w:t>
            </w:r>
          </w:p>
        </w:tc>
      </w:tr>
      <w:tr>
        <w:trPr>
          <w:trHeight w:val="189"/>
        </w:trPr>
        <w:tc>
          <w:tcPr>
            <w:tcW w:w="480" w:type="dxa"/>
            <w:vAlign w:val="bottom"/>
          </w:tcPr>
          <w:p>
            <w:pPr>
              <w:spacing w:after="0"/>
              <w:rPr>
                <w:sz w:val="16"/>
                <w:szCs w:val="16"/>
                <w:color w:val="auto"/>
              </w:rPr>
            </w:pPr>
          </w:p>
        </w:tc>
        <w:tc>
          <w:tcPr>
            <w:tcW w:w="82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 (Note 14)</w:t>
            </w: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480" w:type="dxa"/>
            <w:vAlign w:val="bottom"/>
          </w:tcPr>
          <w:p>
            <w:pPr>
              <w:spacing w:after="0"/>
              <w:rPr>
                <w:sz w:val="16"/>
                <w:szCs w:val="16"/>
                <w:color w:val="auto"/>
              </w:rPr>
            </w:pPr>
          </w:p>
        </w:tc>
        <w:tc>
          <w:tcPr>
            <w:tcW w:w="8200" w:type="dxa"/>
            <w:vAlign w:val="bottom"/>
            <w:gridSpan w:val="3"/>
          </w:tcPr>
          <w:p>
            <w:pPr>
              <w:spacing w:after="0" w:line="189" w:lineRule="exact"/>
              <w:rPr>
                <w:sz w:val="20"/>
                <w:szCs w:val="20"/>
                <w:color w:val="auto"/>
              </w:rPr>
            </w:pPr>
            <w:r>
              <w:rPr>
                <w:rFonts w:ascii="Arial" w:cs="Arial" w:eastAsia="Arial" w:hAnsi="Arial"/>
                <w:sz w:val="17"/>
                <w:szCs w:val="17"/>
                <w:color w:val="auto"/>
              </w:rPr>
              <w:t>Convertible preferred stock (Series A, B, B1, B1-NV, C and D), $0.0001 par value; 0 and 62,915,394 shares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80" w:type="dxa"/>
            <w:vAlign w:val="bottom"/>
          </w:tcPr>
          <w:p>
            <w:pPr>
              <w:spacing w:after="0"/>
              <w:rPr>
                <w:sz w:val="16"/>
                <w:szCs w:val="16"/>
                <w:color w:val="auto"/>
              </w:rPr>
            </w:pPr>
          </w:p>
        </w:tc>
        <w:tc>
          <w:tcPr>
            <w:tcW w:w="8200" w:type="dxa"/>
            <w:vAlign w:val="bottom"/>
            <w:gridSpan w:val="3"/>
          </w:tcPr>
          <w:p>
            <w:pPr>
              <w:ind w:left="160"/>
              <w:spacing w:after="0" w:line="189" w:lineRule="exact"/>
              <w:rPr>
                <w:sz w:val="20"/>
                <w:szCs w:val="20"/>
                <w:color w:val="auto"/>
              </w:rPr>
            </w:pPr>
            <w:r>
              <w:rPr>
                <w:rFonts w:ascii="Arial" w:cs="Arial" w:eastAsia="Arial" w:hAnsi="Arial"/>
                <w:sz w:val="17"/>
                <w:szCs w:val="17"/>
                <w:color w:val="auto"/>
              </w:rPr>
              <w:t>authorized at June 30, 2021 and December 31, 2020, respectively; 0 and 54,208,461 shares issued and</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80" w:type="dxa"/>
            <w:vAlign w:val="bottom"/>
          </w:tcPr>
          <w:p>
            <w:pPr>
              <w:spacing w:after="0"/>
              <w:rPr>
                <w:sz w:val="16"/>
                <w:szCs w:val="16"/>
                <w:color w:val="auto"/>
              </w:rPr>
            </w:pPr>
          </w:p>
        </w:tc>
        <w:tc>
          <w:tcPr>
            <w:tcW w:w="8200" w:type="dxa"/>
            <w:vAlign w:val="bottom"/>
            <w:gridSpan w:val="3"/>
          </w:tcPr>
          <w:p>
            <w:pPr>
              <w:ind w:left="160"/>
              <w:spacing w:after="0" w:line="189" w:lineRule="exact"/>
              <w:rPr>
                <w:sz w:val="20"/>
                <w:szCs w:val="20"/>
                <w:color w:val="auto"/>
              </w:rPr>
            </w:pPr>
            <w:r>
              <w:rPr>
                <w:rFonts w:ascii="Arial" w:cs="Arial" w:eastAsia="Arial" w:hAnsi="Arial"/>
                <w:sz w:val="17"/>
                <w:szCs w:val="17"/>
                <w:color w:val="auto"/>
              </w:rPr>
              <w:t>outstanding at June 30, 2021 and December 31, 2020, respectively; liquidation preference of $0 and</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480" w:type="dxa"/>
            <w:vAlign w:val="bottom"/>
          </w:tcPr>
          <w:p>
            <w:pPr>
              <w:spacing w:after="0"/>
              <w:rPr>
                <w:sz w:val="16"/>
                <w:szCs w:val="16"/>
                <w:color w:val="auto"/>
              </w:rPr>
            </w:pPr>
          </w:p>
        </w:tc>
        <w:tc>
          <w:tcPr>
            <w:tcW w:w="8200" w:type="dxa"/>
            <w:vAlign w:val="bottom"/>
            <w:gridSpan w:val="3"/>
          </w:tcPr>
          <w:p>
            <w:pPr>
              <w:ind w:left="160"/>
              <w:spacing w:after="0" w:line="190" w:lineRule="exact"/>
              <w:rPr>
                <w:sz w:val="20"/>
                <w:szCs w:val="20"/>
                <w:color w:val="auto"/>
              </w:rPr>
            </w:pPr>
            <w:r>
              <w:rPr>
                <w:rFonts w:ascii="Arial" w:cs="Arial" w:eastAsia="Arial" w:hAnsi="Arial"/>
                <w:sz w:val="17"/>
                <w:szCs w:val="17"/>
                <w:color w:val="auto"/>
              </w:rPr>
              <w:t>$110,716 at June 30, 2021 and December 31, 2020, respectively</w:t>
            </w:r>
          </w:p>
        </w:tc>
        <w:tc>
          <w:tcPr>
            <w:tcW w:w="100" w:type="dxa"/>
            <w:vAlign w:val="bottom"/>
          </w:tcPr>
          <w:p>
            <w:pPr>
              <w:spacing w:after="0"/>
              <w:rPr>
                <w:sz w:val="16"/>
                <w:szCs w:val="16"/>
                <w:color w:val="auto"/>
              </w:rPr>
            </w:pPr>
          </w:p>
        </w:tc>
        <w:tc>
          <w:tcPr>
            <w:tcW w:w="860" w:type="dxa"/>
            <w:vAlign w:val="bottom"/>
            <w:gridSpan w:val="2"/>
          </w:tcPr>
          <w:p>
            <w:pPr>
              <w:jc w:val="right"/>
              <w:ind w:right="280"/>
              <w:spacing w:after="0" w:line="190"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00"/>
              <w:spacing w:after="0" w:line="190" w:lineRule="exact"/>
              <w:rPr>
                <w:sz w:val="20"/>
                <w:szCs w:val="20"/>
                <w:color w:val="auto"/>
              </w:rPr>
            </w:pPr>
            <w:r>
              <w:rPr>
                <w:rFonts w:ascii="Arial" w:cs="Arial" w:eastAsia="Arial" w:hAnsi="Arial"/>
                <w:sz w:val="17"/>
                <w:szCs w:val="17"/>
                <w:color w:val="auto"/>
              </w:rPr>
              <w:t>110,401</w:t>
            </w:r>
          </w:p>
        </w:tc>
      </w:tr>
      <w:tr>
        <w:trPr>
          <w:trHeight w:val="188"/>
        </w:trPr>
        <w:tc>
          <w:tcPr>
            <w:tcW w:w="480" w:type="dxa"/>
            <w:vAlign w:val="bottom"/>
          </w:tcPr>
          <w:p>
            <w:pPr>
              <w:spacing w:after="0"/>
              <w:rPr>
                <w:sz w:val="16"/>
                <w:szCs w:val="16"/>
                <w:color w:val="auto"/>
              </w:rPr>
            </w:pPr>
          </w:p>
        </w:tc>
        <w:tc>
          <w:tcPr>
            <w:tcW w:w="82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Redeemable convertible preferred stock (Series E-1, E-2, F-1 and F-2), $0.0001 par value; 0 and</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480" w:type="dxa"/>
            <w:vAlign w:val="bottom"/>
          </w:tcPr>
          <w:p>
            <w:pPr>
              <w:spacing w:after="0"/>
              <w:rPr>
                <w:sz w:val="16"/>
                <w:szCs w:val="16"/>
                <w:color w:val="auto"/>
              </w:rPr>
            </w:pPr>
          </w:p>
        </w:tc>
        <w:tc>
          <w:tcPr>
            <w:tcW w:w="8200" w:type="dxa"/>
            <w:vAlign w:val="bottom"/>
            <w:gridSpan w:val="3"/>
            <w:shd w:val="clear" w:color="auto" w:fill="CCEEFF"/>
          </w:tcPr>
          <w:p>
            <w:pPr>
              <w:ind w:left="160"/>
              <w:spacing w:after="0" w:line="189" w:lineRule="exact"/>
              <w:rPr>
                <w:sz w:val="20"/>
                <w:szCs w:val="20"/>
                <w:color w:val="auto"/>
              </w:rPr>
            </w:pPr>
            <w:r>
              <w:rPr>
                <w:rFonts w:ascii="Arial" w:cs="Arial" w:eastAsia="Arial" w:hAnsi="Arial"/>
                <w:sz w:val="17"/>
                <w:szCs w:val="17"/>
                <w:color w:val="auto"/>
              </w:rPr>
              <w:t>16,023,132 shares authorized at June 30, 2021 and December 31, 2020, respectively; 0 and 11,239,920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480" w:type="dxa"/>
            <w:vAlign w:val="bottom"/>
          </w:tcPr>
          <w:p>
            <w:pPr>
              <w:spacing w:after="0"/>
              <w:rPr>
                <w:sz w:val="16"/>
                <w:szCs w:val="16"/>
                <w:color w:val="auto"/>
              </w:rPr>
            </w:pPr>
          </w:p>
        </w:tc>
        <w:tc>
          <w:tcPr>
            <w:tcW w:w="8200" w:type="dxa"/>
            <w:vAlign w:val="bottom"/>
            <w:gridSpan w:val="3"/>
            <w:shd w:val="clear" w:color="auto" w:fill="CCEEFF"/>
          </w:tcPr>
          <w:p>
            <w:pPr>
              <w:ind w:left="160"/>
              <w:spacing w:after="0" w:line="189" w:lineRule="exact"/>
              <w:rPr>
                <w:sz w:val="20"/>
                <w:szCs w:val="20"/>
                <w:color w:val="auto"/>
              </w:rPr>
            </w:pPr>
            <w:r>
              <w:rPr>
                <w:rFonts w:ascii="Arial" w:cs="Arial" w:eastAsia="Arial" w:hAnsi="Arial"/>
                <w:sz w:val="17"/>
                <w:szCs w:val="17"/>
                <w:color w:val="auto"/>
              </w:rPr>
              <w:t>shares issued and outstanding at June 30, 2021 and December 31, 2020, respectively; liquidation</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480" w:type="dxa"/>
            <w:vAlign w:val="bottom"/>
          </w:tcPr>
          <w:p>
            <w:pPr>
              <w:spacing w:after="0"/>
              <w:rPr>
                <w:sz w:val="16"/>
                <w:szCs w:val="16"/>
                <w:color w:val="auto"/>
              </w:rPr>
            </w:pPr>
          </w:p>
        </w:tc>
        <w:tc>
          <w:tcPr>
            <w:tcW w:w="8200" w:type="dxa"/>
            <w:vAlign w:val="bottom"/>
            <w:gridSpan w:val="3"/>
            <w:shd w:val="clear" w:color="auto" w:fill="CCEEFF"/>
          </w:tcPr>
          <w:p>
            <w:pPr>
              <w:ind w:left="160"/>
              <w:spacing w:after="0" w:line="190" w:lineRule="exact"/>
              <w:rPr>
                <w:sz w:val="20"/>
                <w:szCs w:val="20"/>
                <w:color w:val="auto"/>
              </w:rPr>
            </w:pPr>
            <w:r>
              <w:rPr>
                <w:rFonts w:ascii="Arial" w:cs="Arial" w:eastAsia="Arial" w:hAnsi="Arial"/>
                <w:sz w:val="17"/>
                <w:szCs w:val="17"/>
                <w:color w:val="auto"/>
              </w:rPr>
              <w:t>preference of $0 and $150,000, respectively at June 30, 2021 and December 31, 2020</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line="190"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90" w:lineRule="exact"/>
              <w:rPr>
                <w:sz w:val="20"/>
                <w:szCs w:val="20"/>
                <w:color w:val="auto"/>
              </w:rPr>
            </w:pPr>
            <w:r>
              <w:rPr>
                <w:rFonts w:ascii="Arial" w:cs="Arial" w:eastAsia="Arial" w:hAnsi="Arial"/>
                <w:sz w:val="17"/>
                <w:szCs w:val="17"/>
                <w:color w:val="auto"/>
              </w:rPr>
              <w:t>119,769</w:t>
            </w:r>
          </w:p>
        </w:tc>
      </w:tr>
      <w:tr>
        <w:trPr>
          <w:trHeight w:val="194"/>
        </w:trPr>
        <w:tc>
          <w:tcPr>
            <w:tcW w:w="480" w:type="dxa"/>
            <w:vAlign w:val="bottom"/>
          </w:tcPr>
          <w:p>
            <w:pPr>
              <w:spacing w:after="0"/>
              <w:rPr>
                <w:sz w:val="16"/>
                <w:szCs w:val="16"/>
                <w:color w:val="auto"/>
              </w:rPr>
            </w:pPr>
          </w:p>
        </w:tc>
        <w:tc>
          <w:tcPr>
            <w:tcW w:w="8200" w:type="dxa"/>
            <w:vAlign w:val="bottom"/>
            <w:gridSpan w:val="3"/>
          </w:tcPr>
          <w:p>
            <w:pPr>
              <w:spacing w:after="0" w:line="194" w:lineRule="exact"/>
              <w:rPr>
                <w:sz w:val="20"/>
                <w:szCs w:val="20"/>
                <w:color w:val="auto"/>
              </w:rPr>
            </w:pPr>
            <w:r>
              <w:rPr>
                <w:rFonts w:ascii="Arial" w:cs="Arial" w:eastAsia="Arial" w:hAnsi="Arial"/>
                <w:sz w:val="17"/>
                <w:szCs w:val="17"/>
                <w:color w:val="auto"/>
              </w:rPr>
              <w:t>Stockholders’ (deficit) equity:</w:t>
            </w: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480" w:type="dxa"/>
            <w:vAlign w:val="bottom"/>
          </w:tcPr>
          <w:p>
            <w:pPr>
              <w:spacing w:after="0"/>
              <w:rPr>
                <w:sz w:val="16"/>
                <w:szCs w:val="16"/>
                <w:color w:val="auto"/>
              </w:rPr>
            </w:pPr>
          </w:p>
        </w:tc>
        <w:tc>
          <w:tcPr>
            <w:tcW w:w="820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7"/>
                <w:szCs w:val="17"/>
                <w:color w:val="auto"/>
              </w:rPr>
              <w:t>Preferred stock, $0.0001 par value; 10,000,000 and 0 shares authorized as of June 30, 2021 and</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480" w:type="dxa"/>
            <w:vAlign w:val="bottom"/>
          </w:tcPr>
          <w:p>
            <w:pPr>
              <w:spacing w:after="0"/>
              <w:rPr>
                <w:sz w:val="16"/>
                <w:szCs w:val="16"/>
                <w:color w:val="auto"/>
              </w:rPr>
            </w:pPr>
          </w:p>
        </w:tc>
        <w:tc>
          <w:tcPr>
            <w:tcW w:w="8200" w:type="dxa"/>
            <w:vAlign w:val="bottom"/>
            <w:gridSpan w:val="3"/>
            <w:shd w:val="clear" w:color="auto" w:fill="CCEEFF"/>
          </w:tcPr>
          <w:p>
            <w:pPr>
              <w:ind w:left="500"/>
              <w:spacing w:after="0" w:line="189" w:lineRule="exact"/>
              <w:rPr>
                <w:sz w:val="20"/>
                <w:szCs w:val="20"/>
                <w:color w:val="auto"/>
              </w:rPr>
            </w:pPr>
            <w:r>
              <w:rPr>
                <w:rFonts w:ascii="Arial" w:cs="Arial" w:eastAsia="Arial" w:hAnsi="Arial"/>
                <w:sz w:val="17"/>
                <w:szCs w:val="17"/>
                <w:color w:val="auto"/>
              </w:rPr>
              <w:t>December 31, 2020, respectively; and none issued and outstanding as of June 30, 2021 and</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480" w:type="dxa"/>
            <w:vAlign w:val="bottom"/>
          </w:tcPr>
          <w:p>
            <w:pPr>
              <w:spacing w:after="0"/>
              <w:rPr>
                <w:sz w:val="16"/>
                <w:szCs w:val="16"/>
                <w:color w:val="auto"/>
              </w:rPr>
            </w:pPr>
          </w:p>
        </w:tc>
        <w:tc>
          <w:tcPr>
            <w:tcW w:w="8200" w:type="dxa"/>
            <w:vAlign w:val="bottom"/>
            <w:gridSpan w:val="3"/>
            <w:shd w:val="clear" w:color="auto" w:fill="CCEEFF"/>
          </w:tcPr>
          <w:p>
            <w:pPr>
              <w:ind w:left="500"/>
              <w:spacing w:after="0" w:line="190" w:lineRule="exact"/>
              <w:rPr>
                <w:sz w:val="20"/>
                <w:szCs w:val="20"/>
                <w:color w:val="auto"/>
              </w:rPr>
            </w:pPr>
            <w:r>
              <w:rPr>
                <w:rFonts w:ascii="Arial" w:cs="Arial" w:eastAsia="Arial" w:hAnsi="Arial"/>
                <w:sz w:val="17"/>
                <w:szCs w:val="17"/>
                <w:color w:val="auto"/>
              </w:rPr>
              <w:t>December 31, 2020, respectively</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line="190"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line="190" w:lineRule="exact"/>
              <w:rPr>
                <w:sz w:val="20"/>
                <w:szCs w:val="20"/>
                <w:color w:val="auto"/>
              </w:rPr>
            </w:pPr>
            <w:r>
              <w:rPr>
                <w:rFonts w:ascii="Arial" w:cs="Arial" w:eastAsia="Arial" w:hAnsi="Arial"/>
                <w:sz w:val="17"/>
                <w:szCs w:val="17"/>
                <w:color w:val="auto"/>
              </w:rPr>
              <w:t>—</w:t>
            </w:r>
          </w:p>
        </w:tc>
      </w:tr>
      <w:tr>
        <w:trPr>
          <w:trHeight w:val="188"/>
        </w:trPr>
        <w:tc>
          <w:tcPr>
            <w:tcW w:w="480" w:type="dxa"/>
            <w:vAlign w:val="bottom"/>
          </w:tcPr>
          <w:p>
            <w:pPr>
              <w:spacing w:after="0"/>
              <w:rPr>
                <w:sz w:val="16"/>
                <w:szCs w:val="16"/>
                <w:color w:val="auto"/>
              </w:rPr>
            </w:pPr>
          </w:p>
        </w:tc>
        <w:tc>
          <w:tcPr>
            <w:tcW w:w="820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Voting common stock, $0.0001 par value; 2,000,000,000 and 146,898,270 shares authorized as of</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80" w:type="dxa"/>
            <w:vAlign w:val="bottom"/>
          </w:tcPr>
          <w:p>
            <w:pPr>
              <w:spacing w:after="0"/>
              <w:rPr>
                <w:sz w:val="16"/>
                <w:szCs w:val="16"/>
                <w:color w:val="auto"/>
              </w:rPr>
            </w:pPr>
          </w:p>
        </w:tc>
        <w:tc>
          <w:tcPr>
            <w:tcW w:w="8200" w:type="dxa"/>
            <w:vAlign w:val="bottom"/>
            <w:gridSpan w:val="3"/>
          </w:tcPr>
          <w:p>
            <w:pPr>
              <w:ind w:left="500"/>
              <w:spacing w:after="0" w:line="189" w:lineRule="exact"/>
              <w:rPr>
                <w:sz w:val="20"/>
                <w:szCs w:val="20"/>
                <w:color w:val="auto"/>
              </w:rPr>
            </w:pPr>
            <w:r>
              <w:rPr>
                <w:rFonts w:ascii="Arial" w:cs="Arial" w:eastAsia="Arial" w:hAnsi="Arial"/>
                <w:sz w:val="17"/>
                <w:szCs w:val="17"/>
                <w:color w:val="auto"/>
              </w:rPr>
              <w:t>June 30, 2021 and December 31, 2020, respectively, 100,995,903 shares issued and 98,678,181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80" w:type="dxa"/>
            <w:vAlign w:val="bottom"/>
          </w:tcPr>
          <w:p>
            <w:pPr>
              <w:spacing w:after="0"/>
              <w:rPr>
                <w:sz w:val="16"/>
                <w:szCs w:val="16"/>
                <w:color w:val="auto"/>
              </w:rPr>
            </w:pPr>
          </w:p>
        </w:tc>
        <w:tc>
          <w:tcPr>
            <w:tcW w:w="8200" w:type="dxa"/>
            <w:vAlign w:val="bottom"/>
            <w:gridSpan w:val="3"/>
          </w:tcPr>
          <w:p>
            <w:pPr>
              <w:ind w:left="500"/>
              <w:spacing w:after="0" w:line="189" w:lineRule="exact"/>
              <w:rPr>
                <w:sz w:val="20"/>
                <w:szCs w:val="20"/>
                <w:color w:val="auto"/>
              </w:rPr>
            </w:pPr>
            <w:r>
              <w:rPr>
                <w:rFonts w:ascii="Arial" w:cs="Arial" w:eastAsia="Arial" w:hAnsi="Arial"/>
                <w:sz w:val="17"/>
                <w:szCs w:val="17"/>
                <w:color w:val="auto"/>
              </w:rPr>
              <w:t>shares outstanding as of June 30, 2021; 22,240,872 shares issued and 19,923,150 shares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480" w:type="dxa"/>
            <w:vAlign w:val="bottom"/>
          </w:tcPr>
          <w:p>
            <w:pPr>
              <w:spacing w:after="0"/>
              <w:rPr>
                <w:sz w:val="16"/>
                <w:szCs w:val="16"/>
                <w:color w:val="auto"/>
              </w:rPr>
            </w:pPr>
          </w:p>
        </w:tc>
        <w:tc>
          <w:tcPr>
            <w:tcW w:w="8200" w:type="dxa"/>
            <w:vAlign w:val="bottom"/>
            <w:gridSpan w:val="3"/>
          </w:tcPr>
          <w:p>
            <w:pPr>
              <w:ind w:left="500"/>
              <w:spacing w:after="0" w:line="190" w:lineRule="exact"/>
              <w:rPr>
                <w:sz w:val="20"/>
                <w:szCs w:val="20"/>
                <w:color w:val="auto"/>
              </w:rPr>
            </w:pPr>
            <w:r>
              <w:rPr>
                <w:rFonts w:ascii="Arial" w:cs="Arial" w:eastAsia="Arial" w:hAnsi="Arial"/>
                <w:sz w:val="17"/>
                <w:szCs w:val="17"/>
                <w:color w:val="auto"/>
              </w:rPr>
              <w:t>outstanding as of December 31, 2020</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line="190" w:lineRule="exact"/>
              <w:rPr>
                <w:sz w:val="20"/>
                <w:szCs w:val="20"/>
                <w:color w:val="auto"/>
              </w:rPr>
            </w:pPr>
            <w:r>
              <w:rPr>
                <w:rFonts w:ascii="Arial" w:cs="Arial" w:eastAsia="Arial" w:hAnsi="Arial"/>
                <w:sz w:val="17"/>
                <w:szCs w:val="17"/>
                <w:color w:val="auto"/>
              </w:rPr>
              <w:t>10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00"/>
              <w:spacing w:after="0" w:line="190" w:lineRule="exact"/>
              <w:rPr>
                <w:sz w:val="20"/>
                <w:szCs w:val="20"/>
                <w:color w:val="auto"/>
              </w:rPr>
            </w:pPr>
            <w:r>
              <w:rPr>
                <w:rFonts w:ascii="Arial" w:cs="Arial" w:eastAsia="Arial" w:hAnsi="Arial"/>
                <w:sz w:val="17"/>
                <w:szCs w:val="17"/>
                <w:color w:val="auto"/>
              </w:rPr>
              <w:t>2</w:t>
            </w:r>
          </w:p>
        </w:tc>
      </w:tr>
      <w:tr>
        <w:trPr>
          <w:trHeight w:val="188"/>
        </w:trPr>
        <w:tc>
          <w:tcPr>
            <w:tcW w:w="480" w:type="dxa"/>
            <w:vAlign w:val="bottom"/>
          </w:tcPr>
          <w:p>
            <w:pPr>
              <w:spacing w:after="0"/>
              <w:rPr>
                <w:sz w:val="16"/>
                <w:szCs w:val="16"/>
                <w:color w:val="auto"/>
              </w:rPr>
            </w:pPr>
          </w:p>
        </w:tc>
        <w:tc>
          <w:tcPr>
            <w:tcW w:w="820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7"/>
                <w:szCs w:val="17"/>
                <w:color w:val="auto"/>
              </w:rPr>
              <w:t>Non-voting common stock, $0.0001 par value;10,000,000 and 0 shares authorized as of June 30, 2021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480" w:type="dxa"/>
            <w:vAlign w:val="bottom"/>
          </w:tcPr>
          <w:p>
            <w:pPr>
              <w:spacing w:after="0"/>
              <w:rPr>
                <w:sz w:val="16"/>
                <w:szCs w:val="16"/>
                <w:color w:val="auto"/>
              </w:rPr>
            </w:pPr>
          </w:p>
        </w:tc>
        <w:tc>
          <w:tcPr>
            <w:tcW w:w="8200" w:type="dxa"/>
            <w:vAlign w:val="bottom"/>
            <w:gridSpan w:val="3"/>
            <w:shd w:val="clear" w:color="auto" w:fill="CCEEFF"/>
          </w:tcPr>
          <w:p>
            <w:pPr>
              <w:ind w:left="500"/>
              <w:spacing w:after="0" w:line="189" w:lineRule="exact"/>
              <w:rPr>
                <w:sz w:val="20"/>
                <w:szCs w:val="20"/>
                <w:color w:val="auto"/>
              </w:rPr>
            </w:pPr>
            <w:r>
              <w:rPr>
                <w:rFonts w:ascii="Arial" w:cs="Arial" w:eastAsia="Arial" w:hAnsi="Arial"/>
                <w:sz w:val="17"/>
                <w:szCs w:val="17"/>
                <w:color w:val="auto"/>
              </w:rPr>
              <w:t>and December 31, 2020, respectively; 5,988,378 and 0 issued and outstanding as of June 30, 2021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480" w:type="dxa"/>
            <w:vAlign w:val="bottom"/>
          </w:tcPr>
          <w:p>
            <w:pPr>
              <w:spacing w:after="0"/>
              <w:rPr>
                <w:sz w:val="16"/>
                <w:szCs w:val="16"/>
                <w:color w:val="auto"/>
              </w:rPr>
            </w:pPr>
          </w:p>
        </w:tc>
        <w:tc>
          <w:tcPr>
            <w:tcW w:w="8200" w:type="dxa"/>
            <w:vAlign w:val="bottom"/>
            <w:gridSpan w:val="3"/>
            <w:shd w:val="clear" w:color="auto" w:fill="CCEEFF"/>
          </w:tcPr>
          <w:p>
            <w:pPr>
              <w:ind w:left="500"/>
              <w:spacing w:after="0" w:line="190" w:lineRule="exact"/>
              <w:rPr>
                <w:sz w:val="20"/>
                <w:szCs w:val="20"/>
                <w:color w:val="auto"/>
              </w:rPr>
            </w:pPr>
            <w:r>
              <w:rPr>
                <w:rFonts w:ascii="Arial" w:cs="Arial" w:eastAsia="Arial" w:hAnsi="Arial"/>
                <w:sz w:val="17"/>
                <w:szCs w:val="17"/>
                <w:color w:val="auto"/>
              </w:rPr>
              <w:t>and December 31, 2020, respectively</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line="190" w:lineRule="exact"/>
              <w:rPr>
                <w:sz w:val="20"/>
                <w:szCs w:val="20"/>
                <w:color w:val="auto"/>
              </w:rPr>
            </w:pPr>
            <w:r>
              <w:rPr>
                <w:rFonts w:ascii="Arial" w:cs="Arial" w:eastAsia="Arial" w:hAnsi="Arial"/>
                <w:sz w:val="17"/>
                <w:szCs w:val="17"/>
                <w:color w:val="auto"/>
              </w:rPr>
              <w:t>—</w:t>
            </w:r>
          </w:p>
        </w:tc>
      </w:tr>
      <w:tr>
        <w:trPr>
          <w:trHeight w:val="189"/>
        </w:trPr>
        <w:tc>
          <w:tcPr>
            <w:tcW w:w="480" w:type="dxa"/>
            <w:vAlign w:val="bottom"/>
          </w:tcPr>
          <w:p>
            <w:pPr>
              <w:spacing w:after="0"/>
              <w:rPr>
                <w:sz w:val="16"/>
                <w:szCs w:val="16"/>
                <w:color w:val="auto"/>
              </w:rPr>
            </w:pPr>
          </w:p>
        </w:tc>
        <w:tc>
          <w:tcPr>
            <w:tcW w:w="820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Treasury Stock, 2,317,722 shares as of June 30, 2021 and December 31, 2020, held at cost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(748)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(748)</w:t>
            </w:r>
          </w:p>
        </w:tc>
      </w:tr>
      <w:tr>
        <w:trPr>
          <w:trHeight w:val="189"/>
        </w:trPr>
        <w:tc>
          <w:tcPr>
            <w:tcW w:w="480" w:type="dxa"/>
            <w:vAlign w:val="bottom"/>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5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600,236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16,970</w:t>
            </w:r>
          </w:p>
        </w:tc>
      </w:tr>
      <w:tr>
        <w:trPr>
          <w:trHeight w:val="189"/>
        </w:trPr>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54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Accumulated other comprehensive income (loss)</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49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(214)</w:t>
            </w:r>
          </w:p>
        </w:tc>
      </w:tr>
      <w:tr>
        <w:trPr>
          <w:trHeight w:val="189"/>
        </w:trPr>
        <w:tc>
          <w:tcPr>
            <w:tcW w:w="480" w:type="dxa"/>
            <w:vAlign w:val="bottom"/>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5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w w:val="98"/>
              </w:rPr>
              <w:t>(124,570)</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(97,772)</w:t>
            </w:r>
          </w:p>
        </w:tc>
      </w:tr>
      <w:tr>
        <w:trPr>
          <w:trHeight w:val="20"/>
        </w:trPr>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20" w:type="dxa"/>
            <w:vAlign w:val="bottom"/>
          </w:tcPr>
          <w:p>
            <w:pPr>
              <w:ind w:left="220"/>
              <w:spacing w:after="0" w:line="194" w:lineRule="exact"/>
              <w:rPr>
                <w:sz w:val="20"/>
                <w:szCs w:val="20"/>
                <w:color w:val="auto"/>
              </w:rPr>
            </w:pPr>
            <w:r>
              <w:rPr>
                <w:rFonts w:ascii="Arial" w:cs="Arial" w:eastAsia="Arial" w:hAnsi="Arial"/>
                <w:sz w:val="17"/>
                <w:szCs w:val="17"/>
                <w:color w:val="auto"/>
              </w:rPr>
              <w:t>Total stockholders’ equity (deficit)</w:t>
            </w:r>
          </w:p>
        </w:tc>
        <w:tc>
          <w:tcPr>
            <w:tcW w:w="100" w:type="dxa"/>
            <w:vAlign w:val="bottom"/>
          </w:tcPr>
          <w:p>
            <w:pPr>
              <w:spacing w:after="0"/>
              <w:rPr>
                <w:sz w:val="17"/>
                <w:szCs w:val="17"/>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474,978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(81,762)</w:t>
            </w:r>
          </w:p>
        </w:tc>
      </w:tr>
      <w:tr>
        <w:trPr>
          <w:trHeight w:val="188"/>
        </w:trPr>
        <w:tc>
          <w:tcPr>
            <w:tcW w:w="480" w:type="dxa"/>
            <w:vAlign w:val="bottom"/>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2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Total liabilities, convertible preferred stock, redeemable convertible preferred stock and</w:t>
            </w: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480" w:type="dxa"/>
            <w:vAlign w:val="bottom"/>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20" w:type="dxa"/>
            <w:vAlign w:val="bottom"/>
            <w:shd w:val="clear" w:color="auto" w:fill="CCEEFF"/>
          </w:tcPr>
          <w:p>
            <w:pPr>
              <w:ind w:left="400"/>
              <w:spacing w:after="0" w:line="190" w:lineRule="exact"/>
              <w:rPr>
                <w:sz w:val="20"/>
                <w:szCs w:val="20"/>
                <w:color w:val="auto"/>
              </w:rPr>
            </w:pPr>
            <w:r>
              <w:rPr>
                <w:rFonts w:ascii="Arial" w:cs="Arial" w:eastAsia="Arial" w:hAnsi="Arial"/>
                <w:sz w:val="17"/>
                <w:szCs w:val="17"/>
                <w:color w:val="auto"/>
              </w:rPr>
              <w:t>stockholders’ (deficit) equity</w:t>
            </w:r>
          </w:p>
        </w:tc>
        <w:tc>
          <w:tcPr>
            <w:tcW w:w="1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580,089</w:t>
            </w:r>
          </w:p>
        </w:tc>
        <w:tc>
          <w:tcPr>
            <w:tcW w:w="1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140"/>
              <w:spacing w:after="0" w:line="190"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90" w:lineRule="exact"/>
              <w:rPr>
                <w:sz w:val="20"/>
                <w:szCs w:val="20"/>
                <w:color w:val="auto"/>
              </w:rPr>
            </w:pPr>
            <w:r>
              <w:rPr>
                <w:rFonts w:ascii="Arial" w:cs="Arial" w:eastAsia="Arial" w:hAnsi="Arial"/>
                <w:sz w:val="17"/>
                <w:szCs w:val="17"/>
                <w:color w:val="auto"/>
              </w:rPr>
              <w:t>271,442</w:t>
            </w:r>
          </w:p>
        </w:tc>
      </w:tr>
      <w:tr>
        <w:trPr>
          <w:trHeight w:val="20"/>
        </w:trPr>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7"/>
          <w:szCs w:val="17"/>
          <w:color w:val="auto"/>
        </w:rPr>
        <w:t>The accompanying notes are an integral part of these unaudited consolidated financial statements.</w:t>
      </w:r>
    </w:p>
    <w:p>
      <w:pPr>
        <w:sectPr>
          <w:pgSz w:w="11900" w:h="16838" w:orient="portrait"/>
          <w:cols w:equalWidth="0" w:num="1">
            <w:col w:w="10760"/>
          </w:cols>
          <w:pgMar w:left="320" w:top="448" w:right="819" w:bottom="1440" w:gutter="0" w:footer="0" w:header="0"/>
        </w:sectPr>
      </w:pPr>
    </w:p>
    <w:p>
      <w:pPr>
        <w:spacing w:after="0" w:line="13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760"/>
          </w:cols>
          <w:pgMar w:left="320" w:top="448" w:right="819" w:bottom="1440" w:gutter="0" w:footer="0" w:header="0"/>
          <w:type w:val="continuous"/>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FLYWIRE CORPORATION</w:t>
      </w:r>
    </w:p>
    <w:p>
      <w:pPr>
        <w:spacing w:after="0" w:line="7"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UNAUDITED CONDENSED CONSOLIDATED STATEMENTS OF OPERATIONS AND COMPREHENSIVE LOSS</w:t>
      </w:r>
    </w:p>
    <w:p>
      <w:pPr>
        <w:jc w:val="center"/>
        <w:ind w:right="-479"/>
        <w:spacing w:after="0"/>
        <w:rPr>
          <w:sz w:val="20"/>
          <w:szCs w:val="20"/>
          <w:color w:val="auto"/>
        </w:rPr>
      </w:pPr>
      <w:r>
        <w:rPr>
          <w:rFonts w:ascii="Arial" w:cs="Arial" w:eastAsia="Arial" w:hAnsi="Arial"/>
          <w:sz w:val="17"/>
          <w:szCs w:val="17"/>
          <w:color w:val="auto"/>
        </w:rPr>
        <w:t>(Amounts in thousands, except share and per share amounts)</w:t>
      </w:r>
    </w:p>
    <w:p>
      <w:pPr>
        <w:spacing w:after="0" w:line="222" w:lineRule="exact"/>
        <w:rPr>
          <w:sz w:val="20"/>
          <w:szCs w:val="20"/>
          <w:color w:val="auto"/>
        </w:rPr>
      </w:pPr>
    </w:p>
    <w:tbl>
      <w:tblPr>
        <w:tblLayout w:type="fixed"/>
        <w:tblInd w:w="480" w:type="dxa"/>
        <w:tblCellMar>
          <w:top w:w="0" w:type="dxa"/>
          <w:left w:w="0" w:type="dxa"/>
          <w:bottom w:w="0" w:type="dxa"/>
          <w:right w:w="0" w:type="dxa"/>
        </w:tblCellMar>
      </w:tblPr>
      <w:tr>
        <w:trPr>
          <w:trHeight w:val="163"/>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ind w:right="640"/>
              <w:spacing w:after="0"/>
              <w:rPr>
                <w:sz w:val="20"/>
                <w:szCs w:val="20"/>
                <w:color w:val="auto"/>
              </w:rPr>
            </w:pPr>
            <w:r>
              <w:rPr>
                <w:rFonts w:ascii="Arial" w:cs="Arial" w:eastAsia="Arial" w:hAnsi="Arial"/>
                <w:sz w:val="13"/>
                <w:szCs w:val="13"/>
                <w:b w:val="1"/>
                <w:bCs w:val="1"/>
                <w:color w:val="auto"/>
              </w:rPr>
              <w:t>Three Months Ended June 30,</w:t>
            </w:r>
          </w:p>
        </w:tc>
        <w:tc>
          <w:tcPr>
            <w:tcW w:w="100" w:type="dxa"/>
            <w:vAlign w:val="bottom"/>
          </w:tcPr>
          <w:p>
            <w:pPr>
              <w:spacing w:after="0"/>
              <w:rPr>
                <w:sz w:val="14"/>
                <w:szCs w:val="14"/>
                <w:color w:val="auto"/>
              </w:rPr>
            </w:pPr>
          </w:p>
        </w:tc>
        <w:tc>
          <w:tcPr>
            <w:tcW w:w="23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57"/>
        </w:trPr>
        <w:tc>
          <w:tcPr>
            <w:tcW w:w="5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10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36,976</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23,757</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81,967</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56,466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spacing w:after="0" w:line="189" w:lineRule="exact"/>
              <w:rPr>
                <w:sz w:val="20"/>
                <w:szCs w:val="20"/>
                <w:color w:val="auto"/>
              </w:rPr>
            </w:pPr>
            <w:r>
              <w:rPr>
                <w:rFonts w:ascii="Arial" w:cs="Arial" w:eastAsia="Arial" w:hAnsi="Arial"/>
                <w:sz w:val="17"/>
                <w:szCs w:val="17"/>
                <w:color w:val="auto"/>
              </w:rPr>
              <w:t>Costs and operating expenses:</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Payment processing services costs</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13,122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10,868</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29,213</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22,477</w:t>
            </w:r>
          </w:p>
        </w:tc>
        <w:tc>
          <w:tcPr>
            <w:tcW w:w="0" w:type="dxa"/>
            <w:vAlign w:val="bottom"/>
          </w:tcPr>
          <w:p>
            <w:pPr>
              <w:spacing w:after="0"/>
              <w:rPr>
                <w:sz w:val="1"/>
                <w:szCs w:val="1"/>
                <w:color w:val="auto"/>
              </w:rPr>
            </w:pPr>
          </w:p>
        </w:tc>
      </w:tr>
      <w:tr>
        <w:trPr>
          <w:trHeight w:val="189"/>
        </w:trPr>
        <w:tc>
          <w:tcPr>
            <w:tcW w:w="5100" w:type="dxa"/>
            <w:vAlign w:val="bottom"/>
          </w:tcPr>
          <w:p>
            <w:pPr>
              <w:ind w:left="340"/>
              <w:spacing w:after="0" w:line="189" w:lineRule="exact"/>
              <w:rPr>
                <w:sz w:val="20"/>
                <w:szCs w:val="20"/>
                <w:color w:val="auto"/>
              </w:rPr>
            </w:pPr>
            <w:r>
              <w:rPr>
                <w:rFonts w:ascii="Arial" w:cs="Arial" w:eastAsia="Arial" w:hAnsi="Arial"/>
                <w:sz w:val="17"/>
                <w:szCs w:val="17"/>
                <w:color w:val="auto"/>
              </w:rPr>
              <w:t>Technology and development</w:t>
            </w:r>
          </w:p>
        </w:tc>
        <w:tc>
          <w:tcPr>
            <w:tcW w:w="100" w:type="dxa"/>
            <w:vAlign w:val="bottom"/>
          </w:tcPr>
          <w:p>
            <w:pPr>
              <w:spacing w:after="0"/>
              <w:rPr>
                <w:sz w:val="16"/>
                <w:szCs w:val="16"/>
                <w:color w:val="auto"/>
              </w:rPr>
            </w:pPr>
          </w:p>
        </w:tc>
        <w:tc>
          <w:tcPr>
            <w:tcW w:w="11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6,929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6,378</w:t>
            </w:r>
          </w:p>
        </w:tc>
        <w:tc>
          <w:tcPr>
            <w:tcW w:w="100" w:type="dxa"/>
            <w:vAlign w:val="bottom"/>
          </w:tcPr>
          <w:p>
            <w:pPr>
              <w:spacing w:after="0"/>
              <w:rPr>
                <w:sz w:val="16"/>
                <w:szCs w:val="16"/>
                <w:color w:val="auto"/>
              </w:rPr>
            </w:pPr>
          </w:p>
        </w:tc>
        <w:tc>
          <w:tcPr>
            <w:tcW w:w="12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14,451</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11,726</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10,906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8,125</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22,837</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16,702</w:t>
            </w:r>
          </w:p>
        </w:tc>
        <w:tc>
          <w:tcPr>
            <w:tcW w:w="0" w:type="dxa"/>
            <w:vAlign w:val="bottom"/>
          </w:tcPr>
          <w:p>
            <w:pPr>
              <w:spacing w:after="0"/>
              <w:rPr>
                <w:sz w:val="1"/>
                <w:szCs w:val="1"/>
                <w:color w:val="auto"/>
              </w:rPr>
            </w:pPr>
          </w:p>
        </w:tc>
      </w:tr>
      <w:tr>
        <w:trPr>
          <w:trHeight w:val="189"/>
        </w:trPr>
        <w:tc>
          <w:tcPr>
            <w:tcW w:w="5100" w:type="dxa"/>
            <w:vAlign w:val="bottom"/>
          </w:tcPr>
          <w:p>
            <w:pPr>
              <w:ind w:left="34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13,578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13,548</w:t>
            </w:r>
          </w:p>
        </w:tc>
        <w:tc>
          <w:tcPr>
            <w:tcW w:w="100" w:type="dxa"/>
            <w:vAlign w:val="bottom"/>
          </w:tcPr>
          <w:p>
            <w:pPr>
              <w:spacing w:after="0"/>
              <w:rPr>
                <w:sz w:val="16"/>
                <w:szCs w:val="16"/>
                <w:color w:val="auto"/>
              </w:rPr>
            </w:pPr>
          </w:p>
        </w:tc>
        <w:tc>
          <w:tcPr>
            <w:tcW w:w="12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29,491</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23,813</w:t>
            </w:r>
          </w:p>
        </w:tc>
        <w:tc>
          <w:tcPr>
            <w:tcW w:w="0" w:type="dxa"/>
            <w:vAlign w:val="bottom"/>
          </w:tcPr>
          <w:p>
            <w:pPr>
              <w:spacing w:after="0"/>
              <w:rPr>
                <w:sz w:val="1"/>
                <w:szCs w:val="1"/>
                <w:color w:val="auto"/>
              </w:rPr>
            </w:pPr>
          </w:p>
        </w:tc>
      </w:tr>
      <w:tr>
        <w:trPr>
          <w:trHeight w:val="25"/>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100" w:type="dxa"/>
            <w:vAlign w:val="bottom"/>
            <w:shd w:val="clear" w:color="auto" w:fill="CCEEFF"/>
          </w:tcPr>
          <w:p>
            <w:pPr>
              <w:ind w:left="680"/>
              <w:spacing w:after="0" w:line="189" w:lineRule="exact"/>
              <w:rPr>
                <w:sz w:val="20"/>
                <w:szCs w:val="20"/>
                <w:color w:val="auto"/>
              </w:rPr>
            </w:pPr>
            <w:r>
              <w:rPr>
                <w:rFonts w:ascii="Arial" w:cs="Arial" w:eastAsia="Arial" w:hAnsi="Arial"/>
                <w:sz w:val="17"/>
                <w:szCs w:val="17"/>
                <w:color w:val="auto"/>
              </w:rPr>
              <w:t>Total costs and operating expenses</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44,535</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38,919</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95,992</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74,718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00" w:type="dxa"/>
            <w:vAlign w:val="bottom"/>
          </w:tcPr>
          <w:p>
            <w:pPr>
              <w:spacing w:after="0" w:line="194" w:lineRule="exact"/>
              <w:rPr>
                <w:sz w:val="20"/>
                <w:szCs w:val="20"/>
                <w:color w:val="auto"/>
              </w:rPr>
            </w:pPr>
            <w:r>
              <w:rPr>
                <w:rFonts w:ascii="Arial" w:cs="Arial" w:eastAsia="Arial" w:hAnsi="Arial"/>
                <w:sz w:val="17"/>
                <w:szCs w:val="17"/>
                <w:color w:val="auto"/>
              </w:rPr>
              <w:t>Loss from operations</w:t>
            </w:r>
          </w:p>
        </w:tc>
        <w:tc>
          <w:tcPr>
            <w:tcW w:w="100" w:type="dxa"/>
            <w:vAlign w:val="bottom"/>
          </w:tcPr>
          <w:p>
            <w:pPr>
              <w:spacing w:after="0"/>
              <w:rPr>
                <w:sz w:val="17"/>
                <w:szCs w:val="17"/>
                <w:color w:val="auto"/>
              </w:rPr>
            </w:pPr>
          </w:p>
        </w:tc>
        <w:tc>
          <w:tcPr>
            <w:tcW w:w="11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(7,559)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80"/>
              <w:spacing w:after="0" w:line="194" w:lineRule="exact"/>
              <w:rPr>
                <w:sz w:val="20"/>
                <w:szCs w:val="20"/>
                <w:color w:val="auto"/>
              </w:rPr>
            </w:pPr>
            <w:r>
              <w:rPr>
                <w:rFonts w:ascii="Arial" w:cs="Arial" w:eastAsia="Arial" w:hAnsi="Arial"/>
                <w:sz w:val="17"/>
                <w:szCs w:val="17"/>
                <w:color w:val="auto"/>
              </w:rPr>
              <w:t>(15,162)</w:t>
            </w:r>
          </w:p>
        </w:tc>
        <w:tc>
          <w:tcPr>
            <w:tcW w:w="100" w:type="dxa"/>
            <w:vAlign w:val="bottom"/>
          </w:tcPr>
          <w:p>
            <w:pPr>
              <w:spacing w:after="0"/>
              <w:rPr>
                <w:sz w:val="17"/>
                <w:szCs w:val="17"/>
                <w:color w:val="auto"/>
              </w:rPr>
            </w:pPr>
          </w:p>
        </w:tc>
        <w:tc>
          <w:tcPr>
            <w:tcW w:w="1260" w:type="dxa"/>
            <w:vAlign w:val="bottom"/>
            <w:gridSpan w:val="2"/>
          </w:tcPr>
          <w:p>
            <w:pPr>
              <w:jc w:val="right"/>
              <w:ind w:right="360"/>
              <w:spacing w:after="0" w:line="194" w:lineRule="exact"/>
              <w:rPr>
                <w:sz w:val="20"/>
                <w:szCs w:val="20"/>
                <w:color w:val="auto"/>
              </w:rPr>
            </w:pPr>
            <w:r>
              <w:rPr>
                <w:rFonts w:ascii="Arial" w:cs="Arial" w:eastAsia="Arial" w:hAnsi="Arial"/>
                <w:sz w:val="17"/>
                <w:szCs w:val="17"/>
                <w:color w:val="auto"/>
              </w:rPr>
              <w:t>(14,025)</w:t>
            </w: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(18,252)</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w:t>
            </w: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40"/>
              <w:spacing w:after="0" w:line="189" w:lineRule="exact"/>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6"/>
                <w:szCs w:val="16"/>
                <w:color w:val="auto"/>
              </w:rPr>
            </w:pPr>
          </w:p>
        </w:tc>
        <w:tc>
          <w:tcPr>
            <w:tcW w:w="11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(629)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(679)</w:t>
            </w:r>
          </w:p>
        </w:tc>
        <w:tc>
          <w:tcPr>
            <w:tcW w:w="100" w:type="dxa"/>
            <w:vAlign w:val="bottom"/>
          </w:tcPr>
          <w:p>
            <w:pPr>
              <w:spacing w:after="0"/>
              <w:rPr>
                <w:sz w:val="16"/>
                <w:szCs w:val="16"/>
                <w:color w:val="auto"/>
              </w:rPr>
            </w:pPr>
          </w:p>
        </w:tc>
        <w:tc>
          <w:tcPr>
            <w:tcW w:w="126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(1,250)</w:t>
            </w:r>
          </w:p>
        </w:tc>
        <w:tc>
          <w:tcPr>
            <w:tcW w:w="100" w:type="dxa"/>
            <w:vAlign w:val="bottom"/>
          </w:tcPr>
          <w:p>
            <w:pPr>
              <w:spacing w:after="0"/>
              <w:rPr>
                <w:sz w:val="16"/>
                <w:szCs w:val="16"/>
                <w:color w:val="auto"/>
              </w:rPr>
            </w:pP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(1,276)</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Change in fair value of preferred stock warrant liability</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(9,803)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(10,758)</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189"/>
        </w:trPr>
        <w:tc>
          <w:tcPr>
            <w:tcW w:w="5100" w:type="dxa"/>
            <w:vAlign w:val="bottom"/>
          </w:tcPr>
          <w:p>
            <w:pPr>
              <w:ind w:left="340"/>
              <w:spacing w:after="0" w:line="189" w:lineRule="exact"/>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118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107</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(294)</w:t>
            </w:r>
          </w:p>
        </w:tc>
        <w:tc>
          <w:tcPr>
            <w:tcW w:w="10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5"/>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100" w:type="dxa"/>
            <w:vAlign w:val="bottom"/>
            <w:shd w:val="clear" w:color="auto" w:fill="CCEEFF"/>
          </w:tcPr>
          <w:p>
            <w:pPr>
              <w:ind w:left="680"/>
              <w:spacing w:after="0" w:line="189" w:lineRule="exact"/>
              <w:rPr>
                <w:sz w:val="20"/>
                <w:szCs w:val="20"/>
                <w:color w:val="auto"/>
              </w:rPr>
            </w:pPr>
            <w:r>
              <w:rPr>
                <w:rFonts w:ascii="Arial" w:cs="Arial" w:eastAsia="Arial" w:hAnsi="Arial"/>
                <w:sz w:val="17"/>
                <w:szCs w:val="17"/>
                <w:color w:val="auto"/>
              </w:rPr>
              <w:t>Total other expenses, net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(10,314)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(563)</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(12,302)</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(1,454)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00" w:type="dxa"/>
            <w:vAlign w:val="bottom"/>
          </w:tcPr>
          <w:p>
            <w:pPr>
              <w:spacing w:after="0" w:line="194" w:lineRule="exact"/>
              <w:rPr>
                <w:sz w:val="20"/>
                <w:szCs w:val="20"/>
                <w:color w:val="auto"/>
              </w:rPr>
            </w:pPr>
            <w:r>
              <w:rPr>
                <w:rFonts w:ascii="Arial" w:cs="Arial" w:eastAsia="Arial" w:hAnsi="Arial"/>
                <w:sz w:val="17"/>
                <w:szCs w:val="17"/>
                <w:color w:val="auto"/>
              </w:rPr>
              <w:t>Loss before provision for income taxes</w:t>
            </w:r>
          </w:p>
        </w:tc>
        <w:tc>
          <w:tcPr>
            <w:tcW w:w="100" w:type="dxa"/>
            <w:vAlign w:val="bottom"/>
          </w:tcPr>
          <w:p>
            <w:pPr>
              <w:spacing w:after="0"/>
              <w:rPr>
                <w:sz w:val="16"/>
                <w:szCs w:val="16"/>
                <w:color w:val="auto"/>
              </w:rPr>
            </w:pPr>
          </w:p>
        </w:tc>
        <w:tc>
          <w:tcPr>
            <w:tcW w:w="11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(17,873)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80"/>
              <w:spacing w:after="0" w:line="194" w:lineRule="exact"/>
              <w:rPr>
                <w:sz w:val="20"/>
                <w:szCs w:val="20"/>
                <w:color w:val="auto"/>
              </w:rPr>
            </w:pPr>
            <w:r>
              <w:rPr>
                <w:rFonts w:ascii="Arial" w:cs="Arial" w:eastAsia="Arial" w:hAnsi="Arial"/>
                <w:sz w:val="17"/>
                <w:szCs w:val="17"/>
                <w:color w:val="auto"/>
              </w:rPr>
              <w:t>(15,725)</w:t>
            </w:r>
          </w:p>
        </w:tc>
        <w:tc>
          <w:tcPr>
            <w:tcW w:w="100" w:type="dxa"/>
            <w:vAlign w:val="bottom"/>
          </w:tcPr>
          <w:p>
            <w:pPr>
              <w:spacing w:after="0"/>
              <w:rPr>
                <w:sz w:val="16"/>
                <w:szCs w:val="16"/>
                <w:color w:val="auto"/>
              </w:rPr>
            </w:pPr>
          </w:p>
        </w:tc>
        <w:tc>
          <w:tcPr>
            <w:tcW w:w="1260" w:type="dxa"/>
            <w:vAlign w:val="bottom"/>
            <w:gridSpan w:val="2"/>
          </w:tcPr>
          <w:p>
            <w:pPr>
              <w:jc w:val="right"/>
              <w:ind w:right="360"/>
              <w:spacing w:after="0" w:line="194" w:lineRule="exact"/>
              <w:rPr>
                <w:sz w:val="20"/>
                <w:szCs w:val="20"/>
                <w:color w:val="auto"/>
              </w:rPr>
            </w:pPr>
            <w:r>
              <w:rPr>
                <w:rFonts w:ascii="Arial" w:cs="Arial" w:eastAsia="Arial" w:hAnsi="Arial"/>
                <w:sz w:val="17"/>
                <w:szCs w:val="17"/>
                <w:color w:val="auto"/>
              </w:rPr>
              <w:t>(26,327)</w:t>
            </w:r>
          </w:p>
        </w:tc>
        <w:tc>
          <w:tcPr>
            <w:tcW w:w="100" w:type="dxa"/>
            <w:vAlign w:val="bottom"/>
          </w:tcPr>
          <w:p>
            <w:pPr>
              <w:spacing w:after="0"/>
              <w:rPr>
                <w:sz w:val="16"/>
                <w:szCs w:val="16"/>
                <w:color w:val="auto"/>
              </w:rPr>
            </w:pPr>
          </w:p>
        </w:tc>
        <w:tc>
          <w:tcPr>
            <w:tcW w:w="9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(19,706)</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680"/>
              <w:spacing w:after="0" w:line="189" w:lineRule="exact"/>
              <w:rPr>
                <w:sz w:val="20"/>
                <w:szCs w:val="20"/>
                <w:color w:val="auto"/>
              </w:rPr>
            </w:pPr>
            <w:r>
              <w:rPr>
                <w:rFonts w:ascii="Arial" w:cs="Arial" w:eastAsia="Arial" w:hAnsi="Arial"/>
                <w:sz w:val="17"/>
                <w:szCs w:val="17"/>
                <w:color w:val="auto"/>
              </w:rPr>
              <w:t>(Benefit from) provision for income taxes</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273</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272</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471</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(7,409)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00" w:type="dxa"/>
            <w:vAlign w:val="bottom"/>
          </w:tcPr>
          <w:p>
            <w:pPr>
              <w:spacing w:after="0" w:line="194" w:lineRule="exact"/>
              <w:rPr>
                <w:sz w:val="20"/>
                <w:szCs w:val="20"/>
                <w:color w:val="auto"/>
              </w:rPr>
            </w:pPr>
            <w:r>
              <w:rPr>
                <w:rFonts w:ascii="Arial" w:cs="Arial" w:eastAsia="Arial" w:hAnsi="Arial"/>
                <w:sz w:val="17"/>
                <w:szCs w:val="17"/>
                <w:color w:val="auto"/>
              </w:rPr>
              <w:t>Net loss</w:t>
            </w:r>
          </w:p>
        </w:tc>
        <w:tc>
          <w:tcPr>
            <w:tcW w:w="100" w:type="dxa"/>
            <w:vAlign w:val="bottom"/>
          </w:tcPr>
          <w:p>
            <w:pPr>
              <w:spacing w:after="0"/>
              <w:rPr>
                <w:sz w:val="16"/>
                <w:szCs w:val="16"/>
                <w:color w:val="auto"/>
              </w:rPr>
            </w:pPr>
          </w:p>
        </w:tc>
        <w:tc>
          <w:tcPr>
            <w:tcW w:w="11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(18,146)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80"/>
              <w:spacing w:after="0" w:line="194" w:lineRule="exact"/>
              <w:rPr>
                <w:sz w:val="20"/>
                <w:szCs w:val="20"/>
                <w:color w:val="auto"/>
              </w:rPr>
            </w:pPr>
            <w:r>
              <w:rPr>
                <w:rFonts w:ascii="Arial" w:cs="Arial" w:eastAsia="Arial" w:hAnsi="Arial"/>
                <w:sz w:val="17"/>
                <w:szCs w:val="17"/>
                <w:color w:val="auto"/>
              </w:rPr>
              <w:t>(15,997)</w:t>
            </w:r>
          </w:p>
        </w:tc>
        <w:tc>
          <w:tcPr>
            <w:tcW w:w="100" w:type="dxa"/>
            <w:vAlign w:val="bottom"/>
          </w:tcPr>
          <w:p>
            <w:pPr>
              <w:spacing w:after="0"/>
              <w:rPr>
                <w:sz w:val="16"/>
                <w:szCs w:val="16"/>
                <w:color w:val="auto"/>
              </w:rPr>
            </w:pPr>
          </w:p>
        </w:tc>
        <w:tc>
          <w:tcPr>
            <w:tcW w:w="1260" w:type="dxa"/>
            <w:vAlign w:val="bottom"/>
            <w:gridSpan w:val="2"/>
          </w:tcPr>
          <w:p>
            <w:pPr>
              <w:jc w:val="right"/>
              <w:ind w:right="360"/>
              <w:spacing w:after="0" w:line="194" w:lineRule="exact"/>
              <w:rPr>
                <w:sz w:val="20"/>
                <w:szCs w:val="20"/>
                <w:color w:val="auto"/>
              </w:rPr>
            </w:pPr>
            <w:r>
              <w:rPr>
                <w:rFonts w:ascii="Arial" w:cs="Arial" w:eastAsia="Arial" w:hAnsi="Arial"/>
                <w:sz w:val="17"/>
                <w:szCs w:val="17"/>
                <w:color w:val="auto"/>
              </w:rPr>
              <w:t>(26,798)</w:t>
            </w:r>
          </w:p>
        </w:tc>
        <w:tc>
          <w:tcPr>
            <w:tcW w:w="100" w:type="dxa"/>
            <w:vAlign w:val="bottom"/>
          </w:tcPr>
          <w:p>
            <w:pPr>
              <w:spacing w:after="0"/>
              <w:rPr>
                <w:sz w:val="16"/>
                <w:szCs w:val="16"/>
                <w:color w:val="auto"/>
              </w:rPr>
            </w:pPr>
          </w:p>
        </w:tc>
        <w:tc>
          <w:tcPr>
            <w:tcW w:w="9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(12,297)</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currency translation adjustment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263</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00" w:type="dxa"/>
            <w:vAlign w:val="bottom"/>
          </w:tcPr>
          <w:p>
            <w:pPr>
              <w:spacing w:after="0" w:line="194" w:lineRule="exact"/>
              <w:rPr>
                <w:sz w:val="20"/>
                <w:szCs w:val="20"/>
                <w:color w:val="auto"/>
              </w:rPr>
            </w:pPr>
            <w:r>
              <w:rPr>
                <w:rFonts w:ascii="Arial" w:cs="Arial" w:eastAsia="Arial" w:hAnsi="Arial"/>
                <w:sz w:val="17"/>
                <w:szCs w:val="17"/>
                <w:color w:val="auto"/>
              </w:rPr>
              <w:t>Comprehensive loss</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(18,222)</w:t>
            </w:r>
          </w:p>
        </w:tc>
        <w:tc>
          <w:tcPr>
            <w:tcW w:w="2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80"/>
              <w:spacing w:after="0" w:line="194" w:lineRule="exact"/>
              <w:rPr>
                <w:sz w:val="20"/>
                <w:szCs w:val="20"/>
                <w:color w:val="auto"/>
              </w:rPr>
            </w:pPr>
            <w:r>
              <w:rPr>
                <w:rFonts w:ascii="Arial" w:cs="Arial" w:eastAsia="Arial" w:hAnsi="Arial"/>
                <w:sz w:val="17"/>
                <w:szCs w:val="17"/>
                <w:color w:val="auto"/>
              </w:rPr>
              <w:t>(16,170)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60"/>
              <w:spacing w:after="0" w:line="194" w:lineRule="exact"/>
              <w:rPr>
                <w:sz w:val="20"/>
                <w:szCs w:val="20"/>
                <w:color w:val="auto"/>
              </w:rPr>
            </w:pPr>
            <w:r>
              <w:rPr>
                <w:rFonts w:ascii="Arial" w:cs="Arial" w:eastAsia="Arial" w:hAnsi="Arial"/>
                <w:sz w:val="17"/>
                <w:szCs w:val="17"/>
                <w:color w:val="auto"/>
              </w:rPr>
              <w:t>(26,535)</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(12,570)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10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Net loss attributable to common stockholders – basic and</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ind w:left="160"/>
              <w:spacing w:after="0" w:line="190" w:lineRule="exact"/>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200"/>
              <w:spacing w:after="0" w:line="190" w:lineRule="exact"/>
              <w:rPr>
                <w:sz w:val="20"/>
                <w:szCs w:val="20"/>
                <w:color w:val="auto"/>
              </w:rPr>
            </w:pPr>
            <w:r>
              <w:rPr>
                <w:rFonts w:ascii="Arial" w:cs="Arial" w:eastAsia="Arial" w:hAnsi="Arial"/>
                <w:sz w:val="17"/>
                <w:szCs w:val="17"/>
                <w:color w:val="auto"/>
              </w:rPr>
              <w:t>(18,154)</w:t>
            </w:r>
          </w:p>
        </w:tc>
        <w:tc>
          <w:tcPr>
            <w:tcW w:w="28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380"/>
              <w:spacing w:after="0" w:line="190" w:lineRule="exact"/>
              <w:rPr>
                <w:sz w:val="20"/>
                <w:szCs w:val="20"/>
                <w:color w:val="auto"/>
              </w:rPr>
            </w:pPr>
            <w:r>
              <w:rPr>
                <w:rFonts w:ascii="Arial" w:cs="Arial" w:eastAsia="Arial" w:hAnsi="Arial"/>
                <w:sz w:val="17"/>
                <w:szCs w:val="17"/>
                <w:color w:val="auto"/>
              </w:rPr>
              <w:t>(16,001)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60"/>
              <w:spacing w:after="0" w:line="190" w:lineRule="exact"/>
              <w:rPr>
                <w:sz w:val="20"/>
                <w:szCs w:val="20"/>
                <w:color w:val="auto"/>
              </w:rPr>
            </w:pPr>
            <w:r>
              <w:rPr>
                <w:rFonts w:ascii="Arial" w:cs="Arial" w:eastAsia="Arial" w:hAnsi="Arial"/>
                <w:sz w:val="17"/>
                <w:szCs w:val="17"/>
                <w:color w:val="auto"/>
              </w:rPr>
              <w:t>(26,811)</w:t>
            </w:r>
          </w:p>
        </w:tc>
        <w:tc>
          <w:tcPr>
            <w:tcW w:w="1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40"/>
              <w:spacing w:after="0" w:line="190" w:lineRule="exact"/>
              <w:rPr>
                <w:sz w:val="20"/>
                <w:szCs w:val="20"/>
                <w:color w:val="auto"/>
              </w:rPr>
            </w:pPr>
            <w:r>
              <w:rPr>
                <w:rFonts w:ascii="Arial" w:cs="Arial" w:eastAsia="Arial" w:hAnsi="Arial"/>
                <w:sz w:val="17"/>
                <w:szCs w:val="17"/>
                <w:color w:val="auto"/>
              </w:rPr>
              <w:t>(12,303)</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7"/>
                <w:szCs w:val="17"/>
                <w:color w:val="auto"/>
              </w:rPr>
              <w:t>Net loss per share attributable to common stockholders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00" w:type="dxa"/>
            <w:vAlign w:val="bottom"/>
          </w:tcPr>
          <w:p>
            <w:pPr>
              <w:ind w:left="160"/>
              <w:spacing w:after="0" w:line="190" w:lineRule="exact"/>
              <w:rPr>
                <w:sz w:val="20"/>
                <w:szCs w:val="20"/>
                <w:color w:val="auto"/>
              </w:rPr>
            </w:pPr>
            <w:r>
              <w:rPr>
                <w:rFonts w:ascii="Arial" w:cs="Arial" w:eastAsia="Arial" w:hAnsi="Arial"/>
                <w:sz w:val="17"/>
                <w:szCs w:val="17"/>
                <w:color w:val="auto"/>
              </w:rPr>
              <w:t>and diluted</w:t>
            </w:r>
          </w:p>
        </w:tc>
        <w:tc>
          <w:tcPr>
            <w:tcW w:w="100" w:type="dxa"/>
            <w:vAlign w:val="bottom"/>
          </w:tcPr>
          <w:p>
            <w:pPr>
              <w:jc w:val="right"/>
              <w:spacing w:after="0" w:line="190" w:lineRule="exact"/>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200"/>
              <w:spacing w:after="0" w:line="190" w:lineRule="exact"/>
              <w:rPr>
                <w:sz w:val="20"/>
                <w:szCs w:val="20"/>
                <w:color w:val="auto"/>
              </w:rPr>
            </w:pPr>
            <w:r>
              <w:rPr>
                <w:rFonts w:ascii="Arial" w:cs="Arial" w:eastAsia="Arial" w:hAnsi="Arial"/>
                <w:sz w:val="17"/>
                <w:szCs w:val="17"/>
                <w:color w:val="auto"/>
              </w:rPr>
              <w:t>(0.35)</w:t>
            </w:r>
          </w:p>
        </w:tc>
        <w:tc>
          <w:tcPr>
            <w:tcW w:w="28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80"/>
              <w:spacing w:after="0" w:line="190" w:lineRule="exact"/>
              <w:rPr>
                <w:sz w:val="20"/>
                <w:szCs w:val="20"/>
                <w:color w:val="auto"/>
              </w:rPr>
            </w:pPr>
            <w:r>
              <w:rPr>
                <w:rFonts w:ascii="Arial" w:cs="Arial" w:eastAsia="Arial" w:hAnsi="Arial"/>
                <w:sz w:val="17"/>
                <w:szCs w:val="17"/>
                <w:color w:val="auto"/>
              </w:rPr>
              <w:t>(0.87)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60"/>
              <w:spacing w:after="0" w:line="190" w:lineRule="exact"/>
              <w:rPr>
                <w:sz w:val="20"/>
                <w:szCs w:val="20"/>
                <w:color w:val="auto"/>
              </w:rPr>
            </w:pPr>
            <w:r>
              <w:rPr>
                <w:rFonts w:ascii="Arial" w:cs="Arial" w:eastAsia="Arial" w:hAnsi="Arial"/>
                <w:sz w:val="17"/>
                <w:szCs w:val="17"/>
                <w:color w:val="auto"/>
              </w:rPr>
              <w:t>(0.73)</w:t>
            </w:r>
          </w:p>
        </w:tc>
        <w:tc>
          <w:tcPr>
            <w:tcW w:w="100" w:type="dxa"/>
            <w:vAlign w:val="bottom"/>
          </w:tcPr>
          <w:p>
            <w:pPr>
              <w:jc w:val="right"/>
              <w:spacing w:after="0" w:line="190"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40"/>
              <w:spacing w:after="0" w:line="190" w:lineRule="exact"/>
              <w:rPr>
                <w:sz w:val="20"/>
                <w:szCs w:val="20"/>
                <w:color w:val="auto"/>
              </w:rPr>
            </w:pPr>
            <w:r>
              <w:rPr>
                <w:rFonts w:ascii="Arial" w:cs="Arial" w:eastAsia="Arial" w:hAnsi="Arial"/>
                <w:sz w:val="17"/>
                <w:szCs w:val="17"/>
                <w:color w:val="auto"/>
              </w:rPr>
              <w:t>(0.69)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10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Weighted average common shares outstanding – basic and</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ind w:left="160"/>
              <w:spacing w:after="0" w:line="190" w:lineRule="exact"/>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line="190" w:lineRule="exact"/>
              <w:rPr>
                <w:sz w:val="20"/>
                <w:szCs w:val="20"/>
                <w:color w:val="auto"/>
              </w:rPr>
            </w:pPr>
            <w:r>
              <w:rPr>
                <w:rFonts w:ascii="Arial" w:cs="Arial" w:eastAsia="Arial" w:hAnsi="Arial"/>
                <w:sz w:val="17"/>
                <w:szCs w:val="17"/>
                <w:color w:val="auto"/>
                <w:w w:val="98"/>
              </w:rPr>
              <w:t>52,496,862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w w:val="96"/>
              </w:rPr>
              <w:t>18,327,639</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20"/>
              <w:spacing w:after="0" w:line="190" w:lineRule="exact"/>
              <w:rPr>
                <w:sz w:val="20"/>
                <w:szCs w:val="20"/>
                <w:color w:val="auto"/>
              </w:rPr>
            </w:pPr>
            <w:r>
              <w:rPr>
                <w:rFonts w:ascii="Arial" w:cs="Arial" w:eastAsia="Arial" w:hAnsi="Arial"/>
                <w:sz w:val="17"/>
                <w:szCs w:val="17"/>
                <w:color w:val="auto"/>
                <w:w w:val="96"/>
              </w:rPr>
              <w:t>36,886,657</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90" w:lineRule="exact"/>
              <w:rPr>
                <w:sz w:val="20"/>
                <w:szCs w:val="20"/>
                <w:color w:val="auto"/>
              </w:rPr>
            </w:pPr>
            <w:r>
              <w:rPr>
                <w:rFonts w:ascii="Arial" w:cs="Arial" w:eastAsia="Arial" w:hAnsi="Arial"/>
                <w:sz w:val="17"/>
                <w:szCs w:val="17"/>
                <w:color w:val="auto"/>
                <w:w w:val="98"/>
              </w:rPr>
              <w:t>17,919,721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3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760"/>
          </w:cols>
          <w:pgMar w:left="320" w:top="464" w:right="81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FLYWIRE CORPORATION</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UNAUDITED CONDENSED STATEMENTS OF CONVERTIBLE PREFERRED STOCK, REDEEMABLE CONVERTIBLE PREFERRED</w:t>
      </w:r>
    </w:p>
    <w:p>
      <w:pPr>
        <w:jc w:val="center"/>
        <w:ind w:right="100"/>
        <w:spacing w:after="0" w:line="232" w:lineRule="auto"/>
        <w:rPr>
          <w:sz w:val="20"/>
          <w:szCs w:val="20"/>
          <w:color w:val="auto"/>
        </w:rPr>
      </w:pPr>
      <w:r>
        <w:rPr>
          <w:rFonts w:ascii="Arial" w:cs="Arial" w:eastAsia="Arial" w:hAnsi="Arial"/>
          <w:sz w:val="17"/>
          <w:szCs w:val="17"/>
          <w:b w:val="1"/>
          <w:bCs w:val="1"/>
          <w:color w:val="auto"/>
        </w:rPr>
        <w:t>STOCK AND STOCKHOLDERS’ EQUITY (DEFICIT)</w:t>
      </w:r>
    </w:p>
    <w:p>
      <w:pPr>
        <w:jc w:val="center"/>
        <w:ind w:right="100"/>
        <w:spacing w:after="0"/>
        <w:rPr>
          <w:sz w:val="20"/>
          <w:szCs w:val="20"/>
          <w:color w:val="auto"/>
        </w:rPr>
      </w:pPr>
      <w:r>
        <w:rPr>
          <w:rFonts w:ascii="Arial" w:cs="Arial" w:eastAsia="Arial" w:hAnsi="Arial"/>
          <w:sz w:val="17"/>
          <w:szCs w:val="17"/>
          <w:color w:val="auto"/>
        </w:rPr>
        <w:t>(Unaudited) (Amounts in thousands, except share and per share amounts)</w:t>
      </w:r>
    </w:p>
    <w:p>
      <w:pPr>
        <w:spacing w:after="0" w:line="202" w:lineRule="exact"/>
        <w:rPr>
          <w:sz w:val="20"/>
          <w:szCs w:val="20"/>
          <w:color w:val="auto"/>
        </w:rPr>
      </w:pPr>
    </w:p>
    <w:tbl>
      <w:tblPr>
        <w:tblLayout w:type="fixed"/>
        <w:tblInd w:w="480" w:type="dxa"/>
        <w:tblCellMar>
          <w:top w:w="0" w:type="dxa"/>
          <w:left w:w="0" w:type="dxa"/>
          <w:bottom w:w="0" w:type="dxa"/>
          <w:right w:w="0" w:type="dxa"/>
        </w:tblCellMar>
      </w:tblPr>
      <w:tr>
        <w:trPr>
          <w:trHeight w:val="146"/>
        </w:trPr>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12"/>
          </w:tcPr>
          <w:p>
            <w:pPr>
              <w:ind w:left="40"/>
              <w:spacing w:after="0"/>
              <w:rPr>
                <w:sz w:val="20"/>
                <w:szCs w:val="20"/>
                <w:color w:val="auto"/>
              </w:rPr>
            </w:pPr>
            <w:r>
              <w:rPr>
                <w:rFonts w:ascii="Arial" w:cs="Arial" w:eastAsia="Arial" w:hAnsi="Arial"/>
                <w:sz w:val="12"/>
                <w:szCs w:val="12"/>
                <w:b w:val="1"/>
                <w:bCs w:val="1"/>
                <w:color w:val="auto"/>
                <w:w w:val="95"/>
              </w:rPr>
              <w:t>Three Months Ended June 30, 2021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5"/>
            <w:vMerge w:val="restart"/>
          </w:tcPr>
          <w:p>
            <w:pPr>
              <w:jc w:val="center"/>
              <w:ind w:right="40"/>
              <w:spacing w:after="0"/>
              <w:rPr>
                <w:sz w:val="20"/>
                <w:szCs w:val="20"/>
                <w:color w:val="auto"/>
              </w:rPr>
            </w:pPr>
            <w:r>
              <w:rPr>
                <w:rFonts w:ascii="Arial" w:cs="Arial" w:eastAsia="Arial" w:hAnsi="Arial"/>
                <w:sz w:val="12"/>
                <w:szCs w:val="12"/>
                <w:b w:val="1"/>
                <w:bCs w:val="1"/>
                <w:color w:val="auto"/>
                <w:w w:val="97"/>
              </w:rPr>
              <w:t>Accumu</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spacing w:after="0"/>
              <w:rPr>
                <w:sz w:val="10"/>
                <w:szCs w:val="10"/>
                <w:color w:val="auto"/>
              </w:rPr>
            </w:pPr>
          </w:p>
        </w:tc>
        <w:tc>
          <w:tcPr>
            <w:tcW w:w="6860" w:type="dxa"/>
            <w:vAlign w:val="bottom"/>
            <w:gridSpan w:val="42"/>
          </w:tcPr>
          <w:p>
            <w:pPr>
              <w:spacing w:after="0"/>
              <w:rPr>
                <w:sz w:val="20"/>
                <w:szCs w:val="20"/>
                <w:color w:val="auto"/>
              </w:rPr>
            </w:pPr>
            <w:r>
              <w:rPr>
                <w:rFonts w:ascii="Arial" w:cs="Arial" w:eastAsia="Arial" w:hAnsi="Arial"/>
                <w:sz w:val="12"/>
                <w:szCs w:val="12"/>
                <w:b w:val="1"/>
                <w:bCs w:val="1"/>
                <w:color w:val="auto"/>
              </w:rPr>
              <w:t>lated</w:t>
            </w: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spacing w:after="0"/>
              <w:rPr>
                <w:sz w:val="10"/>
                <w:szCs w:val="10"/>
                <w:color w:val="auto"/>
              </w:rPr>
            </w:pPr>
          </w:p>
        </w:tc>
        <w:tc>
          <w:tcPr>
            <w:tcW w:w="6860" w:type="dxa"/>
            <w:vAlign w:val="bottom"/>
            <w:gridSpan w:val="42"/>
          </w:tcPr>
          <w:p>
            <w:pPr>
              <w:spacing w:after="0"/>
              <w:rPr>
                <w:sz w:val="20"/>
                <w:szCs w:val="20"/>
                <w:color w:val="auto"/>
              </w:rPr>
            </w:pPr>
            <w:r>
              <w:rPr>
                <w:rFonts w:ascii="Arial" w:cs="Arial" w:eastAsia="Arial" w:hAnsi="Arial"/>
                <w:sz w:val="12"/>
                <w:szCs w:val="12"/>
                <w:b w:val="1"/>
                <w:bCs w:val="1"/>
                <w:color w:val="auto"/>
              </w:rPr>
              <w:t>Other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2"/>
                <w:szCs w:val="12"/>
                <w:b w:val="1"/>
                <w:bCs w:val="1"/>
                <w:color w:val="auto"/>
                <w:w w:val="96"/>
              </w:rPr>
              <w:t>Redeemable</w:t>
            </w:r>
          </w:p>
        </w:tc>
        <w:tc>
          <w:tcPr>
            <w:tcW w:w="8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7"/>
          </w:tcPr>
          <w:p>
            <w:pPr>
              <w:jc w:val="center"/>
              <w:ind w:right="160"/>
              <w:spacing w:after="0"/>
              <w:rPr>
                <w:sz w:val="20"/>
                <w:szCs w:val="20"/>
                <w:color w:val="auto"/>
              </w:rPr>
            </w:pPr>
            <w:r>
              <w:rPr>
                <w:rFonts w:ascii="Arial" w:cs="Arial" w:eastAsia="Arial" w:hAnsi="Arial"/>
                <w:sz w:val="12"/>
                <w:szCs w:val="12"/>
                <w:b w:val="1"/>
                <w:bCs w:val="1"/>
                <w:color w:val="auto"/>
                <w:w w:val="98"/>
              </w:rPr>
              <w:t>Non-Voting</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96"/>
              </w:rPr>
              <w:t>Compre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To</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gridSpan w:val="8"/>
          </w:tcPr>
          <w:p>
            <w:pPr>
              <w:jc w:val="center"/>
              <w:ind w:right="100"/>
              <w:spacing w:after="0" w:line="126" w:lineRule="exact"/>
              <w:rPr>
                <w:sz w:val="20"/>
                <w:szCs w:val="20"/>
                <w:color w:val="auto"/>
              </w:rPr>
            </w:pPr>
            <w:r>
              <w:rPr>
                <w:rFonts w:ascii="Arial" w:cs="Arial" w:eastAsia="Arial" w:hAnsi="Arial"/>
                <w:sz w:val="12"/>
                <w:szCs w:val="12"/>
                <w:b w:val="1"/>
                <w:bCs w:val="1"/>
                <w:color w:val="auto"/>
                <w:w w:val="96"/>
              </w:rPr>
              <w:t>Convertible</w:t>
            </w:r>
          </w:p>
        </w:tc>
        <w:tc>
          <w:tcPr>
            <w:tcW w:w="1520" w:type="dxa"/>
            <w:vAlign w:val="bottom"/>
            <w:tcBorders>
              <w:right w:val="single" w:sz="8" w:color="auto"/>
            </w:tcBorders>
            <w:gridSpan w:val="7"/>
          </w:tcPr>
          <w:p>
            <w:pPr>
              <w:jc w:val="center"/>
              <w:ind w:right="160"/>
              <w:spacing w:after="0" w:line="126" w:lineRule="exact"/>
              <w:rPr>
                <w:sz w:val="20"/>
                <w:szCs w:val="20"/>
                <w:color w:val="auto"/>
              </w:rPr>
            </w:pPr>
            <w:r>
              <w:rPr>
                <w:rFonts w:ascii="Arial" w:cs="Arial" w:eastAsia="Arial" w:hAnsi="Arial"/>
                <w:sz w:val="12"/>
                <w:szCs w:val="12"/>
                <w:b w:val="1"/>
                <w:bCs w:val="1"/>
                <w:color w:val="auto"/>
                <w:w w:val="96"/>
              </w:rPr>
              <w:t>Convertible</w:t>
            </w:r>
          </w:p>
        </w:tc>
        <w:tc>
          <w:tcPr>
            <w:tcW w:w="80" w:type="dxa"/>
            <w:vAlign w:val="bottom"/>
            <w:gridSpan w:val="2"/>
          </w:tcPr>
          <w:p>
            <w:pPr>
              <w:spacing w:after="0"/>
              <w:rPr>
                <w:sz w:val="10"/>
                <w:szCs w:val="10"/>
                <w:color w:val="auto"/>
              </w:rPr>
            </w:pPr>
          </w:p>
        </w:tc>
        <w:tc>
          <w:tcPr>
            <w:tcW w:w="900" w:type="dxa"/>
            <w:vAlign w:val="bottom"/>
            <w:gridSpan w:val="4"/>
          </w:tcPr>
          <w:p>
            <w:pPr>
              <w:jc w:val="center"/>
              <w:ind w:left="461"/>
              <w:spacing w:after="0" w:line="126" w:lineRule="exact"/>
              <w:rPr>
                <w:sz w:val="20"/>
                <w:szCs w:val="20"/>
                <w:color w:val="auto"/>
              </w:rPr>
            </w:pPr>
            <w:r>
              <w:rPr>
                <w:rFonts w:ascii="Arial" w:cs="Arial" w:eastAsia="Arial" w:hAnsi="Arial"/>
                <w:sz w:val="12"/>
                <w:szCs w:val="12"/>
                <w:b w:val="1"/>
                <w:bCs w:val="1"/>
                <w:color w:val="auto"/>
                <w:w w:val="90"/>
              </w:rPr>
              <w:t>Voting</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gridSpan w:val="7"/>
          </w:tcPr>
          <w:p>
            <w:pPr>
              <w:ind w:left="380"/>
              <w:spacing w:after="0" w:line="126" w:lineRule="exact"/>
              <w:rPr>
                <w:sz w:val="20"/>
                <w:szCs w:val="20"/>
                <w:color w:val="auto"/>
              </w:rPr>
            </w:pPr>
            <w:r>
              <w:rPr>
                <w:rFonts w:ascii="Arial" w:cs="Arial" w:eastAsia="Arial" w:hAnsi="Arial"/>
                <w:sz w:val="12"/>
                <w:szCs w:val="12"/>
                <w:b w:val="1"/>
                <w:bCs w:val="1"/>
                <w:color w:val="auto"/>
              </w:rPr>
              <w:t>Common</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5"/>
          </w:tcPr>
          <w:p>
            <w:pPr>
              <w:jc w:val="center"/>
              <w:ind w:right="40"/>
              <w:spacing w:after="0" w:line="126" w:lineRule="exact"/>
              <w:rPr>
                <w:sz w:val="20"/>
                <w:szCs w:val="20"/>
                <w:color w:val="auto"/>
              </w:rPr>
            </w:pPr>
            <w:r>
              <w:rPr>
                <w:rFonts w:ascii="Arial" w:cs="Arial" w:eastAsia="Arial" w:hAnsi="Arial"/>
                <w:sz w:val="12"/>
                <w:szCs w:val="12"/>
                <w:b w:val="1"/>
                <w:bCs w:val="1"/>
                <w:color w:val="auto"/>
                <w:w w:val="95"/>
              </w:rPr>
              <w:t>Additional</w:t>
            </w:r>
          </w:p>
        </w:tc>
        <w:tc>
          <w:tcPr>
            <w:tcW w:w="780" w:type="dxa"/>
            <w:vAlign w:val="bottom"/>
            <w:gridSpan w:val="5"/>
          </w:tcPr>
          <w:p>
            <w:pPr>
              <w:jc w:val="center"/>
              <w:ind w:right="60"/>
              <w:spacing w:after="0" w:line="126" w:lineRule="exact"/>
              <w:rPr>
                <w:sz w:val="20"/>
                <w:szCs w:val="20"/>
                <w:color w:val="auto"/>
              </w:rPr>
            </w:pPr>
            <w:r>
              <w:rPr>
                <w:rFonts w:ascii="Arial" w:cs="Arial" w:eastAsia="Arial" w:hAnsi="Arial"/>
                <w:sz w:val="12"/>
                <w:szCs w:val="12"/>
                <w:b w:val="1"/>
                <w:bCs w:val="1"/>
                <w:color w:val="auto"/>
                <w:w w:val="98"/>
              </w:rPr>
              <w:t>hensive</w:t>
            </w:r>
          </w:p>
        </w:tc>
        <w:tc>
          <w:tcPr>
            <w:tcW w:w="100" w:type="dxa"/>
            <w:vAlign w:val="bottom"/>
          </w:tcPr>
          <w:p>
            <w:pPr>
              <w:spacing w:after="0"/>
              <w:rPr>
                <w:sz w:val="10"/>
                <w:szCs w:val="10"/>
                <w:color w:val="auto"/>
              </w:rPr>
            </w:pPr>
          </w:p>
        </w:tc>
        <w:tc>
          <w:tcPr>
            <w:tcW w:w="560" w:type="dxa"/>
            <w:vAlign w:val="bottom"/>
            <w:gridSpan w:val="3"/>
          </w:tcPr>
          <w:p>
            <w:pPr>
              <w:jc w:val="center"/>
              <w:ind w:right="120"/>
              <w:spacing w:after="0" w:line="126" w:lineRule="exact"/>
              <w:rPr>
                <w:sz w:val="20"/>
                <w:szCs w:val="20"/>
                <w:color w:val="auto"/>
              </w:rPr>
            </w:pPr>
            <w:r>
              <w:rPr>
                <w:rFonts w:ascii="Arial" w:cs="Arial" w:eastAsia="Arial" w:hAnsi="Arial"/>
                <w:sz w:val="12"/>
                <w:szCs w:val="12"/>
                <w:b w:val="1"/>
                <w:bCs w:val="1"/>
                <w:color w:val="auto"/>
                <w:w w:val="92"/>
              </w:rPr>
              <w:t>Accumu</w:t>
            </w:r>
          </w:p>
        </w:tc>
        <w:tc>
          <w:tcPr>
            <w:tcW w:w="40" w:type="dxa"/>
            <w:vAlign w:val="bottom"/>
          </w:tcPr>
          <w:p>
            <w:pPr>
              <w:spacing w:after="0"/>
              <w:rPr>
                <w:sz w:val="10"/>
                <w:szCs w:val="10"/>
                <w:color w:val="auto"/>
              </w:rPr>
            </w:pPr>
          </w:p>
        </w:tc>
        <w:tc>
          <w:tcPr>
            <w:tcW w:w="2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Sto</w:t>
            </w:r>
          </w:p>
        </w:tc>
        <w:tc>
          <w:tcPr>
            <w:tcW w:w="0" w:type="dxa"/>
            <w:vAlign w:val="bottom"/>
          </w:tcPr>
          <w:p>
            <w:pPr>
              <w:spacing w:after="0"/>
              <w:rPr>
                <w:sz w:val="1"/>
                <w:szCs w:val="1"/>
                <w:color w:val="auto"/>
              </w:rPr>
            </w:pPr>
          </w:p>
        </w:tc>
      </w:tr>
      <w:tr>
        <w:trPr>
          <w:trHeight w:val="151"/>
        </w:trPr>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8"/>
          </w:tcPr>
          <w:p>
            <w:pPr>
              <w:jc w:val="center"/>
              <w:ind w:right="100"/>
              <w:spacing w:after="0"/>
              <w:rPr>
                <w:sz w:val="20"/>
                <w:szCs w:val="20"/>
                <w:color w:val="auto"/>
              </w:rPr>
            </w:pPr>
            <w:r>
              <w:rPr>
                <w:rFonts w:ascii="Arial" w:cs="Arial" w:eastAsia="Arial" w:hAnsi="Arial"/>
                <w:sz w:val="12"/>
                <w:szCs w:val="12"/>
                <w:b w:val="1"/>
                <w:bCs w:val="1"/>
                <w:color w:val="auto"/>
                <w:w w:val="98"/>
              </w:rPr>
              <w:t>Preferred Stock</w:t>
            </w:r>
          </w:p>
        </w:tc>
        <w:tc>
          <w:tcPr>
            <w:tcW w:w="152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2"/>
                <w:szCs w:val="12"/>
                <w:b w:val="1"/>
                <w:bCs w:val="1"/>
                <w:color w:val="auto"/>
                <w:w w:val="98"/>
              </w:rPr>
              <w:t>Preferred Stock</w:t>
            </w:r>
          </w:p>
        </w:tc>
        <w:tc>
          <w:tcPr>
            <w:tcW w:w="80" w:type="dxa"/>
            <w:vAlign w:val="bottom"/>
            <w:gridSpan w:val="2"/>
          </w:tcPr>
          <w:p>
            <w:pPr>
              <w:spacing w:after="0"/>
              <w:rPr>
                <w:sz w:val="13"/>
                <w:szCs w:val="13"/>
                <w:color w:val="auto"/>
              </w:rPr>
            </w:pPr>
          </w:p>
        </w:tc>
        <w:tc>
          <w:tcPr>
            <w:tcW w:w="1540" w:type="dxa"/>
            <w:vAlign w:val="bottom"/>
            <w:gridSpan w:val="10"/>
          </w:tcPr>
          <w:p>
            <w:pPr>
              <w:jc w:val="center"/>
              <w:ind w:right="120"/>
              <w:spacing w:after="0"/>
              <w:rPr>
                <w:sz w:val="20"/>
                <w:szCs w:val="20"/>
                <w:color w:val="auto"/>
              </w:rPr>
            </w:pPr>
            <w:r>
              <w:rPr>
                <w:rFonts w:ascii="Arial" w:cs="Arial" w:eastAsia="Arial" w:hAnsi="Arial"/>
                <w:sz w:val="12"/>
                <w:szCs w:val="12"/>
                <w:b w:val="1"/>
                <w:bCs w:val="1"/>
                <w:color w:val="auto"/>
                <w:w w:val="97"/>
              </w:rPr>
              <w:t>Common Stock</w:t>
            </w:r>
          </w:p>
        </w:tc>
        <w:tc>
          <w:tcPr>
            <w:tcW w:w="1440" w:type="dxa"/>
            <w:vAlign w:val="bottom"/>
            <w:gridSpan w:val="7"/>
          </w:tcPr>
          <w:p>
            <w:pPr>
              <w:jc w:val="center"/>
              <w:ind w:right="160"/>
              <w:spacing w:after="0"/>
              <w:rPr>
                <w:sz w:val="20"/>
                <w:szCs w:val="20"/>
                <w:color w:val="auto"/>
              </w:rPr>
            </w:pPr>
            <w:r>
              <w:rPr>
                <w:rFonts w:ascii="Arial" w:cs="Arial" w:eastAsia="Arial" w:hAnsi="Arial"/>
                <w:sz w:val="12"/>
                <w:szCs w:val="12"/>
                <w:b w:val="1"/>
                <w:bCs w:val="1"/>
                <w:color w:val="auto"/>
                <w:w w:val="97"/>
              </w:rPr>
              <w:t>Stock</w:t>
            </w:r>
          </w:p>
        </w:tc>
        <w:tc>
          <w:tcPr>
            <w:tcW w:w="1420" w:type="dxa"/>
            <w:vAlign w:val="bottom"/>
            <w:gridSpan w:val="7"/>
          </w:tcPr>
          <w:p>
            <w:pPr>
              <w:ind w:left="220"/>
              <w:spacing w:after="0"/>
              <w:rPr>
                <w:sz w:val="20"/>
                <w:szCs w:val="20"/>
                <w:color w:val="auto"/>
              </w:rPr>
            </w:pPr>
            <w:r>
              <w:rPr>
                <w:rFonts w:ascii="Arial" w:cs="Arial" w:eastAsia="Arial" w:hAnsi="Arial"/>
                <w:sz w:val="12"/>
                <w:szCs w:val="12"/>
                <w:b w:val="1"/>
                <w:bCs w:val="1"/>
                <w:color w:val="auto"/>
              </w:rPr>
              <w:t>Treasury Stock</w:t>
            </w:r>
          </w:p>
        </w:tc>
        <w:tc>
          <w:tcPr>
            <w:tcW w:w="40" w:type="dxa"/>
            <w:vAlign w:val="bottom"/>
          </w:tcPr>
          <w:p>
            <w:pPr>
              <w:spacing w:after="0"/>
              <w:rPr>
                <w:sz w:val="13"/>
                <w:szCs w:val="13"/>
                <w:color w:val="auto"/>
              </w:rPr>
            </w:pPr>
          </w:p>
        </w:tc>
        <w:tc>
          <w:tcPr>
            <w:tcW w:w="60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9"/>
              </w:rPr>
              <w:t>Paid-In</w:t>
            </w:r>
          </w:p>
        </w:tc>
        <w:tc>
          <w:tcPr>
            <w:tcW w:w="78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Income</w:t>
            </w:r>
          </w:p>
        </w:tc>
        <w:tc>
          <w:tcPr>
            <w:tcW w:w="100" w:type="dxa"/>
            <w:vAlign w:val="bottom"/>
          </w:tcPr>
          <w:p>
            <w:pPr>
              <w:spacing w:after="0"/>
              <w:rPr>
                <w:sz w:val="13"/>
                <w:szCs w:val="13"/>
                <w:color w:val="auto"/>
              </w:rPr>
            </w:pPr>
          </w:p>
        </w:tc>
        <w:tc>
          <w:tcPr>
            <w:tcW w:w="5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2"/>
              </w:rPr>
              <w:t>lated</w:t>
            </w:r>
          </w:p>
        </w:tc>
        <w:tc>
          <w:tcPr>
            <w:tcW w:w="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w w:val="94"/>
              </w:rPr>
              <w:t>hold</w:t>
            </w:r>
          </w:p>
        </w:tc>
        <w:tc>
          <w:tcPr>
            <w:tcW w:w="0" w:type="dxa"/>
            <w:vAlign w:val="bottom"/>
          </w:tcPr>
          <w:p>
            <w:pPr>
              <w:spacing w:after="0"/>
              <w:rPr>
                <w:sz w:val="1"/>
                <w:szCs w:val="1"/>
                <w:color w:val="auto"/>
              </w:rPr>
            </w:pPr>
          </w:p>
        </w:tc>
      </w:tr>
      <w:tr>
        <w:trPr>
          <w:trHeight w:val="131"/>
        </w:trPr>
        <w:tc>
          <w:tcPr>
            <w:tcW w:w="9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4"/>
          </w:tcPr>
          <w:p>
            <w:pPr>
              <w:ind w:left="140"/>
              <w:spacing w:after="0" w:line="132" w:lineRule="exact"/>
              <w:rPr>
                <w:sz w:val="20"/>
                <w:szCs w:val="20"/>
                <w:color w:val="auto"/>
              </w:rPr>
            </w:pPr>
            <w:r>
              <w:rPr>
                <w:rFonts w:ascii="Arial" w:cs="Arial" w:eastAsia="Arial" w:hAnsi="Arial"/>
                <w:sz w:val="12"/>
                <w:szCs w:val="12"/>
                <w:b w:val="1"/>
                <w:bCs w:val="1"/>
                <w:color w:val="auto"/>
              </w:rPr>
              <w:t>Shares</w:t>
            </w:r>
          </w:p>
        </w:tc>
        <w:tc>
          <w:tcPr>
            <w:tcW w:w="580" w:type="dxa"/>
            <w:vAlign w:val="bottom"/>
            <w:tcBorders>
              <w:top w:val="single" w:sz="8" w:color="auto"/>
            </w:tcBorders>
            <w:gridSpan w:val="2"/>
          </w:tcPr>
          <w:p>
            <w:pPr>
              <w:ind w:left="60"/>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ind w:left="140"/>
              <w:spacing w:after="0" w:line="132" w:lineRule="exact"/>
              <w:rPr>
                <w:sz w:val="20"/>
                <w:szCs w:val="20"/>
                <w:color w:val="auto"/>
              </w:rPr>
            </w:pPr>
            <w:r>
              <w:rPr>
                <w:rFonts w:ascii="Arial" w:cs="Arial" w:eastAsia="Arial" w:hAnsi="Arial"/>
                <w:sz w:val="12"/>
                <w:szCs w:val="12"/>
                <w:b w:val="1"/>
                <w:bCs w:val="1"/>
                <w:color w:val="auto"/>
              </w:rPr>
              <w:t>Shares</w:t>
            </w: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ind w:left="60"/>
              <w:spacing w:after="0" w:line="132" w:lineRule="exact"/>
              <w:rPr>
                <w:sz w:val="20"/>
                <w:szCs w:val="20"/>
                <w:color w:val="auto"/>
              </w:rPr>
            </w:pPr>
            <w:r>
              <w:rPr>
                <w:rFonts w:ascii="Arial" w:cs="Arial" w:eastAsia="Arial" w:hAnsi="Arial"/>
                <w:sz w:val="12"/>
                <w:szCs w:val="12"/>
                <w:b w:val="1"/>
                <w:bCs w:val="1"/>
                <w:color w:val="auto"/>
              </w:rPr>
              <w:t>Amount</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4"/>
          </w:tcPr>
          <w:p>
            <w:pPr>
              <w:ind w:left="140"/>
              <w:spacing w:after="0" w:line="132" w:lineRule="exact"/>
              <w:rPr>
                <w:sz w:val="20"/>
                <w:szCs w:val="20"/>
                <w:color w:val="auto"/>
              </w:rPr>
            </w:pPr>
            <w:r>
              <w:rPr>
                <w:rFonts w:ascii="Arial" w:cs="Arial" w:eastAsia="Arial" w:hAnsi="Arial"/>
                <w:sz w:val="12"/>
                <w:szCs w:val="12"/>
                <w:b w:val="1"/>
                <w:bCs w:val="1"/>
                <w:color w:val="auto"/>
              </w:rPr>
              <w:t>Shares</w:t>
            </w:r>
          </w:p>
        </w:tc>
        <w:tc>
          <w:tcPr>
            <w:tcW w:w="560" w:type="dxa"/>
            <w:vAlign w:val="bottom"/>
            <w:tcBorders>
              <w:top w:val="single" w:sz="8" w:color="auto"/>
            </w:tcBorders>
            <w:gridSpan w:val="4"/>
          </w:tcPr>
          <w:p>
            <w:pPr>
              <w:jc w:val="center"/>
              <w:ind w:right="120"/>
              <w:spacing w:after="0" w:line="132" w:lineRule="exact"/>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ind w:left="80"/>
              <w:spacing w:after="0" w:line="132" w:lineRule="exact"/>
              <w:rPr>
                <w:sz w:val="20"/>
                <w:szCs w:val="20"/>
                <w:color w:val="auto"/>
              </w:rPr>
            </w:pPr>
            <w:r>
              <w:rPr>
                <w:rFonts w:ascii="Arial" w:cs="Arial" w:eastAsia="Arial" w:hAnsi="Arial"/>
                <w:sz w:val="12"/>
                <w:szCs w:val="12"/>
                <w:b w:val="1"/>
                <w:bCs w:val="1"/>
                <w:color w:val="auto"/>
              </w:rPr>
              <w:t>Shares</w:t>
            </w:r>
          </w:p>
        </w:tc>
        <w:tc>
          <w:tcPr>
            <w:tcW w:w="700" w:type="dxa"/>
            <w:vAlign w:val="bottom"/>
            <w:tcBorders>
              <w:top w:val="single" w:sz="8" w:color="auto"/>
            </w:tcBorders>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3"/>
          </w:tcPr>
          <w:p>
            <w:pPr>
              <w:ind w:left="60"/>
              <w:spacing w:after="0" w:line="132" w:lineRule="exact"/>
              <w:rPr>
                <w:sz w:val="20"/>
                <w:szCs w:val="20"/>
                <w:color w:val="auto"/>
              </w:rPr>
            </w:pPr>
            <w:r>
              <w:rPr>
                <w:rFonts w:ascii="Arial" w:cs="Arial" w:eastAsia="Arial" w:hAnsi="Arial"/>
                <w:sz w:val="12"/>
                <w:szCs w:val="12"/>
                <w:b w:val="1"/>
                <w:bCs w:val="1"/>
                <w:color w:val="auto"/>
              </w:rPr>
              <w:t>Shares</w:t>
            </w:r>
          </w:p>
        </w:tc>
        <w:tc>
          <w:tcPr>
            <w:tcW w:w="740" w:type="dxa"/>
            <w:vAlign w:val="bottom"/>
            <w:tcBorders>
              <w:top w:val="single" w:sz="8" w:color="auto"/>
            </w:tcBorders>
            <w:gridSpan w:val="3"/>
          </w:tcPr>
          <w:p>
            <w:pPr>
              <w:ind w:left="160"/>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99"/>
              </w:rPr>
              <w:t>Capital</w:t>
            </w:r>
          </w:p>
        </w:tc>
        <w:tc>
          <w:tcPr>
            <w:tcW w:w="780" w:type="dxa"/>
            <w:vAlign w:val="bottom"/>
            <w:gridSpan w:val="5"/>
          </w:tcPr>
          <w:p>
            <w:pPr>
              <w:jc w:val="center"/>
              <w:ind w:right="40"/>
              <w:spacing w:after="0" w:line="132" w:lineRule="exact"/>
              <w:rPr>
                <w:sz w:val="20"/>
                <w:szCs w:val="20"/>
                <w:color w:val="auto"/>
              </w:rPr>
            </w:pPr>
            <w:r>
              <w:rPr>
                <w:rFonts w:ascii="Arial" w:cs="Arial" w:eastAsia="Arial" w:hAnsi="Arial"/>
                <w:sz w:val="12"/>
                <w:szCs w:val="12"/>
                <w:b w:val="1"/>
                <w:bCs w:val="1"/>
                <w:color w:val="auto"/>
                <w:w w:val="94"/>
              </w:rPr>
              <w:t>(Loss)</w:t>
            </w:r>
          </w:p>
        </w:tc>
        <w:tc>
          <w:tcPr>
            <w:tcW w:w="100" w:type="dxa"/>
            <w:vAlign w:val="bottom"/>
          </w:tcPr>
          <w:p>
            <w:pPr>
              <w:spacing w:after="0"/>
              <w:rPr>
                <w:sz w:val="11"/>
                <w:szCs w:val="11"/>
                <w:color w:val="auto"/>
              </w:rPr>
            </w:pPr>
          </w:p>
        </w:tc>
        <w:tc>
          <w:tcPr>
            <w:tcW w:w="560" w:type="dxa"/>
            <w:vAlign w:val="bottom"/>
            <w:gridSpan w:val="3"/>
          </w:tcPr>
          <w:p>
            <w:pPr>
              <w:jc w:val="center"/>
              <w:ind w:right="120"/>
              <w:spacing w:after="0" w:line="132" w:lineRule="exact"/>
              <w:rPr>
                <w:sz w:val="20"/>
                <w:szCs w:val="20"/>
                <w:color w:val="auto"/>
              </w:rPr>
            </w:pPr>
            <w:r>
              <w:rPr>
                <w:rFonts w:ascii="Arial" w:cs="Arial" w:eastAsia="Arial" w:hAnsi="Arial"/>
                <w:sz w:val="12"/>
                <w:szCs w:val="12"/>
                <w:b w:val="1"/>
                <w:bCs w:val="1"/>
                <w:color w:val="auto"/>
                <w:w w:val="98"/>
              </w:rPr>
              <w:t>Deficit</w:t>
            </w:r>
          </w:p>
        </w:tc>
        <w:tc>
          <w:tcPr>
            <w:tcW w:w="40" w:type="dxa"/>
            <w:vAlign w:val="bottom"/>
          </w:tcPr>
          <w:p>
            <w:pPr>
              <w:spacing w:after="0"/>
              <w:rPr>
                <w:sz w:val="11"/>
                <w:szCs w:val="11"/>
                <w:color w:val="auto"/>
              </w:rPr>
            </w:pPr>
          </w:p>
        </w:tc>
        <w:tc>
          <w:tcPr>
            <w:tcW w:w="26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Def</w:t>
            </w:r>
          </w:p>
        </w:tc>
        <w:tc>
          <w:tcPr>
            <w:tcW w:w="0" w:type="dxa"/>
            <w:vAlign w:val="bottom"/>
          </w:tcPr>
          <w:p>
            <w:pPr>
              <w:spacing w:after="0"/>
              <w:rPr>
                <w:sz w:val="1"/>
                <w:szCs w:val="1"/>
                <w:color w:val="auto"/>
              </w:rPr>
            </w:pPr>
          </w:p>
        </w:tc>
      </w:tr>
      <w:tr>
        <w:trPr>
          <w:trHeight w:val="86"/>
        </w:trPr>
        <w:tc>
          <w:tcPr>
            <w:tcW w:w="980" w:type="dxa"/>
            <w:vAlign w:val="bottom"/>
            <w:tcBorders>
              <w:top w:val="single" w:sz="8" w:color="CCEEFF"/>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Balances at</w:t>
            </w:r>
          </w:p>
        </w:tc>
        <w:tc>
          <w:tcPr>
            <w:tcW w:w="76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gridSpan w:val="3"/>
            <w:shd w:val="clear" w:color="auto" w:fill="CCEEFF"/>
          </w:tcPr>
          <w:p>
            <w:pPr>
              <w:spacing w:after="0"/>
              <w:rPr>
                <w:sz w:val="7"/>
                <w:szCs w:val="7"/>
                <w:color w:val="auto"/>
              </w:rPr>
            </w:pPr>
          </w:p>
        </w:tc>
        <w:tc>
          <w:tcPr>
            <w:tcW w:w="120" w:type="dxa"/>
            <w:vAlign w:val="bottom"/>
            <w:tcBorders>
              <w:top w:val="single" w:sz="8" w:color="CCEEFF"/>
              <w:right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gridSpan w:val="5"/>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right w:val="single" w:sz="8" w:color="CCEEFF"/>
            </w:tcBorders>
            <w:shd w:val="clear" w:color="auto" w:fill="CCEEFF"/>
          </w:tcPr>
          <w:p>
            <w:pPr>
              <w:spacing w:after="0"/>
              <w:rPr>
                <w:sz w:val="7"/>
                <w:szCs w:val="7"/>
                <w:color w:val="auto"/>
              </w:rPr>
            </w:pPr>
          </w:p>
        </w:tc>
        <w:tc>
          <w:tcPr>
            <w:tcW w:w="60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gridSpan w:val="4"/>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gridSpan w:val="4"/>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right w:val="single" w:sz="8" w:color="CCEEFF"/>
            </w:tcBorders>
            <w:shd w:val="clear" w:color="auto" w:fill="CCEEFF"/>
          </w:tcPr>
          <w:p>
            <w:pPr>
              <w:spacing w:after="0"/>
              <w:rPr>
                <w:sz w:val="7"/>
                <w:szCs w:val="7"/>
                <w:color w:val="auto"/>
              </w:rPr>
            </w:pPr>
          </w:p>
        </w:tc>
        <w:tc>
          <w:tcPr>
            <w:tcW w:w="52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b w:val="1"/>
                <w:bCs w:val="1"/>
                <w:color w:val="auto"/>
              </w:rPr>
              <w:t>March 31,</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98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2021</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54,208,461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$ 110,401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13,811,856</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$ 179,509</w:t>
            </w: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25,397,964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4"/>
            <w:shd w:val="clear" w:color="auto" w:fill="CCEEFF"/>
          </w:tcPr>
          <w:p>
            <w:pPr>
              <w:jc w:val="center"/>
              <w:ind w:right="320"/>
              <w:spacing w:after="0"/>
              <w:rPr>
                <w:sz w:val="20"/>
                <w:szCs w:val="20"/>
                <w:color w:val="auto"/>
              </w:rPr>
            </w:pPr>
            <w:r>
              <w:rPr>
                <w:rFonts w:ascii="Arial" w:cs="Arial" w:eastAsia="Arial" w:hAnsi="Arial"/>
                <w:sz w:val="12"/>
                <w:szCs w:val="12"/>
                <w:color w:val="auto"/>
                <w:w w:val="99"/>
              </w:rPr>
              <w:t>—</w:t>
            </w:r>
          </w:p>
        </w:tc>
        <w:tc>
          <w:tcPr>
            <w:tcW w:w="60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4"/>
              </w:rPr>
              <w:t>(2,317,722)</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center"/>
              <w:ind w:left="1"/>
              <w:spacing w:after="0"/>
              <w:rPr>
                <w:sz w:val="20"/>
                <w:szCs w:val="20"/>
                <w:color w:val="auto"/>
              </w:rPr>
            </w:pPr>
            <w:r>
              <w:rPr>
                <w:rFonts w:ascii="Arial" w:cs="Arial" w:eastAsia="Arial" w:hAnsi="Arial"/>
                <w:sz w:val="12"/>
                <w:szCs w:val="12"/>
                <w:color w:val="auto"/>
                <w:w w:val="94"/>
              </w:rPr>
              <w:t>$ (748)</w:t>
            </w: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29,734</w:t>
            </w:r>
          </w:p>
        </w:tc>
        <w:tc>
          <w:tcPr>
            <w:tcW w:w="4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$ 125</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7"/>
              </w:rPr>
              <w:t>(106,424)</w:t>
            </w:r>
          </w:p>
        </w:tc>
        <w:tc>
          <w:tcPr>
            <w:tcW w:w="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(77</w:t>
            </w: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tcPr>
          <w:p>
            <w:pPr>
              <w:spacing w:after="0" w:line="121" w:lineRule="exact"/>
              <w:rPr>
                <w:sz w:val="20"/>
                <w:szCs w:val="20"/>
                <w:color w:val="auto"/>
              </w:rPr>
            </w:pPr>
            <w:r>
              <w:rPr>
                <w:rFonts w:ascii="Arial" w:cs="Arial" w:eastAsia="Arial" w:hAnsi="Arial"/>
                <w:sz w:val="12"/>
                <w:szCs w:val="12"/>
                <w:color w:val="auto"/>
              </w:rPr>
              <w:t>Issuance of</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common stock</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in connection</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with initial</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public offering,</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net of</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underwriting</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discounts and</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commissions</w:t>
            </w:r>
          </w:p>
        </w:tc>
        <w:tc>
          <w:tcPr>
            <w:tcW w:w="800" w:type="dxa"/>
            <w:vAlign w:val="bottom"/>
            <w:gridSpan w:val="4"/>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20" w:type="dxa"/>
            <w:vAlign w:val="bottom"/>
            <w:tcBorders>
              <w:right w:val="single" w:sz="8" w:color="auto"/>
            </w:tcBorders>
            <w:gridSpan w:val="3"/>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1"/>
                <w:szCs w:val="11"/>
                <w:color w:val="auto"/>
              </w:rPr>
            </w:pPr>
          </w:p>
        </w:tc>
        <w:tc>
          <w:tcPr>
            <w:tcW w:w="74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12,006,000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00" w:type="dxa"/>
            <w:vAlign w:val="bottom"/>
            <w:gridSpan w:val="4"/>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40" w:type="dxa"/>
            <w:vAlign w:val="bottom"/>
            <w:gridSpan w:val="3"/>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gridSpan w:val="3"/>
          </w:tcPr>
          <w:p>
            <w:pPr>
              <w:jc w:val="center"/>
              <w:ind w:right="180"/>
              <w:spacing w:after="0" w:line="132" w:lineRule="exact"/>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Arial" w:cs="Arial" w:eastAsia="Arial" w:hAnsi="Arial"/>
                <w:sz w:val="12"/>
                <w:szCs w:val="12"/>
                <w:color w:val="auto"/>
                <w:w w:val="92"/>
              </w:rPr>
              <w:t>268,693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ind w:left="60"/>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3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268</w:t>
            </w: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shd w:val="clear" w:color="auto" w:fill="CCEEFF"/>
          </w:tcPr>
          <w:p>
            <w:pPr>
              <w:spacing w:after="0" w:line="121" w:lineRule="exact"/>
              <w:rPr>
                <w:sz w:val="20"/>
                <w:szCs w:val="20"/>
                <w:color w:val="auto"/>
              </w:rPr>
            </w:pPr>
            <w:r>
              <w:rPr>
                <w:rFonts w:ascii="Arial" w:cs="Arial" w:eastAsia="Arial" w:hAnsi="Arial"/>
                <w:sz w:val="12"/>
                <w:szCs w:val="12"/>
                <w:color w:val="auto"/>
              </w:rPr>
              <w:t>Costs incurred in</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connection with</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initial public</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shd w:val="clear" w:color="auto" w:fill="CCEEFF"/>
          </w:tcPr>
          <w:p>
            <w:pPr>
              <w:ind w:left="120"/>
              <w:spacing w:after="0" w:line="132" w:lineRule="exact"/>
              <w:rPr>
                <w:sz w:val="20"/>
                <w:szCs w:val="20"/>
                <w:color w:val="auto"/>
              </w:rPr>
            </w:pPr>
            <w:r>
              <w:rPr>
                <w:rFonts w:ascii="Arial" w:cs="Arial" w:eastAsia="Arial" w:hAnsi="Arial"/>
                <w:sz w:val="12"/>
                <w:szCs w:val="12"/>
                <w:color w:val="auto"/>
              </w:rPr>
              <w:t>offering</w:t>
            </w:r>
          </w:p>
        </w:tc>
        <w:tc>
          <w:tcPr>
            <w:tcW w:w="800" w:type="dxa"/>
            <w:vAlign w:val="bottom"/>
            <w:gridSpan w:val="4"/>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720" w:type="dxa"/>
            <w:vAlign w:val="bottom"/>
            <w:tcBorders>
              <w:right w:val="single" w:sz="8" w:color="auto"/>
            </w:tcBorders>
            <w:gridSpan w:val="3"/>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1"/>
                <w:szCs w:val="11"/>
                <w:color w:val="auto"/>
              </w:rPr>
            </w:pPr>
          </w:p>
        </w:tc>
        <w:tc>
          <w:tcPr>
            <w:tcW w:w="900" w:type="dxa"/>
            <w:vAlign w:val="bottom"/>
            <w:gridSpan w:val="4"/>
            <w:shd w:val="clear" w:color="auto" w:fill="CCEEFF"/>
          </w:tcPr>
          <w:p>
            <w:pPr>
              <w:ind w:left="50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4"/>
            <w:shd w:val="clear" w:color="auto" w:fill="CCEEFF"/>
          </w:tcPr>
          <w:p>
            <w:pPr>
              <w:jc w:val="center"/>
              <w:ind w:right="340"/>
              <w:spacing w:after="0" w:line="132" w:lineRule="exact"/>
              <w:rPr>
                <w:sz w:val="20"/>
                <w:szCs w:val="20"/>
                <w:color w:val="auto"/>
              </w:rPr>
            </w:pPr>
            <w:r>
              <w:rPr>
                <w:rFonts w:ascii="Arial" w:cs="Arial" w:eastAsia="Arial" w:hAnsi="Arial"/>
                <w:sz w:val="12"/>
                <w:szCs w:val="12"/>
                <w:color w:val="auto"/>
                <w:w w:val="82"/>
              </w:rPr>
              <w:t>—</w:t>
            </w:r>
          </w:p>
        </w:tc>
        <w:tc>
          <w:tcPr>
            <w:tcW w:w="620" w:type="dxa"/>
            <w:vAlign w:val="bottom"/>
            <w:gridSpan w:val="2"/>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4"/>
            <w:shd w:val="clear" w:color="auto" w:fill="CCEEFF"/>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40" w:type="dxa"/>
            <w:vAlign w:val="bottom"/>
            <w:gridSpan w:val="3"/>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center"/>
              <w:ind w:right="180"/>
              <w:spacing w:after="0" w:line="132" w:lineRule="exact"/>
              <w:rPr>
                <w:sz w:val="20"/>
                <w:szCs w:val="20"/>
                <w:color w:val="auto"/>
              </w:rPr>
            </w:pPr>
            <w:r>
              <w:rPr>
                <w:rFonts w:ascii="Arial" w:cs="Arial" w:eastAsia="Arial" w:hAnsi="Arial"/>
                <w:sz w:val="12"/>
                <w:szCs w:val="12"/>
                <w:color w:val="auto"/>
                <w:w w:val="82"/>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32" w:lineRule="exact"/>
              <w:rPr>
                <w:sz w:val="20"/>
                <w:szCs w:val="20"/>
                <w:color w:val="auto"/>
              </w:rPr>
            </w:pPr>
            <w:r>
              <w:rPr>
                <w:rFonts w:ascii="Arial" w:cs="Arial" w:eastAsia="Arial" w:hAnsi="Arial"/>
                <w:sz w:val="12"/>
                <w:szCs w:val="12"/>
                <w:color w:val="auto"/>
              </w:rPr>
              <w:t>(4,860)</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ind w:left="60"/>
              <w:spacing w:after="0" w:line="132"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3"/>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tcPr>
          <w:p>
            <w:pPr>
              <w:spacing w:after="0" w:line="121" w:lineRule="exact"/>
              <w:rPr>
                <w:sz w:val="20"/>
                <w:szCs w:val="20"/>
                <w:color w:val="auto"/>
              </w:rPr>
            </w:pPr>
            <w:r>
              <w:rPr>
                <w:rFonts w:ascii="Arial" w:cs="Arial" w:eastAsia="Arial" w:hAnsi="Arial"/>
                <w:sz w:val="12"/>
                <w:szCs w:val="12"/>
                <w:color w:val="auto"/>
              </w:rPr>
              <w:t>Accretion of</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redeemable</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convertible</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preferred stock</w:t>
            </w:r>
          </w:p>
        </w:tc>
        <w:tc>
          <w:tcPr>
            <w:tcW w:w="800" w:type="dxa"/>
            <w:vAlign w:val="bottom"/>
            <w:gridSpan w:val="4"/>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tcPr>
          <w:p>
            <w:pPr>
              <w:ind w:left="480"/>
              <w:spacing w:after="0" w:line="132"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60"/>
              <w:spacing w:after="0" w:line="132" w:lineRule="exact"/>
              <w:rPr>
                <w:sz w:val="20"/>
                <w:szCs w:val="20"/>
                <w:color w:val="auto"/>
              </w:rPr>
            </w:pPr>
            <w:r>
              <w:rPr>
                <w:rFonts w:ascii="Arial" w:cs="Arial" w:eastAsia="Arial" w:hAnsi="Arial"/>
                <w:sz w:val="12"/>
                <w:szCs w:val="12"/>
                <w:color w:val="auto"/>
              </w:rPr>
              <w:t>8</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4"/>
          </w:tcPr>
          <w:p>
            <w:pPr>
              <w:ind w:left="50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4"/>
          </w:tcPr>
          <w:p>
            <w:pPr>
              <w:jc w:val="center"/>
              <w:ind w:right="340"/>
              <w:spacing w:after="0" w:line="132" w:lineRule="exact"/>
              <w:rPr>
                <w:sz w:val="20"/>
                <w:szCs w:val="20"/>
                <w:color w:val="auto"/>
              </w:rPr>
            </w:pPr>
            <w:r>
              <w:rPr>
                <w:rFonts w:ascii="Arial" w:cs="Arial" w:eastAsia="Arial" w:hAnsi="Arial"/>
                <w:sz w:val="12"/>
                <w:szCs w:val="12"/>
                <w:color w:val="auto"/>
                <w:w w:val="82"/>
              </w:rPr>
              <w:t>—</w:t>
            </w:r>
          </w:p>
        </w:tc>
        <w:tc>
          <w:tcPr>
            <w:tcW w:w="620" w:type="dxa"/>
            <w:vAlign w:val="bottom"/>
            <w:gridSpan w:val="2"/>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00" w:type="dxa"/>
            <w:vAlign w:val="bottom"/>
            <w:gridSpan w:val="4"/>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40" w:type="dxa"/>
            <w:vAlign w:val="bottom"/>
            <w:gridSpan w:val="3"/>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gridSpan w:val="3"/>
          </w:tcPr>
          <w:p>
            <w:pPr>
              <w:jc w:val="center"/>
              <w:ind w:right="180"/>
              <w:spacing w:after="0" w:line="132" w:lineRule="exact"/>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(8)</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ind w:left="60"/>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shd w:val="clear" w:color="auto" w:fill="CCEEFF"/>
          </w:tcPr>
          <w:p>
            <w:pPr>
              <w:spacing w:after="0" w:line="121" w:lineRule="exact"/>
              <w:rPr>
                <w:sz w:val="20"/>
                <w:szCs w:val="20"/>
                <w:color w:val="auto"/>
              </w:rPr>
            </w:pPr>
            <w:r>
              <w:rPr>
                <w:rFonts w:ascii="Arial" w:cs="Arial" w:eastAsia="Arial" w:hAnsi="Arial"/>
                <w:sz w:val="12"/>
                <w:szCs w:val="12"/>
                <w:color w:val="auto"/>
              </w:rPr>
              <w:t>Issuance of</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Series C</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Convertible</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Preferred Stock</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upon net</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exercise of</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shd w:val="clear" w:color="auto" w:fill="CCEEFF"/>
          </w:tcPr>
          <w:p>
            <w:pPr>
              <w:ind w:left="120"/>
              <w:spacing w:after="0" w:line="132" w:lineRule="exact"/>
              <w:rPr>
                <w:sz w:val="20"/>
                <w:szCs w:val="20"/>
                <w:color w:val="auto"/>
              </w:rPr>
            </w:pPr>
            <w:r>
              <w:rPr>
                <w:rFonts w:ascii="Arial" w:cs="Arial" w:eastAsia="Arial" w:hAnsi="Arial"/>
                <w:sz w:val="12"/>
                <w:szCs w:val="12"/>
                <w:color w:val="auto"/>
              </w:rPr>
              <w:t>warrants</w:t>
            </w:r>
          </w:p>
        </w:tc>
        <w:tc>
          <w:tcPr>
            <w:tcW w:w="6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w w:val="92"/>
              </w:rPr>
              <w:t>182,467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6,417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720" w:type="dxa"/>
            <w:vAlign w:val="bottom"/>
            <w:tcBorders>
              <w:right w:val="single" w:sz="8" w:color="auto"/>
            </w:tcBorders>
            <w:gridSpan w:val="3"/>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1"/>
                <w:szCs w:val="11"/>
                <w:color w:val="auto"/>
              </w:rPr>
            </w:pPr>
          </w:p>
        </w:tc>
        <w:tc>
          <w:tcPr>
            <w:tcW w:w="900" w:type="dxa"/>
            <w:vAlign w:val="bottom"/>
            <w:gridSpan w:val="4"/>
            <w:shd w:val="clear" w:color="auto" w:fill="CCEEFF"/>
          </w:tcPr>
          <w:p>
            <w:pPr>
              <w:ind w:left="50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4"/>
            <w:shd w:val="clear" w:color="auto" w:fill="CCEEFF"/>
          </w:tcPr>
          <w:p>
            <w:pPr>
              <w:jc w:val="center"/>
              <w:ind w:right="340"/>
              <w:spacing w:after="0" w:line="132" w:lineRule="exact"/>
              <w:rPr>
                <w:sz w:val="20"/>
                <w:szCs w:val="20"/>
                <w:color w:val="auto"/>
              </w:rPr>
            </w:pPr>
            <w:r>
              <w:rPr>
                <w:rFonts w:ascii="Arial" w:cs="Arial" w:eastAsia="Arial" w:hAnsi="Arial"/>
                <w:sz w:val="12"/>
                <w:szCs w:val="12"/>
                <w:color w:val="auto"/>
                <w:w w:val="82"/>
              </w:rPr>
              <w:t>—</w:t>
            </w:r>
          </w:p>
        </w:tc>
        <w:tc>
          <w:tcPr>
            <w:tcW w:w="620" w:type="dxa"/>
            <w:vAlign w:val="bottom"/>
            <w:gridSpan w:val="2"/>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4"/>
            <w:shd w:val="clear" w:color="auto" w:fill="CCEEFF"/>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40" w:type="dxa"/>
            <w:vAlign w:val="bottom"/>
            <w:gridSpan w:val="3"/>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center"/>
              <w:ind w:right="180"/>
              <w:spacing w:after="0" w:line="132" w:lineRule="exact"/>
              <w:rPr>
                <w:sz w:val="20"/>
                <w:szCs w:val="20"/>
                <w:color w:val="auto"/>
              </w:rPr>
            </w:pPr>
            <w:r>
              <w:rPr>
                <w:rFonts w:ascii="Arial" w:cs="Arial" w:eastAsia="Arial" w:hAnsi="Arial"/>
                <w:sz w:val="12"/>
                <w:szCs w:val="12"/>
                <w:color w:val="auto"/>
                <w:w w:val="82"/>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3"/>
            <w:shd w:val="clear" w:color="auto" w:fill="CCEEFF"/>
          </w:tcPr>
          <w:p>
            <w:pPr>
              <w:ind w:left="240"/>
              <w:spacing w:after="0" w:line="132"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ind w:left="60"/>
              <w:spacing w:after="0" w:line="132"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3"/>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tcPr>
          <w:p>
            <w:pPr>
              <w:spacing w:after="0" w:line="121" w:lineRule="exact"/>
              <w:rPr>
                <w:sz w:val="20"/>
                <w:szCs w:val="20"/>
                <w:color w:val="auto"/>
              </w:rPr>
            </w:pPr>
            <w:r>
              <w:rPr>
                <w:rFonts w:ascii="Arial" w:cs="Arial" w:eastAsia="Arial" w:hAnsi="Arial"/>
                <w:sz w:val="12"/>
                <w:szCs w:val="12"/>
                <w:color w:val="auto"/>
              </w:rPr>
              <w:t>Conversion of</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convertible</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preferred stock</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upon initial</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public offering</w:t>
            </w:r>
          </w:p>
        </w:tc>
        <w:tc>
          <w:tcPr>
            <w:tcW w:w="72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w w:val="99"/>
              </w:rPr>
              <w:t>(54,390,928)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(116,818)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20" w:type="dxa"/>
            <w:vAlign w:val="bottom"/>
            <w:tcBorders>
              <w:right w:val="single" w:sz="8" w:color="auto"/>
            </w:tcBorders>
            <w:gridSpan w:val="3"/>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1"/>
                <w:szCs w:val="11"/>
                <w:color w:val="auto"/>
              </w:rPr>
            </w:pPr>
          </w:p>
        </w:tc>
        <w:tc>
          <w:tcPr>
            <w:tcW w:w="74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54,390,928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00" w:type="dxa"/>
            <w:vAlign w:val="bottom"/>
            <w:gridSpan w:val="4"/>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40" w:type="dxa"/>
            <w:vAlign w:val="bottom"/>
            <w:gridSpan w:val="3"/>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gridSpan w:val="3"/>
          </w:tcPr>
          <w:p>
            <w:pPr>
              <w:jc w:val="center"/>
              <w:ind w:right="180"/>
              <w:spacing w:after="0" w:line="132" w:lineRule="exact"/>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Arial" w:cs="Arial" w:eastAsia="Arial" w:hAnsi="Arial"/>
                <w:sz w:val="12"/>
                <w:szCs w:val="12"/>
                <w:color w:val="auto"/>
                <w:w w:val="92"/>
              </w:rPr>
              <w:t>116,813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ind w:left="60"/>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3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shd w:val="clear" w:color="auto" w:fill="CCEEFF"/>
          </w:tcPr>
          <w:p>
            <w:pPr>
              <w:spacing w:after="0" w:line="121" w:lineRule="exact"/>
              <w:rPr>
                <w:sz w:val="20"/>
                <w:szCs w:val="20"/>
                <w:color w:val="auto"/>
              </w:rPr>
            </w:pPr>
            <w:r>
              <w:rPr>
                <w:rFonts w:ascii="Arial" w:cs="Arial" w:eastAsia="Arial" w:hAnsi="Arial"/>
                <w:sz w:val="12"/>
                <w:szCs w:val="12"/>
                <w:color w:val="auto"/>
              </w:rPr>
              <w:t>Conversion of</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redeemable</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convertible</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preferred stock</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upon initial</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shd w:val="clear" w:color="auto" w:fill="CCEEFF"/>
          </w:tcPr>
          <w:p>
            <w:pPr>
              <w:ind w:left="120"/>
              <w:spacing w:after="0" w:line="132" w:lineRule="exact"/>
              <w:rPr>
                <w:sz w:val="20"/>
                <w:szCs w:val="20"/>
                <w:color w:val="auto"/>
              </w:rPr>
            </w:pPr>
            <w:r>
              <w:rPr>
                <w:rFonts w:ascii="Arial" w:cs="Arial" w:eastAsia="Arial" w:hAnsi="Arial"/>
                <w:sz w:val="12"/>
                <w:szCs w:val="12"/>
                <w:color w:val="auto"/>
              </w:rPr>
              <w:t>public offering</w:t>
            </w:r>
          </w:p>
        </w:tc>
        <w:tc>
          <w:tcPr>
            <w:tcW w:w="800" w:type="dxa"/>
            <w:vAlign w:val="bottom"/>
            <w:gridSpan w:val="4"/>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(13,811,856)</w:t>
            </w: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line="132" w:lineRule="exact"/>
              <w:rPr>
                <w:sz w:val="20"/>
                <w:szCs w:val="20"/>
                <w:color w:val="auto"/>
              </w:rPr>
            </w:pPr>
            <w:r>
              <w:rPr>
                <w:rFonts w:ascii="Arial" w:cs="Arial" w:eastAsia="Arial" w:hAnsi="Arial"/>
                <w:sz w:val="12"/>
                <w:szCs w:val="12"/>
                <w:color w:val="auto"/>
              </w:rPr>
              <w:t>(179,517)</w:t>
            </w: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7,823,478</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0"/>
              <w:spacing w:after="0" w:line="132" w:lineRule="exact"/>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2" w:lineRule="exact"/>
              <w:rPr>
                <w:sz w:val="20"/>
                <w:szCs w:val="20"/>
                <w:color w:val="auto"/>
              </w:rPr>
            </w:pPr>
            <w:r>
              <w:rPr>
                <w:rFonts w:ascii="Arial" w:cs="Arial" w:eastAsia="Arial" w:hAnsi="Arial"/>
                <w:sz w:val="12"/>
                <w:szCs w:val="12"/>
                <w:color w:val="auto"/>
                <w:w w:val="97"/>
              </w:rPr>
              <w:t>5,988,378</w:t>
            </w:r>
          </w:p>
        </w:tc>
        <w:tc>
          <w:tcPr>
            <w:tcW w:w="4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220"/>
              <w:spacing w:after="0" w:line="132" w:lineRule="exact"/>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40" w:type="dxa"/>
            <w:vAlign w:val="bottom"/>
            <w:gridSpan w:val="3"/>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center"/>
              <w:ind w:right="180"/>
              <w:spacing w:after="0" w:line="132" w:lineRule="exact"/>
              <w:rPr>
                <w:sz w:val="20"/>
                <w:szCs w:val="20"/>
                <w:color w:val="auto"/>
              </w:rPr>
            </w:pPr>
            <w:r>
              <w:rPr>
                <w:rFonts w:ascii="Arial" w:cs="Arial" w:eastAsia="Arial" w:hAnsi="Arial"/>
                <w:sz w:val="12"/>
                <w:szCs w:val="12"/>
                <w:color w:val="auto"/>
                <w:w w:val="82"/>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2"/>
              </w:rPr>
              <w:t>179,515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ind w:left="60"/>
              <w:spacing w:after="0" w:line="132"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3"/>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179</w:t>
            </w: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tcPr>
          <w:p>
            <w:pPr>
              <w:spacing w:after="0" w:line="121" w:lineRule="exact"/>
              <w:rPr>
                <w:sz w:val="20"/>
                <w:szCs w:val="20"/>
                <w:color w:val="auto"/>
              </w:rPr>
            </w:pPr>
            <w:r>
              <w:rPr>
                <w:rFonts w:ascii="Arial" w:cs="Arial" w:eastAsia="Arial" w:hAnsi="Arial"/>
                <w:sz w:val="12"/>
                <w:szCs w:val="12"/>
                <w:color w:val="auto"/>
              </w:rPr>
              <w:t>Issuance of</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common stock</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upon exercise</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of stock options</w:t>
            </w:r>
          </w:p>
        </w:tc>
        <w:tc>
          <w:tcPr>
            <w:tcW w:w="800" w:type="dxa"/>
            <w:vAlign w:val="bottom"/>
            <w:gridSpan w:val="4"/>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tcPr>
          <w:p>
            <w:pPr>
              <w:ind w:left="360"/>
              <w:spacing w:after="0" w:line="132" w:lineRule="exact"/>
              <w:rPr>
                <w:sz w:val="20"/>
                <w:szCs w:val="20"/>
                <w:color w:val="auto"/>
              </w:rPr>
            </w:pPr>
            <w:r>
              <w:rPr>
                <w:rFonts w:ascii="Arial" w:cs="Arial" w:eastAsia="Arial" w:hAnsi="Arial"/>
                <w:sz w:val="12"/>
                <w:szCs w:val="12"/>
                <w:color w:val="auto"/>
              </w:rPr>
              <w:t>—</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right w:val="single" w:sz="8" w:color="auto"/>
            </w:tcBorders>
            <w:gridSpan w:val="3"/>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1"/>
                <w:szCs w:val="11"/>
                <w:color w:val="auto"/>
              </w:rPr>
            </w:pPr>
          </w:p>
        </w:tc>
        <w:tc>
          <w:tcPr>
            <w:tcW w:w="74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1,112,030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4"/>
          </w:tcPr>
          <w:p>
            <w:pPr>
              <w:jc w:val="center"/>
              <w:ind w:right="340"/>
              <w:spacing w:after="0" w:line="132" w:lineRule="exact"/>
              <w:rPr>
                <w:sz w:val="20"/>
                <w:szCs w:val="20"/>
                <w:color w:val="auto"/>
              </w:rPr>
            </w:pPr>
            <w:r>
              <w:rPr>
                <w:rFonts w:ascii="Arial" w:cs="Arial" w:eastAsia="Arial" w:hAnsi="Arial"/>
                <w:sz w:val="12"/>
                <w:szCs w:val="12"/>
                <w:color w:val="auto"/>
                <w:w w:val="82"/>
              </w:rPr>
              <w:t>—</w:t>
            </w:r>
          </w:p>
        </w:tc>
        <w:tc>
          <w:tcPr>
            <w:tcW w:w="620" w:type="dxa"/>
            <w:vAlign w:val="bottom"/>
            <w:gridSpan w:val="2"/>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00" w:type="dxa"/>
            <w:vAlign w:val="bottom"/>
            <w:gridSpan w:val="4"/>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40" w:type="dxa"/>
            <w:vAlign w:val="bottom"/>
            <w:gridSpan w:val="3"/>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gridSpan w:val="3"/>
          </w:tcPr>
          <w:p>
            <w:pPr>
              <w:jc w:val="center"/>
              <w:ind w:right="180"/>
              <w:spacing w:after="0" w:line="132" w:lineRule="exact"/>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1,387</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ind w:left="60"/>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3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shd w:val="clear" w:color="auto" w:fill="CCEEFF"/>
          </w:tcPr>
          <w:p>
            <w:pPr>
              <w:spacing w:after="0" w:line="121" w:lineRule="exact"/>
              <w:rPr>
                <w:sz w:val="20"/>
                <w:szCs w:val="20"/>
                <w:color w:val="auto"/>
              </w:rPr>
            </w:pPr>
            <w:r>
              <w:rPr>
                <w:rFonts w:ascii="Arial" w:cs="Arial" w:eastAsia="Arial" w:hAnsi="Arial"/>
                <w:sz w:val="12"/>
                <w:szCs w:val="12"/>
                <w:color w:val="auto"/>
              </w:rPr>
              <w:t>Reclassification</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of warrant</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liability to</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additional</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paid-in capital</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upon initial</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shd w:val="clear" w:color="auto" w:fill="CCEEFF"/>
          </w:tcPr>
          <w:p>
            <w:pPr>
              <w:ind w:left="120"/>
              <w:spacing w:after="0" w:line="132" w:lineRule="exact"/>
              <w:rPr>
                <w:sz w:val="20"/>
                <w:szCs w:val="20"/>
                <w:color w:val="auto"/>
              </w:rPr>
            </w:pPr>
            <w:r>
              <w:rPr>
                <w:rFonts w:ascii="Arial" w:cs="Arial" w:eastAsia="Arial" w:hAnsi="Arial"/>
                <w:sz w:val="12"/>
                <w:szCs w:val="12"/>
                <w:color w:val="auto"/>
              </w:rPr>
              <w:t>public offering</w:t>
            </w:r>
          </w:p>
        </w:tc>
        <w:tc>
          <w:tcPr>
            <w:tcW w:w="800" w:type="dxa"/>
            <w:vAlign w:val="bottom"/>
            <w:gridSpan w:val="4"/>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720" w:type="dxa"/>
            <w:vAlign w:val="bottom"/>
            <w:tcBorders>
              <w:right w:val="single" w:sz="8" w:color="auto"/>
            </w:tcBorders>
            <w:gridSpan w:val="3"/>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1"/>
                <w:szCs w:val="11"/>
                <w:color w:val="auto"/>
              </w:rPr>
            </w:pPr>
          </w:p>
        </w:tc>
        <w:tc>
          <w:tcPr>
            <w:tcW w:w="900" w:type="dxa"/>
            <w:vAlign w:val="bottom"/>
            <w:gridSpan w:val="4"/>
            <w:shd w:val="clear" w:color="auto" w:fill="CCEEFF"/>
          </w:tcPr>
          <w:p>
            <w:pPr>
              <w:ind w:left="50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4"/>
            <w:shd w:val="clear" w:color="auto" w:fill="CCEEFF"/>
          </w:tcPr>
          <w:p>
            <w:pPr>
              <w:jc w:val="center"/>
              <w:ind w:right="340"/>
              <w:spacing w:after="0" w:line="132" w:lineRule="exact"/>
              <w:rPr>
                <w:sz w:val="20"/>
                <w:szCs w:val="20"/>
                <w:color w:val="auto"/>
              </w:rPr>
            </w:pPr>
            <w:r>
              <w:rPr>
                <w:rFonts w:ascii="Arial" w:cs="Arial" w:eastAsia="Arial" w:hAnsi="Arial"/>
                <w:sz w:val="12"/>
                <w:szCs w:val="12"/>
                <w:color w:val="auto"/>
                <w:w w:val="82"/>
              </w:rPr>
              <w:t>—</w:t>
            </w:r>
          </w:p>
        </w:tc>
        <w:tc>
          <w:tcPr>
            <w:tcW w:w="620" w:type="dxa"/>
            <w:vAlign w:val="bottom"/>
            <w:gridSpan w:val="2"/>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4"/>
            <w:shd w:val="clear" w:color="auto" w:fill="CCEEFF"/>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40" w:type="dxa"/>
            <w:vAlign w:val="bottom"/>
            <w:gridSpan w:val="3"/>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center"/>
              <w:ind w:right="180"/>
              <w:spacing w:after="0" w:line="132" w:lineRule="exact"/>
              <w:rPr>
                <w:sz w:val="20"/>
                <w:szCs w:val="20"/>
                <w:color w:val="auto"/>
              </w:rPr>
            </w:pPr>
            <w:r>
              <w:rPr>
                <w:rFonts w:ascii="Arial" w:cs="Arial" w:eastAsia="Arial" w:hAnsi="Arial"/>
                <w:sz w:val="12"/>
                <w:szCs w:val="12"/>
                <w:color w:val="auto"/>
                <w:w w:val="82"/>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6,272</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ind w:left="60"/>
              <w:spacing w:after="0" w:line="132"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3"/>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tcPr>
          <w:p>
            <w:pPr>
              <w:spacing w:after="0" w:line="121" w:lineRule="exact"/>
              <w:rPr>
                <w:sz w:val="20"/>
                <w:szCs w:val="20"/>
                <w:color w:val="auto"/>
              </w:rPr>
            </w:pPr>
            <w:r>
              <w:rPr>
                <w:rFonts w:ascii="Arial" w:cs="Arial" w:eastAsia="Arial" w:hAnsi="Arial"/>
                <w:sz w:val="12"/>
                <w:szCs w:val="12"/>
                <w:color w:val="auto"/>
              </w:rPr>
              <w:t>Exercise of</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common stock</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warrants</w:t>
            </w:r>
          </w:p>
        </w:tc>
        <w:tc>
          <w:tcPr>
            <w:tcW w:w="800" w:type="dxa"/>
            <w:vAlign w:val="bottom"/>
            <w:gridSpan w:val="4"/>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20" w:type="dxa"/>
            <w:vAlign w:val="bottom"/>
            <w:tcBorders>
              <w:right w:val="single" w:sz="8" w:color="auto"/>
            </w:tcBorders>
            <w:gridSpan w:val="3"/>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1"/>
                <w:szCs w:val="11"/>
                <w:color w:val="auto"/>
              </w:rPr>
            </w:pPr>
          </w:p>
        </w:tc>
        <w:tc>
          <w:tcPr>
            <w:tcW w:w="74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265,503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4"/>
          </w:tcPr>
          <w:p>
            <w:pPr>
              <w:jc w:val="center"/>
              <w:ind w:right="340"/>
              <w:spacing w:after="0" w:line="132" w:lineRule="exact"/>
              <w:rPr>
                <w:sz w:val="20"/>
                <w:szCs w:val="20"/>
                <w:color w:val="auto"/>
              </w:rPr>
            </w:pPr>
            <w:r>
              <w:rPr>
                <w:rFonts w:ascii="Arial" w:cs="Arial" w:eastAsia="Arial" w:hAnsi="Arial"/>
                <w:sz w:val="12"/>
                <w:szCs w:val="12"/>
                <w:color w:val="auto"/>
                <w:w w:val="82"/>
              </w:rPr>
              <w:t>—</w:t>
            </w:r>
          </w:p>
        </w:tc>
        <w:tc>
          <w:tcPr>
            <w:tcW w:w="620" w:type="dxa"/>
            <w:vAlign w:val="bottom"/>
            <w:gridSpan w:val="2"/>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00" w:type="dxa"/>
            <w:vAlign w:val="bottom"/>
            <w:gridSpan w:val="4"/>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40" w:type="dxa"/>
            <w:vAlign w:val="bottom"/>
            <w:gridSpan w:val="3"/>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gridSpan w:val="3"/>
          </w:tcPr>
          <w:p>
            <w:pPr>
              <w:jc w:val="center"/>
              <w:ind w:right="180"/>
              <w:spacing w:after="0" w:line="132" w:lineRule="exact"/>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Arial" w:cs="Arial" w:eastAsia="Arial" w:hAnsi="Arial"/>
                <w:sz w:val="12"/>
                <w:szCs w:val="12"/>
                <w:color w:val="auto"/>
              </w:rPr>
              <w:t>294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ind w:left="60"/>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shd w:val="clear" w:color="auto" w:fill="CCEEFF"/>
          </w:tcPr>
          <w:p>
            <w:pPr>
              <w:spacing w:after="0" w:line="121" w:lineRule="exact"/>
              <w:rPr>
                <w:sz w:val="20"/>
                <w:szCs w:val="20"/>
                <w:color w:val="auto"/>
              </w:rPr>
            </w:pPr>
            <w:r>
              <w:rPr>
                <w:rFonts w:ascii="Arial" w:cs="Arial" w:eastAsia="Arial" w:hAnsi="Arial"/>
                <w:sz w:val="12"/>
                <w:szCs w:val="12"/>
                <w:color w:val="auto"/>
              </w:rPr>
              <w:t>Foreign currency</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translation</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shd w:val="clear" w:color="auto" w:fill="CCEEFF"/>
          </w:tcPr>
          <w:p>
            <w:pPr>
              <w:ind w:left="120"/>
              <w:spacing w:after="0" w:line="132" w:lineRule="exact"/>
              <w:rPr>
                <w:sz w:val="20"/>
                <w:szCs w:val="20"/>
                <w:color w:val="auto"/>
              </w:rPr>
            </w:pPr>
            <w:r>
              <w:rPr>
                <w:rFonts w:ascii="Arial" w:cs="Arial" w:eastAsia="Arial" w:hAnsi="Arial"/>
                <w:sz w:val="12"/>
                <w:szCs w:val="12"/>
                <w:color w:val="auto"/>
              </w:rPr>
              <w:t>adjustment</w:t>
            </w:r>
          </w:p>
        </w:tc>
        <w:tc>
          <w:tcPr>
            <w:tcW w:w="800" w:type="dxa"/>
            <w:vAlign w:val="bottom"/>
            <w:gridSpan w:val="4"/>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720" w:type="dxa"/>
            <w:vAlign w:val="bottom"/>
            <w:tcBorders>
              <w:right w:val="single" w:sz="8" w:color="auto"/>
            </w:tcBorders>
            <w:gridSpan w:val="3"/>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1"/>
                <w:szCs w:val="11"/>
                <w:color w:val="auto"/>
              </w:rPr>
            </w:pPr>
          </w:p>
        </w:tc>
        <w:tc>
          <w:tcPr>
            <w:tcW w:w="900" w:type="dxa"/>
            <w:vAlign w:val="bottom"/>
            <w:gridSpan w:val="4"/>
            <w:shd w:val="clear" w:color="auto" w:fill="CCEEFF"/>
          </w:tcPr>
          <w:p>
            <w:pPr>
              <w:ind w:left="50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4"/>
            <w:shd w:val="clear" w:color="auto" w:fill="CCEEFF"/>
          </w:tcPr>
          <w:p>
            <w:pPr>
              <w:jc w:val="center"/>
              <w:ind w:right="340"/>
              <w:spacing w:after="0" w:line="132" w:lineRule="exact"/>
              <w:rPr>
                <w:sz w:val="20"/>
                <w:szCs w:val="20"/>
                <w:color w:val="auto"/>
              </w:rPr>
            </w:pPr>
            <w:r>
              <w:rPr>
                <w:rFonts w:ascii="Arial" w:cs="Arial" w:eastAsia="Arial" w:hAnsi="Arial"/>
                <w:sz w:val="12"/>
                <w:szCs w:val="12"/>
                <w:color w:val="auto"/>
                <w:w w:val="82"/>
              </w:rPr>
              <w:t>—</w:t>
            </w:r>
          </w:p>
        </w:tc>
        <w:tc>
          <w:tcPr>
            <w:tcW w:w="620" w:type="dxa"/>
            <w:vAlign w:val="bottom"/>
            <w:gridSpan w:val="2"/>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4"/>
            <w:shd w:val="clear" w:color="auto" w:fill="CCEEFF"/>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40" w:type="dxa"/>
            <w:vAlign w:val="bottom"/>
            <w:gridSpan w:val="3"/>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center"/>
              <w:ind w:right="180"/>
              <w:spacing w:after="0" w:line="132" w:lineRule="exact"/>
              <w:rPr>
                <w:sz w:val="20"/>
                <w:szCs w:val="20"/>
                <w:color w:val="auto"/>
              </w:rPr>
            </w:pPr>
            <w:r>
              <w:rPr>
                <w:rFonts w:ascii="Arial" w:cs="Arial" w:eastAsia="Arial" w:hAnsi="Arial"/>
                <w:sz w:val="12"/>
                <w:szCs w:val="12"/>
                <w:color w:val="auto"/>
                <w:w w:val="82"/>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3"/>
            <w:shd w:val="clear" w:color="auto" w:fill="CCEEFF"/>
          </w:tcPr>
          <w:p>
            <w:pPr>
              <w:ind w:left="240"/>
              <w:spacing w:after="0" w:line="132"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(76)</w:t>
            </w: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3"/>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tcPr>
          <w:p>
            <w:pPr>
              <w:spacing w:after="0" w:line="121" w:lineRule="exact"/>
              <w:rPr>
                <w:sz w:val="20"/>
                <w:szCs w:val="20"/>
                <w:color w:val="auto"/>
              </w:rPr>
            </w:pPr>
            <w:r>
              <w:rPr>
                <w:rFonts w:ascii="Arial" w:cs="Arial" w:eastAsia="Arial" w:hAnsi="Arial"/>
                <w:sz w:val="12"/>
                <w:szCs w:val="12"/>
                <w:color w:val="auto"/>
              </w:rPr>
              <w:t>Stock-based</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compensation</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expense</w:t>
            </w:r>
          </w:p>
        </w:tc>
        <w:tc>
          <w:tcPr>
            <w:tcW w:w="800" w:type="dxa"/>
            <w:vAlign w:val="bottom"/>
            <w:gridSpan w:val="4"/>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20" w:type="dxa"/>
            <w:vAlign w:val="bottom"/>
            <w:tcBorders>
              <w:right w:val="single" w:sz="8" w:color="auto"/>
            </w:tcBorders>
            <w:gridSpan w:val="3"/>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1"/>
                <w:szCs w:val="11"/>
                <w:color w:val="auto"/>
              </w:rPr>
            </w:pPr>
          </w:p>
        </w:tc>
        <w:tc>
          <w:tcPr>
            <w:tcW w:w="900" w:type="dxa"/>
            <w:vAlign w:val="bottom"/>
            <w:gridSpan w:val="4"/>
          </w:tcPr>
          <w:p>
            <w:pPr>
              <w:ind w:left="50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4"/>
          </w:tcPr>
          <w:p>
            <w:pPr>
              <w:jc w:val="center"/>
              <w:ind w:right="340"/>
              <w:spacing w:after="0" w:line="132" w:lineRule="exact"/>
              <w:rPr>
                <w:sz w:val="20"/>
                <w:szCs w:val="20"/>
                <w:color w:val="auto"/>
              </w:rPr>
            </w:pPr>
            <w:r>
              <w:rPr>
                <w:rFonts w:ascii="Arial" w:cs="Arial" w:eastAsia="Arial" w:hAnsi="Arial"/>
                <w:sz w:val="12"/>
                <w:szCs w:val="12"/>
                <w:color w:val="auto"/>
                <w:w w:val="82"/>
              </w:rPr>
              <w:t>—</w:t>
            </w:r>
          </w:p>
        </w:tc>
        <w:tc>
          <w:tcPr>
            <w:tcW w:w="620" w:type="dxa"/>
            <w:vAlign w:val="bottom"/>
            <w:gridSpan w:val="2"/>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00" w:type="dxa"/>
            <w:vAlign w:val="bottom"/>
            <w:gridSpan w:val="4"/>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40" w:type="dxa"/>
            <w:vAlign w:val="bottom"/>
            <w:gridSpan w:val="3"/>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gridSpan w:val="3"/>
          </w:tcPr>
          <w:p>
            <w:pPr>
              <w:jc w:val="center"/>
              <w:ind w:right="180"/>
              <w:spacing w:after="0" w:line="132" w:lineRule="exact"/>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2,396</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ind w:left="60"/>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3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26"/>
        </w:trPr>
        <w:tc>
          <w:tcPr>
            <w:tcW w:w="10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Net loss</w:t>
            </w:r>
          </w:p>
        </w:tc>
        <w:tc>
          <w:tcPr>
            <w:tcW w:w="800" w:type="dxa"/>
            <w:vAlign w:val="bottom"/>
            <w:gridSpan w:val="4"/>
            <w:shd w:val="clear" w:color="auto" w:fill="CCEEFF"/>
          </w:tcPr>
          <w:p>
            <w:pPr>
              <w:ind w:left="480"/>
              <w:spacing w:after="0" w:line="126" w:lineRule="exact"/>
              <w:rPr>
                <w:sz w:val="20"/>
                <w:szCs w:val="20"/>
                <w:color w:val="auto"/>
              </w:rPr>
            </w:pPr>
            <w:r>
              <w:rPr>
                <w:rFonts w:ascii="Arial" w:cs="Arial" w:eastAsia="Arial" w:hAnsi="Arial"/>
                <w:sz w:val="12"/>
                <w:szCs w:val="12"/>
                <w:color w:val="auto"/>
              </w:rPr>
              <w:t>—</w:t>
            </w:r>
          </w:p>
        </w:tc>
        <w:tc>
          <w:tcPr>
            <w:tcW w:w="660" w:type="dxa"/>
            <w:vAlign w:val="bottom"/>
            <w:gridSpan w:val="4"/>
            <w:shd w:val="clear" w:color="auto" w:fill="CCEEFF"/>
          </w:tcPr>
          <w:p>
            <w:pPr>
              <w:ind w:left="360"/>
              <w:spacing w:after="0" w:line="126"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ind w:left="480"/>
              <w:spacing w:after="0" w:line="12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3"/>
            <w:shd w:val="clear" w:color="auto" w:fill="CCEEFF"/>
          </w:tcPr>
          <w:p>
            <w:pPr>
              <w:ind w:left="360"/>
              <w:spacing w:after="0" w:line="126"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0"/>
                <w:szCs w:val="10"/>
                <w:color w:val="auto"/>
              </w:rPr>
            </w:pPr>
          </w:p>
        </w:tc>
        <w:tc>
          <w:tcPr>
            <w:tcW w:w="900" w:type="dxa"/>
            <w:vAlign w:val="bottom"/>
            <w:gridSpan w:val="4"/>
            <w:shd w:val="clear" w:color="auto" w:fill="CCEEFF"/>
          </w:tcPr>
          <w:p>
            <w:pPr>
              <w:ind w:left="50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4"/>
            <w:shd w:val="clear" w:color="auto" w:fill="CCEEFF"/>
          </w:tcPr>
          <w:p>
            <w:pPr>
              <w:jc w:val="center"/>
              <w:ind w:right="340"/>
              <w:spacing w:after="0" w:line="126" w:lineRule="exact"/>
              <w:rPr>
                <w:sz w:val="20"/>
                <w:szCs w:val="20"/>
                <w:color w:val="auto"/>
              </w:rPr>
            </w:pPr>
            <w:r>
              <w:rPr>
                <w:rFonts w:ascii="Arial" w:cs="Arial" w:eastAsia="Arial" w:hAnsi="Arial"/>
                <w:sz w:val="12"/>
                <w:szCs w:val="12"/>
                <w:color w:val="auto"/>
                <w:w w:val="82"/>
              </w:rPr>
              <w:t>—</w:t>
            </w:r>
          </w:p>
        </w:tc>
        <w:tc>
          <w:tcPr>
            <w:tcW w:w="620" w:type="dxa"/>
            <w:vAlign w:val="bottom"/>
            <w:gridSpan w:val="2"/>
            <w:shd w:val="clear" w:color="auto" w:fill="CCEEFF"/>
          </w:tcPr>
          <w:p>
            <w:pPr>
              <w:ind w:left="380"/>
              <w:spacing w:after="0" w:line="126"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0"/>
                <w:szCs w:val="10"/>
                <w:color w:val="auto"/>
              </w:rPr>
            </w:pPr>
          </w:p>
        </w:tc>
        <w:tc>
          <w:tcPr>
            <w:tcW w:w="600" w:type="dxa"/>
            <w:vAlign w:val="bottom"/>
            <w:tcBorders>
              <w:right w:val="single" w:sz="8" w:color="CCEEFF"/>
            </w:tcBorders>
            <w:gridSpan w:val="4"/>
            <w:shd w:val="clear" w:color="auto" w:fill="CCEEFF"/>
          </w:tcPr>
          <w:p>
            <w:pPr>
              <w:jc w:val="center"/>
              <w:ind w:right="320"/>
              <w:spacing w:after="0" w:line="126" w:lineRule="exact"/>
              <w:rPr>
                <w:sz w:val="20"/>
                <w:szCs w:val="20"/>
                <w:color w:val="auto"/>
              </w:rPr>
            </w:pPr>
            <w:r>
              <w:rPr>
                <w:rFonts w:ascii="Arial" w:cs="Arial" w:eastAsia="Arial" w:hAnsi="Arial"/>
                <w:sz w:val="12"/>
                <w:szCs w:val="12"/>
                <w:color w:val="auto"/>
                <w:w w:val="99"/>
              </w:rPr>
              <w:t>—</w:t>
            </w:r>
          </w:p>
        </w:tc>
        <w:tc>
          <w:tcPr>
            <w:tcW w:w="640" w:type="dxa"/>
            <w:vAlign w:val="bottom"/>
            <w:gridSpan w:val="3"/>
            <w:shd w:val="clear" w:color="auto" w:fill="CCEEFF"/>
          </w:tcPr>
          <w:p>
            <w:pPr>
              <w:ind w:left="380"/>
              <w:spacing w:after="0" w:line="126"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0"/>
                <w:szCs w:val="10"/>
                <w:color w:val="auto"/>
              </w:rPr>
            </w:pPr>
          </w:p>
        </w:tc>
        <w:tc>
          <w:tcPr>
            <w:tcW w:w="560" w:type="dxa"/>
            <w:vAlign w:val="bottom"/>
            <w:gridSpan w:val="3"/>
            <w:shd w:val="clear" w:color="auto" w:fill="CCEEFF"/>
          </w:tcPr>
          <w:p>
            <w:pPr>
              <w:jc w:val="center"/>
              <w:ind w:right="180"/>
              <w:spacing w:after="0" w:line="126" w:lineRule="exact"/>
              <w:rPr>
                <w:sz w:val="20"/>
                <w:szCs w:val="20"/>
                <w:color w:val="auto"/>
              </w:rPr>
            </w:pPr>
            <w:r>
              <w:rPr>
                <w:rFonts w:ascii="Arial" w:cs="Arial" w:eastAsia="Arial" w:hAnsi="Arial"/>
                <w:sz w:val="12"/>
                <w:szCs w:val="12"/>
                <w:color w:val="auto"/>
                <w:w w:val="82"/>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3"/>
            <w:shd w:val="clear" w:color="auto" w:fill="CCEEFF"/>
          </w:tcPr>
          <w:p>
            <w:pPr>
              <w:ind w:left="240"/>
              <w:spacing w:after="0" w:line="126"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3"/>
            <w:shd w:val="clear" w:color="auto" w:fill="CCEEFF"/>
          </w:tcPr>
          <w:p>
            <w:pPr>
              <w:ind w:left="60"/>
              <w:spacing w:after="0" w:line="126"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(18,146)</w:t>
            </w:r>
          </w:p>
        </w:tc>
        <w:tc>
          <w:tcPr>
            <w:tcW w:w="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12"/>
        </w:trPr>
        <w:tc>
          <w:tcPr>
            <w:tcW w:w="1020" w:type="dxa"/>
            <w:vAlign w:val="bottom"/>
            <w:gridSpan w:val="2"/>
          </w:tcPr>
          <w:p>
            <w:pPr>
              <w:spacing w:after="0" w:line="112" w:lineRule="exact"/>
              <w:rPr>
                <w:sz w:val="20"/>
                <w:szCs w:val="20"/>
                <w:color w:val="auto"/>
              </w:rPr>
            </w:pPr>
            <w:r>
              <w:rPr>
                <w:rFonts w:ascii="Arial" w:cs="Arial" w:eastAsia="Arial" w:hAnsi="Arial"/>
                <w:sz w:val="12"/>
                <w:szCs w:val="12"/>
                <w:b w:val="1"/>
                <w:bCs w:val="1"/>
                <w:color w:val="auto"/>
              </w:rPr>
              <w:t>Balances at</w:t>
            </w:r>
          </w:p>
        </w:tc>
        <w:tc>
          <w:tcPr>
            <w:tcW w:w="660" w:type="dxa"/>
            <w:vAlign w:val="bottom"/>
            <w:tcBorders>
              <w:top w:val="single" w:sz="8" w:color="auto"/>
            </w:tcBorders>
          </w:tcPr>
          <w:p>
            <w:pPr>
              <w:spacing w:after="0"/>
              <w:rPr>
                <w:sz w:val="9"/>
                <w:szCs w:val="9"/>
                <w:color w:val="auto"/>
              </w:rPr>
            </w:pPr>
          </w:p>
        </w:tc>
        <w:tc>
          <w:tcPr>
            <w:tcW w:w="140" w:type="dxa"/>
            <w:vAlign w:val="bottom"/>
            <w:gridSpan w:val="3"/>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gridSpan w:val="3"/>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gridSpan w:val="3"/>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Borders>
              <w:right w:val="single" w:sz="8" w:color="auto"/>
            </w:tcBorders>
            <w:gridSpan w:val="2"/>
          </w:tcPr>
          <w:p>
            <w:pPr>
              <w:spacing w:after="0"/>
              <w:rPr>
                <w:sz w:val="9"/>
                <w:szCs w:val="9"/>
                <w:color w:val="auto"/>
              </w:rPr>
            </w:pPr>
          </w:p>
        </w:tc>
        <w:tc>
          <w:tcPr>
            <w:tcW w:w="80" w:type="dxa"/>
            <w:vAlign w:val="bottom"/>
            <w:gridSpan w:val="2"/>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300" w:type="dxa"/>
            <w:vAlign w:val="bottom"/>
            <w:gridSpan w:val="4"/>
          </w:tcPr>
          <w:p>
            <w:pPr>
              <w:spacing w:after="0"/>
              <w:rPr>
                <w:sz w:val="9"/>
                <w:szCs w:val="9"/>
                <w:color w:val="auto"/>
              </w:rPr>
            </w:pPr>
          </w:p>
        </w:tc>
        <w:tc>
          <w:tcPr>
            <w:tcW w:w="280" w:type="dxa"/>
            <w:vAlign w:val="bottom"/>
            <w:tcBorders>
              <w:top w:val="single" w:sz="8" w:color="auto"/>
            </w:tcBorders>
            <w:gridSpan w:val="2"/>
          </w:tcPr>
          <w:p>
            <w:pPr>
              <w:spacing w:after="0"/>
              <w:rPr>
                <w:sz w:val="9"/>
                <w:szCs w:val="9"/>
                <w:color w:val="auto"/>
              </w:rPr>
            </w:pPr>
          </w:p>
        </w:tc>
        <w:tc>
          <w:tcPr>
            <w:tcW w:w="280" w:type="dxa"/>
            <w:vAlign w:val="bottom"/>
            <w:gridSpan w:val="3"/>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60" w:type="dxa"/>
            <w:vAlign w:val="bottom"/>
            <w:gridSpan w:val="2"/>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40" w:type="dxa"/>
            <w:vAlign w:val="bottom"/>
            <w:gridSpan w:val="3"/>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300" w:type="dxa"/>
            <w:vAlign w:val="bottom"/>
            <w:gridSpan w:val="3"/>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80" w:type="dxa"/>
            <w:vAlign w:val="bottom"/>
            <w:gridSpan w:val="3"/>
          </w:tcPr>
          <w:p>
            <w:pPr>
              <w:spacing w:after="0"/>
              <w:rPr>
                <w:sz w:val="9"/>
                <w:szCs w:val="9"/>
                <w:color w:val="auto"/>
              </w:rPr>
            </w:pPr>
          </w:p>
        </w:tc>
        <w:tc>
          <w:tcPr>
            <w:tcW w:w="500" w:type="dxa"/>
            <w:vAlign w:val="bottom"/>
            <w:tcBorders>
              <w:top w:val="single" w:sz="8" w:color="auto"/>
            </w:tcBorders>
            <w:gridSpan w:val="2"/>
          </w:tcPr>
          <w:p>
            <w:pPr>
              <w:spacing w:after="0"/>
              <w:rPr>
                <w:sz w:val="9"/>
                <w:szCs w:val="9"/>
                <w:color w:val="auto"/>
              </w:rPr>
            </w:pPr>
          </w:p>
        </w:tc>
        <w:tc>
          <w:tcPr>
            <w:tcW w:w="300" w:type="dxa"/>
            <w:vAlign w:val="bottom"/>
            <w:gridSpan w:val="3"/>
          </w:tcPr>
          <w:p>
            <w:pPr>
              <w:spacing w:after="0"/>
              <w:rPr>
                <w:sz w:val="9"/>
                <w:szCs w:val="9"/>
                <w:color w:val="auto"/>
              </w:rPr>
            </w:pPr>
          </w:p>
        </w:tc>
        <w:tc>
          <w:tcPr>
            <w:tcW w:w="320" w:type="dxa"/>
            <w:vAlign w:val="bottom"/>
            <w:tcBorders>
              <w:top w:val="single" w:sz="8" w:color="auto"/>
            </w:tcBorders>
            <w:gridSpan w:val="2"/>
          </w:tcPr>
          <w:p>
            <w:pPr>
              <w:spacing w:after="0"/>
              <w:rPr>
                <w:sz w:val="9"/>
                <w:szCs w:val="9"/>
                <w:color w:val="auto"/>
              </w:rPr>
            </w:pPr>
          </w:p>
        </w:tc>
        <w:tc>
          <w:tcPr>
            <w:tcW w:w="360" w:type="dxa"/>
            <w:vAlign w:val="bottom"/>
            <w:gridSpan w:val="3"/>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gridSpan w:val="3"/>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June 30, 2021</w:t>
            </w:r>
          </w:p>
        </w:tc>
        <w:tc>
          <w:tcPr>
            <w:tcW w:w="660" w:type="dxa"/>
            <w:vAlign w:val="bottom"/>
          </w:tcPr>
          <w:p>
            <w:pPr>
              <w:ind w:left="480"/>
              <w:spacing w:after="0"/>
              <w:rPr>
                <w:sz w:val="20"/>
                <w:szCs w:val="20"/>
                <w:color w:val="auto"/>
              </w:rPr>
            </w:pPr>
            <w:r>
              <w:rPr>
                <w:rFonts w:ascii="Arial" w:cs="Arial" w:eastAsia="Arial" w:hAnsi="Arial"/>
                <w:sz w:val="12"/>
                <w:szCs w:val="12"/>
                <w:color w:val="auto"/>
              </w:rPr>
              <w:t>—</w:t>
            </w:r>
          </w:p>
        </w:tc>
        <w:tc>
          <w:tcPr>
            <w:tcW w:w="140" w:type="dxa"/>
            <w:vAlign w:val="bottom"/>
            <w:gridSpan w:val="3"/>
          </w:tcPr>
          <w:p>
            <w:pPr>
              <w:spacing w:after="0"/>
              <w:rPr>
                <w:sz w:val="12"/>
                <w:szCs w:val="12"/>
                <w:color w:val="auto"/>
              </w:rPr>
            </w:pPr>
          </w:p>
        </w:tc>
        <w:tc>
          <w:tcPr>
            <w:tcW w:w="540" w:type="dxa"/>
            <w:vAlign w:val="bottom"/>
          </w:tcPr>
          <w:p>
            <w:pPr>
              <w:ind w:left="360"/>
              <w:spacing w:after="0"/>
              <w:rPr>
                <w:sz w:val="20"/>
                <w:szCs w:val="20"/>
                <w:color w:val="auto"/>
              </w:rPr>
            </w:pPr>
            <w:r>
              <w:rPr>
                <w:rFonts w:ascii="Arial" w:cs="Arial" w:eastAsia="Arial" w:hAnsi="Arial"/>
                <w:sz w:val="12"/>
                <w:szCs w:val="12"/>
                <w:color w:val="auto"/>
              </w:rPr>
              <w:t>—</w:t>
            </w:r>
          </w:p>
        </w:tc>
        <w:tc>
          <w:tcPr>
            <w:tcW w:w="120" w:type="dxa"/>
            <w:vAlign w:val="bottom"/>
            <w:gridSpan w:val="3"/>
          </w:tcPr>
          <w:p>
            <w:pPr>
              <w:spacing w:after="0"/>
              <w:rPr>
                <w:sz w:val="12"/>
                <w:szCs w:val="12"/>
                <w:color w:val="auto"/>
              </w:rPr>
            </w:pPr>
          </w:p>
        </w:tc>
        <w:tc>
          <w:tcPr>
            <w:tcW w:w="680" w:type="dxa"/>
            <w:vAlign w:val="bottom"/>
          </w:tcPr>
          <w:p>
            <w:pPr>
              <w:ind w:left="480"/>
              <w:spacing w:after="0"/>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ind w:left="360"/>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w w:val="98"/>
              </w:rPr>
              <w:t>100,995,903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w w:val="97"/>
              </w:rPr>
              <w:t>5,988,378</w:t>
            </w:r>
          </w:p>
        </w:tc>
        <w:tc>
          <w:tcPr>
            <w:tcW w:w="40" w:type="dxa"/>
            <w:vAlign w:val="bottom"/>
          </w:tcPr>
          <w:p>
            <w:pPr>
              <w:spacing w:after="0"/>
              <w:rPr>
                <w:sz w:val="12"/>
                <w:szCs w:val="12"/>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2"/>
                <w:szCs w:val="12"/>
                <w:color w:val="auto"/>
              </w:rPr>
              <w:t>$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w w:val="94"/>
              </w:rPr>
              <w:t>(2,317,722)</w:t>
            </w:r>
          </w:p>
        </w:tc>
        <w:tc>
          <w:tcPr>
            <w:tcW w:w="40" w:type="dxa"/>
            <w:vAlign w:val="bottom"/>
          </w:tcPr>
          <w:p>
            <w:pPr>
              <w:spacing w:after="0"/>
              <w:rPr>
                <w:sz w:val="12"/>
                <w:szCs w:val="12"/>
                <w:color w:val="auto"/>
              </w:rPr>
            </w:pPr>
          </w:p>
        </w:tc>
        <w:tc>
          <w:tcPr>
            <w:tcW w:w="740" w:type="dxa"/>
            <w:vAlign w:val="bottom"/>
            <w:gridSpan w:val="3"/>
          </w:tcPr>
          <w:p>
            <w:pPr>
              <w:jc w:val="center"/>
              <w:ind w:left="1"/>
              <w:spacing w:after="0"/>
              <w:rPr>
                <w:sz w:val="20"/>
                <w:szCs w:val="20"/>
                <w:color w:val="auto"/>
              </w:rPr>
            </w:pPr>
            <w:r>
              <w:rPr>
                <w:rFonts w:ascii="Arial" w:cs="Arial" w:eastAsia="Arial" w:hAnsi="Arial"/>
                <w:sz w:val="12"/>
                <w:szCs w:val="12"/>
                <w:u w:val="single" w:color="auto"/>
                <w:color w:val="auto"/>
                <w:w w:val="94"/>
              </w:rPr>
              <w:t>$</w:t>
            </w:r>
            <w:r>
              <w:rPr>
                <w:rFonts w:ascii="Arial" w:cs="Arial" w:eastAsia="Arial" w:hAnsi="Arial"/>
                <w:sz w:val="12"/>
                <w:szCs w:val="12"/>
                <w:color w:val="auto"/>
                <w:w w:val="94"/>
              </w:rPr>
              <w:t xml:space="preserve"> (748)</w:t>
            </w:r>
          </w:p>
        </w:tc>
        <w:tc>
          <w:tcPr>
            <w:tcW w:w="40" w:type="dxa"/>
            <w:vAlign w:val="bottom"/>
          </w:tcPr>
          <w:p>
            <w:pPr>
              <w:spacing w:after="0"/>
              <w:rPr>
                <w:sz w:val="12"/>
                <w:szCs w:val="12"/>
                <w:color w:val="auto"/>
              </w:rPr>
            </w:pPr>
          </w:p>
        </w:tc>
        <w:tc>
          <w:tcPr>
            <w:tcW w:w="540" w:type="dxa"/>
            <w:vAlign w:val="bottom"/>
            <w:gridSpan w:val="3"/>
          </w:tcPr>
          <w:p>
            <w:pPr>
              <w:jc w:val="right"/>
              <w:spacing w:after="0"/>
              <w:rPr>
                <w:sz w:val="20"/>
                <w:szCs w:val="20"/>
                <w:color w:val="auto"/>
              </w:rPr>
            </w:pPr>
            <w:r>
              <w:rPr>
                <w:rFonts w:ascii="Arial" w:cs="Arial" w:eastAsia="Arial" w:hAnsi="Arial"/>
                <w:sz w:val="12"/>
                <w:szCs w:val="12"/>
                <w:u w:val="single" w:color="auto"/>
                <w:color w:val="auto"/>
                <w:w w:val="97"/>
              </w:rPr>
              <w:t>$</w:t>
            </w:r>
            <w:r>
              <w:rPr>
                <w:rFonts w:ascii="Arial" w:cs="Arial" w:eastAsia="Arial" w:hAnsi="Arial"/>
                <w:sz w:val="12"/>
                <w:szCs w:val="12"/>
                <w:color w:val="auto"/>
                <w:w w:val="97"/>
              </w:rPr>
              <w:t xml:space="preserve"> 600,236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49</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u w:val="single" w:color="auto"/>
                <w:color w:val="auto"/>
              </w:rPr>
              <w:t>$</w:t>
            </w:r>
          </w:p>
        </w:tc>
        <w:tc>
          <w:tcPr>
            <w:tcW w:w="860" w:type="dxa"/>
            <w:vAlign w:val="bottom"/>
            <w:gridSpan w:val="5"/>
          </w:tcPr>
          <w:p>
            <w:pPr>
              <w:jc w:val="right"/>
              <w:spacing w:after="0"/>
              <w:rPr>
                <w:sz w:val="20"/>
                <w:szCs w:val="20"/>
                <w:color w:val="auto"/>
              </w:rPr>
            </w:pPr>
            <w:r>
              <w:rPr>
                <w:rFonts w:ascii="Arial" w:cs="Arial" w:eastAsia="Arial" w:hAnsi="Arial"/>
                <w:sz w:val="12"/>
                <w:szCs w:val="12"/>
                <w:color w:val="auto"/>
                <w:w w:val="95"/>
              </w:rPr>
              <w:t xml:space="preserve">(124,570)  </w:t>
            </w:r>
            <w:r>
              <w:rPr>
                <w:rFonts w:ascii="Arial" w:cs="Arial" w:eastAsia="Arial" w:hAnsi="Arial"/>
                <w:sz w:val="12"/>
                <w:szCs w:val="12"/>
                <w:u w:val="single" w:color="auto"/>
                <w:color w:val="auto"/>
                <w:w w:val="95"/>
              </w:rPr>
              <w:t>$</w:t>
            </w:r>
            <w:r>
              <w:rPr>
                <w:rFonts w:ascii="Arial" w:cs="Arial" w:eastAsia="Arial" w:hAnsi="Arial"/>
                <w:sz w:val="12"/>
                <w:szCs w:val="12"/>
                <w:color w:val="auto"/>
                <w:w w:val="95"/>
              </w:rPr>
              <w:t xml:space="preserve"> 474</w:t>
            </w:r>
          </w:p>
        </w:tc>
        <w:tc>
          <w:tcPr>
            <w:tcW w:w="0" w:type="dxa"/>
            <w:vAlign w:val="bottom"/>
          </w:tcPr>
          <w:p>
            <w:pPr>
              <w:spacing w:after="0"/>
              <w:rPr>
                <w:sz w:val="1"/>
                <w:szCs w:val="1"/>
                <w:color w:val="auto"/>
              </w:rPr>
            </w:pPr>
          </w:p>
        </w:tc>
      </w:tr>
      <w:tr>
        <w:trPr>
          <w:trHeight w:val="40"/>
        </w:trPr>
        <w:tc>
          <w:tcPr>
            <w:tcW w:w="4000" w:type="dxa"/>
            <w:vAlign w:val="bottom"/>
            <w:tcBorders>
              <w:right w:val="single" w:sz="8" w:color="auto"/>
            </w:tcBorders>
            <w:gridSpan w:val="17"/>
          </w:tcPr>
          <w:p>
            <w:pPr>
              <w:spacing w:after="0"/>
              <w:rPr>
                <w:sz w:val="3"/>
                <w:szCs w:val="3"/>
                <w:color w:val="auto"/>
              </w:rPr>
            </w:pPr>
          </w:p>
        </w:tc>
        <w:tc>
          <w:tcPr>
            <w:tcW w:w="3060" w:type="dxa"/>
            <w:vAlign w:val="bottom"/>
            <w:tcBorders>
              <w:right w:val="single" w:sz="8" w:color="auto"/>
            </w:tcBorders>
            <w:gridSpan w:val="19"/>
          </w:tcPr>
          <w:p>
            <w:pPr>
              <w:spacing w:after="0"/>
              <w:rPr>
                <w:sz w:val="3"/>
                <w:szCs w:val="3"/>
                <w:color w:val="auto"/>
              </w:rPr>
            </w:pPr>
          </w:p>
        </w:tc>
        <w:tc>
          <w:tcPr>
            <w:tcW w:w="2940" w:type="dxa"/>
            <w:vAlign w:val="bottom"/>
            <w:tcBorders>
              <w:right w:val="single" w:sz="8" w:color="auto"/>
            </w:tcBorders>
            <w:gridSpan w:val="18"/>
            <w:shd w:val="clear" w:color="auto" w:fill="000000"/>
          </w:tcPr>
          <w:p>
            <w:pPr>
              <w:spacing w:after="0"/>
              <w:rPr>
                <w:sz w:val="3"/>
                <w:szCs w:val="3"/>
                <w:color w:val="auto"/>
              </w:rPr>
            </w:pPr>
          </w:p>
        </w:tc>
        <w:tc>
          <w:tcPr>
            <w:tcW w:w="860" w:type="dxa"/>
            <w:vAlign w:val="bottom"/>
            <w:gridSpan w:val="5"/>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3"/>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12"/>
          </w:tcPr>
          <w:p>
            <w:pPr>
              <w:ind w:left="40"/>
              <w:spacing w:after="0"/>
              <w:rPr>
                <w:sz w:val="20"/>
                <w:szCs w:val="20"/>
                <w:color w:val="auto"/>
              </w:rPr>
            </w:pPr>
            <w:r>
              <w:rPr>
                <w:rFonts w:ascii="Arial" w:cs="Arial" w:eastAsia="Arial" w:hAnsi="Arial"/>
                <w:sz w:val="12"/>
                <w:szCs w:val="12"/>
                <w:b w:val="1"/>
                <w:bCs w:val="1"/>
                <w:color w:val="auto"/>
                <w:w w:val="95"/>
              </w:rPr>
              <w:t>Three Months Ended June 30, 2020</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5"/>
            <w:vMerge w:val="restart"/>
          </w:tcPr>
          <w:p>
            <w:pPr>
              <w:jc w:val="center"/>
              <w:ind w:right="40"/>
              <w:spacing w:after="0"/>
              <w:rPr>
                <w:sz w:val="20"/>
                <w:szCs w:val="20"/>
                <w:color w:val="auto"/>
              </w:rPr>
            </w:pPr>
            <w:r>
              <w:rPr>
                <w:rFonts w:ascii="Arial" w:cs="Arial" w:eastAsia="Arial" w:hAnsi="Arial"/>
                <w:sz w:val="12"/>
                <w:szCs w:val="12"/>
                <w:b w:val="1"/>
                <w:bCs w:val="1"/>
                <w:color w:val="auto"/>
                <w:w w:val="97"/>
              </w:rPr>
              <w:t>Accumu</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spacing w:after="0"/>
              <w:rPr>
                <w:sz w:val="10"/>
                <w:szCs w:val="10"/>
                <w:color w:val="auto"/>
              </w:rPr>
            </w:pPr>
          </w:p>
        </w:tc>
        <w:tc>
          <w:tcPr>
            <w:tcW w:w="6860" w:type="dxa"/>
            <w:vAlign w:val="bottom"/>
            <w:gridSpan w:val="42"/>
          </w:tcPr>
          <w:p>
            <w:pPr>
              <w:spacing w:after="0"/>
              <w:rPr>
                <w:sz w:val="20"/>
                <w:szCs w:val="20"/>
                <w:color w:val="auto"/>
              </w:rPr>
            </w:pPr>
            <w:r>
              <w:rPr>
                <w:rFonts w:ascii="Arial" w:cs="Arial" w:eastAsia="Arial" w:hAnsi="Arial"/>
                <w:sz w:val="12"/>
                <w:szCs w:val="12"/>
                <w:b w:val="1"/>
                <w:bCs w:val="1"/>
                <w:color w:val="auto"/>
              </w:rPr>
              <w:t>lated</w:t>
            </w: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spacing w:after="0"/>
              <w:rPr>
                <w:sz w:val="10"/>
                <w:szCs w:val="10"/>
                <w:color w:val="auto"/>
              </w:rPr>
            </w:pPr>
          </w:p>
        </w:tc>
        <w:tc>
          <w:tcPr>
            <w:tcW w:w="6600" w:type="dxa"/>
            <w:vAlign w:val="bottom"/>
            <w:gridSpan w:val="41"/>
          </w:tcPr>
          <w:p>
            <w:pPr>
              <w:spacing w:after="0"/>
              <w:rPr>
                <w:sz w:val="20"/>
                <w:szCs w:val="20"/>
                <w:color w:val="auto"/>
              </w:rPr>
            </w:pPr>
            <w:r>
              <w:rPr>
                <w:rFonts w:ascii="Arial" w:cs="Arial" w:eastAsia="Arial" w:hAnsi="Arial"/>
                <w:sz w:val="12"/>
                <w:szCs w:val="12"/>
                <w:b w:val="1"/>
                <w:bCs w:val="1"/>
                <w:color w:val="auto"/>
              </w:rPr>
              <w:t>Other</w:t>
            </w:r>
          </w:p>
        </w:tc>
        <w:tc>
          <w:tcPr>
            <w:tcW w:w="2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To</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2"/>
                <w:szCs w:val="12"/>
                <w:b w:val="1"/>
                <w:bCs w:val="1"/>
                <w:color w:val="auto"/>
                <w:w w:val="96"/>
              </w:rPr>
              <w:t>Redeemable</w:t>
            </w:r>
          </w:p>
        </w:tc>
        <w:tc>
          <w:tcPr>
            <w:tcW w:w="8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7"/>
          </w:tcPr>
          <w:p>
            <w:pPr>
              <w:jc w:val="center"/>
              <w:ind w:right="160"/>
              <w:spacing w:after="0"/>
              <w:rPr>
                <w:sz w:val="20"/>
                <w:szCs w:val="20"/>
                <w:color w:val="auto"/>
              </w:rPr>
            </w:pPr>
            <w:r>
              <w:rPr>
                <w:rFonts w:ascii="Arial" w:cs="Arial" w:eastAsia="Arial" w:hAnsi="Arial"/>
                <w:sz w:val="12"/>
                <w:szCs w:val="12"/>
                <w:b w:val="1"/>
                <w:bCs w:val="1"/>
                <w:color w:val="auto"/>
                <w:w w:val="98"/>
              </w:rPr>
              <w:t>Non-Voting</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96"/>
              </w:rPr>
              <w:t>Compre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Sto</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gridSpan w:val="8"/>
          </w:tcPr>
          <w:p>
            <w:pPr>
              <w:jc w:val="center"/>
              <w:ind w:right="100"/>
              <w:spacing w:after="0" w:line="126" w:lineRule="exact"/>
              <w:rPr>
                <w:sz w:val="20"/>
                <w:szCs w:val="20"/>
                <w:color w:val="auto"/>
              </w:rPr>
            </w:pPr>
            <w:r>
              <w:rPr>
                <w:rFonts w:ascii="Arial" w:cs="Arial" w:eastAsia="Arial" w:hAnsi="Arial"/>
                <w:sz w:val="12"/>
                <w:szCs w:val="12"/>
                <w:b w:val="1"/>
                <w:bCs w:val="1"/>
                <w:color w:val="auto"/>
                <w:w w:val="96"/>
              </w:rPr>
              <w:t>Convertible</w:t>
            </w:r>
          </w:p>
        </w:tc>
        <w:tc>
          <w:tcPr>
            <w:tcW w:w="1520" w:type="dxa"/>
            <w:vAlign w:val="bottom"/>
            <w:tcBorders>
              <w:right w:val="single" w:sz="8" w:color="auto"/>
            </w:tcBorders>
            <w:gridSpan w:val="7"/>
          </w:tcPr>
          <w:p>
            <w:pPr>
              <w:jc w:val="center"/>
              <w:ind w:right="160"/>
              <w:spacing w:after="0" w:line="126" w:lineRule="exact"/>
              <w:rPr>
                <w:sz w:val="20"/>
                <w:szCs w:val="20"/>
                <w:color w:val="auto"/>
              </w:rPr>
            </w:pPr>
            <w:r>
              <w:rPr>
                <w:rFonts w:ascii="Arial" w:cs="Arial" w:eastAsia="Arial" w:hAnsi="Arial"/>
                <w:sz w:val="12"/>
                <w:szCs w:val="12"/>
                <w:b w:val="1"/>
                <w:bCs w:val="1"/>
                <w:color w:val="auto"/>
                <w:w w:val="96"/>
              </w:rPr>
              <w:t>Convertible</w:t>
            </w:r>
          </w:p>
        </w:tc>
        <w:tc>
          <w:tcPr>
            <w:tcW w:w="80" w:type="dxa"/>
            <w:vAlign w:val="bottom"/>
            <w:gridSpan w:val="2"/>
          </w:tcPr>
          <w:p>
            <w:pPr>
              <w:spacing w:after="0"/>
              <w:rPr>
                <w:sz w:val="10"/>
                <w:szCs w:val="10"/>
                <w:color w:val="auto"/>
              </w:rPr>
            </w:pPr>
          </w:p>
        </w:tc>
        <w:tc>
          <w:tcPr>
            <w:tcW w:w="900" w:type="dxa"/>
            <w:vAlign w:val="bottom"/>
            <w:gridSpan w:val="4"/>
          </w:tcPr>
          <w:p>
            <w:pPr>
              <w:jc w:val="center"/>
              <w:ind w:left="461"/>
              <w:spacing w:after="0" w:line="126" w:lineRule="exact"/>
              <w:rPr>
                <w:sz w:val="20"/>
                <w:szCs w:val="20"/>
                <w:color w:val="auto"/>
              </w:rPr>
            </w:pPr>
            <w:r>
              <w:rPr>
                <w:rFonts w:ascii="Arial" w:cs="Arial" w:eastAsia="Arial" w:hAnsi="Arial"/>
                <w:sz w:val="12"/>
                <w:szCs w:val="12"/>
                <w:b w:val="1"/>
                <w:bCs w:val="1"/>
                <w:color w:val="auto"/>
                <w:w w:val="90"/>
              </w:rPr>
              <w:t>Voting</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gridSpan w:val="7"/>
          </w:tcPr>
          <w:p>
            <w:pPr>
              <w:ind w:left="380"/>
              <w:spacing w:after="0" w:line="126" w:lineRule="exact"/>
              <w:rPr>
                <w:sz w:val="20"/>
                <w:szCs w:val="20"/>
                <w:color w:val="auto"/>
              </w:rPr>
            </w:pPr>
            <w:r>
              <w:rPr>
                <w:rFonts w:ascii="Arial" w:cs="Arial" w:eastAsia="Arial" w:hAnsi="Arial"/>
                <w:sz w:val="12"/>
                <w:szCs w:val="12"/>
                <w:b w:val="1"/>
                <w:bCs w:val="1"/>
                <w:color w:val="auto"/>
              </w:rPr>
              <w:t>Common</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5"/>
          </w:tcPr>
          <w:p>
            <w:pPr>
              <w:jc w:val="center"/>
              <w:ind w:right="40"/>
              <w:spacing w:after="0" w:line="126" w:lineRule="exact"/>
              <w:rPr>
                <w:sz w:val="20"/>
                <w:szCs w:val="20"/>
                <w:color w:val="auto"/>
              </w:rPr>
            </w:pPr>
            <w:r>
              <w:rPr>
                <w:rFonts w:ascii="Arial" w:cs="Arial" w:eastAsia="Arial" w:hAnsi="Arial"/>
                <w:sz w:val="12"/>
                <w:szCs w:val="12"/>
                <w:b w:val="1"/>
                <w:bCs w:val="1"/>
                <w:color w:val="auto"/>
                <w:w w:val="95"/>
              </w:rPr>
              <w:t>Additional</w:t>
            </w:r>
          </w:p>
        </w:tc>
        <w:tc>
          <w:tcPr>
            <w:tcW w:w="780" w:type="dxa"/>
            <w:vAlign w:val="bottom"/>
            <w:gridSpan w:val="5"/>
          </w:tcPr>
          <w:p>
            <w:pPr>
              <w:jc w:val="center"/>
              <w:ind w:right="60"/>
              <w:spacing w:after="0" w:line="126" w:lineRule="exact"/>
              <w:rPr>
                <w:sz w:val="20"/>
                <w:szCs w:val="20"/>
                <w:color w:val="auto"/>
              </w:rPr>
            </w:pPr>
            <w:r>
              <w:rPr>
                <w:rFonts w:ascii="Arial" w:cs="Arial" w:eastAsia="Arial" w:hAnsi="Arial"/>
                <w:sz w:val="12"/>
                <w:szCs w:val="12"/>
                <w:b w:val="1"/>
                <w:bCs w:val="1"/>
                <w:color w:val="auto"/>
                <w:w w:val="98"/>
              </w:rPr>
              <w:t>hensive</w:t>
            </w:r>
          </w:p>
        </w:tc>
        <w:tc>
          <w:tcPr>
            <w:tcW w:w="100" w:type="dxa"/>
            <w:vAlign w:val="bottom"/>
          </w:tcPr>
          <w:p>
            <w:pPr>
              <w:spacing w:after="0"/>
              <w:rPr>
                <w:sz w:val="10"/>
                <w:szCs w:val="10"/>
                <w:color w:val="auto"/>
              </w:rPr>
            </w:pPr>
          </w:p>
        </w:tc>
        <w:tc>
          <w:tcPr>
            <w:tcW w:w="560" w:type="dxa"/>
            <w:vAlign w:val="bottom"/>
            <w:gridSpan w:val="3"/>
          </w:tcPr>
          <w:p>
            <w:pPr>
              <w:jc w:val="center"/>
              <w:ind w:right="120"/>
              <w:spacing w:after="0" w:line="126" w:lineRule="exact"/>
              <w:rPr>
                <w:sz w:val="20"/>
                <w:szCs w:val="20"/>
                <w:color w:val="auto"/>
              </w:rPr>
            </w:pPr>
            <w:r>
              <w:rPr>
                <w:rFonts w:ascii="Arial" w:cs="Arial" w:eastAsia="Arial" w:hAnsi="Arial"/>
                <w:sz w:val="12"/>
                <w:szCs w:val="12"/>
                <w:b w:val="1"/>
                <w:bCs w:val="1"/>
                <w:color w:val="auto"/>
                <w:w w:val="92"/>
              </w:rPr>
              <w:t>Accumu</w:t>
            </w:r>
          </w:p>
        </w:tc>
        <w:tc>
          <w:tcPr>
            <w:tcW w:w="40" w:type="dxa"/>
            <w:vAlign w:val="bottom"/>
          </w:tcPr>
          <w:p>
            <w:pPr>
              <w:spacing w:after="0"/>
              <w:rPr>
                <w:sz w:val="10"/>
                <w:szCs w:val="10"/>
                <w:color w:val="auto"/>
              </w:rPr>
            </w:pPr>
          </w:p>
        </w:tc>
        <w:tc>
          <w:tcPr>
            <w:tcW w:w="2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w w:val="94"/>
              </w:rPr>
              <w:t>hold</w:t>
            </w:r>
          </w:p>
        </w:tc>
        <w:tc>
          <w:tcPr>
            <w:tcW w:w="0" w:type="dxa"/>
            <w:vAlign w:val="bottom"/>
          </w:tcPr>
          <w:p>
            <w:pPr>
              <w:spacing w:after="0"/>
              <w:rPr>
                <w:sz w:val="1"/>
                <w:szCs w:val="1"/>
                <w:color w:val="auto"/>
              </w:rPr>
            </w:pPr>
          </w:p>
        </w:tc>
      </w:tr>
      <w:tr>
        <w:trPr>
          <w:trHeight w:val="151"/>
        </w:trPr>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8"/>
          </w:tcPr>
          <w:p>
            <w:pPr>
              <w:jc w:val="center"/>
              <w:ind w:right="100"/>
              <w:spacing w:after="0"/>
              <w:rPr>
                <w:sz w:val="20"/>
                <w:szCs w:val="20"/>
                <w:color w:val="auto"/>
              </w:rPr>
            </w:pPr>
            <w:r>
              <w:rPr>
                <w:rFonts w:ascii="Arial" w:cs="Arial" w:eastAsia="Arial" w:hAnsi="Arial"/>
                <w:sz w:val="12"/>
                <w:szCs w:val="12"/>
                <w:b w:val="1"/>
                <w:bCs w:val="1"/>
                <w:color w:val="auto"/>
                <w:w w:val="98"/>
              </w:rPr>
              <w:t>Preferred Stock</w:t>
            </w:r>
          </w:p>
        </w:tc>
        <w:tc>
          <w:tcPr>
            <w:tcW w:w="152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2"/>
                <w:szCs w:val="12"/>
                <w:b w:val="1"/>
                <w:bCs w:val="1"/>
                <w:color w:val="auto"/>
                <w:w w:val="98"/>
              </w:rPr>
              <w:t>Preferred Stock</w:t>
            </w:r>
          </w:p>
        </w:tc>
        <w:tc>
          <w:tcPr>
            <w:tcW w:w="80" w:type="dxa"/>
            <w:vAlign w:val="bottom"/>
            <w:gridSpan w:val="2"/>
          </w:tcPr>
          <w:p>
            <w:pPr>
              <w:spacing w:after="0"/>
              <w:rPr>
                <w:sz w:val="13"/>
                <w:szCs w:val="13"/>
                <w:color w:val="auto"/>
              </w:rPr>
            </w:pPr>
          </w:p>
        </w:tc>
        <w:tc>
          <w:tcPr>
            <w:tcW w:w="1540" w:type="dxa"/>
            <w:vAlign w:val="bottom"/>
            <w:gridSpan w:val="10"/>
          </w:tcPr>
          <w:p>
            <w:pPr>
              <w:jc w:val="center"/>
              <w:ind w:right="120"/>
              <w:spacing w:after="0"/>
              <w:rPr>
                <w:sz w:val="20"/>
                <w:szCs w:val="20"/>
                <w:color w:val="auto"/>
              </w:rPr>
            </w:pPr>
            <w:r>
              <w:rPr>
                <w:rFonts w:ascii="Arial" w:cs="Arial" w:eastAsia="Arial" w:hAnsi="Arial"/>
                <w:sz w:val="12"/>
                <w:szCs w:val="12"/>
                <w:b w:val="1"/>
                <w:bCs w:val="1"/>
                <w:color w:val="auto"/>
                <w:w w:val="97"/>
              </w:rPr>
              <w:t>Common Stock</w:t>
            </w:r>
          </w:p>
        </w:tc>
        <w:tc>
          <w:tcPr>
            <w:tcW w:w="1440" w:type="dxa"/>
            <w:vAlign w:val="bottom"/>
            <w:gridSpan w:val="7"/>
          </w:tcPr>
          <w:p>
            <w:pPr>
              <w:jc w:val="center"/>
              <w:ind w:right="160"/>
              <w:spacing w:after="0"/>
              <w:rPr>
                <w:sz w:val="20"/>
                <w:szCs w:val="20"/>
                <w:color w:val="auto"/>
              </w:rPr>
            </w:pPr>
            <w:r>
              <w:rPr>
                <w:rFonts w:ascii="Arial" w:cs="Arial" w:eastAsia="Arial" w:hAnsi="Arial"/>
                <w:sz w:val="12"/>
                <w:szCs w:val="12"/>
                <w:b w:val="1"/>
                <w:bCs w:val="1"/>
                <w:color w:val="auto"/>
                <w:w w:val="97"/>
              </w:rPr>
              <w:t>Stock</w:t>
            </w:r>
          </w:p>
        </w:tc>
        <w:tc>
          <w:tcPr>
            <w:tcW w:w="1420" w:type="dxa"/>
            <w:vAlign w:val="bottom"/>
            <w:gridSpan w:val="7"/>
          </w:tcPr>
          <w:p>
            <w:pPr>
              <w:ind w:left="220"/>
              <w:spacing w:after="0"/>
              <w:rPr>
                <w:sz w:val="20"/>
                <w:szCs w:val="20"/>
                <w:color w:val="auto"/>
              </w:rPr>
            </w:pPr>
            <w:r>
              <w:rPr>
                <w:rFonts w:ascii="Arial" w:cs="Arial" w:eastAsia="Arial" w:hAnsi="Arial"/>
                <w:sz w:val="12"/>
                <w:szCs w:val="12"/>
                <w:b w:val="1"/>
                <w:bCs w:val="1"/>
                <w:color w:val="auto"/>
              </w:rPr>
              <w:t>Treasury Stock</w:t>
            </w:r>
          </w:p>
        </w:tc>
        <w:tc>
          <w:tcPr>
            <w:tcW w:w="40" w:type="dxa"/>
            <w:vAlign w:val="bottom"/>
          </w:tcPr>
          <w:p>
            <w:pPr>
              <w:spacing w:after="0"/>
              <w:rPr>
                <w:sz w:val="13"/>
                <w:szCs w:val="13"/>
                <w:color w:val="auto"/>
              </w:rPr>
            </w:pPr>
          </w:p>
        </w:tc>
        <w:tc>
          <w:tcPr>
            <w:tcW w:w="60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9"/>
              </w:rPr>
              <w:t>Paid-In</w:t>
            </w:r>
          </w:p>
        </w:tc>
        <w:tc>
          <w:tcPr>
            <w:tcW w:w="78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Income</w:t>
            </w:r>
          </w:p>
        </w:tc>
        <w:tc>
          <w:tcPr>
            <w:tcW w:w="100" w:type="dxa"/>
            <w:vAlign w:val="bottom"/>
          </w:tcPr>
          <w:p>
            <w:pPr>
              <w:spacing w:after="0"/>
              <w:rPr>
                <w:sz w:val="13"/>
                <w:szCs w:val="13"/>
                <w:color w:val="auto"/>
              </w:rPr>
            </w:pPr>
          </w:p>
        </w:tc>
        <w:tc>
          <w:tcPr>
            <w:tcW w:w="5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2"/>
              </w:rPr>
              <w:t>lated</w:t>
            </w:r>
          </w:p>
        </w:tc>
        <w:tc>
          <w:tcPr>
            <w:tcW w:w="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Eq</w:t>
            </w:r>
          </w:p>
        </w:tc>
        <w:tc>
          <w:tcPr>
            <w:tcW w:w="0" w:type="dxa"/>
            <w:vAlign w:val="bottom"/>
          </w:tcPr>
          <w:p>
            <w:pPr>
              <w:spacing w:after="0"/>
              <w:rPr>
                <w:sz w:val="1"/>
                <w:szCs w:val="1"/>
                <w:color w:val="auto"/>
              </w:rPr>
            </w:pPr>
          </w:p>
        </w:tc>
      </w:tr>
      <w:tr>
        <w:trPr>
          <w:trHeight w:val="131"/>
        </w:trPr>
        <w:tc>
          <w:tcPr>
            <w:tcW w:w="9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4"/>
          </w:tcPr>
          <w:p>
            <w:pPr>
              <w:ind w:left="140"/>
              <w:spacing w:after="0" w:line="132" w:lineRule="exact"/>
              <w:rPr>
                <w:sz w:val="20"/>
                <w:szCs w:val="20"/>
                <w:color w:val="auto"/>
              </w:rPr>
            </w:pPr>
            <w:r>
              <w:rPr>
                <w:rFonts w:ascii="Arial" w:cs="Arial" w:eastAsia="Arial" w:hAnsi="Arial"/>
                <w:sz w:val="12"/>
                <w:szCs w:val="12"/>
                <w:b w:val="1"/>
                <w:bCs w:val="1"/>
                <w:color w:val="auto"/>
              </w:rPr>
              <w:t>Shares</w:t>
            </w:r>
          </w:p>
        </w:tc>
        <w:tc>
          <w:tcPr>
            <w:tcW w:w="580" w:type="dxa"/>
            <w:vAlign w:val="bottom"/>
            <w:tcBorders>
              <w:top w:val="single" w:sz="8" w:color="auto"/>
            </w:tcBorders>
            <w:gridSpan w:val="2"/>
          </w:tcPr>
          <w:p>
            <w:pPr>
              <w:ind w:left="60"/>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ind w:left="140"/>
              <w:spacing w:after="0" w:line="132" w:lineRule="exact"/>
              <w:rPr>
                <w:sz w:val="20"/>
                <w:szCs w:val="20"/>
                <w:color w:val="auto"/>
              </w:rPr>
            </w:pPr>
            <w:r>
              <w:rPr>
                <w:rFonts w:ascii="Arial" w:cs="Arial" w:eastAsia="Arial" w:hAnsi="Arial"/>
                <w:sz w:val="12"/>
                <w:szCs w:val="12"/>
                <w:b w:val="1"/>
                <w:bCs w:val="1"/>
                <w:color w:val="auto"/>
              </w:rPr>
              <w:t>Shares</w:t>
            </w: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ind w:left="60"/>
              <w:spacing w:after="0" w:line="132" w:lineRule="exact"/>
              <w:rPr>
                <w:sz w:val="20"/>
                <w:szCs w:val="20"/>
                <w:color w:val="auto"/>
              </w:rPr>
            </w:pPr>
            <w:r>
              <w:rPr>
                <w:rFonts w:ascii="Arial" w:cs="Arial" w:eastAsia="Arial" w:hAnsi="Arial"/>
                <w:sz w:val="12"/>
                <w:szCs w:val="12"/>
                <w:b w:val="1"/>
                <w:bCs w:val="1"/>
                <w:color w:val="auto"/>
              </w:rPr>
              <w:t>Amount</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4"/>
          </w:tcPr>
          <w:p>
            <w:pPr>
              <w:ind w:left="140"/>
              <w:spacing w:after="0" w:line="132" w:lineRule="exact"/>
              <w:rPr>
                <w:sz w:val="20"/>
                <w:szCs w:val="20"/>
                <w:color w:val="auto"/>
              </w:rPr>
            </w:pPr>
            <w:r>
              <w:rPr>
                <w:rFonts w:ascii="Arial" w:cs="Arial" w:eastAsia="Arial" w:hAnsi="Arial"/>
                <w:sz w:val="12"/>
                <w:szCs w:val="12"/>
                <w:b w:val="1"/>
                <w:bCs w:val="1"/>
                <w:color w:val="auto"/>
              </w:rPr>
              <w:t>Shares</w:t>
            </w:r>
          </w:p>
        </w:tc>
        <w:tc>
          <w:tcPr>
            <w:tcW w:w="560" w:type="dxa"/>
            <w:vAlign w:val="bottom"/>
            <w:tcBorders>
              <w:top w:val="single" w:sz="8" w:color="auto"/>
            </w:tcBorders>
            <w:gridSpan w:val="4"/>
          </w:tcPr>
          <w:p>
            <w:pPr>
              <w:jc w:val="center"/>
              <w:ind w:right="120"/>
              <w:spacing w:after="0" w:line="132" w:lineRule="exact"/>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ind w:left="80"/>
              <w:spacing w:after="0" w:line="132" w:lineRule="exact"/>
              <w:rPr>
                <w:sz w:val="20"/>
                <w:szCs w:val="20"/>
                <w:color w:val="auto"/>
              </w:rPr>
            </w:pPr>
            <w:r>
              <w:rPr>
                <w:rFonts w:ascii="Arial" w:cs="Arial" w:eastAsia="Arial" w:hAnsi="Arial"/>
                <w:sz w:val="12"/>
                <w:szCs w:val="12"/>
                <w:b w:val="1"/>
                <w:bCs w:val="1"/>
                <w:color w:val="auto"/>
              </w:rPr>
              <w:t>Shares</w:t>
            </w:r>
          </w:p>
        </w:tc>
        <w:tc>
          <w:tcPr>
            <w:tcW w:w="700" w:type="dxa"/>
            <w:vAlign w:val="bottom"/>
            <w:tcBorders>
              <w:top w:val="single" w:sz="8" w:color="auto"/>
            </w:tcBorders>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3"/>
          </w:tcPr>
          <w:p>
            <w:pPr>
              <w:ind w:left="60"/>
              <w:spacing w:after="0" w:line="132" w:lineRule="exact"/>
              <w:rPr>
                <w:sz w:val="20"/>
                <w:szCs w:val="20"/>
                <w:color w:val="auto"/>
              </w:rPr>
            </w:pPr>
            <w:r>
              <w:rPr>
                <w:rFonts w:ascii="Arial" w:cs="Arial" w:eastAsia="Arial" w:hAnsi="Arial"/>
                <w:sz w:val="12"/>
                <w:szCs w:val="12"/>
                <w:b w:val="1"/>
                <w:bCs w:val="1"/>
                <w:color w:val="auto"/>
              </w:rPr>
              <w:t>Shares</w:t>
            </w:r>
          </w:p>
        </w:tc>
        <w:tc>
          <w:tcPr>
            <w:tcW w:w="740" w:type="dxa"/>
            <w:vAlign w:val="bottom"/>
            <w:tcBorders>
              <w:top w:val="single" w:sz="8" w:color="auto"/>
            </w:tcBorders>
            <w:gridSpan w:val="3"/>
          </w:tcPr>
          <w:p>
            <w:pPr>
              <w:ind w:left="160"/>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99"/>
              </w:rPr>
              <w:t>Capital</w:t>
            </w:r>
          </w:p>
        </w:tc>
        <w:tc>
          <w:tcPr>
            <w:tcW w:w="780" w:type="dxa"/>
            <w:vAlign w:val="bottom"/>
            <w:gridSpan w:val="5"/>
          </w:tcPr>
          <w:p>
            <w:pPr>
              <w:jc w:val="center"/>
              <w:ind w:right="40"/>
              <w:spacing w:after="0" w:line="132" w:lineRule="exact"/>
              <w:rPr>
                <w:sz w:val="20"/>
                <w:szCs w:val="20"/>
                <w:color w:val="auto"/>
              </w:rPr>
            </w:pPr>
            <w:r>
              <w:rPr>
                <w:rFonts w:ascii="Arial" w:cs="Arial" w:eastAsia="Arial" w:hAnsi="Arial"/>
                <w:sz w:val="12"/>
                <w:szCs w:val="12"/>
                <w:b w:val="1"/>
                <w:bCs w:val="1"/>
                <w:color w:val="auto"/>
                <w:w w:val="94"/>
              </w:rPr>
              <w:t>(Loss)</w:t>
            </w:r>
          </w:p>
        </w:tc>
        <w:tc>
          <w:tcPr>
            <w:tcW w:w="100" w:type="dxa"/>
            <w:vAlign w:val="bottom"/>
          </w:tcPr>
          <w:p>
            <w:pPr>
              <w:spacing w:after="0"/>
              <w:rPr>
                <w:sz w:val="11"/>
                <w:szCs w:val="11"/>
                <w:color w:val="auto"/>
              </w:rPr>
            </w:pPr>
          </w:p>
        </w:tc>
        <w:tc>
          <w:tcPr>
            <w:tcW w:w="560" w:type="dxa"/>
            <w:vAlign w:val="bottom"/>
            <w:gridSpan w:val="3"/>
          </w:tcPr>
          <w:p>
            <w:pPr>
              <w:jc w:val="center"/>
              <w:ind w:right="120"/>
              <w:spacing w:after="0" w:line="132" w:lineRule="exact"/>
              <w:rPr>
                <w:sz w:val="20"/>
                <w:szCs w:val="20"/>
                <w:color w:val="auto"/>
              </w:rPr>
            </w:pPr>
            <w:r>
              <w:rPr>
                <w:rFonts w:ascii="Arial" w:cs="Arial" w:eastAsia="Arial" w:hAnsi="Arial"/>
                <w:sz w:val="12"/>
                <w:szCs w:val="12"/>
                <w:b w:val="1"/>
                <w:bCs w:val="1"/>
                <w:color w:val="auto"/>
                <w:w w:val="98"/>
              </w:rPr>
              <w:t>Deficit</w:t>
            </w:r>
          </w:p>
        </w:tc>
        <w:tc>
          <w:tcPr>
            <w:tcW w:w="40" w:type="dxa"/>
            <w:vAlign w:val="bottom"/>
          </w:tcPr>
          <w:p>
            <w:pPr>
              <w:spacing w:after="0"/>
              <w:rPr>
                <w:sz w:val="11"/>
                <w:szCs w:val="11"/>
                <w:color w:val="auto"/>
              </w:rPr>
            </w:pPr>
          </w:p>
        </w:tc>
        <w:tc>
          <w:tcPr>
            <w:tcW w:w="26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(Def</w:t>
            </w:r>
          </w:p>
        </w:tc>
        <w:tc>
          <w:tcPr>
            <w:tcW w:w="0" w:type="dxa"/>
            <w:vAlign w:val="bottom"/>
          </w:tcPr>
          <w:p>
            <w:pPr>
              <w:spacing w:after="0"/>
              <w:rPr>
                <w:sz w:val="1"/>
                <w:szCs w:val="1"/>
                <w:color w:val="auto"/>
              </w:rPr>
            </w:pPr>
          </w:p>
        </w:tc>
      </w:tr>
      <w:tr>
        <w:trPr>
          <w:trHeight w:val="86"/>
        </w:trPr>
        <w:tc>
          <w:tcPr>
            <w:tcW w:w="980" w:type="dxa"/>
            <w:vAlign w:val="bottom"/>
            <w:tcBorders>
              <w:top w:val="single" w:sz="8" w:color="CCEEFF"/>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Balances at</w:t>
            </w:r>
          </w:p>
        </w:tc>
        <w:tc>
          <w:tcPr>
            <w:tcW w:w="76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gridSpan w:val="3"/>
            <w:shd w:val="clear" w:color="auto" w:fill="CCEEFF"/>
          </w:tcPr>
          <w:p>
            <w:pPr>
              <w:spacing w:after="0"/>
              <w:rPr>
                <w:sz w:val="7"/>
                <w:szCs w:val="7"/>
                <w:color w:val="auto"/>
              </w:rPr>
            </w:pPr>
          </w:p>
        </w:tc>
        <w:tc>
          <w:tcPr>
            <w:tcW w:w="120" w:type="dxa"/>
            <w:vAlign w:val="bottom"/>
            <w:tcBorders>
              <w:top w:val="single" w:sz="8" w:color="CCEEFF"/>
              <w:right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gridSpan w:val="5"/>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right w:val="single" w:sz="8" w:color="CCEEFF"/>
            </w:tcBorders>
            <w:shd w:val="clear" w:color="auto" w:fill="CCEEFF"/>
          </w:tcPr>
          <w:p>
            <w:pPr>
              <w:spacing w:after="0"/>
              <w:rPr>
                <w:sz w:val="7"/>
                <w:szCs w:val="7"/>
                <w:color w:val="auto"/>
              </w:rPr>
            </w:pPr>
          </w:p>
        </w:tc>
        <w:tc>
          <w:tcPr>
            <w:tcW w:w="60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gridSpan w:val="4"/>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gridSpan w:val="4"/>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right w:val="single" w:sz="8" w:color="CCEEFF"/>
            </w:tcBorders>
            <w:shd w:val="clear" w:color="auto" w:fill="CCEEFF"/>
          </w:tcPr>
          <w:p>
            <w:pPr>
              <w:spacing w:after="0"/>
              <w:rPr>
                <w:sz w:val="7"/>
                <w:szCs w:val="7"/>
                <w:color w:val="auto"/>
              </w:rPr>
            </w:pPr>
          </w:p>
        </w:tc>
        <w:tc>
          <w:tcPr>
            <w:tcW w:w="52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b w:val="1"/>
                <w:bCs w:val="1"/>
                <w:color w:val="auto"/>
              </w:rPr>
              <w:t>March 31,</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98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2020</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54,208,461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$ 110,401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11,239,920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$ 119,757</w:t>
            </w: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21,832,035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4"/>
            <w:shd w:val="clear" w:color="auto" w:fill="CCEEFF"/>
          </w:tcPr>
          <w:p>
            <w:pPr>
              <w:jc w:val="center"/>
              <w:ind w:right="320"/>
              <w:spacing w:after="0"/>
              <w:rPr>
                <w:sz w:val="20"/>
                <w:szCs w:val="20"/>
                <w:color w:val="auto"/>
              </w:rPr>
            </w:pPr>
            <w:r>
              <w:rPr>
                <w:rFonts w:ascii="Arial" w:cs="Arial" w:eastAsia="Arial" w:hAnsi="Arial"/>
                <w:sz w:val="12"/>
                <w:szCs w:val="12"/>
                <w:color w:val="auto"/>
                <w:w w:val="99"/>
              </w:rPr>
              <w:t>—</w:t>
            </w:r>
          </w:p>
        </w:tc>
        <w:tc>
          <w:tcPr>
            <w:tcW w:w="60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4"/>
              </w:rPr>
              <w:t>(2,317,722)</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center"/>
              <w:ind w:left="1"/>
              <w:spacing w:after="0"/>
              <w:rPr>
                <w:sz w:val="20"/>
                <w:szCs w:val="20"/>
                <w:color w:val="auto"/>
              </w:rPr>
            </w:pPr>
            <w:r>
              <w:rPr>
                <w:rFonts w:ascii="Arial" w:cs="Arial" w:eastAsia="Arial" w:hAnsi="Arial"/>
                <w:sz w:val="12"/>
                <w:szCs w:val="12"/>
                <w:color w:val="auto"/>
                <w:w w:val="94"/>
              </w:rPr>
              <w:t>$ (748)</w:t>
            </w: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13,368</w:t>
            </w:r>
          </w:p>
        </w:tc>
        <w:tc>
          <w:tcPr>
            <w:tcW w:w="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(82,965)</w:t>
            </w:r>
          </w:p>
        </w:tc>
        <w:tc>
          <w:tcPr>
            <w:tcW w:w="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(70</w:t>
            </w: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tcPr>
          <w:p>
            <w:pPr>
              <w:spacing w:after="0" w:line="121" w:lineRule="exact"/>
              <w:rPr>
                <w:sz w:val="20"/>
                <w:szCs w:val="20"/>
                <w:color w:val="auto"/>
              </w:rPr>
            </w:pPr>
            <w:r>
              <w:rPr>
                <w:rFonts w:ascii="Arial" w:cs="Arial" w:eastAsia="Arial" w:hAnsi="Arial"/>
                <w:sz w:val="12"/>
                <w:szCs w:val="12"/>
                <w:color w:val="auto"/>
              </w:rPr>
              <w:t>Issuance of</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common stock</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upon exercise</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of stock options</w:t>
            </w:r>
          </w:p>
        </w:tc>
        <w:tc>
          <w:tcPr>
            <w:tcW w:w="800" w:type="dxa"/>
            <w:vAlign w:val="bottom"/>
            <w:gridSpan w:val="4"/>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20" w:type="dxa"/>
            <w:vAlign w:val="bottom"/>
            <w:tcBorders>
              <w:right w:val="single" w:sz="8" w:color="auto"/>
            </w:tcBorders>
            <w:gridSpan w:val="3"/>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1"/>
                <w:szCs w:val="11"/>
                <w:color w:val="auto"/>
              </w:rPr>
            </w:pPr>
          </w:p>
        </w:tc>
        <w:tc>
          <w:tcPr>
            <w:tcW w:w="74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27,690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4"/>
          </w:tcPr>
          <w:p>
            <w:pPr>
              <w:jc w:val="center"/>
              <w:ind w:right="340"/>
              <w:spacing w:after="0" w:line="132" w:lineRule="exact"/>
              <w:rPr>
                <w:sz w:val="20"/>
                <w:szCs w:val="20"/>
                <w:color w:val="auto"/>
              </w:rPr>
            </w:pPr>
            <w:r>
              <w:rPr>
                <w:rFonts w:ascii="Arial" w:cs="Arial" w:eastAsia="Arial" w:hAnsi="Arial"/>
                <w:sz w:val="12"/>
                <w:szCs w:val="12"/>
                <w:color w:val="auto"/>
                <w:w w:val="82"/>
              </w:rPr>
              <w:t>—</w:t>
            </w:r>
          </w:p>
        </w:tc>
        <w:tc>
          <w:tcPr>
            <w:tcW w:w="620" w:type="dxa"/>
            <w:vAlign w:val="bottom"/>
            <w:gridSpan w:val="2"/>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00" w:type="dxa"/>
            <w:vAlign w:val="bottom"/>
            <w:gridSpan w:val="4"/>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40" w:type="dxa"/>
            <w:vAlign w:val="bottom"/>
            <w:gridSpan w:val="3"/>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gridSpan w:val="3"/>
          </w:tcPr>
          <w:p>
            <w:pPr>
              <w:jc w:val="center"/>
              <w:ind w:right="180"/>
              <w:spacing w:after="0" w:line="132" w:lineRule="exact"/>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Arial" w:cs="Arial" w:eastAsia="Arial" w:hAnsi="Arial"/>
                <w:sz w:val="12"/>
                <w:szCs w:val="12"/>
                <w:color w:val="auto"/>
              </w:rPr>
              <w:t>16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ind w:left="60"/>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shd w:val="clear" w:color="auto" w:fill="CCEEFF"/>
          </w:tcPr>
          <w:p>
            <w:pPr>
              <w:ind w:left="240"/>
              <w:spacing w:after="0" w:line="121" w:lineRule="exact"/>
              <w:rPr>
                <w:sz w:val="20"/>
                <w:szCs w:val="20"/>
                <w:color w:val="auto"/>
              </w:rPr>
            </w:pPr>
            <w:r>
              <w:rPr>
                <w:rFonts w:ascii="Arial" w:cs="Arial" w:eastAsia="Arial" w:hAnsi="Arial"/>
                <w:sz w:val="12"/>
                <w:szCs w:val="12"/>
                <w:color w:val="auto"/>
              </w:rPr>
              <w:t>Issuance of</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360"/>
              <w:spacing w:after="0" w:line="126" w:lineRule="exact"/>
              <w:rPr>
                <w:sz w:val="20"/>
                <w:szCs w:val="20"/>
                <w:color w:val="auto"/>
              </w:rPr>
            </w:pPr>
            <w:r>
              <w:rPr>
                <w:rFonts w:ascii="Arial" w:cs="Arial" w:eastAsia="Arial" w:hAnsi="Arial"/>
                <w:sz w:val="12"/>
                <w:szCs w:val="12"/>
                <w:color w:val="auto"/>
              </w:rPr>
              <w:t>common</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360"/>
              <w:spacing w:after="0" w:line="126" w:lineRule="exact"/>
              <w:rPr>
                <w:sz w:val="20"/>
                <w:szCs w:val="20"/>
                <w:color w:val="auto"/>
              </w:rPr>
            </w:pPr>
            <w:r>
              <w:rPr>
                <w:rFonts w:ascii="Arial" w:cs="Arial" w:eastAsia="Arial" w:hAnsi="Arial"/>
                <w:sz w:val="12"/>
                <w:szCs w:val="12"/>
                <w:color w:val="auto"/>
              </w:rPr>
              <w:t>stock</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shd w:val="clear" w:color="auto" w:fill="CCEEFF"/>
          </w:tcPr>
          <w:p>
            <w:pPr>
              <w:ind w:left="360"/>
              <w:spacing w:after="0" w:line="132" w:lineRule="exact"/>
              <w:rPr>
                <w:sz w:val="20"/>
                <w:szCs w:val="20"/>
                <w:color w:val="auto"/>
              </w:rPr>
            </w:pPr>
            <w:r>
              <w:rPr>
                <w:rFonts w:ascii="Arial" w:cs="Arial" w:eastAsia="Arial" w:hAnsi="Arial"/>
                <w:sz w:val="12"/>
                <w:szCs w:val="12"/>
                <w:color w:val="auto"/>
              </w:rPr>
              <w:t>warrants</w:t>
            </w:r>
          </w:p>
        </w:tc>
        <w:tc>
          <w:tcPr>
            <w:tcW w:w="800" w:type="dxa"/>
            <w:vAlign w:val="bottom"/>
            <w:gridSpan w:val="4"/>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720" w:type="dxa"/>
            <w:vAlign w:val="bottom"/>
            <w:tcBorders>
              <w:right w:val="single" w:sz="8" w:color="auto"/>
            </w:tcBorders>
            <w:gridSpan w:val="3"/>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1"/>
                <w:szCs w:val="11"/>
                <w:color w:val="auto"/>
              </w:rPr>
            </w:pPr>
          </w:p>
        </w:tc>
        <w:tc>
          <w:tcPr>
            <w:tcW w:w="900" w:type="dxa"/>
            <w:vAlign w:val="bottom"/>
            <w:gridSpan w:val="4"/>
            <w:shd w:val="clear" w:color="auto" w:fill="CCEEFF"/>
          </w:tcPr>
          <w:p>
            <w:pPr>
              <w:ind w:left="50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4"/>
            <w:shd w:val="clear" w:color="auto" w:fill="CCEEFF"/>
          </w:tcPr>
          <w:p>
            <w:pPr>
              <w:jc w:val="center"/>
              <w:ind w:right="340"/>
              <w:spacing w:after="0" w:line="132" w:lineRule="exact"/>
              <w:rPr>
                <w:sz w:val="20"/>
                <w:szCs w:val="20"/>
                <w:color w:val="auto"/>
              </w:rPr>
            </w:pPr>
            <w:r>
              <w:rPr>
                <w:rFonts w:ascii="Arial" w:cs="Arial" w:eastAsia="Arial" w:hAnsi="Arial"/>
                <w:sz w:val="12"/>
                <w:szCs w:val="12"/>
                <w:color w:val="auto"/>
                <w:w w:val="82"/>
              </w:rPr>
              <w:t>—</w:t>
            </w:r>
          </w:p>
        </w:tc>
        <w:tc>
          <w:tcPr>
            <w:tcW w:w="620" w:type="dxa"/>
            <w:vAlign w:val="bottom"/>
            <w:gridSpan w:val="2"/>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4"/>
            <w:shd w:val="clear" w:color="auto" w:fill="CCEEFF"/>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40" w:type="dxa"/>
            <w:vAlign w:val="bottom"/>
            <w:gridSpan w:val="3"/>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center"/>
              <w:ind w:right="180"/>
              <w:spacing w:after="0" w:line="132" w:lineRule="exact"/>
              <w:rPr>
                <w:sz w:val="20"/>
                <w:szCs w:val="20"/>
                <w:color w:val="auto"/>
              </w:rPr>
            </w:pPr>
            <w:r>
              <w:rPr>
                <w:rFonts w:ascii="Arial" w:cs="Arial" w:eastAsia="Arial" w:hAnsi="Arial"/>
                <w:sz w:val="12"/>
                <w:szCs w:val="12"/>
                <w:color w:val="auto"/>
                <w:w w:val="82"/>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336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ind w:left="60"/>
              <w:spacing w:after="0" w:line="132"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3"/>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tcPr>
          <w:p>
            <w:pPr>
              <w:spacing w:after="0" w:line="121" w:lineRule="exact"/>
              <w:rPr>
                <w:sz w:val="20"/>
                <w:szCs w:val="20"/>
                <w:color w:val="auto"/>
              </w:rPr>
            </w:pPr>
            <w:r>
              <w:rPr>
                <w:rFonts w:ascii="Arial" w:cs="Arial" w:eastAsia="Arial" w:hAnsi="Arial"/>
                <w:sz w:val="12"/>
                <w:szCs w:val="12"/>
                <w:color w:val="auto"/>
              </w:rPr>
              <w:t>Accretion of</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redeemable</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convertible</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preferred stock</w:t>
            </w:r>
          </w:p>
        </w:tc>
        <w:tc>
          <w:tcPr>
            <w:tcW w:w="800" w:type="dxa"/>
            <w:vAlign w:val="bottom"/>
            <w:gridSpan w:val="4"/>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tcPr>
          <w:p>
            <w:pPr>
              <w:ind w:left="480"/>
              <w:spacing w:after="0" w:line="132"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60"/>
              <w:spacing w:after="0" w:line="132" w:lineRule="exact"/>
              <w:rPr>
                <w:sz w:val="20"/>
                <w:szCs w:val="20"/>
                <w:color w:val="auto"/>
              </w:rPr>
            </w:pPr>
            <w:r>
              <w:rPr>
                <w:rFonts w:ascii="Arial" w:cs="Arial" w:eastAsia="Arial" w:hAnsi="Arial"/>
                <w:sz w:val="12"/>
                <w:szCs w:val="12"/>
                <w:color w:val="auto"/>
              </w:rPr>
              <w:t>4</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4"/>
          </w:tcPr>
          <w:p>
            <w:pPr>
              <w:ind w:left="50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4"/>
          </w:tcPr>
          <w:p>
            <w:pPr>
              <w:jc w:val="center"/>
              <w:ind w:right="340"/>
              <w:spacing w:after="0" w:line="132" w:lineRule="exact"/>
              <w:rPr>
                <w:sz w:val="20"/>
                <w:szCs w:val="20"/>
                <w:color w:val="auto"/>
              </w:rPr>
            </w:pPr>
            <w:r>
              <w:rPr>
                <w:rFonts w:ascii="Arial" w:cs="Arial" w:eastAsia="Arial" w:hAnsi="Arial"/>
                <w:sz w:val="12"/>
                <w:szCs w:val="12"/>
                <w:color w:val="auto"/>
                <w:w w:val="82"/>
              </w:rPr>
              <w:t>—</w:t>
            </w:r>
          </w:p>
        </w:tc>
        <w:tc>
          <w:tcPr>
            <w:tcW w:w="620" w:type="dxa"/>
            <w:vAlign w:val="bottom"/>
            <w:gridSpan w:val="2"/>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00" w:type="dxa"/>
            <w:vAlign w:val="bottom"/>
            <w:gridSpan w:val="4"/>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40" w:type="dxa"/>
            <w:vAlign w:val="bottom"/>
            <w:gridSpan w:val="3"/>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gridSpan w:val="3"/>
          </w:tcPr>
          <w:p>
            <w:pPr>
              <w:jc w:val="center"/>
              <w:ind w:right="180"/>
              <w:spacing w:after="0" w:line="132" w:lineRule="exact"/>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ind w:left="60"/>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shd w:val="clear" w:color="auto" w:fill="CCEEFF"/>
          </w:tcPr>
          <w:p>
            <w:pPr>
              <w:spacing w:after="0" w:line="121" w:lineRule="exact"/>
              <w:rPr>
                <w:sz w:val="20"/>
                <w:szCs w:val="20"/>
                <w:color w:val="auto"/>
              </w:rPr>
            </w:pPr>
            <w:r>
              <w:rPr>
                <w:rFonts w:ascii="Arial" w:cs="Arial" w:eastAsia="Arial" w:hAnsi="Arial"/>
                <w:sz w:val="12"/>
                <w:szCs w:val="12"/>
                <w:color w:val="auto"/>
              </w:rPr>
              <w:t>Forfeiture of</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unvested</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restricted stock</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shd w:val="clear" w:color="auto" w:fill="CCEEFF"/>
          </w:tcPr>
          <w:p>
            <w:pPr>
              <w:ind w:left="120"/>
              <w:spacing w:after="0" w:line="132" w:lineRule="exact"/>
              <w:rPr>
                <w:sz w:val="20"/>
                <w:szCs w:val="20"/>
                <w:color w:val="auto"/>
              </w:rPr>
            </w:pPr>
            <w:r>
              <w:rPr>
                <w:rFonts w:ascii="Arial" w:cs="Arial" w:eastAsia="Arial" w:hAnsi="Arial"/>
                <w:sz w:val="12"/>
                <w:szCs w:val="12"/>
                <w:color w:val="auto"/>
              </w:rPr>
              <w:t>awards</w:t>
            </w:r>
          </w:p>
        </w:tc>
        <w:tc>
          <w:tcPr>
            <w:tcW w:w="800" w:type="dxa"/>
            <w:vAlign w:val="bottom"/>
            <w:gridSpan w:val="4"/>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720" w:type="dxa"/>
            <w:vAlign w:val="bottom"/>
            <w:tcBorders>
              <w:right w:val="single" w:sz="8" w:color="auto"/>
            </w:tcBorders>
            <w:gridSpan w:val="3"/>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2" w:lineRule="exact"/>
              <w:rPr>
                <w:sz w:val="20"/>
                <w:szCs w:val="20"/>
                <w:color w:val="auto"/>
              </w:rPr>
            </w:pPr>
            <w:r>
              <w:rPr>
                <w:rFonts w:ascii="Arial" w:cs="Arial" w:eastAsia="Arial" w:hAnsi="Arial"/>
                <w:sz w:val="12"/>
                <w:szCs w:val="12"/>
                <w:color w:val="auto"/>
              </w:rPr>
              <w:t>(98,877)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4"/>
            <w:shd w:val="clear" w:color="auto" w:fill="CCEEFF"/>
          </w:tcPr>
          <w:p>
            <w:pPr>
              <w:jc w:val="center"/>
              <w:ind w:right="340"/>
              <w:spacing w:after="0" w:line="132" w:lineRule="exact"/>
              <w:rPr>
                <w:sz w:val="20"/>
                <w:szCs w:val="20"/>
                <w:color w:val="auto"/>
              </w:rPr>
            </w:pPr>
            <w:r>
              <w:rPr>
                <w:rFonts w:ascii="Arial" w:cs="Arial" w:eastAsia="Arial" w:hAnsi="Arial"/>
                <w:sz w:val="12"/>
                <w:szCs w:val="12"/>
                <w:color w:val="auto"/>
                <w:w w:val="82"/>
              </w:rPr>
              <w:t>—</w:t>
            </w:r>
          </w:p>
        </w:tc>
        <w:tc>
          <w:tcPr>
            <w:tcW w:w="620" w:type="dxa"/>
            <w:vAlign w:val="bottom"/>
            <w:gridSpan w:val="2"/>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4"/>
            <w:shd w:val="clear" w:color="auto" w:fill="CCEEFF"/>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40" w:type="dxa"/>
            <w:vAlign w:val="bottom"/>
            <w:gridSpan w:val="3"/>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center"/>
              <w:ind w:right="180"/>
              <w:spacing w:after="0" w:line="132" w:lineRule="exact"/>
              <w:rPr>
                <w:sz w:val="20"/>
                <w:szCs w:val="20"/>
                <w:color w:val="auto"/>
              </w:rPr>
            </w:pPr>
            <w:r>
              <w:rPr>
                <w:rFonts w:ascii="Arial" w:cs="Arial" w:eastAsia="Arial" w:hAnsi="Arial"/>
                <w:sz w:val="12"/>
                <w:szCs w:val="12"/>
                <w:color w:val="auto"/>
                <w:w w:val="82"/>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3"/>
            <w:shd w:val="clear" w:color="auto" w:fill="CCEEFF"/>
          </w:tcPr>
          <w:p>
            <w:pPr>
              <w:ind w:left="240"/>
              <w:spacing w:after="0" w:line="132"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ind w:left="60"/>
              <w:spacing w:after="0" w:line="132"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3"/>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tcPr>
          <w:p>
            <w:pPr>
              <w:spacing w:after="0" w:line="121" w:lineRule="exact"/>
              <w:rPr>
                <w:sz w:val="20"/>
                <w:szCs w:val="20"/>
                <w:color w:val="auto"/>
              </w:rPr>
            </w:pPr>
            <w:r>
              <w:rPr>
                <w:rFonts w:ascii="Arial" w:cs="Arial" w:eastAsia="Arial" w:hAnsi="Arial"/>
                <w:sz w:val="12"/>
                <w:szCs w:val="12"/>
                <w:color w:val="auto"/>
              </w:rPr>
              <w:t>Foreign currency</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translation</w:t>
            </w:r>
          </w:p>
        </w:tc>
        <w:tc>
          <w:tcPr>
            <w:tcW w:w="686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adjustment</w:t>
            </w:r>
          </w:p>
        </w:tc>
        <w:tc>
          <w:tcPr>
            <w:tcW w:w="800" w:type="dxa"/>
            <w:vAlign w:val="bottom"/>
            <w:gridSpan w:val="4"/>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20" w:type="dxa"/>
            <w:vAlign w:val="bottom"/>
            <w:tcBorders>
              <w:right w:val="single" w:sz="8" w:color="auto"/>
            </w:tcBorders>
            <w:gridSpan w:val="3"/>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1"/>
                <w:szCs w:val="11"/>
                <w:color w:val="auto"/>
              </w:rPr>
            </w:pPr>
          </w:p>
        </w:tc>
        <w:tc>
          <w:tcPr>
            <w:tcW w:w="900" w:type="dxa"/>
            <w:vAlign w:val="bottom"/>
            <w:gridSpan w:val="4"/>
          </w:tcPr>
          <w:p>
            <w:pPr>
              <w:ind w:left="50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4"/>
          </w:tcPr>
          <w:p>
            <w:pPr>
              <w:jc w:val="center"/>
              <w:ind w:right="340"/>
              <w:spacing w:after="0" w:line="132" w:lineRule="exact"/>
              <w:rPr>
                <w:sz w:val="20"/>
                <w:szCs w:val="20"/>
                <w:color w:val="auto"/>
              </w:rPr>
            </w:pPr>
            <w:r>
              <w:rPr>
                <w:rFonts w:ascii="Arial" w:cs="Arial" w:eastAsia="Arial" w:hAnsi="Arial"/>
                <w:sz w:val="12"/>
                <w:szCs w:val="12"/>
                <w:color w:val="auto"/>
                <w:w w:val="82"/>
              </w:rPr>
              <w:t>—</w:t>
            </w:r>
          </w:p>
        </w:tc>
        <w:tc>
          <w:tcPr>
            <w:tcW w:w="620" w:type="dxa"/>
            <w:vAlign w:val="bottom"/>
            <w:gridSpan w:val="2"/>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00" w:type="dxa"/>
            <w:vAlign w:val="bottom"/>
            <w:gridSpan w:val="4"/>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40" w:type="dxa"/>
            <w:vAlign w:val="bottom"/>
            <w:gridSpan w:val="3"/>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gridSpan w:val="3"/>
          </w:tcPr>
          <w:p>
            <w:pPr>
              <w:jc w:val="center"/>
              <w:ind w:right="180"/>
              <w:spacing w:after="0" w:line="132" w:lineRule="exact"/>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tcPr>
          <w:p>
            <w:pPr>
              <w:ind w:left="240"/>
              <w:spacing w:after="0" w:line="132"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w w:val="92"/>
              </w:rPr>
              <w:t>(173)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shd w:val="clear" w:color="auto" w:fill="CCEEFF"/>
          </w:tcPr>
          <w:p>
            <w:pPr>
              <w:spacing w:after="0" w:line="121" w:lineRule="exact"/>
              <w:rPr>
                <w:sz w:val="20"/>
                <w:szCs w:val="20"/>
                <w:color w:val="auto"/>
              </w:rPr>
            </w:pPr>
            <w:r>
              <w:rPr>
                <w:rFonts w:ascii="Arial" w:cs="Arial" w:eastAsia="Arial" w:hAnsi="Arial"/>
                <w:sz w:val="12"/>
                <w:szCs w:val="12"/>
                <w:color w:val="auto"/>
              </w:rPr>
              <w:t>Stock-based</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compensation</w:t>
            </w:r>
          </w:p>
        </w:tc>
        <w:tc>
          <w:tcPr>
            <w:tcW w:w="3060" w:type="dxa"/>
            <w:vAlign w:val="bottom"/>
            <w:tcBorders>
              <w:right w:val="single" w:sz="8" w:color="CCEEFF"/>
            </w:tcBorders>
            <w:gridSpan w:val="19"/>
            <w:shd w:val="clear" w:color="auto" w:fill="CCEEFF"/>
          </w:tcPr>
          <w:p>
            <w:pPr>
              <w:spacing w:after="0"/>
              <w:rPr>
                <w:sz w:val="10"/>
                <w:szCs w:val="10"/>
                <w:color w:val="auto"/>
              </w:rPr>
            </w:pPr>
          </w:p>
        </w:tc>
        <w:tc>
          <w:tcPr>
            <w:tcW w:w="2940" w:type="dxa"/>
            <w:vAlign w:val="bottom"/>
            <w:tcBorders>
              <w:right w:val="single" w:sz="8" w:color="CCEEFF"/>
            </w:tcBorders>
            <w:gridSpan w:val="18"/>
            <w:shd w:val="clear" w:color="auto" w:fill="CCEEFF"/>
          </w:tcPr>
          <w:p>
            <w:pPr>
              <w:spacing w:after="0"/>
              <w:rPr>
                <w:sz w:val="10"/>
                <w:szCs w:val="10"/>
                <w:color w:val="auto"/>
              </w:rPr>
            </w:pPr>
          </w:p>
        </w:tc>
        <w:tc>
          <w:tcPr>
            <w:tcW w:w="860" w:type="dxa"/>
            <w:vAlign w:val="bottom"/>
            <w:gridSpan w:val="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shd w:val="clear" w:color="auto" w:fill="CCEEFF"/>
          </w:tcPr>
          <w:p>
            <w:pPr>
              <w:ind w:left="120"/>
              <w:spacing w:after="0" w:line="132" w:lineRule="exact"/>
              <w:rPr>
                <w:sz w:val="20"/>
                <w:szCs w:val="20"/>
                <w:color w:val="auto"/>
              </w:rPr>
            </w:pPr>
            <w:r>
              <w:rPr>
                <w:rFonts w:ascii="Arial" w:cs="Arial" w:eastAsia="Arial" w:hAnsi="Arial"/>
                <w:sz w:val="12"/>
                <w:szCs w:val="12"/>
                <w:color w:val="auto"/>
              </w:rPr>
              <w:t>expense</w:t>
            </w:r>
          </w:p>
        </w:tc>
        <w:tc>
          <w:tcPr>
            <w:tcW w:w="800" w:type="dxa"/>
            <w:vAlign w:val="bottom"/>
            <w:gridSpan w:val="4"/>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720" w:type="dxa"/>
            <w:vAlign w:val="bottom"/>
            <w:tcBorders>
              <w:right w:val="single" w:sz="8" w:color="auto"/>
            </w:tcBorders>
            <w:gridSpan w:val="3"/>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1"/>
                <w:szCs w:val="11"/>
                <w:color w:val="auto"/>
              </w:rPr>
            </w:pPr>
          </w:p>
        </w:tc>
        <w:tc>
          <w:tcPr>
            <w:tcW w:w="900" w:type="dxa"/>
            <w:vAlign w:val="bottom"/>
            <w:gridSpan w:val="4"/>
            <w:shd w:val="clear" w:color="auto" w:fill="CCEEFF"/>
          </w:tcPr>
          <w:p>
            <w:pPr>
              <w:ind w:left="50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4"/>
            <w:shd w:val="clear" w:color="auto" w:fill="CCEEFF"/>
          </w:tcPr>
          <w:p>
            <w:pPr>
              <w:jc w:val="center"/>
              <w:ind w:right="340"/>
              <w:spacing w:after="0" w:line="132" w:lineRule="exact"/>
              <w:rPr>
                <w:sz w:val="20"/>
                <w:szCs w:val="20"/>
                <w:color w:val="auto"/>
              </w:rPr>
            </w:pPr>
            <w:r>
              <w:rPr>
                <w:rFonts w:ascii="Arial" w:cs="Arial" w:eastAsia="Arial" w:hAnsi="Arial"/>
                <w:sz w:val="12"/>
                <w:szCs w:val="12"/>
                <w:color w:val="auto"/>
                <w:w w:val="82"/>
              </w:rPr>
              <w:t>—</w:t>
            </w:r>
          </w:p>
        </w:tc>
        <w:tc>
          <w:tcPr>
            <w:tcW w:w="620" w:type="dxa"/>
            <w:vAlign w:val="bottom"/>
            <w:gridSpan w:val="2"/>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4"/>
            <w:shd w:val="clear" w:color="auto" w:fill="CCEEFF"/>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40" w:type="dxa"/>
            <w:vAlign w:val="bottom"/>
            <w:gridSpan w:val="3"/>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center"/>
              <w:ind w:right="180"/>
              <w:spacing w:after="0" w:line="132" w:lineRule="exact"/>
              <w:rPr>
                <w:sz w:val="20"/>
                <w:szCs w:val="20"/>
                <w:color w:val="auto"/>
              </w:rPr>
            </w:pPr>
            <w:r>
              <w:rPr>
                <w:rFonts w:ascii="Arial" w:cs="Arial" w:eastAsia="Arial" w:hAnsi="Arial"/>
                <w:sz w:val="12"/>
                <w:szCs w:val="12"/>
                <w:color w:val="auto"/>
                <w:w w:val="82"/>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989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ind w:left="60"/>
              <w:spacing w:after="0" w:line="132"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3"/>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Net income</w:t>
            </w:r>
          </w:p>
        </w:tc>
        <w:tc>
          <w:tcPr>
            <w:tcW w:w="800" w:type="dxa"/>
            <w:vAlign w:val="bottom"/>
            <w:gridSpan w:val="4"/>
          </w:tcPr>
          <w:p>
            <w:pPr>
              <w:ind w:left="480"/>
              <w:spacing w:after="0" w:line="126" w:lineRule="exact"/>
              <w:rPr>
                <w:sz w:val="20"/>
                <w:szCs w:val="20"/>
                <w:color w:val="auto"/>
              </w:rPr>
            </w:pPr>
            <w:r>
              <w:rPr>
                <w:rFonts w:ascii="Arial" w:cs="Arial" w:eastAsia="Arial" w:hAnsi="Arial"/>
                <w:sz w:val="12"/>
                <w:szCs w:val="12"/>
                <w:color w:val="auto"/>
              </w:rPr>
              <w:t>—</w:t>
            </w:r>
          </w:p>
        </w:tc>
        <w:tc>
          <w:tcPr>
            <w:tcW w:w="660" w:type="dxa"/>
            <w:vAlign w:val="bottom"/>
            <w:gridSpan w:val="4"/>
          </w:tcPr>
          <w:p>
            <w:pPr>
              <w:ind w:left="360"/>
              <w:spacing w:after="0" w:line="126" w:lineRule="exact"/>
              <w:rPr>
                <w:sz w:val="20"/>
                <w:szCs w:val="20"/>
                <w:color w:val="auto"/>
              </w:rPr>
            </w:pPr>
            <w:r>
              <w:rPr>
                <w:rFonts w:ascii="Arial" w:cs="Arial" w:eastAsia="Arial" w:hAnsi="Arial"/>
                <w:sz w:val="12"/>
                <w:szCs w:val="12"/>
                <w:color w:val="auto"/>
              </w:rPr>
              <w:t>—</w:t>
            </w:r>
          </w:p>
        </w:tc>
        <w:tc>
          <w:tcPr>
            <w:tcW w:w="760" w:type="dxa"/>
            <w:vAlign w:val="bottom"/>
            <w:gridSpan w:val="3"/>
          </w:tcPr>
          <w:p>
            <w:pPr>
              <w:ind w:left="48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20" w:type="dxa"/>
            <w:vAlign w:val="bottom"/>
            <w:tcBorders>
              <w:right w:val="single" w:sz="8" w:color="auto"/>
            </w:tcBorders>
            <w:gridSpan w:val="3"/>
          </w:tcPr>
          <w:p>
            <w:pPr>
              <w:ind w:left="360"/>
              <w:spacing w:after="0" w:line="126" w:lineRule="exact"/>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1"/>
                <w:szCs w:val="11"/>
                <w:color w:val="auto"/>
              </w:rPr>
            </w:pPr>
          </w:p>
        </w:tc>
        <w:tc>
          <w:tcPr>
            <w:tcW w:w="900" w:type="dxa"/>
            <w:vAlign w:val="bottom"/>
            <w:gridSpan w:val="4"/>
          </w:tcPr>
          <w:p>
            <w:pPr>
              <w:ind w:left="50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4"/>
          </w:tcPr>
          <w:p>
            <w:pPr>
              <w:jc w:val="center"/>
              <w:ind w:right="340"/>
              <w:spacing w:after="0" w:line="126" w:lineRule="exact"/>
              <w:rPr>
                <w:sz w:val="20"/>
                <w:szCs w:val="20"/>
                <w:color w:val="auto"/>
              </w:rPr>
            </w:pPr>
            <w:r>
              <w:rPr>
                <w:rFonts w:ascii="Arial" w:cs="Arial" w:eastAsia="Arial" w:hAnsi="Arial"/>
                <w:sz w:val="12"/>
                <w:szCs w:val="12"/>
                <w:color w:val="auto"/>
                <w:w w:val="82"/>
              </w:rPr>
              <w:t>—</w:t>
            </w:r>
          </w:p>
        </w:tc>
        <w:tc>
          <w:tcPr>
            <w:tcW w:w="620" w:type="dxa"/>
            <w:vAlign w:val="bottom"/>
            <w:gridSpan w:val="2"/>
          </w:tcPr>
          <w:p>
            <w:pPr>
              <w:ind w:left="380"/>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00" w:type="dxa"/>
            <w:vAlign w:val="bottom"/>
            <w:gridSpan w:val="4"/>
          </w:tcPr>
          <w:p>
            <w:pPr>
              <w:jc w:val="center"/>
              <w:ind w:right="320"/>
              <w:spacing w:after="0" w:line="126" w:lineRule="exact"/>
              <w:rPr>
                <w:sz w:val="20"/>
                <w:szCs w:val="20"/>
                <w:color w:val="auto"/>
              </w:rPr>
            </w:pPr>
            <w:r>
              <w:rPr>
                <w:rFonts w:ascii="Arial" w:cs="Arial" w:eastAsia="Arial" w:hAnsi="Arial"/>
                <w:sz w:val="12"/>
                <w:szCs w:val="12"/>
                <w:color w:val="auto"/>
                <w:w w:val="99"/>
              </w:rPr>
              <w:t>—</w:t>
            </w:r>
          </w:p>
        </w:tc>
        <w:tc>
          <w:tcPr>
            <w:tcW w:w="640" w:type="dxa"/>
            <w:vAlign w:val="bottom"/>
            <w:gridSpan w:val="3"/>
          </w:tcPr>
          <w:p>
            <w:pPr>
              <w:ind w:left="380"/>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gridSpan w:val="3"/>
          </w:tcPr>
          <w:p>
            <w:pPr>
              <w:jc w:val="center"/>
              <w:ind w:right="180"/>
              <w:spacing w:after="0" w:line="126" w:lineRule="exact"/>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tcPr>
          <w:p>
            <w:pPr>
              <w:ind w:left="240"/>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ind w:left="60"/>
              <w:spacing w:after="0" w:line="12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(15,997)</w:t>
            </w:r>
          </w:p>
        </w:tc>
        <w:tc>
          <w:tcPr>
            <w:tcW w:w="40" w:type="dxa"/>
            <w:vAlign w:val="bottom"/>
          </w:tcPr>
          <w:p>
            <w:pPr>
              <w:spacing w:after="0"/>
              <w:rPr>
                <w:sz w:val="11"/>
                <w:szCs w:val="11"/>
                <w:color w:val="auto"/>
              </w:rPr>
            </w:pPr>
          </w:p>
        </w:tc>
        <w:tc>
          <w:tcPr>
            <w:tcW w:w="30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06"/>
        </w:trPr>
        <w:tc>
          <w:tcPr>
            <w:tcW w:w="1020" w:type="dxa"/>
            <w:vAlign w:val="bottom"/>
            <w:gridSpan w:val="2"/>
            <w:shd w:val="clear" w:color="auto" w:fill="CCEEFF"/>
          </w:tcPr>
          <w:p>
            <w:pPr>
              <w:spacing w:after="0" w:line="107" w:lineRule="exact"/>
              <w:rPr>
                <w:sz w:val="20"/>
                <w:szCs w:val="20"/>
                <w:color w:val="auto"/>
              </w:rPr>
            </w:pPr>
            <w:r>
              <w:rPr>
                <w:rFonts w:ascii="Arial" w:cs="Arial" w:eastAsia="Arial" w:hAnsi="Arial"/>
                <w:sz w:val="12"/>
                <w:szCs w:val="12"/>
                <w:b w:val="1"/>
                <w:bCs w:val="1"/>
                <w:color w:val="auto"/>
              </w:rPr>
              <w:t>Balances at</w:t>
            </w: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gridSpan w:val="3"/>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gridSpan w:val="3"/>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gridSpan w:val="3"/>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tcBorders>
              <w:right w:val="single" w:sz="8" w:color="auto"/>
            </w:tcBorders>
            <w:gridSpan w:val="2"/>
            <w:shd w:val="clear" w:color="auto" w:fill="CCEEFF"/>
          </w:tcPr>
          <w:p>
            <w:pPr>
              <w:spacing w:after="0"/>
              <w:rPr>
                <w:sz w:val="9"/>
                <w:szCs w:val="9"/>
                <w:color w:val="auto"/>
              </w:rPr>
            </w:pPr>
          </w:p>
        </w:tc>
        <w:tc>
          <w:tcPr>
            <w:tcW w:w="80" w:type="dxa"/>
            <w:vAlign w:val="bottom"/>
            <w:gridSpan w:val="2"/>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300" w:type="dxa"/>
            <w:vAlign w:val="bottom"/>
            <w:gridSpan w:val="4"/>
            <w:shd w:val="clear" w:color="auto" w:fill="CCEEFF"/>
          </w:tcPr>
          <w:p>
            <w:pPr>
              <w:spacing w:after="0"/>
              <w:rPr>
                <w:sz w:val="9"/>
                <w:szCs w:val="9"/>
                <w:color w:val="auto"/>
              </w:rPr>
            </w:pPr>
          </w:p>
        </w:tc>
        <w:tc>
          <w:tcPr>
            <w:tcW w:w="280" w:type="dxa"/>
            <w:vAlign w:val="bottom"/>
            <w:tcBorders>
              <w:top w:val="single" w:sz="8" w:color="auto"/>
            </w:tcBorders>
            <w:gridSpan w:val="2"/>
            <w:shd w:val="clear" w:color="auto" w:fill="CCEEFF"/>
          </w:tcPr>
          <w:p>
            <w:pPr>
              <w:spacing w:after="0"/>
              <w:rPr>
                <w:sz w:val="9"/>
                <w:szCs w:val="9"/>
                <w:color w:val="auto"/>
              </w:rPr>
            </w:pPr>
          </w:p>
        </w:tc>
        <w:tc>
          <w:tcPr>
            <w:tcW w:w="280" w:type="dxa"/>
            <w:vAlign w:val="bottom"/>
            <w:gridSpan w:val="3"/>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60" w:type="dxa"/>
            <w:vAlign w:val="bottom"/>
            <w:gridSpan w:val="2"/>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300" w:type="dxa"/>
            <w:vAlign w:val="bottom"/>
            <w:gridSpan w:val="3"/>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80" w:type="dxa"/>
            <w:vAlign w:val="bottom"/>
            <w:gridSpan w:val="3"/>
            <w:shd w:val="clear" w:color="auto" w:fill="CCEEFF"/>
          </w:tcPr>
          <w:p>
            <w:pPr>
              <w:spacing w:after="0"/>
              <w:rPr>
                <w:sz w:val="9"/>
                <w:szCs w:val="9"/>
                <w:color w:val="auto"/>
              </w:rPr>
            </w:pPr>
          </w:p>
        </w:tc>
        <w:tc>
          <w:tcPr>
            <w:tcW w:w="500" w:type="dxa"/>
            <w:vAlign w:val="bottom"/>
            <w:tcBorders>
              <w:top w:val="single" w:sz="8" w:color="auto"/>
            </w:tcBorders>
            <w:gridSpan w:val="2"/>
            <w:shd w:val="clear" w:color="auto" w:fill="CCEEFF"/>
          </w:tcPr>
          <w:p>
            <w:pPr>
              <w:spacing w:after="0"/>
              <w:rPr>
                <w:sz w:val="9"/>
                <w:szCs w:val="9"/>
                <w:color w:val="auto"/>
              </w:rPr>
            </w:pPr>
          </w:p>
        </w:tc>
        <w:tc>
          <w:tcPr>
            <w:tcW w:w="300" w:type="dxa"/>
            <w:vAlign w:val="bottom"/>
            <w:gridSpan w:val="3"/>
            <w:shd w:val="clear" w:color="auto" w:fill="CCEEFF"/>
          </w:tcPr>
          <w:p>
            <w:pPr>
              <w:spacing w:after="0"/>
              <w:rPr>
                <w:sz w:val="9"/>
                <w:szCs w:val="9"/>
                <w:color w:val="auto"/>
              </w:rPr>
            </w:pPr>
          </w:p>
        </w:tc>
        <w:tc>
          <w:tcPr>
            <w:tcW w:w="320" w:type="dxa"/>
            <w:vAlign w:val="bottom"/>
            <w:tcBorders>
              <w:top w:val="single" w:sz="8" w:color="auto"/>
            </w:tcBorders>
            <w:gridSpan w:val="2"/>
            <w:shd w:val="clear" w:color="auto" w:fill="CCEEFF"/>
          </w:tcPr>
          <w:p>
            <w:pPr>
              <w:spacing w:after="0"/>
              <w:rPr>
                <w:sz w:val="9"/>
                <w:szCs w:val="9"/>
                <w:color w:val="auto"/>
              </w:rPr>
            </w:pPr>
          </w:p>
        </w:tc>
        <w:tc>
          <w:tcPr>
            <w:tcW w:w="360" w:type="dxa"/>
            <w:vAlign w:val="bottom"/>
            <w:tcBorders>
              <w:right w:val="single" w:sz="8" w:color="CCEEFF"/>
            </w:tcBorders>
            <w:gridSpan w:val="3"/>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gridSpan w:val="3"/>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20" w:type="dxa"/>
            <w:vAlign w:val="bottom"/>
            <w:gridSpan w:val="2"/>
            <w:shd w:val="clear" w:color="auto" w:fill="CCEEFF"/>
          </w:tcPr>
          <w:p>
            <w:pPr>
              <w:ind w:left="120"/>
              <w:spacing w:after="0"/>
              <w:rPr>
                <w:sz w:val="20"/>
                <w:szCs w:val="20"/>
                <w:color w:val="auto"/>
              </w:rPr>
            </w:pPr>
            <w:r>
              <w:rPr>
                <w:rFonts w:ascii="Arial" w:cs="Arial" w:eastAsia="Arial" w:hAnsi="Arial"/>
                <w:sz w:val="12"/>
                <w:szCs w:val="12"/>
                <w:b w:val="1"/>
                <w:bCs w:val="1"/>
                <w:color w:val="auto"/>
              </w:rPr>
              <w:t>June 30, 2020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54,208,461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$ 110,401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11,239,920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$ 119,761</w:t>
            </w: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21,760,848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4"/>
            <w:shd w:val="clear" w:color="auto" w:fill="CCEEFF"/>
          </w:tcPr>
          <w:p>
            <w:pPr>
              <w:jc w:val="center"/>
              <w:ind w:right="320"/>
              <w:spacing w:after="0"/>
              <w:rPr>
                <w:sz w:val="20"/>
                <w:szCs w:val="20"/>
                <w:color w:val="auto"/>
              </w:rPr>
            </w:pPr>
            <w:r>
              <w:rPr>
                <w:rFonts w:ascii="Arial" w:cs="Arial" w:eastAsia="Arial" w:hAnsi="Arial"/>
                <w:sz w:val="12"/>
                <w:szCs w:val="12"/>
                <w:color w:val="auto"/>
                <w:w w:val="99"/>
              </w:rPr>
              <w:t>—</w:t>
            </w:r>
          </w:p>
        </w:tc>
        <w:tc>
          <w:tcPr>
            <w:tcW w:w="60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4"/>
              </w:rPr>
              <w:t>(2,317,722)</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center"/>
              <w:ind w:left="1"/>
              <w:spacing w:after="0"/>
              <w:rPr>
                <w:sz w:val="20"/>
                <w:szCs w:val="20"/>
                <w:color w:val="auto"/>
              </w:rPr>
            </w:pPr>
            <w:r>
              <w:rPr>
                <w:rFonts w:ascii="Arial" w:cs="Arial" w:eastAsia="Arial" w:hAnsi="Arial"/>
                <w:sz w:val="12"/>
                <w:szCs w:val="12"/>
                <w:u w:val="single" w:color="auto"/>
                <w:color w:val="auto"/>
                <w:w w:val="94"/>
              </w:rPr>
              <w:t>$</w:t>
            </w:r>
            <w:r>
              <w:rPr>
                <w:rFonts w:ascii="Arial" w:cs="Arial" w:eastAsia="Arial" w:hAnsi="Arial"/>
                <w:sz w:val="12"/>
                <w:szCs w:val="12"/>
                <w:color w:val="auto"/>
                <w:w w:val="94"/>
              </w:rPr>
              <w:t xml:space="preserve"> (748)</w:t>
            </w: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14,705</w:t>
            </w:r>
          </w:p>
        </w:tc>
        <w:tc>
          <w:tcPr>
            <w:tcW w:w="4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 (171)</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(98,962)</w:t>
            </w:r>
          </w:p>
        </w:tc>
        <w:tc>
          <w:tcPr>
            <w:tcW w:w="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(85</w:t>
            </w: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ectPr>
          <w:pgSz w:w="11900" w:h="16838" w:orient="portrait"/>
          <w:cols w:equalWidth="0" w:num="1">
            <w:col w:w="11340"/>
          </w:cols>
          <w:pgMar w:left="320" w:top="464" w:right="239" w:bottom="331" w:gutter="0" w:footer="0" w:header="0"/>
        </w:sectPr>
      </w:pPr>
    </w:p>
    <w:p>
      <w:pPr>
        <w:jc w:val="center"/>
        <w:ind w:right="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320" w:top="464" w:right="239" w:bottom="331" w:gutter="0" w:footer="0" w:header="0"/>
          <w:type w:val="continuous"/>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0" w:lineRule="exact"/>
        <w:rPr>
          <w:sz w:val="20"/>
          <w:szCs w:val="20"/>
          <w:color w:val="auto"/>
        </w:rPr>
      </w:pPr>
    </w:p>
    <w:tbl>
      <w:tblPr>
        <w:tblLayout w:type="fixed"/>
        <w:tblInd w:w="480" w:type="dxa"/>
        <w:tblCellMar>
          <w:top w:w="0" w:type="dxa"/>
          <w:left w:w="0" w:type="dxa"/>
          <w:bottom w:w="0" w:type="dxa"/>
          <w:right w:w="0" w:type="dxa"/>
        </w:tblCellMar>
      </w:tblPr>
      <w:tr>
        <w:trPr>
          <w:trHeight w:val="146"/>
        </w:trPr>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11"/>
          </w:tcPr>
          <w:p>
            <w:pPr>
              <w:ind w:left="40"/>
              <w:spacing w:after="0"/>
              <w:rPr>
                <w:sz w:val="20"/>
                <w:szCs w:val="20"/>
                <w:color w:val="auto"/>
              </w:rPr>
            </w:pPr>
            <w:r>
              <w:rPr>
                <w:rFonts w:ascii="Arial" w:cs="Arial" w:eastAsia="Arial" w:hAnsi="Arial"/>
                <w:sz w:val="12"/>
                <w:szCs w:val="12"/>
                <w:b w:val="1"/>
                <w:bCs w:val="1"/>
                <w:color w:val="auto"/>
                <w:w w:val="98"/>
              </w:rPr>
              <w:t>Six Months Ended June 30, 2021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5"/>
            <w:vMerge w:val="restart"/>
          </w:tcPr>
          <w:p>
            <w:pPr>
              <w:jc w:val="center"/>
              <w:ind w:right="80"/>
              <w:spacing w:after="0"/>
              <w:rPr>
                <w:sz w:val="20"/>
                <w:szCs w:val="20"/>
                <w:color w:val="auto"/>
              </w:rPr>
            </w:pPr>
            <w:r>
              <w:rPr>
                <w:rFonts w:ascii="Arial" w:cs="Arial" w:eastAsia="Arial" w:hAnsi="Arial"/>
                <w:sz w:val="12"/>
                <w:szCs w:val="12"/>
                <w:b w:val="1"/>
                <w:bCs w:val="1"/>
                <w:color w:val="auto"/>
                <w:w w:val="97"/>
              </w:rPr>
              <w:t>Accumu</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4"/>
          </w:tcPr>
          <w:p>
            <w:pPr>
              <w:jc w:val="center"/>
              <w:ind w:right="320"/>
              <w:spacing w:after="0" w:line="126" w:lineRule="exact"/>
              <w:rPr>
                <w:sz w:val="20"/>
                <w:szCs w:val="20"/>
                <w:color w:val="auto"/>
              </w:rPr>
            </w:pPr>
            <w:r>
              <w:rPr>
                <w:rFonts w:ascii="Arial" w:cs="Arial" w:eastAsia="Arial" w:hAnsi="Arial"/>
                <w:sz w:val="12"/>
                <w:szCs w:val="12"/>
                <w:b w:val="1"/>
                <w:bCs w:val="1"/>
                <w:color w:val="auto"/>
                <w:w w:val="78"/>
              </w:rPr>
              <w:t>lated</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4"/>
          </w:tcPr>
          <w:p>
            <w:pPr>
              <w:jc w:val="center"/>
              <w:ind w:right="300"/>
              <w:spacing w:after="0" w:line="126" w:lineRule="exact"/>
              <w:rPr>
                <w:sz w:val="20"/>
                <w:szCs w:val="20"/>
                <w:color w:val="auto"/>
              </w:rPr>
            </w:pPr>
            <w:r>
              <w:rPr>
                <w:rFonts w:ascii="Arial" w:cs="Arial" w:eastAsia="Arial" w:hAnsi="Arial"/>
                <w:sz w:val="12"/>
                <w:szCs w:val="12"/>
                <w:b w:val="1"/>
                <w:bCs w:val="1"/>
                <w:color w:val="auto"/>
                <w:w w:val="74"/>
              </w:rPr>
              <w:t>Other</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2"/>
                <w:szCs w:val="12"/>
                <w:b w:val="1"/>
                <w:bCs w:val="1"/>
                <w:color w:val="auto"/>
                <w:w w:val="96"/>
              </w:rPr>
              <w:t>Redeemable</w:t>
            </w:r>
          </w:p>
        </w:tc>
        <w:tc>
          <w:tcPr>
            <w:tcW w:w="8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tcPr>
          <w:p>
            <w:pPr>
              <w:ind w:left="320"/>
              <w:spacing w:after="0"/>
              <w:rPr>
                <w:sz w:val="20"/>
                <w:szCs w:val="20"/>
                <w:color w:val="auto"/>
              </w:rPr>
            </w:pPr>
            <w:r>
              <w:rPr>
                <w:rFonts w:ascii="Arial" w:cs="Arial" w:eastAsia="Arial" w:hAnsi="Arial"/>
                <w:sz w:val="12"/>
                <w:szCs w:val="12"/>
                <w:b w:val="1"/>
                <w:bCs w:val="1"/>
                <w:color w:val="auto"/>
              </w:rPr>
              <w:t>Non-Voting</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rPr>
              <w:t>Compre</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b w:val="1"/>
                <w:bCs w:val="1"/>
                <w:color w:val="auto"/>
              </w:rPr>
              <w:t>Tot</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gridSpan w:val="8"/>
          </w:tcPr>
          <w:p>
            <w:pPr>
              <w:ind w:left="360"/>
              <w:spacing w:after="0" w:line="126" w:lineRule="exact"/>
              <w:rPr>
                <w:sz w:val="20"/>
                <w:szCs w:val="20"/>
                <w:color w:val="auto"/>
              </w:rPr>
            </w:pPr>
            <w:r>
              <w:rPr>
                <w:rFonts w:ascii="Arial" w:cs="Arial" w:eastAsia="Arial" w:hAnsi="Arial"/>
                <w:sz w:val="12"/>
                <w:szCs w:val="12"/>
                <w:b w:val="1"/>
                <w:bCs w:val="1"/>
                <w:color w:val="auto"/>
              </w:rPr>
              <w:t>Convertible</w:t>
            </w:r>
          </w:p>
        </w:tc>
        <w:tc>
          <w:tcPr>
            <w:tcW w:w="1520" w:type="dxa"/>
            <w:vAlign w:val="bottom"/>
            <w:tcBorders>
              <w:right w:val="single" w:sz="8" w:color="auto"/>
            </w:tcBorders>
            <w:gridSpan w:val="7"/>
          </w:tcPr>
          <w:p>
            <w:pPr>
              <w:jc w:val="center"/>
              <w:ind w:right="160"/>
              <w:spacing w:after="0" w:line="126" w:lineRule="exact"/>
              <w:rPr>
                <w:sz w:val="20"/>
                <w:szCs w:val="20"/>
                <w:color w:val="auto"/>
              </w:rPr>
            </w:pPr>
            <w:r>
              <w:rPr>
                <w:rFonts w:ascii="Arial" w:cs="Arial" w:eastAsia="Arial" w:hAnsi="Arial"/>
                <w:sz w:val="12"/>
                <w:szCs w:val="12"/>
                <w:b w:val="1"/>
                <w:bCs w:val="1"/>
                <w:color w:val="auto"/>
                <w:w w:val="96"/>
              </w:rPr>
              <w:t>Convertible</w:t>
            </w:r>
          </w:p>
        </w:tc>
        <w:tc>
          <w:tcPr>
            <w:tcW w:w="80" w:type="dxa"/>
            <w:vAlign w:val="bottom"/>
            <w:gridSpan w:val="2"/>
          </w:tcPr>
          <w:p>
            <w:pPr>
              <w:spacing w:after="0"/>
              <w:rPr>
                <w:sz w:val="10"/>
                <w:szCs w:val="10"/>
                <w:color w:val="auto"/>
              </w:rPr>
            </w:pPr>
          </w:p>
        </w:tc>
        <w:tc>
          <w:tcPr>
            <w:tcW w:w="1020" w:type="dxa"/>
            <w:vAlign w:val="bottom"/>
            <w:gridSpan w:val="4"/>
          </w:tcPr>
          <w:p>
            <w:pPr>
              <w:ind w:left="520"/>
              <w:spacing w:after="0" w:line="126" w:lineRule="exact"/>
              <w:rPr>
                <w:sz w:val="20"/>
                <w:szCs w:val="20"/>
                <w:color w:val="auto"/>
              </w:rPr>
            </w:pPr>
            <w:r>
              <w:rPr>
                <w:rFonts w:ascii="Arial" w:cs="Arial" w:eastAsia="Arial" w:hAnsi="Arial"/>
                <w:sz w:val="12"/>
                <w:szCs w:val="12"/>
                <w:b w:val="1"/>
                <w:bCs w:val="1"/>
                <w:color w:val="auto"/>
              </w:rPr>
              <w:t>Voting</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4"/>
          </w:tcPr>
          <w:p>
            <w:pPr>
              <w:ind w:left="380"/>
              <w:spacing w:after="0" w:line="126" w:lineRule="exact"/>
              <w:rPr>
                <w:sz w:val="20"/>
                <w:szCs w:val="20"/>
                <w:color w:val="auto"/>
              </w:rPr>
            </w:pPr>
            <w:r>
              <w:rPr>
                <w:rFonts w:ascii="Arial" w:cs="Arial" w:eastAsia="Arial" w:hAnsi="Arial"/>
                <w:sz w:val="12"/>
                <w:szCs w:val="12"/>
                <w:b w:val="1"/>
                <w:bCs w:val="1"/>
                <w:color w:val="auto"/>
              </w:rPr>
              <w:t>Common</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5"/>
          </w:tcPr>
          <w:p>
            <w:pPr>
              <w:jc w:val="center"/>
              <w:ind w:right="20"/>
              <w:spacing w:after="0" w:line="126" w:lineRule="exact"/>
              <w:rPr>
                <w:sz w:val="20"/>
                <w:szCs w:val="20"/>
                <w:color w:val="auto"/>
              </w:rPr>
            </w:pPr>
            <w:r>
              <w:rPr>
                <w:rFonts w:ascii="Arial" w:cs="Arial" w:eastAsia="Arial" w:hAnsi="Arial"/>
                <w:sz w:val="12"/>
                <w:szCs w:val="12"/>
                <w:b w:val="1"/>
                <w:bCs w:val="1"/>
                <w:color w:val="auto"/>
                <w:w w:val="98"/>
              </w:rPr>
              <w:t>Additional</w:t>
            </w:r>
          </w:p>
        </w:tc>
        <w:tc>
          <w:tcPr>
            <w:tcW w:w="820" w:type="dxa"/>
            <w:vAlign w:val="bottom"/>
            <w:gridSpan w:val="5"/>
          </w:tcPr>
          <w:p>
            <w:pPr>
              <w:jc w:val="center"/>
              <w:ind w:right="80"/>
              <w:spacing w:after="0" w:line="126" w:lineRule="exact"/>
              <w:rPr>
                <w:sz w:val="20"/>
                <w:szCs w:val="20"/>
                <w:color w:val="auto"/>
              </w:rPr>
            </w:pPr>
            <w:r>
              <w:rPr>
                <w:rFonts w:ascii="Arial" w:cs="Arial" w:eastAsia="Arial" w:hAnsi="Arial"/>
                <w:sz w:val="12"/>
                <w:szCs w:val="12"/>
                <w:b w:val="1"/>
                <w:bCs w:val="1"/>
                <w:color w:val="auto"/>
                <w:w w:val="93"/>
              </w:rPr>
              <w:t>hensive</w:t>
            </w:r>
          </w:p>
        </w:tc>
        <w:tc>
          <w:tcPr>
            <w:tcW w:w="620" w:type="dxa"/>
            <w:vAlign w:val="bottom"/>
            <w:gridSpan w:val="4"/>
          </w:tcPr>
          <w:p>
            <w:pPr>
              <w:jc w:val="center"/>
              <w:ind w:right="80"/>
              <w:spacing w:after="0" w:line="126" w:lineRule="exact"/>
              <w:rPr>
                <w:sz w:val="20"/>
                <w:szCs w:val="20"/>
                <w:color w:val="auto"/>
              </w:rPr>
            </w:pPr>
            <w:r>
              <w:rPr>
                <w:rFonts w:ascii="Arial" w:cs="Arial" w:eastAsia="Arial" w:hAnsi="Arial"/>
                <w:sz w:val="12"/>
                <w:szCs w:val="12"/>
                <w:b w:val="1"/>
                <w:bCs w:val="1"/>
                <w:color w:val="auto"/>
                <w:w w:val="97"/>
              </w:rPr>
              <w:t>Accumu</w:t>
            </w:r>
          </w:p>
        </w:tc>
        <w:tc>
          <w:tcPr>
            <w:tcW w:w="40" w:type="dxa"/>
            <w:vAlign w:val="bottom"/>
          </w:tcPr>
          <w:p>
            <w:pPr>
              <w:spacing w:after="0"/>
              <w:rPr>
                <w:sz w:val="10"/>
                <w:szCs w:val="10"/>
                <w:color w:val="auto"/>
              </w:rPr>
            </w:pPr>
          </w:p>
        </w:tc>
        <w:tc>
          <w:tcPr>
            <w:tcW w:w="30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Sto</w:t>
            </w:r>
          </w:p>
        </w:tc>
        <w:tc>
          <w:tcPr>
            <w:tcW w:w="0" w:type="dxa"/>
            <w:vAlign w:val="bottom"/>
          </w:tcPr>
          <w:p>
            <w:pPr>
              <w:spacing w:after="0"/>
              <w:rPr>
                <w:sz w:val="1"/>
                <w:szCs w:val="1"/>
                <w:color w:val="auto"/>
              </w:rPr>
            </w:pPr>
          </w:p>
        </w:tc>
      </w:tr>
      <w:tr>
        <w:trPr>
          <w:trHeight w:val="151"/>
        </w:trPr>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8"/>
          </w:tcPr>
          <w:p>
            <w:pPr>
              <w:ind w:left="240"/>
              <w:spacing w:after="0"/>
              <w:rPr>
                <w:sz w:val="20"/>
                <w:szCs w:val="20"/>
                <w:color w:val="auto"/>
              </w:rPr>
            </w:pPr>
            <w:r>
              <w:rPr>
                <w:rFonts w:ascii="Arial" w:cs="Arial" w:eastAsia="Arial" w:hAnsi="Arial"/>
                <w:sz w:val="12"/>
                <w:szCs w:val="12"/>
                <w:b w:val="1"/>
                <w:bCs w:val="1"/>
                <w:color w:val="auto"/>
              </w:rPr>
              <w:t>Preferred Stock</w:t>
            </w:r>
          </w:p>
        </w:tc>
        <w:tc>
          <w:tcPr>
            <w:tcW w:w="152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2"/>
                <w:szCs w:val="12"/>
                <w:b w:val="1"/>
                <w:bCs w:val="1"/>
                <w:color w:val="auto"/>
                <w:w w:val="98"/>
              </w:rPr>
              <w:t>Preferred Stock</w:t>
            </w:r>
          </w:p>
        </w:tc>
        <w:tc>
          <w:tcPr>
            <w:tcW w:w="80" w:type="dxa"/>
            <w:vAlign w:val="bottom"/>
            <w:gridSpan w:val="2"/>
          </w:tcPr>
          <w:p>
            <w:pPr>
              <w:spacing w:after="0"/>
              <w:rPr>
                <w:sz w:val="13"/>
                <w:szCs w:val="13"/>
                <w:color w:val="auto"/>
              </w:rPr>
            </w:pPr>
          </w:p>
        </w:tc>
        <w:tc>
          <w:tcPr>
            <w:tcW w:w="1500" w:type="dxa"/>
            <w:vAlign w:val="bottom"/>
            <w:gridSpan w:val="8"/>
          </w:tcPr>
          <w:p>
            <w:pPr>
              <w:ind w:left="260"/>
              <w:spacing w:after="0"/>
              <w:rPr>
                <w:sz w:val="20"/>
                <w:szCs w:val="20"/>
                <w:color w:val="auto"/>
              </w:rPr>
            </w:pPr>
            <w:r>
              <w:rPr>
                <w:rFonts w:ascii="Arial" w:cs="Arial" w:eastAsia="Arial" w:hAnsi="Arial"/>
                <w:sz w:val="12"/>
                <w:szCs w:val="12"/>
                <w:b w:val="1"/>
                <w:bCs w:val="1"/>
                <w:color w:val="auto"/>
              </w:rPr>
              <w:t>Common Stock</w:t>
            </w:r>
          </w:p>
        </w:tc>
        <w:tc>
          <w:tcPr>
            <w:tcW w:w="1040" w:type="dxa"/>
            <w:vAlign w:val="bottom"/>
            <w:gridSpan w:val="4"/>
          </w:tcPr>
          <w:p>
            <w:pPr>
              <w:ind w:left="480"/>
              <w:spacing w:after="0"/>
              <w:rPr>
                <w:sz w:val="20"/>
                <w:szCs w:val="20"/>
                <w:color w:val="auto"/>
              </w:rPr>
            </w:pPr>
            <w:r>
              <w:rPr>
                <w:rFonts w:ascii="Arial" w:cs="Arial" w:eastAsia="Arial" w:hAnsi="Arial"/>
                <w:sz w:val="12"/>
                <w:szCs w:val="12"/>
                <w:b w:val="1"/>
                <w:bCs w:val="1"/>
                <w:color w:val="auto"/>
              </w:rPr>
              <w:t>Stock</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7"/>
          </w:tcPr>
          <w:p>
            <w:pPr>
              <w:ind w:left="280"/>
              <w:spacing w:after="0"/>
              <w:rPr>
                <w:sz w:val="20"/>
                <w:szCs w:val="20"/>
                <w:color w:val="auto"/>
              </w:rPr>
            </w:pPr>
            <w:r>
              <w:rPr>
                <w:rFonts w:ascii="Arial" w:cs="Arial" w:eastAsia="Arial" w:hAnsi="Arial"/>
                <w:sz w:val="12"/>
                <w:szCs w:val="12"/>
                <w:b w:val="1"/>
                <w:bCs w:val="1"/>
                <w:color w:val="auto"/>
              </w:rPr>
              <w:t>Treasury Stock</w:t>
            </w:r>
          </w:p>
        </w:tc>
        <w:tc>
          <w:tcPr>
            <w:tcW w:w="40" w:type="dxa"/>
            <w:vAlign w:val="bottom"/>
          </w:tcPr>
          <w:p>
            <w:pPr>
              <w:spacing w:after="0"/>
              <w:rPr>
                <w:sz w:val="13"/>
                <w:szCs w:val="13"/>
                <w:color w:val="auto"/>
              </w:rPr>
            </w:pPr>
          </w:p>
        </w:tc>
        <w:tc>
          <w:tcPr>
            <w:tcW w:w="60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9"/>
              </w:rPr>
              <w:t>Paid-In</w:t>
            </w:r>
          </w:p>
        </w:tc>
        <w:tc>
          <w:tcPr>
            <w:tcW w:w="82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9"/>
              </w:rPr>
              <w:t>Income</w:t>
            </w:r>
          </w:p>
        </w:tc>
        <w:tc>
          <w:tcPr>
            <w:tcW w:w="60" w:type="dxa"/>
            <w:vAlign w:val="bottom"/>
          </w:tcPr>
          <w:p>
            <w:pPr>
              <w:spacing w:after="0"/>
              <w:rPr>
                <w:sz w:val="13"/>
                <w:szCs w:val="13"/>
                <w:color w:val="auto"/>
              </w:rPr>
            </w:pPr>
          </w:p>
        </w:tc>
        <w:tc>
          <w:tcPr>
            <w:tcW w:w="5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9"/>
              </w:rPr>
              <w:t>lated</w:t>
            </w:r>
          </w:p>
        </w:tc>
        <w:tc>
          <w:tcPr>
            <w:tcW w:w="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b w:val="1"/>
                <w:bCs w:val="1"/>
                <w:color w:val="auto"/>
              </w:rPr>
              <w:t>hold</w:t>
            </w:r>
          </w:p>
        </w:tc>
        <w:tc>
          <w:tcPr>
            <w:tcW w:w="0" w:type="dxa"/>
            <w:vAlign w:val="bottom"/>
          </w:tcPr>
          <w:p>
            <w:pPr>
              <w:spacing w:after="0"/>
              <w:rPr>
                <w:sz w:val="1"/>
                <w:szCs w:val="1"/>
                <w:color w:val="auto"/>
              </w:rPr>
            </w:pPr>
          </w:p>
        </w:tc>
      </w:tr>
      <w:tr>
        <w:trPr>
          <w:trHeight w:val="131"/>
        </w:trPr>
        <w:tc>
          <w:tcPr>
            <w:tcW w:w="9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4"/>
          </w:tcPr>
          <w:p>
            <w:pPr>
              <w:ind w:left="140"/>
              <w:spacing w:after="0" w:line="132" w:lineRule="exact"/>
              <w:rPr>
                <w:sz w:val="20"/>
                <w:szCs w:val="20"/>
                <w:color w:val="auto"/>
              </w:rPr>
            </w:pPr>
            <w:r>
              <w:rPr>
                <w:rFonts w:ascii="Arial" w:cs="Arial" w:eastAsia="Arial" w:hAnsi="Arial"/>
                <w:sz w:val="12"/>
                <w:szCs w:val="12"/>
                <w:b w:val="1"/>
                <w:bCs w:val="1"/>
                <w:color w:val="auto"/>
              </w:rPr>
              <w:t>Shares</w:t>
            </w:r>
          </w:p>
        </w:tc>
        <w:tc>
          <w:tcPr>
            <w:tcW w:w="580" w:type="dxa"/>
            <w:vAlign w:val="bottom"/>
            <w:tcBorders>
              <w:top w:val="single" w:sz="8" w:color="auto"/>
            </w:tcBorders>
            <w:gridSpan w:val="2"/>
          </w:tcPr>
          <w:p>
            <w:pPr>
              <w:ind w:left="60"/>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ind w:left="140"/>
              <w:spacing w:after="0" w:line="132" w:lineRule="exact"/>
              <w:rPr>
                <w:sz w:val="20"/>
                <w:szCs w:val="20"/>
                <w:color w:val="auto"/>
              </w:rPr>
            </w:pPr>
            <w:r>
              <w:rPr>
                <w:rFonts w:ascii="Arial" w:cs="Arial" w:eastAsia="Arial" w:hAnsi="Arial"/>
                <w:sz w:val="12"/>
                <w:szCs w:val="12"/>
                <w:b w:val="1"/>
                <w:bCs w:val="1"/>
                <w:color w:val="auto"/>
              </w:rPr>
              <w:t>Shares</w:t>
            </w: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ind w:left="60"/>
              <w:spacing w:after="0" w:line="132" w:lineRule="exact"/>
              <w:rPr>
                <w:sz w:val="20"/>
                <w:szCs w:val="20"/>
                <w:color w:val="auto"/>
              </w:rPr>
            </w:pPr>
            <w:r>
              <w:rPr>
                <w:rFonts w:ascii="Arial" w:cs="Arial" w:eastAsia="Arial" w:hAnsi="Arial"/>
                <w:sz w:val="12"/>
                <w:szCs w:val="12"/>
                <w:b w:val="1"/>
                <w:bCs w:val="1"/>
                <w:color w:val="auto"/>
              </w:rPr>
              <w:t>Amount</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ind w:left="140"/>
              <w:spacing w:after="0" w:line="132" w:lineRule="exact"/>
              <w:rPr>
                <w:sz w:val="20"/>
                <w:szCs w:val="20"/>
                <w:color w:val="auto"/>
              </w:rPr>
            </w:pPr>
            <w:r>
              <w:rPr>
                <w:rFonts w:ascii="Arial" w:cs="Arial" w:eastAsia="Arial" w:hAnsi="Arial"/>
                <w:sz w:val="12"/>
                <w:szCs w:val="12"/>
                <w:b w:val="1"/>
                <w:bCs w:val="1"/>
                <w:color w:val="auto"/>
              </w:rPr>
              <w:t>Shares</w:t>
            </w:r>
          </w:p>
        </w:tc>
        <w:tc>
          <w:tcPr>
            <w:tcW w:w="680" w:type="dxa"/>
            <w:vAlign w:val="bottom"/>
            <w:tcBorders>
              <w:top w:val="single" w:sz="8" w:color="auto"/>
            </w:tcBorders>
            <w:gridSpan w:val="3"/>
          </w:tcPr>
          <w:p>
            <w:pPr>
              <w:jc w:val="center"/>
              <w:spacing w:after="0" w:line="132" w:lineRule="exact"/>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ind w:left="80"/>
              <w:spacing w:after="0" w:line="132" w:lineRule="exact"/>
              <w:rPr>
                <w:sz w:val="20"/>
                <w:szCs w:val="20"/>
                <w:color w:val="auto"/>
              </w:rPr>
            </w:pPr>
            <w:r>
              <w:rPr>
                <w:rFonts w:ascii="Arial" w:cs="Arial" w:eastAsia="Arial" w:hAnsi="Arial"/>
                <w:sz w:val="12"/>
                <w:szCs w:val="12"/>
                <w:b w:val="1"/>
                <w:bCs w:val="1"/>
                <w:color w:val="auto"/>
              </w:rPr>
              <w:t>Shares</w:t>
            </w:r>
          </w:p>
        </w:tc>
        <w:tc>
          <w:tcPr>
            <w:tcW w:w="700" w:type="dxa"/>
            <w:vAlign w:val="bottom"/>
            <w:tcBorders>
              <w:top w:val="single" w:sz="8" w:color="auto"/>
            </w:tcBorders>
            <w:gridSpan w:val="3"/>
          </w:tcPr>
          <w:p>
            <w:pPr>
              <w:jc w:val="center"/>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3"/>
          </w:tcPr>
          <w:p>
            <w:pPr>
              <w:ind w:left="100"/>
              <w:spacing w:after="0" w:line="132" w:lineRule="exact"/>
              <w:rPr>
                <w:sz w:val="20"/>
                <w:szCs w:val="20"/>
                <w:color w:val="auto"/>
              </w:rPr>
            </w:pPr>
            <w:r>
              <w:rPr>
                <w:rFonts w:ascii="Arial" w:cs="Arial" w:eastAsia="Arial" w:hAnsi="Arial"/>
                <w:sz w:val="12"/>
                <w:szCs w:val="12"/>
                <w:b w:val="1"/>
                <w:bCs w:val="1"/>
                <w:color w:val="auto"/>
              </w:rPr>
              <w:t>Shares</w:t>
            </w:r>
          </w:p>
        </w:tc>
        <w:tc>
          <w:tcPr>
            <w:tcW w:w="740" w:type="dxa"/>
            <w:vAlign w:val="bottom"/>
            <w:tcBorders>
              <w:top w:val="single" w:sz="8" w:color="auto"/>
            </w:tcBorders>
            <w:gridSpan w:val="3"/>
          </w:tcPr>
          <w:p>
            <w:pPr>
              <w:ind w:left="160"/>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99"/>
              </w:rPr>
              <w:t>Capital</w:t>
            </w:r>
          </w:p>
        </w:tc>
        <w:tc>
          <w:tcPr>
            <w:tcW w:w="820" w:type="dxa"/>
            <w:vAlign w:val="bottom"/>
            <w:gridSpan w:val="5"/>
          </w:tcPr>
          <w:p>
            <w:pPr>
              <w:jc w:val="center"/>
              <w:ind w:right="80"/>
              <w:spacing w:after="0" w:line="132" w:lineRule="exact"/>
              <w:rPr>
                <w:sz w:val="20"/>
                <w:szCs w:val="20"/>
                <w:color w:val="auto"/>
              </w:rPr>
            </w:pPr>
            <w:r>
              <w:rPr>
                <w:rFonts w:ascii="Arial" w:cs="Arial" w:eastAsia="Arial" w:hAnsi="Arial"/>
                <w:sz w:val="12"/>
                <w:szCs w:val="12"/>
                <w:b w:val="1"/>
                <w:bCs w:val="1"/>
                <w:color w:val="auto"/>
                <w:w w:val="94"/>
              </w:rPr>
              <w:t>(Loss)</w:t>
            </w:r>
          </w:p>
        </w:tc>
        <w:tc>
          <w:tcPr>
            <w:tcW w:w="60" w:type="dxa"/>
            <w:vAlign w:val="bottom"/>
          </w:tcPr>
          <w:p>
            <w:pPr>
              <w:spacing w:after="0"/>
              <w:rPr>
                <w:sz w:val="11"/>
                <w:szCs w:val="11"/>
                <w:color w:val="auto"/>
              </w:rPr>
            </w:pPr>
          </w:p>
        </w:tc>
        <w:tc>
          <w:tcPr>
            <w:tcW w:w="560" w:type="dxa"/>
            <w:vAlign w:val="bottom"/>
            <w:gridSpan w:val="3"/>
          </w:tcPr>
          <w:p>
            <w:pPr>
              <w:jc w:val="center"/>
              <w:ind w:right="120"/>
              <w:spacing w:after="0" w:line="132" w:lineRule="exact"/>
              <w:rPr>
                <w:sz w:val="20"/>
                <w:szCs w:val="20"/>
                <w:color w:val="auto"/>
              </w:rPr>
            </w:pPr>
            <w:r>
              <w:rPr>
                <w:rFonts w:ascii="Arial" w:cs="Arial" w:eastAsia="Arial" w:hAnsi="Arial"/>
                <w:sz w:val="12"/>
                <w:szCs w:val="12"/>
                <w:b w:val="1"/>
                <w:bCs w:val="1"/>
                <w:color w:val="auto"/>
                <w:w w:val="98"/>
              </w:rPr>
              <w:t>Deficit</w:t>
            </w:r>
          </w:p>
        </w:tc>
        <w:tc>
          <w:tcPr>
            <w:tcW w:w="40" w:type="dxa"/>
            <w:vAlign w:val="bottom"/>
          </w:tcPr>
          <w:p>
            <w:pPr>
              <w:spacing w:after="0"/>
              <w:rPr>
                <w:sz w:val="11"/>
                <w:szCs w:val="11"/>
                <w:color w:val="auto"/>
              </w:rPr>
            </w:pPr>
          </w:p>
        </w:tc>
        <w:tc>
          <w:tcPr>
            <w:tcW w:w="30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Defi</w:t>
            </w:r>
          </w:p>
        </w:tc>
        <w:tc>
          <w:tcPr>
            <w:tcW w:w="0" w:type="dxa"/>
            <w:vAlign w:val="bottom"/>
          </w:tcPr>
          <w:p>
            <w:pPr>
              <w:spacing w:after="0"/>
              <w:rPr>
                <w:sz w:val="1"/>
                <w:szCs w:val="1"/>
                <w:color w:val="auto"/>
              </w:rPr>
            </w:pPr>
          </w:p>
        </w:tc>
      </w:tr>
      <w:tr>
        <w:trPr>
          <w:trHeight w:val="86"/>
        </w:trPr>
        <w:tc>
          <w:tcPr>
            <w:tcW w:w="980" w:type="dxa"/>
            <w:vAlign w:val="bottom"/>
            <w:tcBorders>
              <w:top w:val="single" w:sz="8" w:color="CCEEFF"/>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Balances at</w:t>
            </w:r>
          </w:p>
        </w:tc>
        <w:tc>
          <w:tcPr>
            <w:tcW w:w="76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gridSpan w:val="3"/>
            <w:shd w:val="clear" w:color="auto" w:fill="CCEEFF"/>
          </w:tcPr>
          <w:p>
            <w:pPr>
              <w:spacing w:after="0"/>
              <w:rPr>
                <w:sz w:val="7"/>
                <w:szCs w:val="7"/>
                <w:color w:val="auto"/>
              </w:rPr>
            </w:pPr>
          </w:p>
        </w:tc>
        <w:tc>
          <w:tcPr>
            <w:tcW w:w="120" w:type="dxa"/>
            <w:vAlign w:val="bottom"/>
            <w:tcBorders>
              <w:top w:val="single" w:sz="8" w:color="CCEEFF"/>
              <w:right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right w:val="single" w:sz="8" w:color="CCEEFF"/>
            </w:tcBorders>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gridSpan w:val="2"/>
            <w:shd w:val="clear" w:color="auto" w:fill="CCEEFF"/>
          </w:tcPr>
          <w:p>
            <w:pPr>
              <w:spacing w:after="0"/>
              <w:rPr>
                <w:sz w:val="7"/>
                <w:szCs w:val="7"/>
                <w:color w:val="auto"/>
              </w:rPr>
            </w:pPr>
          </w:p>
        </w:tc>
        <w:tc>
          <w:tcPr>
            <w:tcW w:w="280" w:type="dxa"/>
            <w:vAlign w:val="bottom"/>
            <w:tcBorders>
              <w:top w:val="single" w:sz="8" w:color="auto"/>
              <w:left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gridSpan w:val="4"/>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right w:val="single" w:sz="8" w:color="CCEEFF"/>
            </w:tcBorders>
            <w:shd w:val="clear" w:color="auto" w:fill="CCEEFF"/>
          </w:tcPr>
          <w:p>
            <w:pPr>
              <w:spacing w:after="0"/>
              <w:rPr>
                <w:sz w:val="7"/>
                <w:szCs w:val="7"/>
                <w:color w:val="auto"/>
              </w:rPr>
            </w:pPr>
          </w:p>
        </w:tc>
        <w:tc>
          <w:tcPr>
            <w:tcW w:w="46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gridSpan w:val="4"/>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b w:val="1"/>
                <w:bCs w:val="1"/>
                <w:color w:val="auto"/>
              </w:rPr>
              <w:t>December 31,</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98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2020</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54,208,461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$ 110,401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11,239,920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$ 119,769</w:t>
            </w: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22,240,872</w:t>
            </w:r>
          </w:p>
        </w:tc>
        <w:tc>
          <w:tcPr>
            <w:tcW w:w="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center"/>
              <w:ind w:left="21"/>
              <w:spacing w:after="0"/>
              <w:rPr>
                <w:sz w:val="20"/>
                <w:szCs w:val="20"/>
                <w:color w:val="auto"/>
              </w:rPr>
            </w:pPr>
            <w:r>
              <w:rPr>
                <w:rFonts w:ascii="Arial" w:cs="Arial" w:eastAsia="Arial" w:hAnsi="Arial"/>
                <w:sz w:val="12"/>
                <w:szCs w:val="12"/>
                <w:color w:val="auto"/>
                <w:w w:val="99"/>
              </w:rPr>
              <w:t>—</w:t>
            </w:r>
          </w:p>
        </w:tc>
        <w:tc>
          <w:tcPr>
            <w:tcW w:w="28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94"/>
              </w:rPr>
              <w:t>(2,317,722)</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center"/>
              <w:ind w:left="1"/>
              <w:spacing w:after="0"/>
              <w:rPr>
                <w:sz w:val="20"/>
                <w:szCs w:val="20"/>
                <w:color w:val="auto"/>
              </w:rPr>
            </w:pPr>
            <w:r>
              <w:rPr>
                <w:rFonts w:ascii="Arial" w:cs="Arial" w:eastAsia="Arial" w:hAnsi="Arial"/>
                <w:sz w:val="12"/>
                <w:szCs w:val="12"/>
                <w:color w:val="auto"/>
                <w:w w:val="94"/>
              </w:rPr>
              <w:t>$ (748)</w:t>
            </w: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16,971</w:t>
            </w:r>
          </w:p>
        </w:tc>
        <w:tc>
          <w:tcPr>
            <w:tcW w:w="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(214)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(97,772)</w:t>
            </w:r>
          </w:p>
        </w:tc>
        <w:tc>
          <w:tcPr>
            <w:tcW w:w="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(81,</w:t>
            </w: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tcPr>
          <w:p>
            <w:pPr>
              <w:spacing w:after="0" w:line="121" w:lineRule="exact"/>
              <w:rPr>
                <w:sz w:val="20"/>
                <w:szCs w:val="20"/>
                <w:color w:val="auto"/>
              </w:rPr>
            </w:pPr>
            <w:r>
              <w:rPr>
                <w:rFonts w:ascii="Arial" w:cs="Arial" w:eastAsia="Arial" w:hAnsi="Arial"/>
                <w:sz w:val="12"/>
                <w:szCs w:val="12"/>
                <w:color w:val="auto"/>
              </w:rPr>
              <w:t>Issuance of</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common stock</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in connection</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with initial</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public offering,</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net of</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underwriting</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discounts and</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commissions</w:t>
            </w:r>
          </w:p>
        </w:tc>
        <w:tc>
          <w:tcPr>
            <w:tcW w:w="800" w:type="dxa"/>
            <w:vAlign w:val="bottom"/>
            <w:gridSpan w:val="4"/>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20" w:type="dxa"/>
            <w:vAlign w:val="bottom"/>
            <w:tcBorders>
              <w:right w:val="single" w:sz="8" w:color="auto"/>
            </w:tcBorders>
            <w:gridSpan w:val="3"/>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1"/>
                <w:szCs w:val="11"/>
                <w:color w:val="auto"/>
              </w:rPr>
            </w:pPr>
          </w:p>
        </w:tc>
        <w:tc>
          <w:tcPr>
            <w:tcW w:w="70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12,006,000</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jc w:val="right"/>
              <w:spacing w:after="0" w:line="132" w:lineRule="exact"/>
              <w:rPr>
                <w:sz w:val="20"/>
                <w:szCs w:val="20"/>
                <w:color w:val="auto"/>
              </w:rPr>
            </w:pPr>
            <w:r>
              <w:rPr>
                <w:rFonts w:ascii="Arial" w:cs="Arial" w:eastAsia="Arial" w:hAnsi="Arial"/>
                <w:sz w:val="12"/>
                <w:szCs w:val="12"/>
                <w:color w:val="auto"/>
              </w:rPr>
              <w:t>1</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00" w:type="dxa"/>
            <w:vAlign w:val="bottom"/>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42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gridSpan w:val="3"/>
          </w:tcPr>
          <w:p>
            <w:pPr>
              <w:jc w:val="center"/>
              <w:ind w:right="160"/>
              <w:spacing w:after="0" w:line="132"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Arial" w:cs="Arial" w:eastAsia="Arial" w:hAnsi="Arial"/>
                <w:sz w:val="12"/>
                <w:szCs w:val="12"/>
                <w:color w:val="auto"/>
                <w:w w:val="92"/>
              </w:rPr>
              <w:t>268,693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4"/>
          </w:tcPr>
          <w:p>
            <w:pPr>
              <w:ind w:left="60"/>
              <w:spacing w:after="0" w:line="132"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6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34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268,</w:t>
            </w: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shd w:val="clear" w:color="auto" w:fill="CCEEFF"/>
          </w:tcPr>
          <w:p>
            <w:pPr>
              <w:spacing w:after="0" w:line="121" w:lineRule="exact"/>
              <w:rPr>
                <w:sz w:val="20"/>
                <w:szCs w:val="20"/>
                <w:color w:val="auto"/>
              </w:rPr>
            </w:pPr>
            <w:r>
              <w:rPr>
                <w:rFonts w:ascii="Arial" w:cs="Arial" w:eastAsia="Arial" w:hAnsi="Arial"/>
                <w:sz w:val="12"/>
                <w:szCs w:val="12"/>
                <w:color w:val="auto"/>
              </w:rPr>
              <w:t>Costs incurred in</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connection with</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initial public</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shd w:val="clear" w:color="auto" w:fill="CCEEFF"/>
          </w:tcPr>
          <w:p>
            <w:pPr>
              <w:ind w:left="120"/>
              <w:spacing w:after="0" w:line="132" w:lineRule="exact"/>
              <w:rPr>
                <w:sz w:val="20"/>
                <w:szCs w:val="20"/>
                <w:color w:val="auto"/>
              </w:rPr>
            </w:pPr>
            <w:r>
              <w:rPr>
                <w:rFonts w:ascii="Arial" w:cs="Arial" w:eastAsia="Arial" w:hAnsi="Arial"/>
                <w:sz w:val="12"/>
                <w:szCs w:val="12"/>
                <w:color w:val="auto"/>
              </w:rPr>
              <w:t>offering</w:t>
            </w:r>
          </w:p>
        </w:tc>
        <w:tc>
          <w:tcPr>
            <w:tcW w:w="800" w:type="dxa"/>
            <w:vAlign w:val="bottom"/>
            <w:gridSpan w:val="4"/>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720" w:type="dxa"/>
            <w:vAlign w:val="bottom"/>
            <w:tcBorders>
              <w:right w:val="single" w:sz="8" w:color="auto"/>
            </w:tcBorders>
            <w:gridSpan w:val="3"/>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1"/>
                <w:szCs w:val="11"/>
                <w:color w:val="auto"/>
              </w:rPr>
            </w:pPr>
          </w:p>
        </w:tc>
        <w:tc>
          <w:tcPr>
            <w:tcW w:w="740" w:type="dxa"/>
            <w:vAlign w:val="bottom"/>
            <w:gridSpan w:val="3"/>
            <w:shd w:val="clear" w:color="auto" w:fill="CCEEFF"/>
          </w:tcPr>
          <w:p>
            <w:pPr>
              <w:ind w:left="500"/>
              <w:spacing w:after="0" w:line="132" w:lineRule="exact"/>
              <w:rPr>
                <w:sz w:val="20"/>
                <w:szCs w:val="20"/>
                <w:color w:val="auto"/>
              </w:rPr>
            </w:pPr>
            <w:r>
              <w:rPr>
                <w:rFonts w:ascii="Arial" w:cs="Arial" w:eastAsia="Arial" w:hAnsi="Arial"/>
                <w:sz w:val="12"/>
                <w:szCs w:val="12"/>
                <w:color w:val="auto"/>
              </w:rPr>
              <w:t>—</w:t>
            </w:r>
          </w:p>
        </w:tc>
        <w:tc>
          <w:tcPr>
            <w:tcW w:w="2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4"/>
            <w:shd w:val="clear" w:color="auto" w:fill="CCEEFF"/>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20" w:type="dxa"/>
            <w:vAlign w:val="bottom"/>
            <w:gridSpan w:val="2"/>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28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ind w:left="42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center"/>
              <w:ind w:right="160"/>
              <w:spacing w:after="0" w:line="132"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32" w:lineRule="exact"/>
              <w:rPr>
                <w:sz w:val="20"/>
                <w:szCs w:val="20"/>
                <w:color w:val="auto"/>
              </w:rPr>
            </w:pPr>
            <w:r>
              <w:rPr>
                <w:rFonts w:ascii="Arial" w:cs="Arial" w:eastAsia="Arial" w:hAnsi="Arial"/>
                <w:sz w:val="12"/>
                <w:szCs w:val="12"/>
                <w:color w:val="auto"/>
              </w:rPr>
              <w:t>(4,860)</w:t>
            </w:r>
          </w:p>
        </w:tc>
        <w:tc>
          <w:tcPr>
            <w:tcW w:w="4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4"/>
            <w:shd w:val="clear" w:color="auto" w:fill="CCEEFF"/>
          </w:tcPr>
          <w:p>
            <w:pPr>
              <w:ind w:left="6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560" w:type="dxa"/>
            <w:vAlign w:val="bottom"/>
            <w:gridSpan w:val="3"/>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tcPr>
          <w:p>
            <w:pPr>
              <w:spacing w:after="0" w:line="121" w:lineRule="exact"/>
              <w:rPr>
                <w:sz w:val="20"/>
                <w:szCs w:val="20"/>
                <w:color w:val="auto"/>
              </w:rPr>
            </w:pPr>
            <w:r>
              <w:rPr>
                <w:rFonts w:ascii="Arial" w:cs="Arial" w:eastAsia="Arial" w:hAnsi="Arial"/>
                <w:sz w:val="12"/>
                <w:szCs w:val="12"/>
                <w:color w:val="auto"/>
              </w:rPr>
              <w:t>Accretion of</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redeemable</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convertible</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preferred stock</w:t>
            </w:r>
          </w:p>
        </w:tc>
        <w:tc>
          <w:tcPr>
            <w:tcW w:w="800" w:type="dxa"/>
            <w:vAlign w:val="bottom"/>
            <w:gridSpan w:val="4"/>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tcPr>
          <w:p>
            <w:pPr>
              <w:ind w:left="480"/>
              <w:spacing w:after="0" w:line="132"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60"/>
              <w:spacing w:after="0" w:line="132" w:lineRule="exact"/>
              <w:rPr>
                <w:sz w:val="20"/>
                <w:szCs w:val="20"/>
                <w:color w:val="auto"/>
              </w:rPr>
            </w:pPr>
            <w:r>
              <w:rPr>
                <w:rFonts w:ascii="Arial" w:cs="Arial" w:eastAsia="Arial" w:hAnsi="Arial"/>
                <w:sz w:val="12"/>
                <w:szCs w:val="12"/>
                <w:color w:val="auto"/>
              </w:rPr>
              <w:t>13</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ind w:left="500"/>
              <w:spacing w:after="0" w:line="132"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480" w:type="dxa"/>
            <w:vAlign w:val="bottom"/>
            <w:gridSpan w:val="4"/>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20" w:type="dxa"/>
            <w:vAlign w:val="bottom"/>
            <w:gridSpan w:val="2"/>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00" w:type="dxa"/>
            <w:vAlign w:val="bottom"/>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42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gridSpan w:val="3"/>
          </w:tcPr>
          <w:p>
            <w:pPr>
              <w:jc w:val="center"/>
              <w:ind w:right="160"/>
              <w:spacing w:after="0" w:line="132"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(13)</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4"/>
          </w:tcPr>
          <w:p>
            <w:pPr>
              <w:ind w:left="60"/>
              <w:spacing w:after="0" w:line="132"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6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shd w:val="clear" w:color="auto" w:fill="CCEEFF"/>
          </w:tcPr>
          <w:p>
            <w:pPr>
              <w:spacing w:after="0" w:line="121" w:lineRule="exact"/>
              <w:rPr>
                <w:sz w:val="20"/>
                <w:szCs w:val="20"/>
                <w:color w:val="auto"/>
              </w:rPr>
            </w:pPr>
            <w:r>
              <w:rPr>
                <w:rFonts w:ascii="Arial" w:cs="Arial" w:eastAsia="Arial" w:hAnsi="Arial"/>
                <w:sz w:val="12"/>
                <w:szCs w:val="12"/>
                <w:color w:val="auto"/>
              </w:rPr>
              <w:t>Issuance of</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Series F-1</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redeemable</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convertible</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preferred stock,</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net of issuance</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shd w:val="clear" w:color="auto" w:fill="CCEEFF"/>
          </w:tcPr>
          <w:p>
            <w:pPr>
              <w:ind w:left="120"/>
              <w:spacing w:after="0" w:line="132" w:lineRule="exact"/>
              <w:rPr>
                <w:sz w:val="20"/>
                <w:szCs w:val="20"/>
                <w:color w:val="auto"/>
              </w:rPr>
            </w:pPr>
            <w:r>
              <w:rPr>
                <w:rFonts w:ascii="Arial" w:cs="Arial" w:eastAsia="Arial" w:hAnsi="Arial"/>
                <w:sz w:val="12"/>
                <w:szCs w:val="12"/>
                <w:color w:val="auto"/>
              </w:rPr>
              <w:t>costs of $256</w:t>
            </w:r>
          </w:p>
        </w:tc>
        <w:tc>
          <w:tcPr>
            <w:tcW w:w="800" w:type="dxa"/>
            <w:vAlign w:val="bottom"/>
            <w:gridSpan w:val="4"/>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2,571,936</w:t>
            </w: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59,735</w:t>
            </w: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ind w:left="500"/>
              <w:spacing w:after="0" w:line="132" w:lineRule="exact"/>
              <w:rPr>
                <w:sz w:val="20"/>
                <w:szCs w:val="20"/>
                <w:color w:val="auto"/>
              </w:rPr>
            </w:pPr>
            <w:r>
              <w:rPr>
                <w:rFonts w:ascii="Arial" w:cs="Arial" w:eastAsia="Arial" w:hAnsi="Arial"/>
                <w:sz w:val="12"/>
                <w:szCs w:val="12"/>
                <w:color w:val="auto"/>
              </w:rPr>
              <w:t>—</w:t>
            </w:r>
          </w:p>
        </w:tc>
        <w:tc>
          <w:tcPr>
            <w:tcW w:w="2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4"/>
            <w:shd w:val="clear" w:color="auto" w:fill="CCEEFF"/>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20" w:type="dxa"/>
            <w:vAlign w:val="bottom"/>
            <w:gridSpan w:val="2"/>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28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ind w:left="42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center"/>
              <w:ind w:right="160"/>
              <w:spacing w:after="0" w:line="132"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3"/>
            <w:shd w:val="clear" w:color="auto" w:fill="CCEEFF"/>
          </w:tcPr>
          <w:p>
            <w:pPr>
              <w:ind w:left="240"/>
              <w:spacing w:after="0" w:line="132" w:lineRule="exact"/>
              <w:rPr>
                <w:sz w:val="20"/>
                <w:szCs w:val="20"/>
                <w:color w:val="auto"/>
              </w:rPr>
            </w:pPr>
            <w:r>
              <w:rPr>
                <w:rFonts w:ascii="Arial" w:cs="Arial" w:eastAsia="Arial" w:hAnsi="Arial"/>
                <w:sz w:val="12"/>
                <w:szCs w:val="12"/>
                <w:color w:val="auto"/>
              </w:rPr>
              <w:t>—</w:t>
            </w:r>
          </w:p>
        </w:tc>
        <w:tc>
          <w:tcPr>
            <w:tcW w:w="28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4"/>
            <w:shd w:val="clear" w:color="auto" w:fill="CCEEFF"/>
          </w:tcPr>
          <w:p>
            <w:pPr>
              <w:ind w:left="6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560" w:type="dxa"/>
            <w:vAlign w:val="bottom"/>
            <w:gridSpan w:val="3"/>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tcPr>
          <w:p>
            <w:pPr>
              <w:spacing w:after="0" w:line="121" w:lineRule="exact"/>
              <w:rPr>
                <w:sz w:val="20"/>
                <w:szCs w:val="20"/>
                <w:color w:val="auto"/>
              </w:rPr>
            </w:pPr>
            <w:r>
              <w:rPr>
                <w:rFonts w:ascii="Arial" w:cs="Arial" w:eastAsia="Arial" w:hAnsi="Arial"/>
                <w:sz w:val="12"/>
                <w:szCs w:val="12"/>
                <w:color w:val="auto"/>
              </w:rPr>
              <w:t>Issuance of</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Series C</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Convertible</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Preferred Stock</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upon net</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exercise of</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warrants</w:t>
            </w:r>
          </w:p>
        </w:tc>
        <w:tc>
          <w:tcPr>
            <w:tcW w:w="660" w:type="dxa"/>
            <w:vAlign w:val="bottom"/>
          </w:tcPr>
          <w:p>
            <w:pPr>
              <w:ind w:left="240"/>
              <w:spacing w:after="0" w:line="132" w:lineRule="exact"/>
              <w:rPr>
                <w:sz w:val="20"/>
                <w:szCs w:val="20"/>
                <w:color w:val="auto"/>
              </w:rPr>
            </w:pPr>
            <w:r>
              <w:rPr>
                <w:rFonts w:ascii="Arial" w:cs="Arial" w:eastAsia="Arial" w:hAnsi="Arial"/>
                <w:sz w:val="12"/>
                <w:szCs w:val="12"/>
                <w:color w:val="auto"/>
                <w:w w:val="92"/>
              </w:rPr>
              <w:t>182,467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6,417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20" w:type="dxa"/>
            <w:vAlign w:val="bottom"/>
            <w:tcBorders>
              <w:right w:val="single" w:sz="8" w:color="auto"/>
            </w:tcBorders>
            <w:gridSpan w:val="3"/>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1"/>
                <w:szCs w:val="11"/>
                <w:color w:val="auto"/>
              </w:rPr>
            </w:pPr>
          </w:p>
        </w:tc>
        <w:tc>
          <w:tcPr>
            <w:tcW w:w="740" w:type="dxa"/>
            <w:vAlign w:val="bottom"/>
            <w:gridSpan w:val="3"/>
          </w:tcPr>
          <w:p>
            <w:pPr>
              <w:ind w:left="500"/>
              <w:spacing w:after="0" w:line="132"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480" w:type="dxa"/>
            <w:vAlign w:val="bottom"/>
            <w:gridSpan w:val="4"/>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20" w:type="dxa"/>
            <w:vAlign w:val="bottom"/>
            <w:gridSpan w:val="2"/>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00" w:type="dxa"/>
            <w:vAlign w:val="bottom"/>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42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gridSpan w:val="3"/>
          </w:tcPr>
          <w:p>
            <w:pPr>
              <w:jc w:val="center"/>
              <w:ind w:right="160"/>
              <w:spacing w:after="0" w:line="132"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tcPr>
          <w:p>
            <w:pPr>
              <w:ind w:left="240"/>
              <w:spacing w:after="0" w:line="132"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540" w:type="dxa"/>
            <w:vAlign w:val="bottom"/>
            <w:gridSpan w:val="4"/>
          </w:tcPr>
          <w:p>
            <w:pPr>
              <w:ind w:left="60"/>
              <w:spacing w:after="0" w:line="132"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6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shd w:val="clear" w:color="auto" w:fill="CCEEFF"/>
          </w:tcPr>
          <w:p>
            <w:pPr>
              <w:spacing w:after="0" w:line="121" w:lineRule="exact"/>
              <w:rPr>
                <w:sz w:val="20"/>
                <w:szCs w:val="20"/>
                <w:color w:val="auto"/>
              </w:rPr>
            </w:pPr>
            <w:r>
              <w:rPr>
                <w:rFonts w:ascii="Arial" w:cs="Arial" w:eastAsia="Arial" w:hAnsi="Arial"/>
                <w:sz w:val="12"/>
                <w:szCs w:val="12"/>
                <w:color w:val="auto"/>
              </w:rPr>
              <w:t>Conversion of</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convertible</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preferred stock</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upon initial</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shd w:val="clear" w:color="auto" w:fill="CCEEFF"/>
          </w:tcPr>
          <w:p>
            <w:pPr>
              <w:ind w:left="120"/>
              <w:spacing w:after="0" w:line="132" w:lineRule="exact"/>
              <w:rPr>
                <w:sz w:val="20"/>
                <w:szCs w:val="20"/>
                <w:color w:val="auto"/>
              </w:rPr>
            </w:pPr>
            <w:r>
              <w:rPr>
                <w:rFonts w:ascii="Arial" w:cs="Arial" w:eastAsia="Arial" w:hAnsi="Arial"/>
                <w:sz w:val="12"/>
                <w:szCs w:val="12"/>
                <w:color w:val="auto"/>
              </w:rPr>
              <w:t>public offering</w:t>
            </w:r>
          </w:p>
        </w:tc>
        <w:tc>
          <w:tcPr>
            <w:tcW w:w="720" w:type="dxa"/>
            <w:vAlign w:val="bottom"/>
            <w:gridSpan w:val="2"/>
            <w:shd w:val="clear" w:color="auto" w:fill="CCEEFF"/>
          </w:tcPr>
          <w:p>
            <w:pPr>
              <w:jc w:val="right"/>
              <w:ind w:right="20"/>
              <w:spacing w:after="0" w:line="132" w:lineRule="exact"/>
              <w:rPr>
                <w:sz w:val="20"/>
                <w:szCs w:val="20"/>
                <w:color w:val="auto"/>
              </w:rPr>
            </w:pPr>
            <w:r>
              <w:rPr>
                <w:rFonts w:ascii="Arial" w:cs="Arial" w:eastAsia="Arial" w:hAnsi="Arial"/>
                <w:sz w:val="12"/>
                <w:szCs w:val="12"/>
                <w:color w:val="auto"/>
                <w:w w:val="99"/>
              </w:rPr>
              <w:t>(54,390,928)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(116,818)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720" w:type="dxa"/>
            <w:vAlign w:val="bottom"/>
            <w:tcBorders>
              <w:right w:val="single" w:sz="8" w:color="auto"/>
            </w:tcBorders>
            <w:gridSpan w:val="3"/>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2" w:lineRule="exact"/>
              <w:rPr>
                <w:sz w:val="20"/>
                <w:szCs w:val="20"/>
                <w:color w:val="auto"/>
              </w:rPr>
            </w:pPr>
            <w:r>
              <w:rPr>
                <w:rFonts w:ascii="Arial" w:cs="Arial" w:eastAsia="Arial" w:hAnsi="Arial"/>
                <w:sz w:val="12"/>
                <w:szCs w:val="12"/>
                <w:color w:val="auto"/>
              </w:rPr>
              <w:t>54,390,928</w:t>
            </w:r>
          </w:p>
        </w:tc>
        <w:tc>
          <w:tcPr>
            <w:tcW w:w="4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28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ind w:left="42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center"/>
              <w:ind w:right="160"/>
              <w:spacing w:after="0" w:line="132"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2"/>
              </w:rPr>
              <w:t>116,813</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4"/>
            <w:shd w:val="clear" w:color="auto" w:fill="CCEEFF"/>
          </w:tcPr>
          <w:p>
            <w:pPr>
              <w:ind w:left="6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560" w:type="dxa"/>
            <w:vAlign w:val="bottom"/>
            <w:gridSpan w:val="3"/>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tcPr>
          <w:p>
            <w:pPr>
              <w:spacing w:after="0" w:line="121" w:lineRule="exact"/>
              <w:rPr>
                <w:sz w:val="20"/>
                <w:szCs w:val="20"/>
                <w:color w:val="auto"/>
              </w:rPr>
            </w:pPr>
            <w:r>
              <w:rPr>
                <w:rFonts w:ascii="Arial" w:cs="Arial" w:eastAsia="Arial" w:hAnsi="Arial"/>
                <w:sz w:val="12"/>
                <w:szCs w:val="12"/>
                <w:color w:val="auto"/>
              </w:rPr>
              <w:t>Conversion of</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redeemable</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convertible</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preferred stock</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upon initial</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public offering</w:t>
            </w:r>
          </w:p>
        </w:tc>
        <w:tc>
          <w:tcPr>
            <w:tcW w:w="800" w:type="dxa"/>
            <w:vAlign w:val="bottom"/>
            <w:gridSpan w:val="4"/>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tcPr>
          <w:p>
            <w:pPr>
              <w:ind w:left="360"/>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(13,811,856)</w:t>
            </w:r>
          </w:p>
        </w:tc>
        <w:tc>
          <w:tcPr>
            <w:tcW w:w="40" w:type="dxa"/>
            <w:vAlign w:val="bottom"/>
          </w:tcPr>
          <w:p>
            <w:pPr>
              <w:spacing w:after="0"/>
              <w:rPr>
                <w:sz w:val="11"/>
                <w:szCs w:val="11"/>
                <w:color w:val="auto"/>
              </w:rPr>
            </w:pPr>
          </w:p>
        </w:tc>
        <w:tc>
          <w:tcPr>
            <w:tcW w:w="640" w:type="dxa"/>
            <w:vAlign w:val="bottom"/>
            <w:gridSpan w:val="3"/>
          </w:tcPr>
          <w:p>
            <w:pPr>
              <w:jc w:val="right"/>
              <w:ind w:right="20"/>
              <w:spacing w:after="0" w:line="132" w:lineRule="exact"/>
              <w:rPr>
                <w:sz w:val="20"/>
                <w:szCs w:val="20"/>
                <w:color w:val="auto"/>
              </w:rPr>
            </w:pPr>
            <w:r>
              <w:rPr>
                <w:rFonts w:ascii="Arial" w:cs="Arial" w:eastAsia="Arial" w:hAnsi="Arial"/>
                <w:sz w:val="12"/>
                <w:szCs w:val="12"/>
                <w:color w:val="auto"/>
              </w:rPr>
              <w:t>(179,517)</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7,823,478</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jc w:val="right"/>
              <w:spacing w:after="0" w:line="132" w:lineRule="exact"/>
              <w:rPr>
                <w:sz w:val="20"/>
                <w:szCs w:val="20"/>
                <w:color w:val="auto"/>
              </w:rPr>
            </w:pPr>
            <w:r>
              <w:rPr>
                <w:rFonts w:ascii="Arial" w:cs="Arial" w:eastAsia="Arial" w:hAnsi="Arial"/>
                <w:sz w:val="12"/>
                <w:szCs w:val="12"/>
                <w:color w:val="auto"/>
              </w:rPr>
              <w:t>1</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40"/>
              <w:spacing w:after="0" w:line="132" w:lineRule="exact"/>
              <w:rPr>
                <w:sz w:val="20"/>
                <w:szCs w:val="20"/>
                <w:color w:val="auto"/>
              </w:rPr>
            </w:pPr>
            <w:r>
              <w:rPr>
                <w:rFonts w:ascii="Arial" w:cs="Arial" w:eastAsia="Arial" w:hAnsi="Arial"/>
                <w:sz w:val="12"/>
                <w:szCs w:val="12"/>
                <w:color w:val="auto"/>
                <w:w w:val="97"/>
              </w:rPr>
              <w:t>5,988,378</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42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gridSpan w:val="3"/>
          </w:tcPr>
          <w:p>
            <w:pPr>
              <w:jc w:val="center"/>
              <w:ind w:right="160"/>
              <w:spacing w:after="0" w:line="132"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Arial" w:cs="Arial" w:eastAsia="Arial" w:hAnsi="Arial"/>
                <w:sz w:val="12"/>
                <w:szCs w:val="12"/>
                <w:color w:val="auto"/>
                <w:w w:val="92"/>
              </w:rPr>
              <w:t>179,515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4"/>
          </w:tcPr>
          <w:p>
            <w:pPr>
              <w:ind w:left="60"/>
              <w:spacing w:after="0" w:line="132"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6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34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179,</w:t>
            </w: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shd w:val="clear" w:color="auto" w:fill="CCEEFF"/>
          </w:tcPr>
          <w:p>
            <w:pPr>
              <w:spacing w:after="0" w:line="121" w:lineRule="exact"/>
              <w:rPr>
                <w:sz w:val="20"/>
                <w:szCs w:val="20"/>
                <w:color w:val="auto"/>
              </w:rPr>
            </w:pPr>
            <w:r>
              <w:rPr>
                <w:rFonts w:ascii="Arial" w:cs="Arial" w:eastAsia="Arial" w:hAnsi="Arial"/>
                <w:sz w:val="12"/>
                <w:szCs w:val="12"/>
                <w:color w:val="auto"/>
              </w:rPr>
              <w:t>Issuance of</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common stock</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upon exercise</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shd w:val="clear" w:color="auto" w:fill="CCEEFF"/>
          </w:tcPr>
          <w:p>
            <w:pPr>
              <w:ind w:left="120"/>
              <w:spacing w:after="0" w:line="132" w:lineRule="exact"/>
              <w:rPr>
                <w:sz w:val="20"/>
                <w:szCs w:val="20"/>
                <w:color w:val="auto"/>
              </w:rPr>
            </w:pPr>
            <w:r>
              <w:rPr>
                <w:rFonts w:ascii="Arial" w:cs="Arial" w:eastAsia="Arial" w:hAnsi="Arial"/>
                <w:sz w:val="12"/>
                <w:szCs w:val="12"/>
                <w:color w:val="auto"/>
              </w:rPr>
              <w:t>of stock options</w:t>
            </w:r>
          </w:p>
        </w:tc>
        <w:tc>
          <w:tcPr>
            <w:tcW w:w="800" w:type="dxa"/>
            <w:vAlign w:val="bottom"/>
            <w:gridSpan w:val="4"/>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tcBorders>
              <w:right w:val="single" w:sz="8" w:color="auto"/>
            </w:tcBorders>
            <w:gridSpan w:val="3"/>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2" w:lineRule="exact"/>
              <w:rPr>
                <w:sz w:val="20"/>
                <w:szCs w:val="20"/>
                <w:color w:val="auto"/>
              </w:rPr>
            </w:pPr>
            <w:r>
              <w:rPr>
                <w:rFonts w:ascii="Arial" w:cs="Arial" w:eastAsia="Arial" w:hAnsi="Arial"/>
                <w:sz w:val="12"/>
                <w:szCs w:val="12"/>
                <w:color w:val="auto"/>
              </w:rPr>
              <w:t>4,117,604</w:t>
            </w:r>
          </w:p>
        </w:tc>
        <w:tc>
          <w:tcPr>
            <w:tcW w:w="4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28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ind w:left="42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center"/>
              <w:ind w:right="160"/>
              <w:spacing w:after="0" w:line="132"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3,791</w:t>
            </w:r>
          </w:p>
        </w:tc>
        <w:tc>
          <w:tcPr>
            <w:tcW w:w="4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4"/>
            <w:shd w:val="clear" w:color="auto" w:fill="CCEEFF"/>
          </w:tcPr>
          <w:p>
            <w:pPr>
              <w:ind w:left="6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560" w:type="dxa"/>
            <w:vAlign w:val="bottom"/>
            <w:gridSpan w:val="3"/>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tcPr>
          <w:p>
            <w:pPr>
              <w:spacing w:after="0" w:line="121" w:lineRule="exact"/>
              <w:rPr>
                <w:sz w:val="20"/>
                <w:szCs w:val="20"/>
                <w:color w:val="auto"/>
              </w:rPr>
            </w:pPr>
            <w:r>
              <w:rPr>
                <w:rFonts w:ascii="Arial" w:cs="Arial" w:eastAsia="Arial" w:hAnsi="Arial"/>
                <w:sz w:val="12"/>
                <w:szCs w:val="12"/>
                <w:color w:val="auto"/>
              </w:rPr>
              <w:t>Reclassification</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of warrant</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liability to</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additional</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paid-in capital</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upon initial</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public offering</w:t>
            </w:r>
          </w:p>
        </w:tc>
        <w:tc>
          <w:tcPr>
            <w:tcW w:w="800" w:type="dxa"/>
            <w:vAlign w:val="bottom"/>
            <w:gridSpan w:val="4"/>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20" w:type="dxa"/>
            <w:vAlign w:val="bottom"/>
            <w:tcBorders>
              <w:right w:val="single" w:sz="8" w:color="auto"/>
            </w:tcBorders>
            <w:gridSpan w:val="3"/>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1"/>
                <w:szCs w:val="11"/>
                <w:color w:val="auto"/>
              </w:rPr>
            </w:pPr>
          </w:p>
        </w:tc>
        <w:tc>
          <w:tcPr>
            <w:tcW w:w="740" w:type="dxa"/>
            <w:vAlign w:val="bottom"/>
            <w:gridSpan w:val="3"/>
          </w:tcPr>
          <w:p>
            <w:pPr>
              <w:ind w:left="500"/>
              <w:spacing w:after="0" w:line="132"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480" w:type="dxa"/>
            <w:vAlign w:val="bottom"/>
            <w:gridSpan w:val="4"/>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20" w:type="dxa"/>
            <w:vAlign w:val="bottom"/>
            <w:gridSpan w:val="2"/>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00" w:type="dxa"/>
            <w:vAlign w:val="bottom"/>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42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gridSpan w:val="3"/>
          </w:tcPr>
          <w:p>
            <w:pPr>
              <w:jc w:val="center"/>
              <w:ind w:right="160"/>
              <w:spacing w:after="0" w:line="132"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6,272</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4"/>
          </w:tcPr>
          <w:p>
            <w:pPr>
              <w:ind w:left="60"/>
              <w:spacing w:after="0" w:line="132"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6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34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shd w:val="clear" w:color="auto" w:fill="CCEEFF"/>
          </w:tcPr>
          <w:p>
            <w:pPr>
              <w:spacing w:after="0" w:line="121" w:lineRule="exact"/>
              <w:rPr>
                <w:sz w:val="20"/>
                <w:szCs w:val="20"/>
                <w:color w:val="auto"/>
              </w:rPr>
            </w:pPr>
            <w:r>
              <w:rPr>
                <w:rFonts w:ascii="Arial" w:cs="Arial" w:eastAsia="Arial" w:hAnsi="Arial"/>
                <w:sz w:val="12"/>
                <w:szCs w:val="12"/>
                <w:color w:val="auto"/>
              </w:rPr>
              <w:t>Exercise of</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common stock</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shd w:val="clear" w:color="auto" w:fill="CCEEFF"/>
          </w:tcPr>
          <w:p>
            <w:pPr>
              <w:ind w:left="120"/>
              <w:spacing w:after="0" w:line="132" w:lineRule="exact"/>
              <w:rPr>
                <w:sz w:val="20"/>
                <w:szCs w:val="20"/>
                <w:color w:val="auto"/>
              </w:rPr>
            </w:pPr>
            <w:r>
              <w:rPr>
                <w:rFonts w:ascii="Arial" w:cs="Arial" w:eastAsia="Arial" w:hAnsi="Arial"/>
                <w:sz w:val="12"/>
                <w:szCs w:val="12"/>
                <w:color w:val="auto"/>
              </w:rPr>
              <w:t>warrants</w:t>
            </w:r>
          </w:p>
        </w:tc>
        <w:tc>
          <w:tcPr>
            <w:tcW w:w="800" w:type="dxa"/>
            <w:vAlign w:val="bottom"/>
            <w:gridSpan w:val="4"/>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720" w:type="dxa"/>
            <w:vAlign w:val="bottom"/>
            <w:tcBorders>
              <w:right w:val="single" w:sz="8" w:color="auto"/>
            </w:tcBorders>
            <w:gridSpan w:val="3"/>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2" w:lineRule="exact"/>
              <w:rPr>
                <w:sz w:val="20"/>
                <w:szCs w:val="20"/>
                <w:color w:val="auto"/>
              </w:rPr>
            </w:pPr>
            <w:r>
              <w:rPr>
                <w:rFonts w:ascii="Arial" w:cs="Arial" w:eastAsia="Arial" w:hAnsi="Arial"/>
                <w:sz w:val="12"/>
                <w:szCs w:val="12"/>
                <w:color w:val="auto"/>
              </w:rPr>
              <w:t>417,021</w:t>
            </w:r>
          </w:p>
        </w:tc>
        <w:tc>
          <w:tcPr>
            <w:tcW w:w="4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4"/>
            <w:shd w:val="clear" w:color="auto" w:fill="CCEEFF"/>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20" w:type="dxa"/>
            <w:vAlign w:val="bottom"/>
            <w:gridSpan w:val="2"/>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28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ind w:left="42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center"/>
              <w:ind w:right="160"/>
              <w:spacing w:after="0" w:line="132"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294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4"/>
            <w:shd w:val="clear" w:color="auto" w:fill="CCEEFF"/>
          </w:tcPr>
          <w:p>
            <w:pPr>
              <w:ind w:left="6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560" w:type="dxa"/>
            <w:vAlign w:val="bottom"/>
            <w:gridSpan w:val="3"/>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tcPr>
          <w:p>
            <w:pPr>
              <w:spacing w:after="0" w:line="121" w:lineRule="exact"/>
              <w:rPr>
                <w:sz w:val="20"/>
                <w:szCs w:val="20"/>
                <w:color w:val="auto"/>
              </w:rPr>
            </w:pPr>
            <w:r>
              <w:rPr>
                <w:rFonts w:ascii="Arial" w:cs="Arial" w:eastAsia="Arial" w:hAnsi="Arial"/>
                <w:sz w:val="12"/>
                <w:szCs w:val="12"/>
                <w:color w:val="auto"/>
              </w:rPr>
              <w:t>Foreign currency</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tcPr>
          <w:p>
            <w:pPr>
              <w:ind w:left="120"/>
              <w:spacing w:after="0" w:line="126" w:lineRule="exact"/>
              <w:rPr>
                <w:sz w:val="20"/>
                <w:szCs w:val="20"/>
                <w:color w:val="auto"/>
              </w:rPr>
            </w:pPr>
            <w:r>
              <w:rPr>
                <w:rFonts w:ascii="Arial" w:cs="Arial" w:eastAsia="Arial" w:hAnsi="Arial"/>
                <w:sz w:val="12"/>
                <w:szCs w:val="12"/>
                <w:color w:val="auto"/>
              </w:rPr>
              <w:t>translation</w:t>
            </w:r>
          </w:p>
        </w:tc>
        <w:tc>
          <w:tcPr>
            <w:tcW w:w="68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adjustment</w:t>
            </w:r>
          </w:p>
        </w:tc>
        <w:tc>
          <w:tcPr>
            <w:tcW w:w="800" w:type="dxa"/>
            <w:vAlign w:val="bottom"/>
            <w:gridSpan w:val="4"/>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20" w:type="dxa"/>
            <w:vAlign w:val="bottom"/>
            <w:tcBorders>
              <w:right w:val="single" w:sz="8" w:color="auto"/>
            </w:tcBorders>
            <w:gridSpan w:val="3"/>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1"/>
                <w:szCs w:val="11"/>
                <w:color w:val="auto"/>
              </w:rPr>
            </w:pPr>
          </w:p>
        </w:tc>
        <w:tc>
          <w:tcPr>
            <w:tcW w:w="740" w:type="dxa"/>
            <w:vAlign w:val="bottom"/>
            <w:gridSpan w:val="3"/>
          </w:tcPr>
          <w:p>
            <w:pPr>
              <w:ind w:left="500"/>
              <w:spacing w:after="0" w:line="132"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480" w:type="dxa"/>
            <w:vAlign w:val="bottom"/>
            <w:gridSpan w:val="4"/>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20" w:type="dxa"/>
            <w:vAlign w:val="bottom"/>
            <w:gridSpan w:val="2"/>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00" w:type="dxa"/>
            <w:vAlign w:val="bottom"/>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42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gridSpan w:val="3"/>
          </w:tcPr>
          <w:p>
            <w:pPr>
              <w:jc w:val="center"/>
              <w:ind w:right="160"/>
              <w:spacing w:after="0" w:line="132"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tcPr>
          <w:p>
            <w:pPr>
              <w:ind w:left="240"/>
              <w:spacing w:after="0" w:line="132"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Arial" w:cs="Arial" w:eastAsia="Arial" w:hAnsi="Arial"/>
                <w:sz w:val="12"/>
                <w:szCs w:val="12"/>
                <w:color w:val="auto"/>
              </w:rPr>
              <w:t>263</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00" w:type="dxa"/>
            <w:vAlign w:val="bottom"/>
            <w:tcBorders>
              <w:right w:val="single" w:sz="8" w:color="auto"/>
            </w:tcBorders>
            <w:gridSpan w:val="17"/>
            <w:shd w:val="clear" w:color="auto" w:fill="CCEEFF"/>
          </w:tcPr>
          <w:p>
            <w:pPr>
              <w:spacing w:after="0" w:line="121" w:lineRule="exact"/>
              <w:rPr>
                <w:sz w:val="20"/>
                <w:szCs w:val="20"/>
                <w:color w:val="auto"/>
              </w:rPr>
            </w:pPr>
            <w:r>
              <w:rPr>
                <w:rFonts w:ascii="Arial" w:cs="Arial" w:eastAsia="Arial" w:hAnsi="Arial"/>
                <w:sz w:val="12"/>
                <w:szCs w:val="12"/>
                <w:color w:val="auto"/>
              </w:rPr>
              <w:t>Stock-based</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17"/>
            <w:shd w:val="clear" w:color="auto" w:fill="CCEEFF"/>
          </w:tcPr>
          <w:p>
            <w:pPr>
              <w:ind w:left="120"/>
              <w:spacing w:after="0" w:line="126" w:lineRule="exact"/>
              <w:rPr>
                <w:sz w:val="20"/>
                <w:szCs w:val="20"/>
                <w:color w:val="auto"/>
              </w:rPr>
            </w:pPr>
            <w:r>
              <w:rPr>
                <w:rFonts w:ascii="Arial" w:cs="Arial" w:eastAsia="Arial" w:hAnsi="Arial"/>
                <w:sz w:val="12"/>
                <w:szCs w:val="12"/>
                <w:color w:val="auto"/>
              </w:rPr>
              <w:t>compensation</w:t>
            </w:r>
          </w:p>
        </w:tc>
        <w:tc>
          <w:tcPr>
            <w:tcW w:w="1100" w:type="dxa"/>
            <w:vAlign w:val="bottom"/>
            <w:tcBorders>
              <w:right w:val="single" w:sz="8" w:color="CCEEFF"/>
            </w:tcBorders>
            <w:gridSpan w:val="6"/>
            <w:shd w:val="clear" w:color="auto" w:fill="CCEEFF"/>
          </w:tcPr>
          <w:p>
            <w:pPr>
              <w:spacing w:after="0"/>
              <w:rPr>
                <w:sz w:val="10"/>
                <w:szCs w:val="10"/>
                <w:color w:val="auto"/>
              </w:rPr>
            </w:pPr>
          </w:p>
        </w:tc>
        <w:tc>
          <w:tcPr>
            <w:tcW w:w="1520" w:type="dxa"/>
            <w:vAlign w:val="bottom"/>
            <w:gridSpan w:val="8"/>
            <w:shd w:val="clear" w:color="auto" w:fill="CCEEFF"/>
          </w:tcPr>
          <w:p>
            <w:pPr>
              <w:spacing w:after="0"/>
              <w:rPr>
                <w:sz w:val="10"/>
                <w:szCs w:val="10"/>
                <w:color w:val="auto"/>
              </w:rPr>
            </w:pPr>
          </w:p>
        </w:tc>
        <w:tc>
          <w:tcPr>
            <w:tcW w:w="2740" w:type="dxa"/>
            <w:vAlign w:val="bottom"/>
            <w:tcBorders>
              <w:left w:val="single" w:sz="8" w:color="CCEEFF"/>
              <w:right w:val="single" w:sz="8" w:color="CCEEFF"/>
            </w:tcBorders>
            <w:gridSpan w:val="16"/>
            <w:shd w:val="clear" w:color="auto" w:fill="CCEEFF"/>
          </w:tcPr>
          <w:p>
            <w:pPr>
              <w:spacing w:after="0"/>
              <w:rPr>
                <w:sz w:val="10"/>
                <w:szCs w:val="10"/>
                <w:color w:val="auto"/>
              </w:rPr>
            </w:pPr>
          </w:p>
        </w:tc>
        <w:tc>
          <w:tcPr>
            <w:tcW w:w="1500" w:type="dxa"/>
            <w:vAlign w:val="bottom"/>
            <w:gridSpan w:val="10"/>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20" w:type="dxa"/>
            <w:vAlign w:val="bottom"/>
            <w:gridSpan w:val="2"/>
            <w:shd w:val="clear" w:color="auto" w:fill="CCEEFF"/>
          </w:tcPr>
          <w:p>
            <w:pPr>
              <w:ind w:left="120"/>
              <w:spacing w:after="0" w:line="132" w:lineRule="exact"/>
              <w:rPr>
                <w:sz w:val="20"/>
                <w:szCs w:val="20"/>
                <w:color w:val="auto"/>
              </w:rPr>
            </w:pPr>
            <w:r>
              <w:rPr>
                <w:rFonts w:ascii="Arial" w:cs="Arial" w:eastAsia="Arial" w:hAnsi="Arial"/>
                <w:sz w:val="12"/>
                <w:szCs w:val="12"/>
                <w:color w:val="auto"/>
              </w:rPr>
              <w:t>expense</w:t>
            </w:r>
          </w:p>
        </w:tc>
        <w:tc>
          <w:tcPr>
            <w:tcW w:w="800" w:type="dxa"/>
            <w:vAlign w:val="bottom"/>
            <w:gridSpan w:val="4"/>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4"/>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ind w:left="48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720" w:type="dxa"/>
            <w:vAlign w:val="bottom"/>
            <w:tcBorders>
              <w:right w:val="single" w:sz="8" w:color="auto"/>
            </w:tcBorders>
            <w:gridSpan w:val="3"/>
            <w:shd w:val="clear" w:color="auto" w:fill="CCEEFF"/>
          </w:tcPr>
          <w:p>
            <w:pPr>
              <w:ind w:left="36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1"/>
                <w:szCs w:val="11"/>
                <w:color w:val="auto"/>
              </w:rPr>
            </w:pPr>
          </w:p>
        </w:tc>
        <w:tc>
          <w:tcPr>
            <w:tcW w:w="740" w:type="dxa"/>
            <w:vAlign w:val="bottom"/>
            <w:gridSpan w:val="3"/>
            <w:shd w:val="clear" w:color="auto" w:fill="CCEEFF"/>
          </w:tcPr>
          <w:p>
            <w:pPr>
              <w:ind w:left="500"/>
              <w:spacing w:after="0" w:line="132" w:lineRule="exact"/>
              <w:rPr>
                <w:sz w:val="20"/>
                <w:szCs w:val="20"/>
                <w:color w:val="auto"/>
              </w:rPr>
            </w:pPr>
            <w:r>
              <w:rPr>
                <w:rFonts w:ascii="Arial" w:cs="Arial" w:eastAsia="Arial" w:hAnsi="Arial"/>
                <w:sz w:val="12"/>
                <w:szCs w:val="12"/>
                <w:color w:val="auto"/>
              </w:rPr>
              <w:t>—</w:t>
            </w:r>
          </w:p>
        </w:tc>
        <w:tc>
          <w:tcPr>
            <w:tcW w:w="2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4"/>
            <w:shd w:val="clear" w:color="auto" w:fill="CCEEFF"/>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620" w:type="dxa"/>
            <w:vAlign w:val="bottom"/>
            <w:gridSpan w:val="2"/>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28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ind w:left="42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center"/>
              <w:ind w:right="160"/>
              <w:spacing w:after="0" w:line="132"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12,760</w:t>
            </w:r>
          </w:p>
        </w:tc>
        <w:tc>
          <w:tcPr>
            <w:tcW w:w="4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4"/>
            <w:shd w:val="clear" w:color="auto" w:fill="CCEEFF"/>
          </w:tcPr>
          <w:p>
            <w:pPr>
              <w:ind w:left="6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560" w:type="dxa"/>
            <w:vAlign w:val="bottom"/>
            <w:gridSpan w:val="3"/>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31"/>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Net loss</w:t>
            </w:r>
          </w:p>
        </w:tc>
        <w:tc>
          <w:tcPr>
            <w:tcW w:w="800" w:type="dxa"/>
            <w:vAlign w:val="bottom"/>
            <w:gridSpan w:val="4"/>
          </w:tcPr>
          <w:p>
            <w:pPr>
              <w:ind w:left="480"/>
              <w:spacing w:after="0" w:line="126" w:lineRule="exact"/>
              <w:rPr>
                <w:sz w:val="20"/>
                <w:szCs w:val="20"/>
                <w:color w:val="auto"/>
              </w:rPr>
            </w:pPr>
            <w:r>
              <w:rPr>
                <w:rFonts w:ascii="Arial" w:cs="Arial" w:eastAsia="Arial" w:hAnsi="Arial"/>
                <w:sz w:val="12"/>
                <w:szCs w:val="12"/>
                <w:color w:val="auto"/>
              </w:rPr>
              <w:t>—</w:t>
            </w:r>
          </w:p>
        </w:tc>
        <w:tc>
          <w:tcPr>
            <w:tcW w:w="660" w:type="dxa"/>
            <w:vAlign w:val="bottom"/>
            <w:gridSpan w:val="4"/>
          </w:tcPr>
          <w:p>
            <w:pPr>
              <w:ind w:left="360"/>
              <w:spacing w:after="0" w:line="126" w:lineRule="exact"/>
              <w:rPr>
                <w:sz w:val="20"/>
                <w:szCs w:val="20"/>
                <w:color w:val="auto"/>
              </w:rPr>
            </w:pPr>
            <w:r>
              <w:rPr>
                <w:rFonts w:ascii="Arial" w:cs="Arial" w:eastAsia="Arial" w:hAnsi="Arial"/>
                <w:sz w:val="12"/>
                <w:szCs w:val="12"/>
                <w:color w:val="auto"/>
              </w:rPr>
              <w:t>—</w:t>
            </w:r>
          </w:p>
        </w:tc>
        <w:tc>
          <w:tcPr>
            <w:tcW w:w="760" w:type="dxa"/>
            <w:vAlign w:val="bottom"/>
            <w:gridSpan w:val="3"/>
          </w:tcPr>
          <w:p>
            <w:pPr>
              <w:ind w:left="48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20" w:type="dxa"/>
            <w:vAlign w:val="bottom"/>
            <w:tcBorders>
              <w:right w:val="single" w:sz="8" w:color="auto"/>
            </w:tcBorders>
            <w:gridSpan w:val="3"/>
          </w:tcPr>
          <w:p>
            <w:pPr>
              <w:ind w:left="360"/>
              <w:spacing w:after="0" w:line="126" w:lineRule="exact"/>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1"/>
                <w:szCs w:val="11"/>
                <w:color w:val="auto"/>
              </w:rPr>
            </w:pPr>
          </w:p>
        </w:tc>
        <w:tc>
          <w:tcPr>
            <w:tcW w:w="740" w:type="dxa"/>
            <w:vAlign w:val="bottom"/>
            <w:gridSpan w:val="3"/>
          </w:tcPr>
          <w:p>
            <w:pPr>
              <w:ind w:left="500"/>
              <w:spacing w:after="0" w:line="126"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480" w:type="dxa"/>
            <w:vAlign w:val="bottom"/>
            <w:gridSpan w:val="4"/>
          </w:tcPr>
          <w:p>
            <w:pPr>
              <w:jc w:val="center"/>
              <w:ind w:right="320"/>
              <w:spacing w:after="0" w:line="126" w:lineRule="exact"/>
              <w:rPr>
                <w:sz w:val="20"/>
                <w:szCs w:val="20"/>
                <w:color w:val="auto"/>
              </w:rPr>
            </w:pPr>
            <w:r>
              <w:rPr>
                <w:rFonts w:ascii="Arial" w:cs="Arial" w:eastAsia="Arial" w:hAnsi="Arial"/>
                <w:sz w:val="12"/>
                <w:szCs w:val="12"/>
                <w:color w:val="auto"/>
                <w:w w:val="99"/>
              </w:rPr>
              <w:t>—</w:t>
            </w:r>
          </w:p>
        </w:tc>
        <w:tc>
          <w:tcPr>
            <w:tcW w:w="620" w:type="dxa"/>
            <w:vAlign w:val="bottom"/>
            <w:gridSpan w:val="2"/>
          </w:tcPr>
          <w:p>
            <w:pPr>
              <w:ind w:left="380"/>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00" w:type="dxa"/>
            <w:vAlign w:val="bottom"/>
          </w:tcPr>
          <w:p>
            <w:pPr>
              <w:jc w:val="center"/>
              <w:ind w:left="21"/>
              <w:spacing w:after="0" w:line="126" w:lineRule="exact"/>
              <w:rPr>
                <w:sz w:val="20"/>
                <w:szCs w:val="20"/>
                <w:color w:val="auto"/>
              </w:rPr>
            </w:pPr>
            <w:r>
              <w:rPr>
                <w:rFonts w:ascii="Arial" w:cs="Arial" w:eastAsia="Arial" w:hAnsi="Arial"/>
                <w:sz w:val="12"/>
                <w:szCs w:val="12"/>
                <w:color w:val="auto"/>
                <w:w w:val="99"/>
              </w:rPr>
              <w:t>—</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420"/>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gridSpan w:val="3"/>
          </w:tcPr>
          <w:p>
            <w:pPr>
              <w:jc w:val="center"/>
              <w:ind w:right="160"/>
              <w:spacing w:after="0" w:line="126"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tcPr>
          <w:p>
            <w:pPr>
              <w:ind w:left="240"/>
              <w:spacing w:after="0" w:line="126"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540" w:type="dxa"/>
            <w:vAlign w:val="bottom"/>
            <w:gridSpan w:val="4"/>
          </w:tcPr>
          <w:p>
            <w:pPr>
              <w:ind w:left="60"/>
              <w:spacing w:after="0" w:line="12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2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(26,798)</w:t>
            </w:r>
          </w:p>
        </w:tc>
        <w:tc>
          <w:tcPr>
            <w:tcW w:w="40" w:type="dxa"/>
            <w:vAlign w:val="bottom"/>
          </w:tcPr>
          <w:p>
            <w:pPr>
              <w:spacing w:after="0"/>
              <w:rPr>
                <w:sz w:val="11"/>
                <w:szCs w:val="11"/>
                <w:color w:val="auto"/>
              </w:rPr>
            </w:pPr>
          </w:p>
        </w:tc>
        <w:tc>
          <w:tcPr>
            <w:tcW w:w="34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06"/>
        </w:trPr>
        <w:tc>
          <w:tcPr>
            <w:tcW w:w="1020" w:type="dxa"/>
            <w:vAlign w:val="bottom"/>
            <w:gridSpan w:val="2"/>
            <w:shd w:val="clear" w:color="auto" w:fill="CCEEFF"/>
          </w:tcPr>
          <w:p>
            <w:pPr>
              <w:spacing w:after="0" w:line="107" w:lineRule="exact"/>
              <w:rPr>
                <w:sz w:val="20"/>
                <w:szCs w:val="20"/>
                <w:color w:val="auto"/>
              </w:rPr>
            </w:pPr>
            <w:r>
              <w:rPr>
                <w:rFonts w:ascii="Arial" w:cs="Arial" w:eastAsia="Arial" w:hAnsi="Arial"/>
                <w:sz w:val="12"/>
                <w:szCs w:val="12"/>
                <w:b w:val="1"/>
                <w:bCs w:val="1"/>
                <w:color w:val="auto"/>
              </w:rPr>
              <w:t>Balances at</w:t>
            </w: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gridSpan w:val="3"/>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gridSpan w:val="3"/>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gridSpan w:val="3"/>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tcBorders>
              <w:right w:val="single" w:sz="8" w:color="auto"/>
            </w:tcBorders>
            <w:gridSpan w:val="2"/>
            <w:shd w:val="clear" w:color="auto" w:fill="CCEEFF"/>
          </w:tcPr>
          <w:p>
            <w:pPr>
              <w:spacing w:after="0"/>
              <w:rPr>
                <w:sz w:val="9"/>
                <w:szCs w:val="9"/>
                <w:color w:val="auto"/>
              </w:rPr>
            </w:pPr>
          </w:p>
        </w:tc>
        <w:tc>
          <w:tcPr>
            <w:tcW w:w="80" w:type="dxa"/>
            <w:vAlign w:val="bottom"/>
            <w:gridSpan w:val="2"/>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280" w:type="dxa"/>
            <w:vAlign w:val="bottom"/>
            <w:gridSpan w:val="3"/>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60" w:type="dxa"/>
            <w:vAlign w:val="bottom"/>
            <w:gridSpan w:val="2"/>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300" w:type="dxa"/>
            <w:vAlign w:val="bottom"/>
            <w:gridSpan w:val="3"/>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80" w:type="dxa"/>
            <w:vAlign w:val="bottom"/>
            <w:gridSpan w:val="3"/>
            <w:shd w:val="clear" w:color="auto" w:fill="CCEEFF"/>
          </w:tcPr>
          <w:p>
            <w:pPr>
              <w:spacing w:after="0"/>
              <w:rPr>
                <w:sz w:val="9"/>
                <w:szCs w:val="9"/>
                <w:color w:val="auto"/>
              </w:rPr>
            </w:pPr>
          </w:p>
        </w:tc>
        <w:tc>
          <w:tcPr>
            <w:tcW w:w="500" w:type="dxa"/>
            <w:vAlign w:val="bottom"/>
            <w:tcBorders>
              <w:top w:val="single" w:sz="8" w:color="auto"/>
            </w:tcBorders>
            <w:gridSpan w:val="2"/>
            <w:shd w:val="clear" w:color="auto" w:fill="CCEEFF"/>
          </w:tcPr>
          <w:p>
            <w:pPr>
              <w:spacing w:after="0"/>
              <w:rPr>
                <w:sz w:val="9"/>
                <w:szCs w:val="9"/>
                <w:color w:val="auto"/>
              </w:rPr>
            </w:pPr>
          </w:p>
        </w:tc>
        <w:tc>
          <w:tcPr>
            <w:tcW w:w="380" w:type="dxa"/>
            <w:vAlign w:val="bottom"/>
            <w:tcBorders>
              <w:right w:val="single" w:sz="8" w:color="CCEEFF"/>
            </w:tcBorders>
            <w:gridSpan w:val="3"/>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300" w:type="dxa"/>
            <w:vAlign w:val="bottom"/>
            <w:gridSpan w:val="3"/>
            <w:shd w:val="clear" w:color="auto" w:fill="CCEEFF"/>
          </w:tcPr>
          <w:p>
            <w:pPr>
              <w:spacing w:after="0"/>
              <w:rPr>
                <w:sz w:val="9"/>
                <w:szCs w:val="9"/>
                <w:color w:val="auto"/>
              </w:rPr>
            </w:pPr>
          </w:p>
        </w:tc>
        <w:tc>
          <w:tcPr>
            <w:tcW w:w="540" w:type="dxa"/>
            <w:vAlign w:val="bottom"/>
            <w:tcBorders>
              <w:top w:val="single" w:sz="8" w:color="auto"/>
            </w:tcBorders>
            <w:gridSpan w:val="2"/>
            <w:shd w:val="clear" w:color="auto" w:fill="CCEEFF"/>
          </w:tcPr>
          <w:p>
            <w:pPr>
              <w:spacing w:after="0"/>
              <w:rPr>
                <w:sz w:val="9"/>
                <w:szCs w:val="9"/>
                <w:color w:val="auto"/>
              </w:rPr>
            </w:pPr>
          </w:p>
        </w:tc>
        <w:tc>
          <w:tcPr>
            <w:tcW w:w="120" w:type="dxa"/>
            <w:vAlign w:val="bottom"/>
            <w:gridSpan w:val="3"/>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20" w:type="dxa"/>
            <w:vAlign w:val="bottom"/>
            <w:gridSpan w:val="2"/>
            <w:shd w:val="clear" w:color="auto" w:fill="CCEEFF"/>
          </w:tcPr>
          <w:p>
            <w:pPr>
              <w:ind w:left="120"/>
              <w:spacing w:after="0"/>
              <w:rPr>
                <w:sz w:val="20"/>
                <w:szCs w:val="20"/>
                <w:color w:val="auto"/>
              </w:rPr>
            </w:pPr>
            <w:r>
              <w:rPr>
                <w:rFonts w:ascii="Arial" w:cs="Arial" w:eastAsia="Arial" w:hAnsi="Arial"/>
                <w:sz w:val="12"/>
                <w:szCs w:val="12"/>
                <w:b w:val="1"/>
                <w:bCs w:val="1"/>
                <w:color w:val="auto"/>
              </w:rPr>
              <w:t>June 30, 2021</w:t>
            </w:r>
          </w:p>
        </w:tc>
        <w:tc>
          <w:tcPr>
            <w:tcW w:w="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40" w:type="dxa"/>
            <w:vAlign w:val="bottom"/>
            <w:gridSpan w:val="3"/>
            <w:shd w:val="clear" w:color="auto" w:fill="CCEEFF"/>
          </w:tcPr>
          <w:p>
            <w:pPr>
              <w:spacing w:after="0"/>
              <w:rPr>
                <w:sz w:val="12"/>
                <w:szCs w:val="12"/>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20" w:type="dxa"/>
            <w:vAlign w:val="bottom"/>
            <w:gridSpan w:val="3"/>
            <w:shd w:val="clear" w:color="auto" w:fill="CCEEFF"/>
          </w:tcPr>
          <w:p>
            <w:pPr>
              <w:spacing w:after="0"/>
              <w:rPr>
                <w:sz w:val="12"/>
                <w:szCs w:val="12"/>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gridSpan w:val="2"/>
            <w:shd w:val="clear" w:color="auto" w:fill="CCEEFF"/>
          </w:tcPr>
          <w:p>
            <w:pPr>
              <w:spacing w:after="0"/>
              <w:rPr>
                <w:sz w:val="12"/>
                <w:szCs w:val="12"/>
                <w:color w:val="auto"/>
              </w:rPr>
            </w:pPr>
          </w:p>
        </w:tc>
        <w:tc>
          <w:tcPr>
            <w:tcW w:w="80" w:type="dxa"/>
            <w:vAlign w:val="bottom"/>
            <w:gridSpan w:val="2"/>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8"/>
              </w:rPr>
              <w:t>100,995,903</w:t>
            </w:r>
          </w:p>
        </w:tc>
        <w:tc>
          <w:tcPr>
            <w:tcW w:w="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2"/>
                <w:szCs w:val="12"/>
                <w:color w:val="auto"/>
                <w:w w:val="97"/>
              </w:rPr>
              <w:t>5,988,378</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280" w:type="dxa"/>
            <w:vAlign w:val="bottom"/>
            <w:tcBorders>
              <w:left w:val="single" w:sz="8" w:color="CCEEFF"/>
            </w:tcBorders>
            <w:shd w:val="clear" w:color="auto" w:fill="CCEEFF"/>
          </w:tcPr>
          <w:p>
            <w:pPr>
              <w:jc w:val="right"/>
              <w:ind w:right="173"/>
              <w:spacing w:after="0"/>
              <w:rPr>
                <w:sz w:val="20"/>
                <w:szCs w:val="20"/>
                <w:color w:val="auto"/>
              </w:rPr>
            </w:pPr>
            <w:r>
              <w:rPr>
                <w:rFonts w:ascii="Arial" w:cs="Arial" w:eastAsia="Arial" w:hAnsi="Arial"/>
                <w:sz w:val="9"/>
                <w:szCs w:val="9"/>
                <w:color w:val="auto"/>
                <w:w w:val="78"/>
              </w:rPr>
              <w:t>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94"/>
              </w:rPr>
              <w:t>(2,317,722)</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center"/>
              <w:ind w:left="1"/>
              <w:spacing w:after="0"/>
              <w:rPr>
                <w:sz w:val="20"/>
                <w:szCs w:val="20"/>
                <w:color w:val="auto"/>
              </w:rPr>
            </w:pPr>
            <w:r>
              <w:rPr>
                <w:rFonts w:ascii="Arial" w:cs="Arial" w:eastAsia="Arial" w:hAnsi="Arial"/>
                <w:sz w:val="12"/>
                <w:szCs w:val="12"/>
                <w:u w:val="single" w:color="auto"/>
                <w:color w:val="auto"/>
                <w:w w:val="94"/>
              </w:rPr>
              <w:t>$</w:t>
            </w:r>
            <w:r>
              <w:rPr>
                <w:rFonts w:ascii="Arial" w:cs="Arial" w:eastAsia="Arial" w:hAnsi="Arial"/>
                <w:sz w:val="12"/>
                <w:szCs w:val="12"/>
                <w:color w:val="auto"/>
                <w:w w:val="94"/>
              </w:rPr>
              <w:t xml:space="preserve"> (748)</w:t>
            </w: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600,236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u w:val="single" w:color="auto"/>
                <w:color w:val="auto"/>
                <w:w w:val="78"/>
              </w:rPr>
              <w:t>$</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2"/>
                <w:szCs w:val="12"/>
                <w:color w:val="auto"/>
                <w:w w:val="96"/>
              </w:rPr>
              <w:t xml:space="preserve">(124,570)  </w:t>
            </w:r>
            <w:r>
              <w:rPr>
                <w:rFonts w:ascii="Arial" w:cs="Arial" w:eastAsia="Arial" w:hAnsi="Arial"/>
                <w:sz w:val="12"/>
                <w:szCs w:val="12"/>
                <w:u w:val="single" w:color="auto"/>
                <w:color w:val="auto"/>
                <w:w w:val="96"/>
              </w:rPr>
              <w:t>$</w:t>
            </w:r>
            <w:r>
              <w:rPr>
                <w:rFonts w:ascii="Arial" w:cs="Arial" w:eastAsia="Arial" w:hAnsi="Arial"/>
                <w:sz w:val="12"/>
                <w:szCs w:val="12"/>
                <w:color w:val="auto"/>
                <w:w w:val="96"/>
              </w:rPr>
              <w:t xml:space="preserve"> 474,</w:t>
            </w:r>
          </w:p>
        </w:tc>
        <w:tc>
          <w:tcPr>
            <w:tcW w:w="0" w:type="dxa"/>
            <w:vAlign w:val="bottom"/>
          </w:tcPr>
          <w:p>
            <w:pPr>
              <w:spacing w:after="0"/>
              <w:rPr>
                <w:sz w:val="1"/>
                <w:szCs w:val="1"/>
                <w:color w:val="auto"/>
              </w:rPr>
            </w:pPr>
          </w:p>
        </w:tc>
      </w:tr>
      <w:tr>
        <w:trPr>
          <w:trHeight w:val="20"/>
        </w:trPr>
        <w:tc>
          <w:tcPr>
            <w:tcW w:w="5100" w:type="dxa"/>
            <w:vAlign w:val="bottom"/>
            <w:tcBorders>
              <w:right w:val="single" w:sz="8" w:color="auto"/>
            </w:tcBorders>
            <w:gridSpan w:val="23"/>
          </w:tcPr>
          <w:p>
            <w:pPr>
              <w:spacing w:after="0" w:line="20" w:lineRule="exact"/>
              <w:rPr>
                <w:sz w:val="1"/>
                <w:szCs w:val="1"/>
                <w:color w:val="auto"/>
              </w:rPr>
            </w:pPr>
          </w:p>
        </w:tc>
        <w:tc>
          <w:tcPr>
            <w:tcW w:w="1520" w:type="dxa"/>
            <w:vAlign w:val="bottom"/>
            <w:gridSpan w:val="8"/>
            <w:shd w:val="clear" w:color="auto" w:fill="000000"/>
          </w:tcPr>
          <w:p>
            <w:pPr>
              <w:spacing w:after="0" w:line="20" w:lineRule="exact"/>
              <w:rPr>
                <w:sz w:val="1"/>
                <w:szCs w:val="1"/>
                <w:color w:val="auto"/>
              </w:rPr>
            </w:pPr>
          </w:p>
        </w:tc>
        <w:tc>
          <w:tcPr>
            <w:tcW w:w="2740" w:type="dxa"/>
            <w:vAlign w:val="bottom"/>
            <w:tcBorders>
              <w:left w:val="single" w:sz="8" w:color="auto"/>
              <w:right w:val="single" w:sz="8" w:color="auto"/>
            </w:tcBorders>
            <w:gridSpan w:val="16"/>
          </w:tcPr>
          <w:p>
            <w:pPr>
              <w:spacing w:after="0" w:line="20" w:lineRule="exact"/>
              <w:rPr>
                <w:sz w:val="1"/>
                <w:szCs w:val="1"/>
                <w:color w:val="auto"/>
              </w:rPr>
            </w:pPr>
          </w:p>
        </w:tc>
        <w:tc>
          <w:tcPr>
            <w:tcW w:w="1500" w:type="dxa"/>
            <w:vAlign w:val="bottom"/>
            <w:gridSpan w:val="10"/>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40"/>
          </w:cols>
          <w:pgMar w:left="320" w:top="464"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0" w:lineRule="exact"/>
        <w:rPr>
          <w:sz w:val="20"/>
          <w:szCs w:val="20"/>
          <w:color w:val="auto"/>
        </w:rPr>
      </w:pPr>
    </w:p>
    <w:tbl>
      <w:tblPr>
        <w:tblLayout w:type="fixed"/>
        <w:tblInd w:w="480" w:type="dxa"/>
        <w:tblCellMar>
          <w:top w:w="0" w:type="dxa"/>
          <w:left w:w="0" w:type="dxa"/>
          <w:bottom w:w="0" w:type="dxa"/>
          <w:right w:w="0" w:type="dxa"/>
        </w:tblCellMar>
      </w:tblPr>
      <w:tr>
        <w:trPr>
          <w:trHeight w:val="146"/>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gridSpan w:val="13"/>
          </w:tcPr>
          <w:p>
            <w:pPr>
              <w:ind w:left="20"/>
              <w:spacing w:after="0"/>
              <w:rPr>
                <w:sz w:val="20"/>
                <w:szCs w:val="20"/>
                <w:color w:val="auto"/>
              </w:rPr>
            </w:pPr>
            <w:r>
              <w:rPr>
                <w:rFonts w:ascii="Arial" w:cs="Arial" w:eastAsia="Arial" w:hAnsi="Arial"/>
                <w:sz w:val="12"/>
                <w:szCs w:val="12"/>
                <w:b w:val="1"/>
                <w:bCs w:val="1"/>
                <w:color w:val="auto"/>
              </w:rPr>
              <w:t>Six Months Ended June 30, 2020</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5"/>
            <w:vMerge w:val="restart"/>
          </w:tcPr>
          <w:p>
            <w:pPr>
              <w:jc w:val="center"/>
              <w:ind w:right="60"/>
              <w:spacing w:after="0"/>
              <w:rPr>
                <w:sz w:val="20"/>
                <w:szCs w:val="20"/>
                <w:color w:val="auto"/>
              </w:rPr>
            </w:pPr>
            <w:r>
              <w:rPr>
                <w:rFonts w:ascii="Arial" w:cs="Arial" w:eastAsia="Arial" w:hAnsi="Arial"/>
                <w:sz w:val="12"/>
                <w:szCs w:val="12"/>
                <w:b w:val="1"/>
                <w:bCs w:val="1"/>
                <w:color w:val="auto"/>
              </w:rPr>
              <w:t>Accumu</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5"/>
            <w:vMerge w:val="continue"/>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4"/>
          </w:tcPr>
          <w:p>
            <w:pPr>
              <w:jc w:val="center"/>
              <w:ind w:right="280"/>
              <w:spacing w:after="0" w:line="126" w:lineRule="exact"/>
              <w:rPr>
                <w:sz w:val="20"/>
                <w:szCs w:val="20"/>
                <w:color w:val="auto"/>
              </w:rPr>
            </w:pPr>
            <w:r>
              <w:rPr>
                <w:rFonts w:ascii="Arial" w:cs="Arial" w:eastAsia="Arial" w:hAnsi="Arial"/>
                <w:sz w:val="12"/>
                <w:szCs w:val="12"/>
                <w:b w:val="1"/>
                <w:bCs w:val="1"/>
                <w:color w:val="auto"/>
                <w:w w:val="99"/>
              </w:rPr>
              <w:t>lated</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4"/>
          </w:tcPr>
          <w:p>
            <w:pPr>
              <w:jc w:val="center"/>
              <w:ind w:right="280"/>
              <w:spacing w:after="0" w:line="126" w:lineRule="exact"/>
              <w:rPr>
                <w:sz w:val="20"/>
                <w:szCs w:val="20"/>
                <w:color w:val="auto"/>
              </w:rPr>
            </w:pPr>
            <w:r>
              <w:rPr>
                <w:rFonts w:ascii="Arial" w:cs="Arial" w:eastAsia="Arial" w:hAnsi="Arial"/>
                <w:sz w:val="12"/>
                <w:szCs w:val="12"/>
                <w:b w:val="1"/>
                <w:bCs w:val="1"/>
                <w:color w:val="auto"/>
                <w:w w:val="99"/>
              </w:rPr>
              <w:t>Other</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T</w:t>
            </w:r>
          </w:p>
        </w:tc>
        <w:tc>
          <w:tcPr>
            <w:tcW w:w="0" w:type="dxa"/>
            <w:vAlign w:val="bottom"/>
          </w:tcPr>
          <w:p>
            <w:pPr>
              <w:spacing w:after="0"/>
              <w:rPr>
                <w:sz w:val="1"/>
                <w:szCs w:val="1"/>
                <w:color w:val="auto"/>
              </w:rPr>
            </w:pPr>
          </w:p>
        </w:tc>
      </w:tr>
      <w:tr>
        <w:trPr>
          <w:trHeight w:val="146"/>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2"/>
                <w:szCs w:val="12"/>
                <w:b w:val="1"/>
                <w:bCs w:val="1"/>
                <w:color w:val="auto"/>
                <w:w w:val="98"/>
              </w:rPr>
              <w:t>Redeemable</w:t>
            </w:r>
          </w:p>
        </w:tc>
        <w:tc>
          <w:tcPr>
            <w:tcW w:w="8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7"/>
          </w:tcPr>
          <w:p>
            <w:pPr>
              <w:ind w:left="280"/>
              <w:spacing w:after="0"/>
              <w:rPr>
                <w:sz w:val="20"/>
                <w:szCs w:val="20"/>
                <w:color w:val="auto"/>
              </w:rPr>
            </w:pPr>
            <w:r>
              <w:rPr>
                <w:rFonts w:ascii="Arial" w:cs="Arial" w:eastAsia="Arial" w:hAnsi="Arial"/>
                <w:sz w:val="12"/>
                <w:szCs w:val="12"/>
                <w:b w:val="1"/>
                <w:bCs w:val="1"/>
                <w:color w:val="auto"/>
              </w:rPr>
              <w:t>Non-Voting</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96"/>
              </w:rPr>
              <w:t>Compre</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rPr>
              <w:t>S</w:t>
            </w:r>
          </w:p>
        </w:tc>
        <w:tc>
          <w:tcPr>
            <w:tcW w:w="0" w:type="dxa"/>
            <w:vAlign w:val="bottom"/>
          </w:tcPr>
          <w:p>
            <w:pPr>
              <w:spacing w:after="0"/>
              <w:rPr>
                <w:sz w:val="1"/>
                <w:szCs w:val="1"/>
                <w:color w:val="auto"/>
              </w:rPr>
            </w:pPr>
          </w:p>
        </w:tc>
      </w:tr>
      <w:tr>
        <w:trPr>
          <w:trHeight w:val="126"/>
        </w:trPr>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gridSpan w:val="9"/>
          </w:tcPr>
          <w:p>
            <w:pPr>
              <w:ind w:left="340"/>
              <w:spacing w:after="0" w:line="126" w:lineRule="exact"/>
              <w:rPr>
                <w:sz w:val="20"/>
                <w:szCs w:val="20"/>
                <w:color w:val="auto"/>
              </w:rPr>
            </w:pPr>
            <w:r>
              <w:rPr>
                <w:rFonts w:ascii="Arial" w:cs="Arial" w:eastAsia="Arial" w:hAnsi="Arial"/>
                <w:sz w:val="12"/>
                <w:szCs w:val="12"/>
                <w:b w:val="1"/>
                <w:bCs w:val="1"/>
                <w:color w:val="auto"/>
              </w:rPr>
              <w:t>Convertible</w:t>
            </w:r>
          </w:p>
        </w:tc>
        <w:tc>
          <w:tcPr>
            <w:tcW w:w="1500" w:type="dxa"/>
            <w:vAlign w:val="bottom"/>
            <w:tcBorders>
              <w:right w:val="single" w:sz="8" w:color="auto"/>
            </w:tcBorders>
            <w:gridSpan w:val="6"/>
          </w:tcPr>
          <w:p>
            <w:pPr>
              <w:jc w:val="center"/>
              <w:ind w:right="160"/>
              <w:spacing w:after="0" w:line="126" w:lineRule="exact"/>
              <w:rPr>
                <w:sz w:val="20"/>
                <w:szCs w:val="20"/>
                <w:color w:val="auto"/>
              </w:rPr>
            </w:pPr>
            <w:r>
              <w:rPr>
                <w:rFonts w:ascii="Arial" w:cs="Arial" w:eastAsia="Arial" w:hAnsi="Arial"/>
                <w:sz w:val="12"/>
                <w:szCs w:val="12"/>
                <w:b w:val="1"/>
                <w:bCs w:val="1"/>
                <w:color w:val="auto"/>
                <w:w w:val="99"/>
              </w:rPr>
              <w:t>Convertible</w:t>
            </w:r>
          </w:p>
        </w:tc>
        <w:tc>
          <w:tcPr>
            <w:tcW w:w="80" w:type="dxa"/>
            <w:vAlign w:val="bottom"/>
            <w:gridSpan w:val="2"/>
          </w:tcPr>
          <w:p>
            <w:pPr>
              <w:spacing w:after="0"/>
              <w:rPr>
                <w:sz w:val="10"/>
                <w:szCs w:val="10"/>
                <w:color w:val="auto"/>
              </w:rPr>
            </w:pPr>
          </w:p>
        </w:tc>
        <w:tc>
          <w:tcPr>
            <w:tcW w:w="1120" w:type="dxa"/>
            <w:vAlign w:val="bottom"/>
            <w:gridSpan w:val="5"/>
          </w:tcPr>
          <w:p>
            <w:pPr>
              <w:ind w:left="500"/>
              <w:spacing w:after="0" w:line="126" w:lineRule="exact"/>
              <w:rPr>
                <w:sz w:val="20"/>
                <w:szCs w:val="20"/>
                <w:color w:val="auto"/>
              </w:rPr>
            </w:pPr>
            <w:r>
              <w:rPr>
                <w:rFonts w:ascii="Arial" w:cs="Arial" w:eastAsia="Arial" w:hAnsi="Arial"/>
                <w:sz w:val="12"/>
                <w:szCs w:val="12"/>
                <w:b w:val="1"/>
                <w:bCs w:val="1"/>
                <w:color w:val="auto"/>
              </w:rPr>
              <w:t>Voting</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7"/>
          </w:tcPr>
          <w:p>
            <w:pPr>
              <w:ind w:left="340"/>
              <w:spacing w:after="0" w:line="126" w:lineRule="exact"/>
              <w:rPr>
                <w:sz w:val="20"/>
                <w:szCs w:val="20"/>
                <w:color w:val="auto"/>
              </w:rPr>
            </w:pPr>
            <w:r>
              <w:rPr>
                <w:rFonts w:ascii="Arial" w:cs="Arial" w:eastAsia="Arial" w:hAnsi="Arial"/>
                <w:sz w:val="12"/>
                <w:szCs w:val="12"/>
                <w:b w:val="1"/>
                <w:bCs w:val="1"/>
                <w:color w:val="auto"/>
              </w:rPr>
              <w:t>Common</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4"/>
          </w:tcPr>
          <w:p>
            <w:pPr>
              <w:ind w:left="200"/>
              <w:spacing w:after="0" w:line="126" w:lineRule="exact"/>
              <w:rPr>
                <w:sz w:val="20"/>
                <w:szCs w:val="20"/>
                <w:color w:val="auto"/>
              </w:rPr>
            </w:pPr>
            <w:r>
              <w:rPr>
                <w:rFonts w:ascii="Arial" w:cs="Arial" w:eastAsia="Arial" w:hAnsi="Arial"/>
                <w:sz w:val="12"/>
                <w:szCs w:val="12"/>
                <w:b w:val="1"/>
                <w:bCs w:val="1"/>
                <w:color w:val="auto"/>
              </w:rPr>
              <w:t>Additional</w:t>
            </w:r>
          </w:p>
        </w:tc>
        <w:tc>
          <w:tcPr>
            <w:tcW w:w="820" w:type="dxa"/>
            <w:vAlign w:val="bottom"/>
            <w:gridSpan w:val="5"/>
          </w:tcPr>
          <w:p>
            <w:pPr>
              <w:jc w:val="center"/>
              <w:ind w:right="60"/>
              <w:spacing w:after="0" w:line="126" w:lineRule="exact"/>
              <w:rPr>
                <w:sz w:val="20"/>
                <w:szCs w:val="20"/>
                <w:color w:val="auto"/>
              </w:rPr>
            </w:pPr>
            <w:r>
              <w:rPr>
                <w:rFonts w:ascii="Arial" w:cs="Arial" w:eastAsia="Arial" w:hAnsi="Arial"/>
                <w:sz w:val="12"/>
                <w:szCs w:val="12"/>
                <w:b w:val="1"/>
                <w:bCs w:val="1"/>
                <w:color w:val="auto"/>
                <w:w w:val="98"/>
              </w:rPr>
              <w:t>hensive</w:t>
            </w:r>
          </w:p>
        </w:tc>
        <w:tc>
          <w:tcPr>
            <w:tcW w:w="580" w:type="dxa"/>
            <w:vAlign w:val="bottom"/>
            <w:gridSpan w:val="3"/>
          </w:tcPr>
          <w:p>
            <w:pPr>
              <w:jc w:val="center"/>
              <w:ind w:right="80"/>
              <w:spacing w:after="0" w:line="126" w:lineRule="exact"/>
              <w:rPr>
                <w:sz w:val="20"/>
                <w:szCs w:val="20"/>
                <w:color w:val="auto"/>
              </w:rPr>
            </w:pPr>
            <w:r>
              <w:rPr>
                <w:rFonts w:ascii="Arial" w:cs="Arial" w:eastAsia="Arial" w:hAnsi="Arial"/>
                <w:sz w:val="12"/>
                <w:szCs w:val="12"/>
                <w:b w:val="1"/>
                <w:bCs w:val="1"/>
                <w:color w:val="auto"/>
                <w:w w:val="97"/>
              </w:rPr>
              <w:t>Accumu</w:t>
            </w:r>
          </w:p>
        </w:tc>
        <w:tc>
          <w:tcPr>
            <w:tcW w:w="40" w:type="dxa"/>
            <w:vAlign w:val="bottom"/>
          </w:tcPr>
          <w:p>
            <w:pPr>
              <w:spacing w:after="0"/>
              <w:rPr>
                <w:sz w:val="10"/>
                <w:szCs w:val="10"/>
                <w:color w:val="auto"/>
              </w:rPr>
            </w:pPr>
          </w:p>
        </w:tc>
        <w:tc>
          <w:tcPr>
            <w:tcW w:w="1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w w:val="95"/>
              </w:rPr>
              <w:t>ho</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9"/>
          </w:tcPr>
          <w:p>
            <w:pPr>
              <w:ind w:left="220"/>
              <w:spacing w:after="0"/>
              <w:rPr>
                <w:sz w:val="20"/>
                <w:szCs w:val="20"/>
                <w:color w:val="auto"/>
              </w:rPr>
            </w:pPr>
            <w:r>
              <w:rPr>
                <w:rFonts w:ascii="Arial" w:cs="Arial" w:eastAsia="Arial" w:hAnsi="Arial"/>
                <w:sz w:val="12"/>
                <w:szCs w:val="12"/>
                <w:b w:val="1"/>
                <w:bCs w:val="1"/>
                <w:color w:val="auto"/>
              </w:rPr>
              <w:t>Preferred Stock</w:t>
            </w:r>
          </w:p>
        </w:tc>
        <w:tc>
          <w:tcPr>
            <w:tcW w:w="150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2"/>
                <w:szCs w:val="12"/>
                <w:b w:val="1"/>
                <w:bCs w:val="1"/>
                <w:color w:val="auto"/>
                <w:w w:val="96"/>
              </w:rPr>
              <w:t>Preferred Stock</w:t>
            </w:r>
          </w:p>
        </w:tc>
        <w:tc>
          <w:tcPr>
            <w:tcW w:w="80" w:type="dxa"/>
            <w:vAlign w:val="bottom"/>
            <w:gridSpan w:val="2"/>
          </w:tcPr>
          <w:p>
            <w:pPr>
              <w:spacing w:after="0"/>
              <w:rPr>
                <w:sz w:val="13"/>
                <w:szCs w:val="13"/>
                <w:color w:val="auto"/>
              </w:rPr>
            </w:pPr>
          </w:p>
        </w:tc>
        <w:tc>
          <w:tcPr>
            <w:tcW w:w="1120" w:type="dxa"/>
            <w:vAlign w:val="bottom"/>
            <w:gridSpan w:val="5"/>
          </w:tcPr>
          <w:p>
            <w:pPr>
              <w:ind w:left="240"/>
              <w:spacing w:after="0"/>
              <w:rPr>
                <w:sz w:val="20"/>
                <w:szCs w:val="20"/>
                <w:color w:val="auto"/>
              </w:rPr>
            </w:pPr>
            <w:r>
              <w:rPr>
                <w:rFonts w:ascii="Arial" w:cs="Arial" w:eastAsia="Arial" w:hAnsi="Arial"/>
                <w:sz w:val="12"/>
                <w:szCs w:val="12"/>
                <w:b w:val="1"/>
                <w:bCs w:val="1"/>
                <w:color w:val="auto"/>
                <w:w w:val="97"/>
              </w:rPr>
              <w:t>Common Stock</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gridSpan w:val="7"/>
          </w:tcPr>
          <w:p>
            <w:pPr>
              <w:ind w:left="440"/>
              <w:spacing w:after="0"/>
              <w:rPr>
                <w:sz w:val="20"/>
                <w:szCs w:val="20"/>
                <w:color w:val="auto"/>
              </w:rPr>
            </w:pPr>
            <w:r>
              <w:rPr>
                <w:rFonts w:ascii="Arial" w:cs="Arial" w:eastAsia="Arial" w:hAnsi="Arial"/>
                <w:sz w:val="12"/>
                <w:szCs w:val="12"/>
                <w:b w:val="1"/>
                <w:bCs w:val="1"/>
                <w:color w:val="auto"/>
              </w:rPr>
              <w:t>Stock</w:t>
            </w:r>
          </w:p>
        </w:tc>
        <w:tc>
          <w:tcPr>
            <w:tcW w:w="1480" w:type="dxa"/>
            <w:vAlign w:val="bottom"/>
            <w:gridSpan w:val="7"/>
          </w:tcPr>
          <w:p>
            <w:pPr>
              <w:ind w:left="280"/>
              <w:spacing w:after="0"/>
              <w:rPr>
                <w:sz w:val="20"/>
                <w:szCs w:val="20"/>
                <w:color w:val="auto"/>
              </w:rPr>
            </w:pPr>
            <w:r>
              <w:rPr>
                <w:rFonts w:ascii="Arial" w:cs="Arial" w:eastAsia="Arial" w:hAnsi="Arial"/>
                <w:sz w:val="12"/>
                <w:szCs w:val="12"/>
                <w:b w:val="1"/>
                <w:bCs w:val="1"/>
                <w:color w:val="auto"/>
              </w:rPr>
              <w:t>Treasury Stock</w:t>
            </w:r>
          </w:p>
        </w:tc>
        <w:tc>
          <w:tcPr>
            <w:tcW w:w="28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Paid-In</w:t>
            </w:r>
          </w:p>
        </w:tc>
        <w:tc>
          <w:tcPr>
            <w:tcW w:w="82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95"/>
              </w:rPr>
              <w:t>Income</w:t>
            </w:r>
          </w:p>
        </w:tc>
        <w:tc>
          <w:tcPr>
            <w:tcW w:w="5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2"/>
              </w:rPr>
              <w:t>lated</w:t>
            </w:r>
          </w:p>
        </w:tc>
        <w:tc>
          <w:tcPr>
            <w:tcW w:w="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rPr>
              <w:t>E</w:t>
            </w: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ind w:left="100"/>
              <w:spacing w:after="0" w:line="132" w:lineRule="exact"/>
              <w:rPr>
                <w:sz w:val="20"/>
                <w:szCs w:val="20"/>
                <w:color w:val="auto"/>
              </w:rPr>
            </w:pPr>
            <w:r>
              <w:rPr>
                <w:rFonts w:ascii="Arial" w:cs="Arial" w:eastAsia="Arial" w:hAnsi="Arial"/>
                <w:sz w:val="12"/>
                <w:szCs w:val="12"/>
                <w:b w:val="1"/>
                <w:bCs w:val="1"/>
                <w:color w:val="auto"/>
              </w:rPr>
              <w:t>Shares</w:t>
            </w: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4"/>
          </w:tcPr>
          <w:p>
            <w:pPr>
              <w:ind w:left="140"/>
              <w:spacing w:after="0" w:line="132" w:lineRule="exact"/>
              <w:rPr>
                <w:sz w:val="20"/>
                <w:szCs w:val="20"/>
                <w:color w:val="auto"/>
              </w:rPr>
            </w:pPr>
            <w:r>
              <w:rPr>
                <w:rFonts w:ascii="Arial" w:cs="Arial" w:eastAsia="Arial" w:hAnsi="Arial"/>
                <w:sz w:val="12"/>
                <w:szCs w:val="12"/>
                <w:b w:val="1"/>
                <w:bCs w:val="1"/>
                <w:color w:val="auto"/>
              </w:rPr>
              <w:t>Shares</w:t>
            </w:r>
          </w:p>
        </w:tc>
        <w:tc>
          <w:tcPr>
            <w:tcW w:w="580" w:type="dxa"/>
            <w:vAlign w:val="bottom"/>
            <w:tcBorders>
              <w:top w:val="single" w:sz="8" w:color="auto"/>
            </w:tcBorders>
          </w:tcPr>
          <w:p>
            <w:pPr>
              <w:ind w:left="60"/>
              <w:spacing w:after="0" w:line="132" w:lineRule="exact"/>
              <w:rPr>
                <w:sz w:val="20"/>
                <w:szCs w:val="20"/>
                <w:color w:val="auto"/>
              </w:rPr>
            </w:pPr>
            <w:r>
              <w:rPr>
                <w:rFonts w:ascii="Arial" w:cs="Arial" w:eastAsia="Arial" w:hAnsi="Arial"/>
                <w:sz w:val="12"/>
                <w:szCs w:val="12"/>
                <w:b w:val="1"/>
                <w:bCs w:val="1"/>
                <w:color w:val="auto"/>
              </w:rPr>
              <w:t>Amount</w:t>
            </w: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Shares</w:t>
            </w:r>
          </w:p>
        </w:tc>
        <w:tc>
          <w:tcPr>
            <w:tcW w:w="680" w:type="dxa"/>
            <w:vAlign w:val="bottom"/>
            <w:tcBorders>
              <w:top w:val="single" w:sz="8" w:color="auto"/>
            </w:tcBorders>
            <w:gridSpan w:val="4"/>
          </w:tcPr>
          <w:p>
            <w:pPr>
              <w:jc w:val="center"/>
              <w:spacing w:after="0" w:line="132" w:lineRule="exact"/>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ind w:left="40"/>
              <w:spacing w:after="0" w:line="132" w:lineRule="exact"/>
              <w:rPr>
                <w:sz w:val="20"/>
                <w:szCs w:val="20"/>
                <w:color w:val="auto"/>
              </w:rPr>
            </w:pPr>
            <w:r>
              <w:rPr>
                <w:rFonts w:ascii="Arial" w:cs="Arial" w:eastAsia="Arial" w:hAnsi="Arial"/>
                <w:sz w:val="12"/>
                <w:szCs w:val="12"/>
                <w:b w:val="1"/>
                <w:bCs w:val="1"/>
                <w:color w:val="auto"/>
              </w:rPr>
              <w:t>Shares</w:t>
            </w:r>
          </w:p>
        </w:tc>
        <w:tc>
          <w:tcPr>
            <w:tcW w:w="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3"/>
          </w:tcPr>
          <w:p>
            <w:pPr>
              <w:jc w:val="center"/>
              <w:spacing w:after="0" w:line="132" w:lineRule="exact"/>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Shares</w:t>
            </w:r>
          </w:p>
        </w:tc>
        <w:tc>
          <w:tcPr>
            <w:tcW w:w="740" w:type="dxa"/>
            <w:vAlign w:val="bottom"/>
            <w:tcBorders>
              <w:top w:val="single" w:sz="8" w:color="auto"/>
            </w:tcBorders>
            <w:gridSpan w:val="3"/>
          </w:tcPr>
          <w:p>
            <w:pPr>
              <w:ind w:left="140"/>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Capital</w:t>
            </w:r>
          </w:p>
        </w:tc>
        <w:tc>
          <w:tcPr>
            <w:tcW w:w="82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99"/>
              </w:rPr>
              <w:t>(Loss)</w:t>
            </w:r>
          </w:p>
        </w:tc>
        <w:tc>
          <w:tcPr>
            <w:tcW w:w="580" w:type="dxa"/>
            <w:vAlign w:val="bottom"/>
            <w:gridSpan w:val="3"/>
          </w:tcPr>
          <w:p>
            <w:pPr>
              <w:jc w:val="center"/>
              <w:ind w:right="60"/>
              <w:spacing w:after="0" w:line="132" w:lineRule="exact"/>
              <w:rPr>
                <w:sz w:val="20"/>
                <w:szCs w:val="20"/>
                <w:color w:val="auto"/>
              </w:rPr>
            </w:pPr>
            <w:r>
              <w:rPr>
                <w:rFonts w:ascii="Arial" w:cs="Arial" w:eastAsia="Arial" w:hAnsi="Arial"/>
                <w:sz w:val="12"/>
                <w:szCs w:val="12"/>
                <w:b w:val="1"/>
                <w:bCs w:val="1"/>
                <w:color w:val="auto"/>
                <w:w w:val="98"/>
              </w:rPr>
              <w:t>Deficit</w:t>
            </w:r>
          </w:p>
        </w:tc>
        <w:tc>
          <w:tcPr>
            <w:tcW w:w="40" w:type="dxa"/>
            <w:vAlign w:val="bottom"/>
          </w:tcPr>
          <w:p>
            <w:pPr>
              <w:spacing w:after="0"/>
              <w:rPr>
                <w:sz w:val="11"/>
                <w:szCs w:val="11"/>
                <w:color w:val="auto"/>
              </w:rPr>
            </w:pPr>
          </w:p>
        </w:tc>
        <w:tc>
          <w:tcPr>
            <w:tcW w:w="16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(D</w:t>
            </w:r>
          </w:p>
        </w:tc>
        <w:tc>
          <w:tcPr>
            <w:tcW w:w="0" w:type="dxa"/>
            <w:vAlign w:val="bottom"/>
          </w:tcPr>
          <w:p>
            <w:pPr>
              <w:spacing w:after="0"/>
              <w:rPr>
                <w:sz w:val="1"/>
                <w:szCs w:val="1"/>
                <w:color w:val="auto"/>
              </w:rPr>
            </w:pPr>
          </w:p>
        </w:tc>
      </w:tr>
      <w:tr>
        <w:trPr>
          <w:trHeight w:val="86"/>
        </w:trPr>
        <w:tc>
          <w:tcPr>
            <w:tcW w:w="920" w:type="dxa"/>
            <w:vAlign w:val="bottom"/>
            <w:tcBorders>
              <w:top w:val="single" w:sz="8" w:color="CCEEFF"/>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Balances at</w:t>
            </w:r>
          </w:p>
        </w:tc>
        <w:tc>
          <w:tcPr>
            <w:tcW w:w="68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gridSpan w:val="4"/>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gridSpan w:val="2"/>
            <w:shd w:val="clear" w:color="auto" w:fill="CCEEFF"/>
          </w:tcPr>
          <w:p>
            <w:pPr>
              <w:spacing w:after="0"/>
              <w:rPr>
                <w:sz w:val="7"/>
                <w:szCs w:val="7"/>
                <w:color w:val="auto"/>
              </w:rPr>
            </w:pPr>
          </w:p>
        </w:tc>
        <w:tc>
          <w:tcPr>
            <w:tcW w:w="140" w:type="dxa"/>
            <w:vAlign w:val="bottom"/>
            <w:tcBorders>
              <w:top w:val="single" w:sz="8" w:color="CCEEFF"/>
              <w:right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gridSpan w:val="4"/>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98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gridSpan w:val="3"/>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960" w:type="dxa"/>
            <w:vAlign w:val="bottom"/>
            <w:gridSpan w:val="2"/>
            <w:shd w:val="clear" w:color="auto" w:fill="CCEEFF"/>
          </w:tcPr>
          <w:p>
            <w:pPr>
              <w:ind w:left="120"/>
              <w:spacing w:after="0" w:line="126" w:lineRule="exact"/>
              <w:rPr>
                <w:sz w:val="20"/>
                <w:szCs w:val="20"/>
                <w:color w:val="auto"/>
              </w:rPr>
            </w:pPr>
            <w:r>
              <w:rPr>
                <w:rFonts w:ascii="Arial" w:cs="Arial" w:eastAsia="Arial" w:hAnsi="Arial"/>
                <w:sz w:val="12"/>
                <w:szCs w:val="12"/>
                <w:b w:val="1"/>
                <w:bCs w:val="1"/>
                <w:color w:val="auto"/>
              </w:rPr>
              <w:t>December 31,</w:t>
            </w: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2019</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ind w:left="40"/>
              <w:spacing w:after="0"/>
              <w:rPr>
                <w:sz w:val="20"/>
                <w:szCs w:val="20"/>
                <w:color w:val="auto"/>
              </w:rPr>
            </w:pPr>
            <w:r>
              <w:rPr>
                <w:rFonts w:ascii="Arial" w:cs="Arial" w:eastAsia="Arial" w:hAnsi="Arial"/>
                <w:sz w:val="12"/>
                <w:szCs w:val="12"/>
                <w:color w:val="auto"/>
                <w:w w:val="93"/>
              </w:rPr>
              <w:t>54,208,461</w:t>
            </w:r>
          </w:p>
        </w:tc>
        <w:tc>
          <w:tcPr>
            <w:tcW w:w="18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w w:val="96"/>
              </w:rPr>
              <w:t>110,401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4"/>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720" w:type="dxa"/>
            <w:vAlign w:val="bottom"/>
            <w:tcBorders>
              <w:right w:val="single" w:sz="8" w:color="auto"/>
            </w:tcBorders>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20,494,146</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2</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center"/>
              <w:ind w:right="320"/>
              <w:spacing w:after="0"/>
              <w:rPr>
                <w:sz w:val="20"/>
                <w:szCs w:val="20"/>
                <w:color w:val="auto"/>
              </w:rPr>
            </w:pPr>
            <w:r>
              <w:rPr>
                <w:rFonts w:ascii="Arial" w:cs="Arial" w:eastAsia="Arial" w:hAnsi="Arial"/>
                <w:sz w:val="12"/>
                <w:szCs w:val="12"/>
                <w:color w:val="auto"/>
                <w:w w:val="99"/>
              </w:rPr>
              <w:t>—</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97"/>
              </w:rPr>
              <w:t>(2,317,722)</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2"/>
                <w:szCs w:val="12"/>
                <w:color w:val="auto"/>
                <w:w w:val="94"/>
              </w:rPr>
              <w:t>$ (748)</w:t>
            </w:r>
          </w:p>
        </w:tc>
        <w:tc>
          <w:tcPr>
            <w:tcW w:w="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$ 12,031</w:t>
            </w: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$ 102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1"/>
              </w:rPr>
              <w:t>$ (86,665)</w:t>
            </w:r>
          </w:p>
        </w:tc>
        <w:tc>
          <w:tcPr>
            <w:tcW w:w="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20"/>
        </w:trPr>
        <w:tc>
          <w:tcPr>
            <w:tcW w:w="960" w:type="dxa"/>
            <w:vAlign w:val="bottom"/>
            <w:gridSpan w:val="2"/>
          </w:tcPr>
          <w:p>
            <w:pPr>
              <w:spacing w:after="0" w:line="121" w:lineRule="exact"/>
              <w:rPr>
                <w:sz w:val="20"/>
                <w:szCs w:val="20"/>
                <w:color w:val="auto"/>
              </w:rPr>
            </w:pPr>
            <w:r>
              <w:rPr>
                <w:rFonts w:ascii="Arial" w:cs="Arial" w:eastAsia="Arial" w:hAnsi="Arial"/>
                <w:sz w:val="12"/>
                <w:szCs w:val="12"/>
                <w:color w:val="auto"/>
              </w:rPr>
              <w:t>Issuance of</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gridSpan w:val="2"/>
          </w:tcPr>
          <w:p>
            <w:pPr>
              <w:ind w:left="120"/>
              <w:spacing w:after="0" w:line="126" w:lineRule="exact"/>
              <w:rPr>
                <w:sz w:val="20"/>
                <w:szCs w:val="20"/>
                <w:color w:val="auto"/>
              </w:rPr>
            </w:pPr>
            <w:r>
              <w:rPr>
                <w:rFonts w:ascii="Arial" w:cs="Arial" w:eastAsia="Arial" w:hAnsi="Arial"/>
                <w:sz w:val="12"/>
                <w:szCs w:val="12"/>
                <w:color w:val="auto"/>
              </w:rPr>
              <w:t>common stock</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gridSpan w:val="2"/>
          </w:tcPr>
          <w:p>
            <w:pPr>
              <w:ind w:left="120"/>
              <w:spacing w:after="0" w:line="126" w:lineRule="exact"/>
              <w:rPr>
                <w:sz w:val="20"/>
                <w:szCs w:val="20"/>
                <w:color w:val="auto"/>
              </w:rPr>
            </w:pPr>
            <w:r>
              <w:rPr>
                <w:rFonts w:ascii="Arial" w:cs="Arial" w:eastAsia="Arial" w:hAnsi="Arial"/>
                <w:sz w:val="12"/>
                <w:szCs w:val="12"/>
                <w:color w:val="auto"/>
              </w:rPr>
              <w:t>upon exercise</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gridSpan w:val="2"/>
          </w:tcPr>
          <w:p>
            <w:pPr>
              <w:ind w:left="120"/>
              <w:spacing w:after="0" w:line="126" w:lineRule="exact"/>
              <w:rPr>
                <w:sz w:val="20"/>
                <w:szCs w:val="20"/>
                <w:color w:val="auto"/>
              </w:rPr>
            </w:pPr>
            <w:r>
              <w:rPr>
                <w:rFonts w:ascii="Arial" w:cs="Arial" w:eastAsia="Arial" w:hAnsi="Arial"/>
                <w:sz w:val="12"/>
                <w:szCs w:val="12"/>
                <w:color w:val="auto"/>
              </w:rPr>
              <w:t>of stock</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96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options</w:t>
            </w:r>
          </w:p>
        </w:tc>
        <w:tc>
          <w:tcPr>
            <w:tcW w:w="620" w:type="dxa"/>
            <w:vAlign w:val="bottom"/>
          </w:tcPr>
          <w:p>
            <w:pPr>
              <w:ind w:left="440"/>
              <w:spacing w:after="0" w:line="13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ind w:left="380"/>
              <w:spacing w:after="0" w:line="132" w:lineRule="exact"/>
              <w:rPr>
                <w:sz w:val="20"/>
                <w:szCs w:val="20"/>
                <w:color w:val="auto"/>
              </w:rPr>
            </w:pPr>
            <w:r>
              <w:rPr>
                <w:rFonts w:ascii="Arial" w:cs="Arial" w:eastAsia="Arial" w:hAnsi="Arial"/>
                <w:sz w:val="12"/>
                <w:szCs w:val="12"/>
                <w:color w:val="auto"/>
              </w:rPr>
              <w:t>—</w:t>
            </w:r>
          </w:p>
        </w:tc>
        <w:tc>
          <w:tcPr>
            <w:tcW w:w="780" w:type="dxa"/>
            <w:vAlign w:val="bottom"/>
            <w:gridSpan w:val="4"/>
          </w:tcPr>
          <w:p>
            <w:pPr>
              <w:ind w:left="520"/>
              <w:spacing w:after="0" w:line="132" w:lineRule="exact"/>
              <w:rPr>
                <w:sz w:val="20"/>
                <w:szCs w:val="20"/>
                <w:color w:val="auto"/>
              </w:rPr>
            </w:pPr>
            <w:r>
              <w:rPr>
                <w:rFonts w:ascii="Arial" w:cs="Arial" w:eastAsia="Arial" w:hAnsi="Arial"/>
                <w:sz w:val="12"/>
                <w:szCs w:val="12"/>
                <w:color w:val="auto"/>
              </w:rPr>
              <w:t>—</w:t>
            </w:r>
          </w:p>
        </w:tc>
        <w:tc>
          <w:tcPr>
            <w:tcW w:w="720" w:type="dxa"/>
            <w:vAlign w:val="bottom"/>
            <w:tcBorders>
              <w:right w:val="single" w:sz="8" w:color="auto"/>
            </w:tcBorders>
            <w:gridSpan w:val="2"/>
          </w:tcPr>
          <w:p>
            <w:pPr>
              <w:ind w:left="40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1"/>
                <w:szCs w:val="11"/>
                <w:color w:val="auto"/>
              </w:rPr>
            </w:pP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1,372,671</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ind w:left="34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4"/>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700" w:type="dxa"/>
            <w:vAlign w:val="bottom"/>
            <w:gridSpan w:val="3"/>
          </w:tcPr>
          <w:p>
            <w:pPr>
              <w:ind w:left="420"/>
              <w:spacing w:after="0" w:line="132"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80" w:type="dxa"/>
            <w:vAlign w:val="bottom"/>
            <w:gridSpan w:val="3"/>
          </w:tcPr>
          <w:p>
            <w:pPr>
              <w:jc w:val="center"/>
              <w:ind w:right="180"/>
              <w:spacing w:after="0" w:line="132" w:lineRule="exact"/>
              <w:rPr>
                <w:sz w:val="20"/>
                <w:szCs w:val="20"/>
                <w:color w:val="auto"/>
              </w:rPr>
            </w:pPr>
            <w:r>
              <w:rPr>
                <w:rFonts w:ascii="Arial" w:cs="Arial" w:eastAsia="Arial" w:hAnsi="Arial"/>
                <w:sz w:val="12"/>
                <w:szCs w:val="12"/>
                <w:color w:val="auto"/>
                <w:w w:val="99"/>
              </w:rPr>
              <w:t>—</w:t>
            </w:r>
          </w:p>
        </w:tc>
        <w:tc>
          <w:tcPr>
            <w:tcW w:w="980" w:type="dxa"/>
            <w:vAlign w:val="bottom"/>
            <w:gridSpan w:val="3"/>
          </w:tcPr>
          <w:p>
            <w:pPr>
              <w:jc w:val="right"/>
              <w:ind w:right="260"/>
              <w:spacing w:after="0" w:line="132" w:lineRule="exact"/>
              <w:rPr>
                <w:sz w:val="20"/>
                <w:szCs w:val="20"/>
                <w:color w:val="auto"/>
              </w:rPr>
            </w:pPr>
            <w:r>
              <w:rPr>
                <w:rFonts w:ascii="Arial" w:cs="Arial" w:eastAsia="Arial" w:hAnsi="Arial"/>
                <w:sz w:val="12"/>
                <w:szCs w:val="12"/>
                <w:color w:val="auto"/>
              </w:rPr>
              <w:t>520</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4"/>
          </w:tcPr>
          <w:p>
            <w:pPr>
              <w:ind w:left="140"/>
              <w:spacing w:after="0" w:line="132" w:lineRule="exact"/>
              <w:rPr>
                <w:sz w:val="20"/>
                <w:szCs w:val="20"/>
                <w:color w:val="auto"/>
              </w:rPr>
            </w:pPr>
            <w:r>
              <w:rPr>
                <w:rFonts w:ascii="Arial" w:cs="Arial" w:eastAsia="Arial" w:hAnsi="Arial"/>
                <w:sz w:val="12"/>
                <w:szCs w:val="12"/>
                <w:color w:val="auto"/>
              </w:rPr>
              <w:t>—</w:t>
            </w:r>
          </w:p>
        </w:tc>
        <w:tc>
          <w:tcPr>
            <w:tcW w:w="58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6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color w:val="auto"/>
              </w:rPr>
              <w:t>Issuance of</w:t>
            </w: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gridSpan w:val="2"/>
            <w:shd w:val="clear" w:color="auto" w:fill="CCEEFF"/>
          </w:tcPr>
          <w:p>
            <w:pPr>
              <w:ind w:left="120"/>
              <w:spacing w:after="0" w:line="126" w:lineRule="exact"/>
              <w:rPr>
                <w:sz w:val="20"/>
                <w:szCs w:val="20"/>
                <w:color w:val="auto"/>
              </w:rPr>
            </w:pPr>
            <w:r>
              <w:rPr>
                <w:rFonts w:ascii="Arial" w:cs="Arial" w:eastAsia="Arial" w:hAnsi="Arial"/>
                <w:sz w:val="12"/>
                <w:szCs w:val="12"/>
                <w:color w:val="auto"/>
              </w:rPr>
              <w:t>Series E</w:t>
            </w: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gridSpan w:val="2"/>
            <w:shd w:val="clear" w:color="auto" w:fill="CCEEFF"/>
          </w:tcPr>
          <w:p>
            <w:pPr>
              <w:ind w:left="120"/>
              <w:spacing w:after="0" w:line="126" w:lineRule="exact"/>
              <w:rPr>
                <w:sz w:val="20"/>
                <w:szCs w:val="20"/>
                <w:color w:val="auto"/>
              </w:rPr>
            </w:pPr>
            <w:r>
              <w:rPr>
                <w:rFonts w:ascii="Arial" w:cs="Arial" w:eastAsia="Arial" w:hAnsi="Arial"/>
                <w:sz w:val="12"/>
                <w:szCs w:val="12"/>
                <w:color w:val="auto"/>
              </w:rPr>
              <w:t>redeemable</w:t>
            </w: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gridSpan w:val="2"/>
            <w:shd w:val="clear" w:color="auto" w:fill="CCEEFF"/>
          </w:tcPr>
          <w:p>
            <w:pPr>
              <w:ind w:left="120"/>
              <w:spacing w:after="0" w:line="126" w:lineRule="exact"/>
              <w:rPr>
                <w:sz w:val="20"/>
                <w:szCs w:val="20"/>
                <w:color w:val="auto"/>
              </w:rPr>
            </w:pPr>
            <w:r>
              <w:rPr>
                <w:rFonts w:ascii="Arial" w:cs="Arial" w:eastAsia="Arial" w:hAnsi="Arial"/>
                <w:sz w:val="12"/>
                <w:szCs w:val="12"/>
                <w:color w:val="auto"/>
              </w:rPr>
              <w:t>convertible</w:t>
            </w: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gridSpan w:val="2"/>
            <w:shd w:val="clear" w:color="auto" w:fill="CCEEFF"/>
          </w:tcPr>
          <w:p>
            <w:pPr>
              <w:ind w:left="120"/>
              <w:spacing w:after="0" w:line="126" w:lineRule="exact"/>
              <w:rPr>
                <w:sz w:val="20"/>
                <w:szCs w:val="20"/>
                <w:color w:val="auto"/>
              </w:rPr>
            </w:pPr>
            <w:r>
              <w:rPr>
                <w:rFonts w:ascii="Arial" w:cs="Arial" w:eastAsia="Arial" w:hAnsi="Arial"/>
                <w:sz w:val="12"/>
                <w:szCs w:val="12"/>
                <w:color w:val="auto"/>
              </w:rPr>
              <w:t>preferred</w:t>
            </w: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gridSpan w:val="2"/>
            <w:shd w:val="clear" w:color="auto" w:fill="CCEEFF"/>
          </w:tcPr>
          <w:p>
            <w:pPr>
              <w:ind w:left="120"/>
              <w:spacing w:after="0" w:line="126" w:lineRule="exact"/>
              <w:rPr>
                <w:sz w:val="20"/>
                <w:szCs w:val="20"/>
                <w:color w:val="auto"/>
              </w:rPr>
            </w:pPr>
            <w:r>
              <w:rPr>
                <w:rFonts w:ascii="Arial" w:cs="Arial" w:eastAsia="Arial" w:hAnsi="Arial"/>
                <w:sz w:val="12"/>
                <w:szCs w:val="12"/>
                <w:color w:val="auto"/>
              </w:rPr>
              <w:t>stock, net of</w:t>
            </w: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gridSpan w:val="2"/>
            <w:shd w:val="clear" w:color="auto" w:fill="CCEEFF"/>
          </w:tcPr>
          <w:p>
            <w:pPr>
              <w:ind w:left="120"/>
              <w:spacing w:after="0" w:line="126" w:lineRule="exact"/>
              <w:rPr>
                <w:sz w:val="20"/>
                <w:szCs w:val="20"/>
                <w:color w:val="auto"/>
              </w:rPr>
            </w:pPr>
            <w:r>
              <w:rPr>
                <w:rFonts w:ascii="Arial" w:cs="Arial" w:eastAsia="Arial" w:hAnsi="Arial"/>
                <w:sz w:val="12"/>
                <w:szCs w:val="12"/>
                <w:color w:val="auto"/>
              </w:rPr>
              <w:t>issuance</w:t>
            </w: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960" w:type="dxa"/>
            <w:vAlign w:val="bottom"/>
            <w:gridSpan w:val="2"/>
            <w:shd w:val="clear" w:color="auto" w:fill="CCEEFF"/>
          </w:tcPr>
          <w:p>
            <w:pPr>
              <w:ind w:left="120"/>
              <w:spacing w:after="0" w:line="132" w:lineRule="exact"/>
              <w:rPr>
                <w:sz w:val="20"/>
                <w:szCs w:val="20"/>
                <w:color w:val="auto"/>
              </w:rPr>
            </w:pPr>
            <w:r>
              <w:rPr>
                <w:rFonts w:ascii="Arial" w:cs="Arial" w:eastAsia="Arial" w:hAnsi="Arial"/>
                <w:sz w:val="12"/>
                <w:szCs w:val="12"/>
                <w:color w:val="auto"/>
              </w:rPr>
              <w:t>costs of $245</w:t>
            </w:r>
          </w:p>
        </w:tc>
        <w:tc>
          <w:tcPr>
            <w:tcW w:w="620" w:type="dxa"/>
            <w:vAlign w:val="bottom"/>
            <w:shd w:val="clear" w:color="auto" w:fill="CCEEFF"/>
          </w:tcPr>
          <w:p>
            <w:pPr>
              <w:ind w:left="440"/>
              <w:spacing w:after="0" w:line="132"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4"/>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ind w:left="120"/>
              <w:spacing w:after="0" w:line="132" w:lineRule="exact"/>
              <w:rPr>
                <w:sz w:val="20"/>
                <w:szCs w:val="20"/>
                <w:color w:val="auto"/>
              </w:rPr>
            </w:pPr>
            <w:r>
              <w:rPr>
                <w:rFonts w:ascii="Arial" w:cs="Arial" w:eastAsia="Arial" w:hAnsi="Arial"/>
                <w:sz w:val="12"/>
                <w:szCs w:val="12"/>
                <w:color w:val="auto"/>
                <w:w w:val="96"/>
              </w:rPr>
              <w:t>11,239,920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119,755</w:t>
            </w: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3"/>
            <w:shd w:val="clear" w:color="auto" w:fill="CCEEFF"/>
          </w:tcPr>
          <w:p>
            <w:pPr>
              <w:ind w:left="440"/>
              <w:spacing w:after="0" w:line="132"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ind w:left="34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gridSpan w:val="4"/>
            <w:shd w:val="clear" w:color="auto" w:fill="CCEEFF"/>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700" w:type="dxa"/>
            <w:vAlign w:val="bottom"/>
            <w:gridSpan w:val="3"/>
            <w:shd w:val="clear" w:color="auto" w:fill="CCEEFF"/>
          </w:tcPr>
          <w:p>
            <w:pPr>
              <w:ind w:left="420"/>
              <w:spacing w:after="0" w:line="132"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center"/>
              <w:ind w:right="180"/>
              <w:spacing w:after="0" w:line="132" w:lineRule="exact"/>
              <w:rPr>
                <w:sz w:val="20"/>
                <w:szCs w:val="20"/>
                <w:color w:val="auto"/>
              </w:rPr>
            </w:pPr>
            <w:r>
              <w:rPr>
                <w:rFonts w:ascii="Arial" w:cs="Arial" w:eastAsia="Arial" w:hAnsi="Arial"/>
                <w:sz w:val="12"/>
                <w:szCs w:val="12"/>
                <w:color w:val="auto"/>
                <w:w w:val="99"/>
              </w:rPr>
              <w:t>—</w:t>
            </w:r>
          </w:p>
        </w:tc>
        <w:tc>
          <w:tcPr>
            <w:tcW w:w="280" w:type="dxa"/>
            <w:vAlign w:val="bottom"/>
            <w:shd w:val="clear" w:color="auto" w:fill="CCEEFF"/>
          </w:tcPr>
          <w:p>
            <w:pPr>
              <w:spacing w:after="0"/>
              <w:rPr>
                <w:sz w:val="11"/>
                <w:szCs w:val="11"/>
                <w:color w:val="auto"/>
              </w:rPr>
            </w:pPr>
          </w:p>
        </w:tc>
        <w:tc>
          <w:tcPr>
            <w:tcW w:w="740" w:type="dxa"/>
            <w:vAlign w:val="bottom"/>
            <w:gridSpan w:val="3"/>
            <w:shd w:val="clear" w:color="auto" w:fill="CCEEFF"/>
          </w:tcPr>
          <w:p>
            <w:pPr>
              <w:ind w:left="240"/>
              <w:spacing w:after="0" w:line="132"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600" w:type="dxa"/>
            <w:vAlign w:val="bottom"/>
            <w:gridSpan w:val="4"/>
            <w:shd w:val="clear" w:color="auto" w:fill="CCEEFF"/>
          </w:tcPr>
          <w:p>
            <w:pPr>
              <w:ind w:left="140"/>
              <w:spacing w:after="0" w:line="132" w:lineRule="exact"/>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60" w:type="dxa"/>
            <w:vAlign w:val="bottom"/>
            <w:gridSpan w:val="2"/>
          </w:tcPr>
          <w:p>
            <w:pPr>
              <w:spacing w:after="0" w:line="121" w:lineRule="exact"/>
              <w:rPr>
                <w:sz w:val="20"/>
                <w:szCs w:val="20"/>
                <w:color w:val="auto"/>
              </w:rPr>
            </w:pPr>
            <w:r>
              <w:rPr>
                <w:rFonts w:ascii="Arial" w:cs="Arial" w:eastAsia="Arial" w:hAnsi="Arial"/>
                <w:sz w:val="12"/>
                <w:szCs w:val="12"/>
                <w:color w:val="auto"/>
              </w:rPr>
              <w:t>Accretion of</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gridSpan w:val="2"/>
          </w:tcPr>
          <w:p>
            <w:pPr>
              <w:ind w:left="120"/>
              <w:spacing w:after="0" w:line="126" w:lineRule="exact"/>
              <w:rPr>
                <w:sz w:val="20"/>
                <w:szCs w:val="20"/>
                <w:color w:val="auto"/>
              </w:rPr>
            </w:pPr>
            <w:r>
              <w:rPr>
                <w:rFonts w:ascii="Arial" w:cs="Arial" w:eastAsia="Arial" w:hAnsi="Arial"/>
                <w:sz w:val="12"/>
                <w:szCs w:val="12"/>
                <w:color w:val="auto"/>
              </w:rPr>
              <w:t>redeemable</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gridSpan w:val="2"/>
          </w:tcPr>
          <w:p>
            <w:pPr>
              <w:ind w:left="120"/>
              <w:spacing w:after="0" w:line="126" w:lineRule="exact"/>
              <w:rPr>
                <w:sz w:val="20"/>
                <w:szCs w:val="20"/>
                <w:color w:val="auto"/>
              </w:rPr>
            </w:pPr>
            <w:r>
              <w:rPr>
                <w:rFonts w:ascii="Arial" w:cs="Arial" w:eastAsia="Arial" w:hAnsi="Arial"/>
                <w:sz w:val="12"/>
                <w:szCs w:val="12"/>
                <w:color w:val="auto"/>
              </w:rPr>
              <w:t>convertible</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gridSpan w:val="2"/>
          </w:tcPr>
          <w:p>
            <w:pPr>
              <w:ind w:left="120"/>
              <w:spacing w:after="0" w:line="126" w:lineRule="exact"/>
              <w:rPr>
                <w:sz w:val="20"/>
                <w:szCs w:val="20"/>
                <w:color w:val="auto"/>
              </w:rPr>
            </w:pPr>
            <w:r>
              <w:rPr>
                <w:rFonts w:ascii="Arial" w:cs="Arial" w:eastAsia="Arial" w:hAnsi="Arial"/>
                <w:sz w:val="12"/>
                <w:szCs w:val="12"/>
                <w:color w:val="auto"/>
              </w:rPr>
              <w:t>preferred</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96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stock</w:t>
            </w:r>
          </w:p>
        </w:tc>
        <w:tc>
          <w:tcPr>
            <w:tcW w:w="620" w:type="dxa"/>
            <w:vAlign w:val="bottom"/>
          </w:tcPr>
          <w:p>
            <w:pPr>
              <w:ind w:left="440"/>
              <w:spacing w:after="0" w:line="13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ind w:left="380"/>
              <w:spacing w:after="0" w:line="132" w:lineRule="exact"/>
              <w:rPr>
                <w:sz w:val="20"/>
                <w:szCs w:val="20"/>
                <w:color w:val="auto"/>
              </w:rPr>
            </w:pPr>
            <w:r>
              <w:rPr>
                <w:rFonts w:ascii="Arial" w:cs="Arial" w:eastAsia="Arial" w:hAnsi="Arial"/>
                <w:sz w:val="12"/>
                <w:szCs w:val="12"/>
                <w:color w:val="auto"/>
              </w:rPr>
              <w:t>—</w:t>
            </w:r>
          </w:p>
        </w:tc>
        <w:tc>
          <w:tcPr>
            <w:tcW w:w="780" w:type="dxa"/>
            <w:vAlign w:val="bottom"/>
            <w:gridSpan w:val="4"/>
          </w:tcPr>
          <w:p>
            <w:pPr>
              <w:ind w:left="520"/>
              <w:spacing w:after="0" w:line="132"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2" w:lineRule="exact"/>
              <w:rPr>
                <w:sz w:val="20"/>
                <w:szCs w:val="20"/>
                <w:color w:val="auto"/>
              </w:rPr>
            </w:pPr>
            <w:r>
              <w:rPr>
                <w:rFonts w:ascii="Arial" w:cs="Arial" w:eastAsia="Arial" w:hAnsi="Arial"/>
                <w:sz w:val="12"/>
                <w:szCs w:val="12"/>
                <w:color w:val="auto"/>
              </w:rPr>
              <w:t>6</w:t>
            </w: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440"/>
              <w:spacing w:after="0" w:line="132"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200" w:type="dxa"/>
            <w:vAlign w:val="bottom"/>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ind w:left="34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4"/>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700" w:type="dxa"/>
            <w:vAlign w:val="bottom"/>
            <w:gridSpan w:val="3"/>
          </w:tcPr>
          <w:p>
            <w:pPr>
              <w:ind w:left="420"/>
              <w:spacing w:after="0" w:line="132"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80" w:type="dxa"/>
            <w:vAlign w:val="bottom"/>
            <w:gridSpan w:val="3"/>
          </w:tcPr>
          <w:p>
            <w:pPr>
              <w:jc w:val="center"/>
              <w:ind w:right="180"/>
              <w:spacing w:after="0" w:line="132" w:lineRule="exact"/>
              <w:rPr>
                <w:sz w:val="20"/>
                <w:szCs w:val="20"/>
                <w:color w:val="auto"/>
              </w:rPr>
            </w:pPr>
            <w:r>
              <w:rPr>
                <w:rFonts w:ascii="Arial" w:cs="Arial" w:eastAsia="Arial" w:hAnsi="Arial"/>
                <w:sz w:val="12"/>
                <w:szCs w:val="12"/>
                <w:color w:val="auto"/>
                <w:w w:val="99"/>
              </w:rPr>
              <w:t>—</w:t>
            </w:r>
          </w:p>
        </w:tc>
        <w:tc>
          <w:tcPr>
            <w:tcW w:w="980" w:type="dxa"/>
            <w:vAlign w:val="bottom"/>
            <w:gridSpan w:val="3"/>
          </w:tcPr>
          <w:p>
            <w:pPr>
              <w:jc w:val="right"/>
              <w:ind w:right="220"/>
              <w:spacing w:after="0" w:line="132" w:lineRule="exact"/>
              <w:rPr>
                <w:sz w:val="20"/>
                <w:szCs w:val="20"/>
                <w:color w:val="auto"/>
              </w:rPr>
            </w:pPr>
            <w:r>
              <w:rPr>
                <w:rFonts w:ascii="Arial" w:cs="Arial" w:eastAsia="Arial" w:hAnsi="Arial"/>
                <w:sz w:val="12"/>
                <w:szCs w:val="12"/>
                <w:color w:val="auto"/>
              </w:rPr>
              <w:t>(6)</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4"/>
          </w:tcPr>
          <w:p>
            <w:pPr>
              <w:ind w:left="140"/>
              <w:spacing w:after="0" w:line="132" w:lineRule="exact"/>
              <w:rPr>
                <w:sz w:val="20"/>
                <w:szCs w:val="20"/>
                <w:color w:val="auto"/>
              </w:rPr>
            </w:pPr>
            <w:r>
              <w:rPr>
                <w:rFonts w:ascii="Arial" w:cs="Arial" w:eastAsia="Arial" w:hAnsi="Arial"/>
                <w:sz w:val="12"/>
                <w:szCs w:val="12"/>
                <w:color w:val="auto"/>
              </w:rPr>
              <w:t>—</w:t>
            </w:r>
          </w:p>
        </w:tc>
        <w:tc>
          <w:tcPr>
            <w:tcW w:w="58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6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color w:val="auto"/>
              </w:rPr>
              <w:t>Issuance of</w:t>
            </w: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gridSpan w:val="2"/>
            <w:shd w:val="clear" w:color="auto" w:fill="CCEEFF"/>
          </w:tcPr>
          <w:p>
            <w:pPr>
              <w:ind w:left="120"/>
              <w:spacing w:after="0" w:line="126" w:lineRule="exact"/>
              <w:rPr>
                <w:sz w:val="20"/>
                <w:szCs w:val="20"/>
                <w:color w:val="auto"/>
              </w:rPr>
            </w:pPr>
            <w:r>
              <w:rPr>
                <w:rFonts w:ascii="Arial" w:cs="Arial" w:eastAsia="Arial" w:hAnsi="Arial"/>
                <w:sz w:val="12"/>
                <w:szCs w:val="12"/>
                <w:color w:val="auto"/>
              </w:rPr>
              <w:t>common stock</w:t>
            </w: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960" w:type="dxa"/>
            <w:vAlign w:val="bottom"/>
            <w:gridSpan w:val="2"/>
            <w:shd w:val="clear" w:color="auto" w:fill="CCEEFF"/>
          </w:tcPr>
          <w:p>
            <w:pPr>
              <w:ind w:left="120"/>
              <w:spacing w:after="0" w:line="132" w:lineRule="exact"/>
              <w:rPr>
                <w:sz w:val="20"/>
                <w:szCs w:val="20"/>
                <w:color w:val="auto"/>
              </w:rPr>
            </w:pPr>
            <w:r>
              <w:rPr>
                <w:rFonts w:ascii="Arial" w:cs="Arial" w:eastAsia="Arial" w:hAnsi="Arial"/>
                <w:sz w:val="12"/>
                <w:szCs w:val="12"/>
                <w:color w:val="auto"/>
              </w:rPr>
              <w:t>warrants</w:t>
            </w:r>
          </w:p>
        </w:tc>
        <w:tc>
          <w:tcPr>
            <w:tcW w:w="620" w:type="dxa"/>
            <w:vAlign w:val="bottom"/>
            <w:shd w:val="clear" w:color="auto" w:fill="CCEEFF"/>
          </w:tcPr>
          <w:p>
            <w:pPr>
              <w:ind w:left="440"/>
              <w:spacing w:after="0" w:line="132"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4"/>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780" w:type="dxa"/>
            <w:vAlign w:val="bottom"/>
            <w:gridSpan w:val="4"/>
            <w:shd w:val="clear" w:color="auto" w:fill="CCEEFF"/>
          </w:tcPr>
          <w:p>
            <w:pPr>
              <w:ind w:left="520"/>
              <w:spacing w:after="0" w:line="132" w:lineRule="exact"/>
              <w:rPr>
                <w:sz w:val="20"/>
                <w:szCs w:val="20"/>
                <w:color w:val="auto"/>
              </w:rPr>
            </w:pPr>
            <w:r>
              <w:rPr>
                <w:rFonts w:ascii="Arial" w:cs="Arial" w:eastAsia="Arial" w:hAnsi="Arial"/>
                <w:sz w:val="12"/>
                <w:szCs w:val="12"/>
                <w:color w:val="auto"/>
              </w:rPr>
              <w:t>—</w:t>
            </w:r>
          </w:p>
        </w:tc>
        <w:tc>
          <w:tcPr>
            <w:tcW w:w="720" w:type="dxa"/>
            <w:vAlign w:val="bottom"/>
            <w:tcBorders>
              <w:right w:val="single" w:sz="8" w:color="auto"/>
            </w:tcBorders>
            <w:gridSpan w:val="2"/>
            <w:shd w:val="clear" w:color="auto" w:fill="CCEEFF"/>
          </w:tcPr>
          <w:p>
            <w:pPr>
              <w:ind w:left="40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1"/>
                <w:szCs w:val="11"/>
                <w:color w:val="auto"/>
              </w:rPr>
            </w:pPr>
          </w:p>
        </w:tc>
        <w:tc>
          <w:tcPr>
            <w:tcW w:w="720" w:type="dxa"/>
            <w:vAlign w:val="bottom"/>
            <w:gridSpan w:val="3"/>
            <w:shd w:val="clear" w:color="auto" w:fill="CCEEFF"/>
          </w:tcPr>
          <w:p>
            <w:pPr>
              <w:ind w:left="440"/>
              <w:spacing w:after="0" w:line="132"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ind w:left="34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gridSpan w:val="4"/>
            <w:shd w:val="clear" w:color="auto" w:fill="CCEEFF"/>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700" w:type="dxa"/>
            <w:vAlign w:val="bottom"/>
            <w:gridSpan w:val="3"/>
            <w:shd w:val="clear" w:color="auto" w:fill="CCEEFF"/>
          </w:tcPr>
          <w:p>
            <w:pPr>
              <w:ind w:left="420"/>
              <w:spacing w:after="0" w:line="132"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center"/>
              <w:ind w:right="180"/>
              <w:spacing w:after="0" w:line="132" w:lineRule="exact"/>
              <w:rPr>
                <w:sz w:val="20"/>
                <w:szCs w:val="20"/>
                <w:color w:val="auto"/>
              </w:rPr>
            </w:pPr>
            <w:r>
              <w:rPr>
                <w:rFonts w:ascii="Arial" w:cs="Arial" w:eastAsia="Arial" w:hAnsi="Arial"/>
                <w:sz w:val="12"/>
                <w:szCs w:val="12"/>
                <w:color w:val="auto"/>
                <w:w w:val="99"/>
              </w:rPr>
              <w:t>—</w:t>
            </w:r>
          </w:p>
        </w:tc>
        <w:tc>
          <w:tcPr>
            <w:tcW w:w="980" w:type="dxa"/>
            <w:vAlign w:val="bottom"/>
            <w:gridSpan w:val="3"/>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336</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gridSpan w:val="4"/>
            <w:shd w:val="clear" w:color="auto" w:fill="CCEEFF"/>
          </w:tcPr>
          <w:p>
            <w:pPr>
              <w:ind w:left="140"/>
              <w:spacing w:after="0" w:line="132" w:lineRule="exact"/>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60" w:type="dxa"/>
            <w:vAlign w:val="bottom"/>
            <w:gridSpan w:val="2"/>
          </w:tcPr>
          <w:p>
            <w:pPr>
              <w:spacing w:after="0" w:line="121" w:lineRule="exact"/>
              <w:rPr>
                <w:sz w:val="20"/>
                <w:szCs w:val="20"/>
                <w:color w:val="auto"/>
              </w:rPr>
            </w:pPr>
            <w:r>
              <w:rPr>
                <w:rFonts w:ascii="Arial" w:cs="Arial" w:eastAsia="Arial" w:hAnsi="Arial"/>
                <w:sz w:val="12"/>
                <w:szCs w:val="12"/>
                <w:color w:val="auto"/>
              </w:rPr>
              <w:t>Forfeiture of</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gridSpan w:val="2"/>
          </w:tcPr>
          <w:p>
            <w:pPr>
              <w:ind w:left="120"/>
              <w:spacing w:after="0" w:line="126" w:lineRule="exact"/>
              <w:rPr>
                <w:sz w:val="20"/>
                <w:szCs w:val="20"/>
                <w:color w:val="auto"/>
              </w:rPr>
            </w:pPr>
            <w:r>
              <w:rPr>
                <w:rFonts w:ascii="Arial" w:cs="Arial" w:eastAsia="Arial" w:hAnsi="Arial"/>
                <w:sz w:val="12"/>
                <w:szCs w:val="12"/>
                <w:color w:val="auto"/>
              </w:rPr>
              <w:t>unvested</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gridSpan w:val="2"/>
          </w:tcPr>
          <w:p>
            <w:pPr>
              <w:ind w:left="120"/>
              <w:spacing w:after="0" w:line="126" w:lineRule="exact"/>
              <w:rPr>
                <w:sz w:val="20"/>
                <w:szCs w:val="20"/>
                <w:color w:val="auto"/>
              </w:rPr>
            </w:pPr>
            <w:r>
              <w:rPr>
                <w:rFonts w:ascii="Arial" w:cs="Arial" w:eastAsia="Arial" w:hAnsi="Arial"/>
                <w:sz w:val="12"/>
                <w:szCs w:val="12"/>
                <w:color w:val="auto"/>
              </w:rPr>
              <w:t>restricted</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96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stock awards</w:t>
            </w:r>
          </w:p>
        </w:tc>
        <w:tc>
          <w:tcPr>
            <w:tcW w:w="620" w:type="dxa"/>
            <w:vAlign w:val="bottom"/>
          </w:tcPr>
          <w:p>
            <w:pPr>
              <w:ind w:left="440"/>
              <w:spacing w:after="0" w:line="13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ind w:left="380"/>
              <w:spacing w:after="0" w:line="132" w:lineRule="exact"/>
              <w:rPr>
                <w:sz w:val="20"/>
                <w:szCs w:val="20"/>
                <w:color w:val="auto"/>
              </w:rPr>
            </w:pPr>
            <w:r>
              <w:rPr>
                <w:rFonts w:ascii="Arial" w:cs="Arial" w:eastAsia="Arial" w:hAnsi="Arial"/>
                <w:sz w:val="12"/>
                <w:szCs w:val="12"/>
                <w:color w:val="auto"/>
              </w:rPr>
              <w:t>—</w:t>
            </w:r>
          </w:p>
        </w:tc>
        <w:tc>
          <w:tcPr>
            <w:tcW w:w="780" w:type="dxa"/>
            <w:vAlign w:val="bottom"/>
            <w:gridSpan w:val="4"/>
          </w:tcPr>
          <w:p>
            <w:pPr>
              <w:ind w:left="520"/>
              <w:spacing w:after="0" w:line="132" w:lineRule="exact"/>
              <w:rPr>
                <w:sz w:val="20"/>
                <w:szCs w:val="20"/>
                <w:color w:val="auto"/>
              </w:rPr>
            </w:pPr>
            <w:r>
              <w:rPr>
                <w:rFonts w:ascii="Arial" w:cs="Arial" w:eastAsia="Arial" w:hAnsi="Arial"/>
                <w:sz w:val="12"/>
                <w:szCs w:val="12"/>
                <w:color w:val="auto"/>
              </w:rPr>
              <w:t>—</w:t>
            </w:r>
          </w:p>
        </w:tc>
        <w:tc>
          <w:tcPr>
            <w:tcW w:w="720" w:type="dxa"/>
            <w:vAlign w:val="bottom"/>
            <w:tcBorders>
              <w:right w:val="single" w:sz="8" w:color="auto"/>
            </w:tcBorders>
            <w:gridSpan w:val="2"/>
          </w:tcPr>
          <w:p>
            <w:pPr>
              <w:ind w:left="40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1"/>
                <w:szCs w:val="11"/>
                <w:color w:val="auto"/>
              </w:rPr>
            </w:pPr>
          </w:p>
        </w:tc>
        <w:tc>
          <w:tcPr>
            <w:tcW w:w="68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(105,969)</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ind w:left="34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4"/>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700" w:type="dxa"/>
            <w:vAlign w:val="bottom"/>
            <w:gridSpan w:val="3"/>
          </w:tcPr>
          <w:p>
            <w:pPr>
              <w:ind w:left="420"/>
              <w:spacing w:after="0" w:line="132"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80" w:type="dxa"/>
            <w:vAlign w:val="bottom"/>
            <w:gridSpan w:val="3"/>
          </w:tcPr>
          <w:p>
            <w:pPr>
              <w:jc w:val="center"/>
              <w:ind w:right="180"/>
              <w:spacing w:after="0" w:line="132" w:lineRule="exact"/>
              <w:rPr>
                <w:sz w:val="20"/>
                <w:szCs w:val="20"/>
                <w:color w:val="auto"/>
              </w:rPr>
            </w:pPr>
            <w:r>
              <w:rPr>
                <w:rFonts w:ascii="Arial" w:cs="Arial" w:eastAsia="Arial" w:hAnsi="Arial"/>
                <w:sz w:val="12"/>
                <w:szCs w:val="12"/>
                <w:color w:val="auto"/>
                <w:w w:val="99"/>
              </w:rPr>
              <w:t>—</w:t>
            </w:r>
          </w:p>
        </w:tc>
        <w:tc>
          <w:tcPr>
            <w:tcW w:w="280" w:type="dxa"/>
            <w:vAlign w:val="bottom"/>
          </w:tcPr>
          <w:p>
            <w:pPr>
              <w:spacing w:after="0"/>
              <w:rPr>
                <w:sz w:val="11"/>
                <w:szCs w:val="11"/>
                <w:color w:val="auto"/>
              </w:rPr>
            </w:pPr>
          </w:p>
        </w:tc>
        <w:tc>
          <w:tcPr>
            <w:tcW w:w="740" w:type="dxa"/>
            <w:vAlign w:val="bottom"/>
            <w:gridSpan w:val="3"/>
          </w:tcPr>
          <w:p>
            <w:pPr>
              <w:ind w:left="24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00" w:type="dxa"/>
            <w:vAlign w:val="bottom"/>
            <w:gridSpan w:val="4"/>
          </w:tcPr>
          <w:p>
            <w:pPr>
              <w:ind w:left="140"/>
              <w:spacing w:after="0" w:line="132" w:lineRule="exact"/>
              <w:rPr>
                <w:sz w:val="20"/>
                <w:szCs w:val="20"/>
                <w:color w:val="auto"/>
              </w:rPr>
            </w:pPr>
            <w:r>
              <w:rPr>
                <w:rFonts w:ascii="Arial" w:cs="Arial" w:eastAsia="Arial" w:hAnsi="Arial"/>
                <w:sz w:val="12"/>
                <w:szCs w:val="12"/>
                <w:color w:val="auto"/>
              </w:rPr>
              <w:t>—</w:t>
            </w:r>
          </w:p>
        </w:tc>
        <w:tc>
          <w:tcPr>
            <w:tcW w:w="58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6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color w:val="auto"/>
              </w:rPr>
              <w:t>Foreign currency</w:t>
            </w: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gridSpan w:val="2"/>
            <w:shd w:val="clear" w:color="auto" w:fill="CCEEFF"/>
          </w:tcPr>
          <w:p>
            <w:pPr>
              <w:ind w:left="120"/>
              <w:spacing w:after="0" w:line="126" w:lineRule="exact"/>
              <w:rPr>
                <w:sz w:val="20"/>
                <w:szCs w:val="20"/>
                <w:color w:val="auto"/>
              </w:rPr>
            </w:pPr>
            <w:r>
              <w:rPr>
                <w:rFonts w:ascii="Arial" w:cs="Arial" w:eastAsia="Arial" w:hAnsi="Arial"/>
                <w:sz w:val="12"/>
                <w:szCs w:val="12"/>
                <w:color w:val="auto"/>
              </w:rPr>
              <w:t>translation</w:t>
            </w: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960" w:type="dxa"/>
            <w:vAlign w:val="bottom"/>
            <w:gridSpan w:val="2"/>
            <w:shd w:val="clear" w:color="auto" w:fill="CCEEFF"/>
          </w:tcPr>
          <w:p>
            <w:pPr>
              <w:ind w:left="120"/>
              <w:spacing w:after="0" w:line="132" w:lineRule="exact"/>
              <w:rPr>
                <w:sz w:val="20"/>
                <w:szCs w:val="20"/>
                <w:color w:val="auto"/>
              </w:rPr>
            </w:pPr>
            <w:r>
              <w:rPr>
                <w:rFonts w:ascii="Arial" w:cs="Arial" w:eastAsia="Arial" w:hAnsi="Arial"/>
                <w:sz w:val="12"/>
                <w:szCs w:val="12"/>
                <w:color w:val="auto"/>
              </w:rPr>
              <w:t>adjustment</w:t>
            </w:r>
          </w:p>
        </w:tc>
        <w:tc>
          <w:tcPr>
            <w:tcW w:w="620" w:type="dxa"/>
            <w:vAlign w:val="bottom"/>
            <w:shd w:val="clear" w:color="auto" w:fill="CCEEFF"/>
          </w:tcPr>
          <w:p>
            <w:pPr>
              <w:ind w:left="440"/>
              <w:spacing w:after="0" w:line="132"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4"/>
            <w:shd w:val="clear" w:color="auto" w:fill="CCEEFF"/>
          </w:tcPr>
          <w:p>
            <w:pPr>
              <w:ind w:left="380"/>
              <w:spacing w:after="0" w:line="132" w:lineRule="exact"/>
              <w:rPr>
                <w:sz w:val="20"/>
                <w:szCs w:val="20"/>
                <w:color w:val="auto"/>
              </w:rPr>
            </w:pPr>
            <w:r>
              <w:rPr>
                <w:rFonts w:ascii="Arial" w:cs="Arial" w:eastAsia="Arial" w:hAnsi="Arial"/>
                <w:sz w:val="12"/>
                <w:szCs w:val="12"/>
                <w:color w:val="auto"/>
              </w:rPr>
              <w:t>—</w:t>
            </w:r>
          </w:p>
        </w:tc>
        <w:tc>
          <w:tcPr>
            <w:tcW w:w="780" w:type="dxa"/>
            <w:vAlign w:val="bottom"/>
            <w:gridSpan w:val="4"/>
            <w:shd w:val="clear" w:color="auto" w:fill="CCEEFF"/>
          </w:tcPr>
          <w:p>
            <w:pPr>
              <w:ind w:left="520"/>
              <w:spacing w:after="0" w:line="132" w:lineRule="exact"/>
              <w:rPr>
                <w:sz w:val="20"/>
                <w:szCs w:val="20"/>
                <w:color w:val="auto"/>
              </w:rPr>
            </w:pPr>
            <w:r>
              <w:rPr>
                <w:rFonts w:ascii="Arial" w:cs="Arial" w:eastAsia="Arial" w:hAnsi="Arial"/>
                <w:sz w:val="12"/>
                <w:szCs w:val="12"/>
                <w:color w:val="auto"/>
              </w:rPr>
              <w:t>—</w:t>
            </w:r>
          </w:p>
        </w:tc>
        <w:tc>
          <w:tcPr>
            <w:tcW w:w="720" w:type="dxa"/>
            <w:vAlign w:val="bottom"/>
            <w:tcBorders>
              <w:right w:val="single" w:sz="8" w:color="auto"/>
            </w:tcBorders>
            <w:gridSpan w:val="2"/>
            <w:shd w:val="clear" w:color="auto" w:fill="CCEEFF"/>
          </w:tcPr>
          <w:p>
            <w:pPr>
              <w:ind w:left="40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1"/>
                <w:szCs w:val="11"/>
                <w:color w:val="auto"/>
              </w:rPr>
            </w:pPr>
          </w:p>
        </w:tc>
        <w:tc>
          <w:tcPr>
            <w:tcW w:w="720" w:type="dxa"/>
            <w:vAlign w:val="bottom"/>
            <w:gridSpan w:val="3"/>
            <w:shd w:val="clear" w:color="auto" w:fill="CCEEFF"/>
          </w:tcPr>
          <w:p>
            <w:pPr>
              <w:ind w:left="440"/>
              <w:spacing w:after="0" w:line="132"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ind w:left="34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gridSpan w:val="4"/>
            <w:shd w:val="clear" w:color="auto" w:fill="CCEEFF"/>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700" w:type="dxa"/>
            <w:vAlign w:val="bottom"/>
            <w:gridSpan w:val="3"/>
            <w:shd w:val="clear" w:color="auto" w:fill="CCEEFF"/>
          </w:tcPr>
          <w:p>
            <w:pPr>
              <w:ind w:left="420"/>
              <w:spacing w:after="0" w:line="132"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center"/>
              <w:ind w:right="180"/>
              <w:spacing w:after="0" w:line="132" w:lineRule="exact"/>
              <w:rPr>
                <w:sz w:val="20"/>
                <w:szCs w:val="20"/>
                <w:color w:val="auto"/>
              </w:rPr>
            </w:pPr>
            <w:r>
              <w:rPr>
                <w:rFonts w:ascii="Arial" w:cs="Arial" w:eastAsia="Arial" w:hAnsi="Arial"/>
                <w:sz w:val="12"/>
                <w:szCs w:val="12"/>
                <w:color w:val="auto"/>
                <w:w w:val="99"/>
              </w:rPr>
              <w:t>—</w:t>
            </w:r>
          </w:p>
        </w:tc>
        <w:tc>
          <w:tcPr>
            <w:tcW w:w="280" w:type="dxa"/>
            <w:vAlign w:val="bottom"/>
            <w:shd w:val="clear" w:color="auto" w:fill="CCEEFF"/>
          </w:tcPr>
          <w:p>
            <w:pPr>
              <w:spacing w:after="0"/>
              <w:rPr>
                <w:sz w:val="11"/>
                <w:szCs w:val="11"/>
                <w:color w:val="auto"/>
              </w:rPr>
            </w:pPr>
          </w:p>
        </w:tc>
        <w:tc>
          <w:tcPr>
            <w:tcW w:w="740" w:type="dxa"/>
            <w:vAlign w:val="bottom"/>
            <w:gridSpan w:val="3"/>
            <w:shd w:val="clear" w:color="auto" w:fill="CCEEFF"/>
          </w:tcPr>
          <w:p>
            <w:pPr>
              <w:ind w:left="24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(273)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3"/>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60" w:type="dxa"/>
            <w:vAlign w:val="bottom"/>
            <w:gridSpan w:val="2"/>
          </w:tcPr>
          <w:p>
            <w:pPr>
              <w:spacing w:after="0" w:line="121" w:lineRule="exact"/>
              <w:rPr>
                <w:sz w:val="20"/>
                <w:szCs w:val="20"/>
                <w:color w:val="auto"/>
              </w:rPr>
            </w:pPr>
            <w:r>
              <w:rPr>
                <w:rFonts w:ascii="Arial" w:cs="Arial" w:eastAsia="Arial" w:hAnsi="Arial"/>
                <w:sz w:val="12"/>
                <w:szCs w:val="12"/>
                <w:color w:val="auto"/>
              </w:rPr>
              <w:t>Stock-based</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gridSpan w:val="2"/>
          </w:tcPr>
          <w:p>
            <w:pPr>
              <w:ind w:left="120"/>
              <w:spacing w:after="0" w:line="126" w:lineRule="exact"/>
              <w:rPr>
                <w:sz w:val="20"/>
                <w:szCs w:val="20"/>
                <w:color w:val="auto"/>
              </w:rPr>
            </w:pPr>
            <w:r>
              <w:rPr>
                <w:rFonts w:ascii="Arial" w:cs="Arial" w:eastAsia="Arial" w:hAnsi="Arial"/>
                <w:sz w:val="12"/>
                <w:szCs w:val="12"/>
                <w:color w:val="auto"/>
              </w:rPr>
              <w:t>compensation</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96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expense</w:t>
            </w:r>
          </w:p>
        </w:tc>
        <w:tc>
          <w:tcPr>
            <w:tcW w:w="620" w:type="dxa"/>
            <w:vAlign w:val="bottom"/>
          </w:tcPr>
          <w:p>
            <w:pPr>
              <w:ind w:left="440"/>
              <w:spacing w:after="0" w:line="13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ind w:left="380"/>
              <w:spacing w:after="0" w:line="132" w:lineRule="exact"/>
              <w:rPr>
                <w:sz w:val="20"/>
                <w:szCs w:val="20"/>
                <w:color w:val="auto"/>
              </w:rPr>
            </w:pPr>
            <w:r>
              <w:rPr>
                <w:rFonts w:ascii="Arial" w:cs="Arial" w:eastAsia="Arial" w:hAnsi="Arial"/>
                <w:sz w:val="12"/>
                <w:szCs w:val="12"/>
                <w:color w:val="auto"/>
              </w:rPr>
              <w:t>—</w:t>
            </w:r>
          </w:p>
        </w:tc>
        <w:tc>
          <w:tcPr>
            <w:tcW w:w="780" w:type="dxa"/>
            <w:vAlign w:val="bottom"/>
            <w:gridSpan w:val="4"/>
          </w:tcPr>
          <w:p>
            <w:pPr>
              <w:ind w:left="520"/>
              <w:spacing w:after="0" w:line="132" w:lineRule="exact"/>
              <w:rPr>
                <w:sz w:val="20"/>
                <w:szCs w:val="20"/>
                <w:color w:val="auto"/>
              </w:rPr>
            </w:pPr>
            <w:r>
              <w:rPr>
                <w:rFonts w:ascii="Arial" w:cs="Arial" w:eastAsia="Arial" w:hAnsi="Arial"/>
                <w:sz w:val="12"/>
                <w:szCs w:val="12"/>
                <w:color w:val="auto"/>
              </w:rPr>
              <w:t>—</w:t>
            </w:r>
          </w:p>
        </w:tc>
        <w:tc>
          <w:tcPr>
            <w:tcW w:w="720" w:type="dxa"/>
            <w:vAlign w:val="bottom"/>
            <w:tcBorders>
              <w:right w:val="single" w:sz="8" w:color="auto"/>
            </w:tcBorders>
            <w:gridSpan w:val="2"/>
          </w:tcPr>
          <w:p>
            <w:pPr>
              <w:ind w:left="400"/>
              <w:spacing w:after="0" w:line="132" w:lineRule="exact"/>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1"/>
                <w:szCs w:val="11"/>
                <w:color w:val="auto"/>
              </w:rPr>
            </w:pPr>
          </w:p>
        </w:tc>
        <w:tc>
          <w:tcPr>
            <w:tcW w:w="720" w:type="dxa"/>
            <w:vAlign w:val="bottom"/>
            <w:gridSpan w:val="3"/>
          </w:tcPr>
          <w:p>
            <w:pPr>
              <w:ind w:left="440"/>
              <w:spacing w:after="0" w:line="132"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200" w:type="dxa"/>
            <w:vAlign w:val="bottom"/>
          </w:tcPr>
          <w:p>
            <w:pPr>
              <w:jc w:val="center"/>
              <w:ind w:left="21"/>
              <w:spacing w:after="0" w:line="132" w:lineRule="exact"/>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ind w:left="34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4"/>
          </w:tcPr>
          <w:p>
            <w:pPr>
              <w:jc w:val="center"/>
              <w:ind w:right="320"/>
              <w:spacing w:after="0" w:line="132" w:lineRule="exact"/>
              <w:rPr>
                <w:sz w:val="20"/>
                <w:szCs w:val="20"/>
                <w:color w:val="auto"/>
              </w:rPr>
            </w:pPr>
            <w:r>
              <w:rPr>
                <w:rFonts w:ascii="Arial" w:cs="Arial" w:eastAsia="Arial" w:hAnsi="Arial"/>
                <w:sz w:val="12"/>
                <w:szCs w:val="12"/>
                <w:color w:val="auto"/>
                <w:w w:val="99"/>
              </w:rPr>
              <w:t>—</w:t>
            </w:r>
          </w:p>
        </w:tc>
        <w:tc>
          <w:tcPr>
            <w:tcW w:w="700" w:type="dxa"/>
            <w:vAlign w:val="bottom"/>
            <w:gridSpan w:val="3"/>
          </w:tcPr>
          <w:p>
            <w:pPr>
              <w:ind w:left="420"/>
              <w:spacing w:after="0" w:line="132"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80" w:type="dxa"/>
            <w:vAlign w:val="bottom"/>
            <w:gridSpan w:val="3"/>
          </w:tcPr>
          <w:p>
            <w:pPr>
              <w:jc w:val="center"/>
              <w:ind w:right="180"/>
              <w:spacing w:after="0" w:line="132" w:lineRule="exact"/>
              <w:rPr>
                <w:sz w:val="20"/>
                <w:szCs w:val="20"/>
                <w:color w:val="auto"/>
              </w:rPr>
            </w:pPr>
            <w:r>
              <w:rPr>
                <w:rFonts w:ascii="Arial" w:cs="Arial" w:eastAsia="Arial" w:hAnsi="Arial"/>
                <w:sz w:val="12"/>
                <w:szCs w:val="12"/>
                <w:color w:val="auto"/>
                <w:w w:val="99"/>
              </w:rPr>
              <w:t>—</w:t>
            </w:r>
          </w:p>
        </w:tc>
        <w:tc>
          <w:tcPr>
            <w:tcW w:w="980" w:type="dxa"/>
            <w:vAlign w:val="bottom"/>
            <w:gridSpan w:val="3"/>
          </w:tcPr>
          <w:p>
            <w:pPr>
              <w:jc w:val="right"/>
              <w:ind w:right="260"/>
              <w:spacing w:after="0" w:line="132" w:lineRule="exact"/>
              <w:rPr>
                <w:sz w:val="20"/>
                <w:szCs w:val="20"/>
                <w:color w:val="auto"/>
              </w:rPr>
            </w:pPr>
            <w:r>
              <w:rPr>
                <w:rFonts w:ascii="Arial" w:cs="Arial" w:eastAsia="Arial" w:hAnsi="Arial"/>
                <w:sz w:val="12"/>
                <w:szCs w:val="12"/>
                <w:color w:val="auto"/>
              </w:rPr>
              <w:t>1,824</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4"/>
          </w:tcPr>
          <w:p>
            <w:pPr>
              <w:ind w:left="140"/>
              <w:spacing w:after="0" w:line="132" w:lineRule="exact"/>
              <w:rPr>
                <w:sz w:val="20"/>
                <w:szCs w:val="20"/>
                <w:color w:val="auto"/>
              </w:rPr>
            </w:pPr>
            <w:r>
              <w:rPr>
                <w:rFonts w:ascii="Arial" w:cs="Arial" w:eastAsia="Arial" w:hAnsi="Arial"/>
                <w:sz w:val="12"/>
                <w:szCs w:val="12"/>
                <w:color w:val="auto"/>
              </w:rPr>
              <w:t>—</w:t>
            </w:r>
          </w:p>
        </w:tc>
        <w:tc>
          <w:tcPr>
            <w:tcW w:w="580" w:type="dxa"/>
            <w:vAlign w:val="bottom"/>
            <w:gridSpan w:val="3"/>
          </w:tcPr>
          <w:p>
            <w:pPr>
              <w:ind w:left="300"/>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6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Net income</w:t>
            </w:r>
          </w:p>
        </w:tc>
        <w:tc>
          <w:tcPr>
            <w:tcW w:w="620" w:type="dxa"/>
            <w:vAlign w:val="bottom"/>
            <w:shd w:val="clear" w:color="auto" w:fill="CCEEFF"/>
          </w:tcPr>
          <w:p>
            <w:pPr>
              <w:ind w:left="440"/>
              <w:spacing w:after="0" w:line="126"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4"/>
            <w:shd w:val="clear" w:color="auto" w:fill="CCEEFF"/>
          </w:tcPr>
          <w:p>
            <w:pPr>
              <w:ind w:left="380"/>
              <w:spacing w:after="0" w:line="126" w:lineRule="exact"/>
              <w:rPr>
                <w:sz w:val="20"/>
                <w:szCs w:val="20"/>
                <w:color w:val="auto"/>
              </w:rPr>
            </w:pPr>
            <w:r>
              <w:rPr>
                <w:rFonts w:ascii="Arial" w:cs="Arial" w:eastAsia="Arial" w:hAnsi="Arial"/>
                <w:sz w:val="12"/>
                <w:szCs w:val="12"/>
                <w:color w:val="auto"/>
              </w:rPr>
              <w:t>—</w:t>
            </w:r>
          </w:p>
        </w:tc>
        <w:tc>
          <w:tcPr>
            <w:tcW w:w="780" w:type="dxa"/>
            <w:vAlign w:val="bottom"/>
            <w:gridSpan w:val="4"/>
            <w:shd w:val="clear" w:color="auto" w:fill="CCEEFF"/>
          </w:tcPr>
          <w:p>
            <w:pPr>
              <w:ind w:left="520"/>
              <w:spacing w:after="0" w:line="126" w:lineRule="exact"/>
              <w:rPr>
                <w:sz w:val="20"/>
                <w:szCs w:val="20"/>
                <w:color w:val="auto"/>
              </w:rPr>
            </w:pPr>
            <w:r>
              <w:rPr>
                <w:rFonts w:ascii="Arial" w:cs="Arial" w:eastAsia="Arial" w:hAnsi="Arial"/>
                <w:sz w:val="12"/>
                <w:szCs w:val="12"/>
                <w:color w:val="auto"/>
              </w:rPr>
              <w:t>—</w:t>
            </w:r>
          </w:p>
        </w:tc>
        <w:tc>
          <w:tcPr>
            <w:tcW w:w="720" w:type="dxa"/>
            <w:vAlign w:val="bottom"/>
            <w:tcBorders>
              <w:right w:val="single" w:sz="8" w:color="auto"/>
            </w:tcBorders>
            <w:gridSpan w:val="2"/>
            <w:shd w:val="clear" w:color="auto" w:fill="CCEEFF"/>
          </w:tcPr>
          <w:p>
            <w:pPr>
              <w:ind w:left="400"/>
              <w:spacing w:after="0" w:line="126"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0"/>
                <w:szCs w:val="10"/>
                <w:color w:val="auto"/>
              </w:rPr>
            </w:pPr>
          </w:p>
        </w:tc>
        <w:tc>
          <w:tcPr>
            <w:tcW w:w="720" w:type="dxa"/>
            <w:vAlign w:val="bottom"/>
            <w:gridSpan w:val="3"/>
            <w:shd w:val="clear" w:color="auto" w:fill="CCEEFF"/>
          </w:tcPr>
          <w:p>
            <w:pPr>
              <w:ind w:left="440"/>
              <w:spacing w:after="0" w:line="126"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jc w:val="center"/>
              <w:ind w:left="21"/>
              <w:spacing w:after="0" w:line="126" w:lineRule="exact"/>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ind w:left="340"/>
              <w:spacing w:after="0" w:line="12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gridSpan w:val="4"/>
            <w:shd w:val="clear" w:color="auto" w:fill="CCEEFF"/>
          </w:tcPr>
          <w:p>
            <w:pPr>
              <w:jc w:val="center"/>
              <w:ind w:right="320"/>
              <w:spacing w:after="0" w:line="126" w:lineRule="exact"/>
              <w:rPr>
                <w:sz w:val="20"/>
                <w:szCs w:val="20"/>
                <w:color w:val="auto"/>
              </w:rPr>
            </w:pPr>
            <w:r>
              <w:rPr>
                <w:rFonts w:ascii="Arial" w:cs="Arial" w:eastAsia="Arial" w:hAnsi="Arial"/>
                <w:sz w:val="12"/>
                <w:szCs w:val="12"/>
                <w:color w:val="auto"/>
                <w:w w:val="99"/>
              </w:rPr>
              <w:t>—</w:t>
            </w:r>
          </w:p>
        </w:tc>
        <w:tc>
          <w:tcPr>
            <w:tcW w:w="700" w:type="dxa"/>
            <w:vAlign w:val="bottom"/>
            <w:gridSpan w:val="3"/>
            <w:shd w:val="clear" w:color="auto" w:fill="CCEEFF"/>
          </w:tcPr>
          <w:p>
            <w:pPr>
              <w:ind w:left="420"/>
              <w:spacing w:after="0" w:line="126"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580" w:type="dxa"/>
            <w:vAlign w:val="bottom"/>
            <w:gridSpan w:val="3"/>
            <w:shd w:val="clear" w:color="auto" w:fill="CCEEFF"/>
          </w:tcPr>
          <w:p>
            <w:pPr>
              <w:jc w:val="center"/>
              <w:ind w:right="180"/>
              <w:spacing w:after="0" w:line="126" w:lineRule="exact"/>
              <w:rPr>
                <w:sz w:val="20"/>
                <w:szCs w:val="20"/>
                <w:color w:val="auto"/>
              </w:rPr>
            </w:pPr>
            <w:r>
              <w:rPr>
                <w:rFonts w:ascii="Arial" w:cs="Arial" w:eastAsia="Arial" w:hAnsi="Arial"/>
                <w:sz w:val="12"/>
                <w:szCs w:val="12"/>
                <w:color w:val="auto"/>
                <w:w w:val="99"/>
              </w:rPr>
              <w:t>—</w:t>
            </w:r>
          </w:p>
        </w:tc>
        <w:tc>
          <w:tcPr>
            <w:tcW w:w="280" w:type="dxa"/>
            <w:vAlign w:val="bottom"/>
            <w:shd w:val="clear" w:color="auto" w:fill="CCEEFF"/>
          </w:tcPr>
          <w:p>
            <w:pPr>
              <w:spacing w:after="0"/>
              <w:rPr>
                <w:sz w:val="10"/>
                <w:szCs w:val="10"/>
                <w:color w:val="auto"/>
              </w:rPr>
            </w:pPr>
          </w:p>
        </w:tc>
        <w:tc>
          <w:tcPr>
            <w:tcW w:w="740" w:type="dxa"/>
            <w:vAlign w:val="bottom"/>
            <w:gridSpan w:val="3"/>
            <w:shd w:val="clear" w:color="auto" w:fill="CCEEFF"/>
          </w:tcPr>
          <w:p>
            <w:pPr>
              <w:ind w:left="240"/>
              <w:spacing w:after="0" w:line="126"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0"/>
                <w:szCs w:val="10"/>
                <w:color w:val="auto"/>
              </w:rPr>
            </w:pPr>
          </w:p>
        </w:tc>
        <w:tc>
          <w:tcPr>
            <w:tcW w:w="600" w:type="dxa"/>
            <w:vAlign w:val="bottom"/>
            <w:gridSpan w:val="4"/>
            <w:shd w:val="clear" w:color="auto" w:fill="CCEEFF"/>
          </w:tcPr>
          <w:p>
            <w:pPr>
              <w:ind w:left="140"/>
              <w:spacing w:after="0" w:line="126" w:lineRule="exact"/>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20"/>
              <w:spacing w:after="0" w:line="126" w:lineRule="exact"/>
              <w:rPr>
                <w:sz w:val="20"/>
                <w:szCs w:val="20"/>
                <w:color w:val="auto"/>
              </w:rPr>
            </w:pPr>
            <w:r>
              <w:rPr>
                <w:rFonts w:ascii="Arial" w:cs="Arial" w:eastAsia="Arial" w:hAnsi="Arial"/>
                <w:sz w:val="12"/>
                <w:szCs w:val="12"/>
                <w:color w:val="auto"/>
              </w:rPr>
              <w:t>(12,297)</w:t>
            </w:r>
          </w:p>
        </w:tc>
        <w:tc>
          <w:tcPr>
            <w:tcW w:w="4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2"/>
        </w:trPr>
        <w:tc>
          <w:tcPr>
            <w:tcW w:w="960" w:type="dxa"/>
            <w:vAlign w:val="bottom"/>
            <w:gridSpan w:val="2"/>
          </w:tcPr>
          <w:p>
            <w:pPr>
              <w:spacing w:after="0" w:line="112" w:lineRule="exact"/>
              <w:rPr>
                <w:sz w:val="20"/>
                <w:szCs w:val="20"/>
                <w:color w:val="auto"/>
              </w:rPr>
            </w:pPr>
            <w:r>
              <w:rPr>
                <w:rFonts w:ascii="Arial" w:cs="Arial" w:eastAsia="Arial" w:hAnsi="Arial"/>
                <w:sz w:val="12"/>
                <w:szCs w:val="12"/>
                <w:b w:val="1"/>
                <w:bCs w:val="1"/>
                <w:color w:val="auto"/>
              </w:rPr>
              <w:t>Balances at</w:t>
            </w:r>
          </w:p>
        </w:tc>
        <w:tc>
          <w:tcPr>
            <w:tcW w:w="6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June 30, 2020</w:t>
            </w:r>
          </w:p>
        </w:tc>
        <w:tc>
          <w:tcPr>
            <w:tcW w:w="620" w:type="dxa"/>
            <w:vAlign w:val="bottom"/>
          </w:tcPr>
          <w:p>
            <w:pPr>
              <w:ind w:left="40"/>
              <w:spacing w:after="0"/>
              <w:rPr>
                <w:sz w:val="20"/>
                <w:szCs w:val="20"/>
                <w:color w:val="auto"/>
              </w:rPr>
            </w:pPr>
            <w:r>
              <w:rPr>
                <w:rFonts w:ascii="Arial" w:cs="Arial" w:eastAsia="Arial" w:hAnsi="Arial"/>
                <w:sz w:val="12"/>
                <w:szCs w:val="12"/>
                <w:color w:val="auto"/>
                <w:w w:val="93"/>
              </w:rPr>
              <w:t>54,208,461</w:t>
            </w:r>
          </w:p>
        </w:tc>
        <w:tc>
          <w:tcPr>
            <w:tcW w:w="180" w:type="dxa"/>
            <w:vAlign w:val="bottom"/>
            <w:gridSpan w:val="4"/>
          </w:tcPr>
          <w:p>
            <w:pPr>
              <w:jc w:val="right"/>
              <w:ind w:right="20"/>
              <w:spacing w:after="0"/>
              <w:rPr>
                <w:sz w:val="20"/>
                <w:szCs w:val="20"/>
                <w:color w:val="auto"/>
              </w:rPr>
            </w:pPr>
            <w:r>
              <w:rPr>
                <w:rFonts w:ascii="Arial" w:cs="Arial" w:eastAsia="Arial" w:hAnsi="Arial"/>
                <w:sz w:val="12"/>
                <w:szCs w:val="12"/>
                <w:color w:val="auto"/>
              </w:rPr>
              <w:t>$</w:t>
            </w:r>
          </w:p>
        </w:tc>
        <w:tc>
          <w:tcPr>
            <w:tcW w:w="560" w:type="dxa"/>
            <w:vAlign w:val="bottom"/>
          </w:tcPr>
          <w:p>
            <w:pPr>
              <w:ind w:left="140"/>
              <w:spacing w:after="0"/>
              <w:rPr>
                <w:sz w:val="20"/>
                <w:szCs w:val="20"/>
                <w:color w:val="auto"/>
              </w:rPr>
            </w:pPr>
            <w:r>
              <w:rPr>
                <w:rFonts w:ascii="Arial" w:cs="Arial" w:eastAsia="Arial" w:hAnsi="Arial"/>
                <w:sz w:val="12"/>
                <w:szCs w:val="12"/>
                <w:color w:val="auto"/>
                <w:w w:val="92"/>
              </w:rPr>
              <w:t>110,401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w w:val="96"/>
              </w:rPr>
              <w:t>11,239,920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$ 119,761</w:t>
            </w: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w w:val="99"/>
              </w:rPr>
              <w:t>21,760,848</w:t>
            </w:r>
          </w:p>
        </w:tc>
        <w:tc>
          <w:tcPr>
            <w:tcW w:w="40" w:type="dxa"/>
            <w:vAlign w:val="bottom"/>
          </w:tcPr>
          <w:p>
            <w:pPr>
              <w:spacing w:after="0"/>
              <w:rPr>
                <w:sz w:val="12"/>
                <w:szCs w:val="12"/>
                <w:color w:val="auto"/>
              </w:rPr>
            </w:pPr>
          </w:p>
        </w:tc>
        <w:tc>
          <w:tcPr>
            <w:tcW w:w="400" w:type="dxa"/>
            <w:vAlign w:val="bottom"/>
            <w:gridSpan w:val="2"/>
          </w:tcPr>
          <w:p>
            <w:pPr>
              <w:jc w:val="right"/>
              <w:ind w:right="81"/>
              <w:spacing w:after="0"/>
              <w:rPr>
                <w:sz w:val="20"/>
                <w:szCs w:val="20"/>
                <w:color w:val="auto"/>
              </w:rPr>
            </w:pPr>
            <w:r>
              <w:rPr>
                <w:rFonts w:ascii="Arial" w:cs="Arial" w:eastAsia="Arial" w:hAnsi="Arial"/>
                <w:sz w:val="12"/>
                <w:szCs w:val="12"/>
                <w:color w:val="auto"/>
              </w:rPr>
              <w:t>$</w:t>
            </w:r>
          </w:p>
        </w:tc>
        <w:tc>
          <w:tcPr>
            <w:tcW w:w="280" w:type="dxa"/>
            <w:vAlign w:val="bottom"/>
            <w:gridSpan w:val="2"/>
          </w:tcPr>
          <w:p>
            <w:pPr>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4"/>
          </w:tcPr>
          <w:p>
            <w:pPr>
              <w:jc w:val="center"/>
              <w:ind w:right="320"/>
              <w:spacing w:after="0"/>
              <w:rPr>
                <w:sz w:val="20"/>
                <w:szCs w:val="20"/>
                <w:color w:val="auto"/>
              </w:rPr>
            </w:pPr>
            <w:r>
              <w:rPr>
                <w:rFonts w:ascii="Arial" w:cs="Arial" w:eastAsia="Arial" w:hAnsi="Arial"/>
                <w:sz w:val="12"/>
                <w:szCs w:val="12"/>
                <w:color w:val="auto"/>
                <w:w w:val="99"/>
              </w:rPr>
              <w:t>—</w:t>
            </w:r>
          </w:p>
        </w:tc>
        <w:tc>
          <w:tcPr>
            <w:tcW w:w="660" w:type="dxa"/>
            <w:vAlign w:val="bottom"/>
            <w:gridSpan w:val="2"/>
          </w:tcPr>
          <w:p>
            <w:pPr>
              <w:ind w:left="40"/>
              <w:spacing w:after="0"/>
              <w:rPr>
                <w:sz w:val="20"/>
                <w:szCs w:val="20"/>
                <w:color w:val="auto"/>
              </w:rPr>
            </w:pPr>
            <w:r>
              <w:rPr>
                <w:rFonts w:ascii="Arial" w:cs="Arial" w:eastAsia="Arial" w:hAnsi="Arial"/>
                <w:sz w:val="12"/>
                <w:szCs w:val="12"/>
                <w:color w:val="auto"/>
                <w:w w:val="97"/>
              </w:rPr>
              <w:t>(2,317,722)</w:t>
            </w:r>
          </w:p>
        </w:tc>
        <w:tc>
          <w:tcPr>
            <w:tcW w:w="40" w:type="dxa"/>
            <w:vAlign w:val="bottom"/>
          </w:tcPr>
          <w:p>
            <w:pPr>
              <w:spacing w:after="0"/>
              <w:rPr>
                <w:sz w:val="12"/>
                <w:szCs w:val="12"/>
                <w:color w:val="auto"/>
              </w:rPr>
            </w:pPr>
          </w:p>
        </w:tc>
        <w:tc>
          <w:tcPr>
            <w:tcW w:w="740" w:type="dxa"/>
            <w:vAlign w:val="bottom"/>
            <w:gridSpan w:val="3"/>
          </w:tcPr>
          <w:p>
            <w:pPr>
              <w:jc w:val="center"/>
              <w:spacing w:after="0"/>
              <w:rPr>
                <w:sz w:val="20"/>
                <w:szCs w:val="20"/>
                <w:color w:val="auto"/>
              </w:rPr>
            </w:pPr>
            <w:r>
              <w:rPr>
                <w:rFonts w:ascii="Arial" w:cs="Arial" w:eastAsia="Arial" w:hAnsi="Arial"/>
                <w:sz w:val="12"/>
                <w:szCs w:val="12"/>
                <w:u w:val="single" w:color="auto"/>
                <w:color w:val="auto"/>
                <w:w w:val="94"/>
              </w:rPr>
              <w:t>$</w:t>
            </w:r>
            <w:r>
              <w:rPr>
                <w:rFonts w:ascii="Arial" w:cs="Arial" w:eastAsia="Arial" w:hAnsi="Arial"/>
                <w:sz w:val="12"/>
                <w:szCs w:val="12"/>
                <w:color w:val="auto"/>
                <w:w w:val="94"/>
              </w:rPr>
              <w:t xml:space="preserve"> (748)</w:t>
            </w:r>
          </w:p>
        </w:tc>
        <w:tc>
          <w:tcPr>
            <w:tcW w:w="40" w:type="dxa"/>
            <w:vAlign w:val="bottom"/>
          </w:tcPr>
          <w:p>
            <w:pPr>
              <w:spacing w:after="0"/>
              <w:rPr>
                <w:sz w:val="12"/>
                <w:szCs w:val="12"/>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2"/>
                <w:szCs w:val="12"/>
                <w:color w:val="auto"/>
              </w:rPr>
              <w:t>$ 14,705</w:t>
            </w:r>
          </w:p>
        </w:tc>
        <w:tc>
          <w:tcPr>
            <w:tcW w:w="40" w:type="dxa"/>
            <w:vAlign w:val="bottom"/>
          </w:tcPr>
          <w:p>
            <w:pPr>
              <w:spacing w:after="0"/>
              <w:rPr>
                <w:sz w:val="12"/>
                <w:szCs w:val="12"/>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 (171)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u w:val="single" w:color="auto"/>
                <w:color w:val="auto"/>
                <w:w w:val="91"/>
              </w:rPr>
              <w:t>$</w:t>
            </w:r>
            <w:r>
              <w:rPr>
                <w:rFonts w:ascii="Arial" w:cs="Arial" w:eastAsia="Arial" w:hAnsi="Arial"/>
                <w:sz w:val="12"/>
                <w:szCs w:val="12"/>
                <w:color w:val="auto"/>
                <w:w w:val="91"/>
              </w:rPr>
              <w:t xml:space="preserve"> (98,962)</w:t>
            </w:r>
          </w:p>
        </w:tc>
        <w:tc>
          <w:tcPr>
            <w:tcW w:w="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40"/>
          </w:cols>
          <w:pgMar w:left="320" w:top="464"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FLYWIRE CORPORATION</w:t>
      </w:r>
    </w:p>
    <w:p>
      <w:pPr>
        <w:spacing w:after="0" w:line="7"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UNAUDITED CONDENSED CONSOLIDATED STATEMENT OF CASH FLOWS</w:t>
      </w:r>
    </w:p>
    <w:p>
      <w:pPr>
        <w:jc w:val="center"/>
        <w:ind w:right="-479"/>
        <w:spacing w:after="0"/>
        <w:rPr>
          <w:sz w:val="20"/>
          <w:szCs w:val="20"/>
          <w:color w:val="auto"/>
        </w:rPr>
      </w:pPr>
      <w:r>
        <w:rPr>
          <w:rFonts w:ascii="Arial" w:cs="Arial" w:eastAsia="Arial" w:hAnsi="Arial"/>
          <w:sz w:val="17"/>
          <w:szCs w:val="17"/>
          <w:color w:val="auto"/>
        </w:rPr>
        <w:t>(Amounts in thousands)</w:t>
      </w:r>
    </w:p>
    <w:p>
      <w:pPr>
        <w:spacing w:after="0" w:line="222" w:lineRule="exact"/>
        <w:rPr>
          <w:sz w:val="20"/>
          <w:szCs w:val="20"/>
          <w:color w:val="auto"/>
        </w:rPr>
      </w:pPr>
    </w:p>
    <w:tbl>
      <w:tblPr>
        <w:tblLayout w:type="fixed"/>
        <w:tblInd w:w="480" w:type="dxa"/>
        <w:tblCellMar>
          <w:top w:w="0" w:type="dxa"/>
          <w:left w:w="0" w:type="dxa"/>
          <w:bottom w:w="0" w:type="dxa"/>
          <w:right w:w="0" w:type="dxa"/>
        </w:tblCellMar>
      </w:tblPr>
      <w:tr>
        <w:trPr>
          <w:trHeight w:val="163"/>
        </w:trPr>
        <w:tc>
          <w:tcPr>
            <w:tcW w:w="7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00" w:type="dxa"/>
            <w:vAlign w:val="bottom"/>
            <w:gridSpan w:val="7"/>
          </w:tcPr>
          <w:p>
            <w:pPr>
              <w:jc w:val="right"/>
              <w:ind w:right="140"/>
              <w:spacing w:after="0"/>
              <w:rPr>
                <w:sz w:val="20"/>
                <w:szCs w:val="20"/>
                <w:color w:val="auto"/>
              </w:rPr>
            </w:pPr>
            <w:r>
              <w:rPr>
                <w:rFonts w:ascii="Arial" w:cs="Arial" w:eastAsia="Arial" w:hAnsi="Arial"/>
                <w:sz w:val="13"/>
                <w:szCs w:val="13"/>
                <w:b w:val="1"/>
                <w:bCs w:val="1"/>
                <w:color w:val="auto"/>
              </w:rPr>
              <w:t>Six Months Ended June 30,</w:t>
            </w:r>
          </w:p>
        </w:tc>
      </w:tr>
      <w:tr>
        <w:trPr>
          <w:trHeight w:val="157"/>
        </w:trPr>
        <w:tc>
          <w:tcPr>
            <w:tcW w:w="750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182"/>
        </w:trPr>
        <w:tc>
          <w:tcPr>
            <w:tcW w:w="7500" w:type="dxa"/>
            <w:vAlign w:val="bottom"/>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Cash flows from operating activities:</w:t>
            </w: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0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(26,798)</w:t>
            </w:r>
          </w:p>
        </w:tc>
        <w:tc>
          <w:tcPr>
            <w:tcW w:w="2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(12,297)</w:t>
            </w:r>
          </w:p>
        </w:tc>
      </w:tr>
      <w:tr>
        <w:trPr>
          <w:trHeight w:val="189"/>
        </w:trPr>
        <w:tc>
          <w:tcPr>
            <w:tcW w:w="7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7500" w:type="dxa"/>
            <w:vAlign w:val="bottom"/>
          </w:tcPr>
          <w:p>
            <w:pPr>
              <w:ind w:left="340"/>
              <w:spacing w:after="0" w:line="189" w:lineRule="exact"/>
              <w:rPr>
                <w:sz w:val="20"/>
                <w:szCs w:val="20"/>
                <w:color w:val="auto"/>
              </w:rPr>
            </w:pPr>
            <w:r>
              <w:rPr>
                <w:rFonts w:ascii="Arial" w:cs="Arial" w:eastAsia="Arial" w:hAnsi="Arial"/>
                <w:sz w:val="17"/>
                <w:szCs w:val="17"/>
                <w:color w:val="auto"/>
              </w:rPr>
              <w:t>Depreciation and amortization</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4,305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3,263</w:t>
            </w:r>
          </w:p>
        </w:tc>
      </w:tr>
      <w:tr>
        <w:trPr>
          <w:trHeight w:val="189"/>
        </w:trPr>
        <w:tc>
          <w:tcPr>
            <w:tcW w:w="75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Stock-based compensation expense</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12,760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1,824</w:t>
            </w:r>
          </w:p>
        </w:tc>
      </w:tr>
      <w:tr>
        <w:trPr>
          <w:trHeight w:val="189"/>
        </w:trPr>
        <w:tc>
          <w:tcPr>
            <w:tcW w:w="7500" w:type="dxa"/>
            <w:vAlign w:val="bottom"/>
          </w:tcPr>
          <w:p>
            <w:pPr>
              <w:ind w:left="340"/>
              <w:spacing w:after="0" w:line="189" w:lineRule="exact"/>
              <w:rPr>
                <w:sz w:val="20"/>
                <w:szCs w:val="20"/>
                <w:color w:val="auto"/>
              </w:rPr>
            </w:pPr>
            <w:r>
              <w:rPr>
                <w:rFonts w:ascii="Arial" w:cs="Arial" w:eastAsia="Arial" w:hAnsi="Arial"/>
                <w:sz w:val="17"/>
                <w:szCs w:val="17"/>
                <w:color w:val="auto"/>
              </w:rPr>
              <w:t>Amortization of deferred contract costs</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105</w:t>
            </w:r>
          </w:p>
        </w:tc>
      </w:tr>
      <w:tr>
        <w:trPr>
          <w:trHeight w:val="189"/>
        </w:trPr>
        <w:tc>
          <w:tcPr>
            <w:tcW w:w="75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Change in fair value of preferred stock warrant liability</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10,758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254</w:t>
            </w:r>
          </w:p>
        </w:tc>
      </w:tr>
      <w:tr>
        <w:trPr>
          <w:trHeight w:val="189"/>
        </w:trPr>
        <w:tc>
          <w:tcPr>
            <w:tcW w:w="7500" w:type="dxa"/>
            <w:vAlign w:val="bottom"/>
          </w:tcPr>
          <w:p>
            <w:pPr>
              <w:ind w:left="340"/>
              <w:spacing w:after="0" w:line="189" w:lineRule="exact"/>
              <w:rPr>
                <w:sz w:val="20"/>
                <w:szCs w:val="20"/>
                <w:color w:val="auto"/>
              </w:rPr>
            </w:pPr>
            <w:r>
              <w:rPr>
                <w:rFonts w:ascii="Arial" w:cs="Arial" w:eastAsia="Arial" w:hAnsi="Arial"/>
                <w:sz w:val="17"/>
                <w:szCs w:val="17"/>
                <w:color w:val="auto"/>
              </w:rPr>
              <w:t>Change in fair value of contingent consideration</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1,591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3,702</w:t>
            </w:r>
          </w:p>
        </w:tc>
      </w:tr>
      <w:tr>
        <w:trPr>
          <w:trHeight w:val="189"/>
        </w:trPr>
        <w:tc>
          <w:tcPr>
            <w:tcW w:w="75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Deferred tax provision</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137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(8,538)</w:t>
            </w:r>
          </w:p>
        </w:tc>
      </w:tr>
      <w:tr>
        <w:trPr>
          <w:trHeight w:val="189"/>
        </w:trPr>
        <w:tc>
          <w:tcPr>
            <w:tcW w:w="7500" w:type="dxa"/>
            <w:vAlign w:val="bottom"/>
          </w:tcPr>
          <w:p>
            <w:pPr>
              <w:ind w:left="340"/>
              <w:spacing w:after="0" w:line="189" w:lineRule="exact"/>
              <w:rPr>
                <w:sz w:val="20"/>
                <w:szCs w:val="20"/>
                <w:color w:val="auto"/>
              </w:rPr>
            </w:pPr>
            <w:r>
              <w:rPr>
                <w:rFonts w:ascii="Arial" w:cs="Arial" w:eastAsia="Arial" w:hAnsi="Arial"/>
                <w:sz w:val="17"/>
                <w:szCs w:val="17"/>
                <w:color w:val="auto"/>
              </w:rPr>
              <w:t>Bad debt expense</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237</w:t>
            </w:r>
          </w:p>
        </w:tc>
      </w:tr>
      <w:tr>
        <w:trPr>
          <w:trHeight w:val="189"/>
        </w:trPr>
        <w:tc>
          <w:tcPr>
            <w:tcW w:w="75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Non-cash interest expense</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145</w:t>
            </w:r>
          </w:p>
        </w:tc>
      </w:tr>
      <w:tr>
        <w:trPr>
          <w:trHeight w:val="189"/>
        </w:trPr>
        <w:tc>
          <w:tcPr>
            <w:tcW w:w="7500" w:type="dxa"/>
            <w:vAlign w:val="bottom"/>
          </w:tcPr>
          <w:p>
            <w:pPr>
              <w:ind w:left="340"/>
              <w:spacing w:after="0" w:line="189" w:lineRule="exact"/>
              <w:rPr>
                <w:sz w:val="20"/>
                <w:szCs w:val="20"/>
                <w:color w:val="auto"/>
              </w:rPr>
            </w:pPr>
            <w:r>
              <w:rPr>
                <w:rFonts w:ascii="Arial" w:cs="Arial" w:eastAsia="Arial" w:hAnsi="Arial"/>
                <w:sz w:val="17"/>
                <w:szCs w:val="17"/>
                <w:color w:val="auto"/>
              </w:rPr>
              <w:t>Other</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r>
      <w:tr>
        <w:trPr>
          <w:trHeight w:val="189"/>
        </w:trPr>
        <w:tc>
          <w:tcPr>
            <w:tcW w:w="75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Changes in operating assets and liabilities, net of acquisition:</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7500" w:type="dxa"/>
            <w:vAlign w:val="bottom"/>
          </w:tcPr>
          <w:p>
            <w:pPr>
              <w:ind w:left="680"/>
              <w:spacing w:after="0" w:line="189" w:lineRule="exact"/>
              <w:rPr>
                <w:sz w:val="20"/>
                <w:szCs w:val="20"/>
                <w:color w:val="auto"/>
              </w:rPr>
            </w:pPr>
            <w:r>
              <w:rPr>
                <w:rFonts w:ascii="Arial" w:cs="Arial" w:eastAsia="Arial" w:hAnsi="Arial"/>
                <w:sz w:val="17"/>
                <w:szCs w:val="17"/>
                <w:color w:val="auto"/>
              </w:rPr>
              <w:t>Accounts receivable</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(1,971)</w:t>
            </w:r>
          </w:p>
        </w:tc>
      </w:tr>
      <w:tr>
        <w:trPr>
          <w:trHeight w:val="189"/>
        </w:trPr>
        <w:tc>
          <w:tcPr>
            <w:tcW w:w="7500" w:type="dxa"/>
            <w:vAlign w:val="bottom"/>
            <w:shd w:val="clear" w:color="auto" w:fill="CCEEFF"/>
          </w:tcPr>
          <w:p>
            <w:pPr>
              <w:ind w:left="680"/>
              <w:spacing w:after="0" w:line="189" w:lineRule="exact"/>
              <w:rPr>
                <w:sz w:val="20"/>
                <w:szCs w:val="20"/>
                <w:color w:val="auto"/>
              </w:rPr>
            </w:pPr>
            <w:r>
              <w:rPr>
                <w:rFonts w:ascii="Arial" w:cs="Arial" w:eastAsia="Arial" w:hAnsi="Arial"/>
                <w:sz w:val="17"/>
                <w:szCs w:val="17"/>
                <w:color w:val="auto"/>
              </w:rPr>
              <w:t>Unbilled receivables</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692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780</w:t>
            </w:r>
          </w:p>
        </w:tc>
      </w:tr>
      <w:tr>
        <w:trPr>
          <w:trHeight w:val="189"/>
        </w:trPr>
        <w:tc>
          <w:tcPr>
            <w:tcW w:w="7500" w:type="dxa"/>
            <w:vAlign w:val="bottom"/>
          </w:tcPr>
          <w:p>
            <w:pPr>
              <w:ind w:left="680"/>
              <w:spacing w:after="0" w:line="189" w:lineRule="exact"/>
              <w:rPr>
                <w:sz w:val="20"/>
                <w:szCs w:val="20"/>
                <w:color w:val="auto"/>
              </w:rPr>
            </w:pPr>
            <w:r>
              <w:rPr>
                <w:rFonts w:ascii="Arial" w:cs="Arial" w:eastAsia="Arial" w:hAnsi="Arial"/>
                <w:sz w:val="17"/>
                <w:szCs w:val="17"/>
                <w:color w:val="auto"/>
              </w:rPr>
              <w:t>Funds receivable from payment partners</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5,456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5,648</w:t>
            </w:r>
          </w:p>
        </w:tc>
      </w:tr>
      <w:tr>
        <w:trPr>
          <w:trHeight w:val="189"/>
        </w:trPr>
        <w:tc>
          <w:tcPr>
            <w:tcW w:w="7500" w:type="dxa"/>
            <w:vAlign w:val="bottom"/>
            <w:shd w:val="clear" w:color="auto" w:fill="CCEEFF"/>
          </w:tcPr>
          <w:p>
            <w:pPr>
              <w:ind w:left="680"/>
              <w:spacing w:after="0" w:line="189" w:lineRule="exact"/>
              <w:rPr>
                <w:sz w:val="20"/>
                <w:szCs w:val="20"/>
                <w:color w:val="auto"/>
              </w:rPr>
            </w:pPr>
            <w:r>
              <w:rPr>
                <w:rFonts w:ascii="Arial" w:cs="Arial" w:eastAsia="Arial" w:hAnsi="Arial"/>
                <w:sz w:val="17"/>
                <w:szCs w:val="17"/>
                <w:color w:val="auto"/>
              </w:rPr>
              <w:t>Prepaid expenses and other assets</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(7,817)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(3,210)</w:t>
            </w:r>
          </w:p>
        </w:tc>
      </w:tr>
      <w:tr>
        <w:trPr>
          <w:trHeight w:val="189"/>
        </w:trPr>
        <w:tc>
          <w:tcPr>
            <w:tcW w:w="7500" w:type="dxa"/>
            <w:vAlign w:val="bottom"/>
          </w:tcPr>
          <w:p>
            <w:pPr>
              <w:ind w:left="680"/>
              <w:spacing w:after="0" w:line="189" w:lineRule="exact"/>
              <w:rPr>
                <w:sz w:val="20"/>
                <w:szCs w:val="20"/>
                <w:color w:val="auto"/>
              </w:rPr>
            </w:pPr>
            <w:r>
              <w:rPr>
                <w:rFonts w:ascii="Arial" w:cs="Arial" w:eastAsia="Arial" w:hAnsi="Arial"/>
                <w:sz w:val="17"/>
                <w:szCs w:val="17"/>
                <w:color w:val="auto"/>
              </w:rPr>
              <w:t>Funds payable to clients</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(14,475)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(29,990)</w:t>
            </w:r>
          </w:p>
        </w:tc>
      </w:tr>
      <w:tr>
        <w:trPr>
          <w:trHeight w:val="189"/>
        </w:trPr>
        <w:tc>
          <w:tcPr>
            <w:tcW w:w="7500" w:type="dxa"/>
            <w:vAlign w:val="bottom"/>
            <w:shd w:val="clear" w:color="auto" w:fill="CCEEFF"/>
          </w:tcPr>
          <w:p>
            <w:pPr>
              <w:ind w:left="680"/>
              <w:spacing w:after="0" w:line="189" w:lineRule="exact"/>
              <w:rPr>
                <w:sz w:val="20"/>
                <w:szCs w:val="20"/>
                <w:color w:val="auto"/>
              </w:rPr>
            </w:pPr>
            <w:r>
              <w:rPr>
                <w:rFonts w:ascii="Arial" w:cs="Arial" w:eastAsia="Arial" w:hAnsi="Arial"/>
                <w:sz w:val="17"/>
                <w:szCs w:val="17"/>
                <w:color w:val="auto"/>
              </w:rPr>
              <w:t>Accounts payable, accrued expenses and other current liabilities</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3,097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650</w:t>
            </w:r>
          </w:p>
        </w:tc>
      </w:tr>
      <w:tr>
        <w:trPr>
          <w:trHeight w:val="189"/>
        </w:trPr>
        <w:tc>
          <w:tcPr>
            <w:tcW w:w="7500" w:type="dxa"/>
            <w:vAlign w:val="bottom"/>
          </w:tcPr>
          <w:p>
            <w:pPr>
              <w:ind w:left="680"/>
              <w:spacing w:after="0" w:line="189" w:lineRule="exact"/>
              <w:rPr>
                <w:sz w:val="20"/>
                <w:szCs w:val="20"/>
                <w:color w:val="auto"/>
              </w:rPr>
            </w:pPr>
            <w:r>
              <w:rPr>
                <w:rFonts w:ascii="Arial" w:cs="Arial" w:eastAsia="Arial" w:hAnsi="Arial"/>
                <w:sz w:val="17"/>
                <w:szCs w:val="17"/>
                <w:color w:val="auto"/>
              </w:rPr>
              <w:t>Contingent consideration</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(693)</w:t>
            </w:r>
          </w:p>
        </w:tc>
      </w:tr>
      <w:tr>
        <w:trPr>
          <w:trHeight w:val="189"/>
        </w:trPr>
        <w:tc>
          <w:tcPr>
            <w:tcW w:w="7500" w:type="dxa"/>
            <w:vAlign w:val="bottom"/>
            <w:shd w:val="clear" w:color="auto" w:fill="CCEEFF"/>
          </w:tcPr>
          <w:p>
            <w:pPr>
              <w:ind w:left="680"/>
              <w:spacing w:after="0" w:line="189" w:lineRule="exact"/>
              <w:rPr>
                <w:sz w:val="20"/>
                <w:szCs w:val="20"/>
                <w:color w:val="auto"/>
              </w:rPr>
            </w:pPr>
            <w:r>
              <w:rPr>
                <w:rFonts w:ascii="Arial" w:cs="Arial" w:eastAsia="Arial" w:hAnsi="Arial"/>
                <w:sz w:val="17"/>
                <w:szCs w:val="17"/>
                <w:color w:val="auto"/>
              </w:rPr>
              <w:t>Other liabilities</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135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(133)</w:t>
            </w:r>
          </w:p>
        </w:tc>
      </w:tr>
      <w:tr>
        <w:trPr>
          <w:trHeight w:val="189"/>
        </w:trPr>
        <w:tc>
          <w:tcPr>
            <w:tcW w:w="7500" w:type="dxa"/>
            <w:vAlign w:val="bottom"/>
          </w:tcPr>
          <w:p>
            <w:pPr>
              <w:ind w:left="680"/>
              <w:spacing w:after="0" w:line="189" w:lineRule="exact"/>
              <w:rPr>
                <w:sz w:val="20"/>
                <w:szCs w:val="20"/>
                <w:color w:val="auto"/>
              </w:rPr>
            </w:pPr>
            <w:r>
              <w:rPr>
                <w:rFonts w:ascii="Arial" w:cs="Arial" w:eastAsia="Arial" w:hAnsi="Arial"/>
                <w:sz w:val="17"/>
                <w:szCs w:val="17"/>
                <w:color w:val="auto"/>
              </w:rPr>
              <w:t>Deferred revenue</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(436)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(385)</w:t>
            </w:r>
          </w:p>
        </w:tc>
      </w:tr>
      <w:tr>
        <w:trPr>
          <w:trHeight w:val="25"/>
        </w:trPr>
        <w:tc>
          <w:tcPr>
            <w:tcW w:w="7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7500" w:type="dxa"/>
            <w:vAlign w:val="bottom"/>
            <w:shd w:val="clear" w:color="auto" w:fill="CCEEFF"/>
          </w:tcPr>
          <w:p>
            <w:pPr>
              <w:ind w:left="1000"/>
              <w:spacing w:after="0" w:line="189" w:lineRule="exact"/>
              <w:rPr>
                <w:sz w:val="20"/>
                <w:szCs w:val="20"/>
                <w:color w:val="auto"/>
              </w:rPr>
            </w:pPr>
            <w:r>
              <w:rPr>
                <w:rFonts w:ascii="Arial" w:cs="Arial" w:eastAsia="Arial" w:hAnsi="Arial"/>
                <w:sz w:val="17"/>
                <w:szCs w:val="17"/>
                <w:color w:val="auto"/>
              </w:rPr>
              <w:t>Net cash used in operating activities</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(13,553)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(40,609)</w:t>
            </w:r>
          </w:p>
        </w:tc>
      </w:tr>
      <w:tr>
        <w:trPr>
          <w:trHeight w:val="194"/>
        </w:trPr>
        <w:tc>
          <w:tcPr>
            <w:tcW w:w="7500" w:type="dxa"/>
            <w:vAlign w:val="bottom"/>
          </w:tcPr>
          <w:p>
            <w:pPr>
              <w:spacing w:after="0" w:line="194" w:lineRule="exact"/>
              <w:rPr>
                <w:sz w:val="20"/>
                <w:szCs w:val="20"/>
                <w:color w:val="auto"/>
              </w:rPr>
            </w:pPr>
            <w:r>
              <w:rPr>
                <w:rFonts w:ascii="Arial" w:cs="Arial" w:eastAsia="Arial" w:hAnsi="Arial"/>
                <w:sz w:val="17"/>
                <w:szCs w:val="17"/>
                <w:b w:val="1"/>
                <w:bCs w:val="1"/>
                <w:color w:val="auto"/>
              </w:rPr>
              <w:t>Cash flows from investing activities:</w:t>
            </w:r>
          </w:p>
        </w:tc>
        <w:tc>
          <w:tcPr>
            <w:tcW w:w="8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Purchases of property and equipment</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(3,463)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(1,261)</w:t>
            </w: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7"/>
                <w:szCs w:val="17"/>
                <w:color w:val="auto"/>
              </w:rPr>
              <w:t>Asset acquisition, net of cash acquired</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r>
      <w:tr>
        <w:trPr>
          <w:trHeight w:val="189"/>
        </w:trPr>
        <w:tc>
          <w:tcPr>
            <w:tcW w:w="7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Acquisition of businesses, net of cash acquired</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(79,401)</w:t>
            </w:r>
          </w:p>
        </w:tc>
      </w:tr>
      <w:tr>
        <w:trPr>
          <w:trHeight w:val="20"/>
        </w:trPr>
        <w:tc>
          <w:tcPr>
            <w:tcW w:w="7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7500" w:type="dxa"/>
            <w:vAlign w:val="bottom"/>
          </w:tcPr>
          <w:p>
            <w:pPr>
              <w:ind w:left="1000"/>
              <w:spacing w:after="0" w:line="194" w:lineRule="exact"/>
              <w:rPr>
                <w:sz w:val="20"/>
                <w:szCs w:val="20"/>
                <w:color w:val="auto"/>
              </w:rPr>
            </w:pPr>
            <w:r>
              <w:rPr>
                <w:rFonts w:ascii="Arial" w:cs="Arial" w:eastAsia="Arial" w:hAnsi="Arial"/>
                <w:sz w:val="17"/>
                <w:szCs w:val="17"/>
                <w:color w:val="auto"/>
              </w:rPr>
              <w:t>Net cash used in investing activities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(3,582)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(80,662)</w:t>
            </w:r>
          </w:p>
        </w:tc>
      </w:tr>
      <w:tr>
        <w:trPr>
          <w:trHeight w:val="189"/>
        </w:trPr>
        <w:tc>
          <w:tcPr>
            <w:tcW w:w="75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Cash flows from financing activities:</w:t>
            </w:r>
          </w:p>
        </w:tc>
        <w:tc>
          <w:tcPr>
            <w:tcW w:w="8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7"/>
                <w:szCs w:val="17"/>
                <w:color w:val="auto"/>
              </w:rPr>
              <w:t>Proceeds from initial public offering, net of underwriting discounts and commissions</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268,694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r>
      <w:tr>
        <w:trPr>
          <w:trHeight w:val="189"/>
        </w:trPr>
        <w:tc>
          <w:tcPr>
            <w:tcW w:w="7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Payment of costs related to initial public offering</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(3,845)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7"/>
                <w:szCs w:val="17"/>
                <w:color w:val="auto"/>
              </w:rPr>
              <w:t>Proceeds from issuance of long-term debt</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4,167</w:t>
            </w:r>
          </w:p>
        </w:tc>
      </w:tr>
      <w:tr>
        <w:trPr>
          <w:trHeight w:val="189"/>
        </w:trPr>
        <w:tc>
          <w:tcPr>
            <w:tcW w:w="7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Payment of long-term debt issuance costs</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(172)</w:t>
            </w: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7"/>
                <w:szCs w:val="17"/>
                <w:color w:val="auto"/>
              </w:rPr>
              <w:t>Payment of long-term debt</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(4,167)</w:t>
            </w:r>
          </w:p>
        </w:tc>
      </w:tr>
      <w:tr>
        <w:trPr>
          <w:trHeight w:val="189"/>
        </w:trPr>
        <w:tc>
          <w:tcPr>
            <w:tcW w:w="7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redeemable convertible preferred stock, net of issuance costs</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59,735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119,755</w:t>
            </w: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7"/>
                <w:szCs w:val="17"/>
                <w:color w:val="auto"/>
              </w:rPr>
              <w:t>Proceeds from exercise of warrants</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r>
      <w:tr>
        <w:trPr>
          <w:trHeight w:val="189"/>
        </w:trPr>
        <w:tc>
          <w:tcPr>
            <w:tcW w:w="7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Contingent consideration paid for acquisitions</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(3,800)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(1,307)</w:t>
            </w:r>
          </w:p>
        </w:tc>
      </w:tr>
      <w:tr>
        <w:trPr>
          <w:trHeight w:val="194"/>
        </w:trPr>
        <w:tc>
          <w:tcPr>
            <w:tcW w:w="7500" w:type="dxa"/>
            <w:vAlign w:val="bottom"/>
          </w:tcPr>
          <w:p>
            <w:pPr>
              <w:spacing w:after="0" w:line="189" w:lineRule="exact"/>
              <w:rPr>
                <w:sz w:val="20"/>
                <w:szCs w:val="20"/>
                <w:color w:val="auto"/>
              </w:rPr>
            </w:pPr>
            <w:r>
              <w:rPr>
                <w:rFonts w:ascii="Arial" w:cs="Arial" w:eastAsia="Arial" w:hAnsi="Arial"/>
                <w:sz w:val="17"/>
                <w:szCs w:val="17"/>
                <w:color w:val="auto"/>
              </w:rPr>
              <w:t>Proceeds from exercise of stock options</w:t>
            </w:r>
          </w:p>
        </w:tc>
        <w:tc>
          <w:tcPr>
            <w:tcW w:w="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3,792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520</w:t>
            </w:r>
          </w:p>
        </w:tc>
        <w:tc>
          <w:tcPr>
            <w:tcW w:w="100" w:type="dxa"/>
            <w:vAlign w:val="bottom"/>
          </w:tcPr>
          <w:p>
            <w:pPr>
              <w:spacing w:after="0"/>
              <w:rPr>
                <w:sz w:val="16"/>
                <w:szCs w:val="16"/>
                <w:color w:val="auto"/>
              </w:rPr>
            </w:pPr>
          </w:p>
        </w:tc>
      </w:tr>
      <w:tr>
        <w:trPr>
          <w:trHeight w:val="189"/>
        </w:trPr>
        <w:tc>
          <w:tcPr>
            <w:tcW w:w="7500" w:type="dxa"/>
            <w:vAlign w:val="bottom"/>
            <w:shd w:val="clear" w:color="auto" w:fill="CCEEFF"/>
          </w:tcPr>
          <w:p>
            <w:pPr>
              <w:ind w:left="1000"/>
              <w:spacing w:after="0" w:line="189" w:lineRule="exact"/>
              <w:rPr>
                <w:sz w:val="20"/>
                <w:szCs w:val="20"/>
                <w:color w:val="auto"/>
              </w:rPr>
            </w:pPr>
            <w:r>
              <w:rPr>
                <w:rFonts w:ascii="Arial" w:cs="Arial" w:eastAsia="Arial" w:hAnsi="Arial"/>
                <w:sz w:val="17"/>
                <w:szCs w:val="17"/>
                <w:color w:val="auto"/>
              </w:rPr>
              <w:t>Net cash provided by financing activities</w:t>
            </w:r>
          </w:p>
        </w:tc>
        <w:tc>
          <w:tcPr>
            <w:tcW w:w="8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324,870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118,796</w:t>
            </w:r>
          </w:p>
        </w:tc>
        <w:tc>
          <w:tcPr>
            <w:tcW w:w="100" w:type="dxa"/>
            <w:vAlign w:val="bottom"/>
            <w:shd w:val="clear" w:color="auto" w:fill="CCEEFF"/>
          </w:tcPr>
          <w:p>
            <w:pPr>
              <w:spacing w:after="0"/>
              <w:rPr>
                <w:sz w:val="16"/>
                <w:szCs w:val="16"/>
                <w:color w:val="auto"/>
              </w:rPr>
            </w:pPr>
          </w:p>
        </w:tc>
      </w:tr>
      <w:tr>
        <w:trPr>
          <w:trHeight w:val="194"/>
        </w:trPr>
        <w:tc>
          <w:tcPr>
            <w:tcW w:w="7500" w:type="dxa"/>
            <w:vAlign w:val="bottom"/>
          </w:tcPr>
          <w:p>
            <w:pPr>
              <w:spacing w:after="0" w:line="194" w:lineRule="exact"/>
              <w:rPr>
                <w:sz w:val="20"/>
                <w:szCs w:val="20"/>
                <w:color w:val="auto"/>
              </w:rPr>
            </w:pPr>
            <w:r>
              <w:rPr>
                <w:rFonts w:ascii="Arial" w:cs="Arial" w:eastAsia="Arial" w:hAnsi="Arial"/>
                <w:sz w:val="17"/>
                <w:szCs w:val="17"/>
                <w:color w:val="auto"/>
              </w:rPr>
              <w:t>Effect of exchange rates changes on cash and cash equivalents</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239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(428)</w:t>
            </w:r>
          </w:p>
        </w:tc>
      </w:tr>
      <w:tr>
        <w:trPr>
          <w:trHeight w:val="25"/>
        </w:trPr>
        <w:tc>
          <w:tcPr>
            <w:tcW w:w="7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75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Net (decrease) increase in cash, cash equivalents and restricted cash</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307,974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(2,903)</w:t>
            </w:r>
          </w:p>
        </w:tc>
      </w:tr>
      <w:tr>
        <w:trPr>
          <w:trHeight w:val="194"/>
        </w:trPr>
        <w:tc>
          <w:tcPr>
            <w:tcW w:w="7500" w:type="dxa"/>
            <w:vAlign w:val="bottom"/>
          </w:tcPr>
          <w:p>
            <w:pPr>
              <w:spacing w:after="0" w:line="189" w:lineRule="exact"/>
              <w:rPr>
                <w:sz w:val="20"/>
                <w:szCs w:val="20"/>
                <w:color w:val="auto"/>
              </w:rPr>
            </w:pPr>
            <w:r>
              <w:rPr>
                <w:rFonts w:ascii="Arial" w:cs="Arial" w:eastAsia="Arial" w:hAnsi="Arial"/>
                <w:sz w:val="17"/>
                <w:szCs w:val="17"/>
                <w:b w:val="1"/>
                <w:bCs w:val="1"/>
                <w:color w:val="auto"/>
              </w:rPr>
              <w:t>Cash, cash equivalents and restricted cash, beginning of period</w:t>
            </w:r>
          </w:p>
        </w:tc>
        <w:tc>
          <w:tcPr>
            <w:tcW w:w="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109,052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86,027</w:t>
            </w:r>
          </w:p>
        </w:tc>
        <w:tc>
          <w:tcPr>
            <w:tcW w:w="100" w:type="dxa"/>
            <w:vAlign w:val="bottom"/>
          </w:tcPr>
          <w:p>
            <w:pPr>
              <w:spacing w:after="0"/>
              <w:rPr>
                <w:sz w:val="16"/>
                <w:szCs w:val="16"/>
                <w:color w:val="auto"/>
              </w:rPr>
            </w:pPr>
          </w:p>
        </w:tc>
      </w:tr>
      <w:tr>
        <w:trPr>
          <w:trHeight w:val="189"/>
        </w:trPr>
        <w:tc>
          <w:tcPr>
            <w:tcW w:w="75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Cash, cash equivalents and restricted cash, end of period</w:t>
            </w:r>
          </w:p>
        </w:tc>
        <w:tc>
          <w:tcPr>
            <w:tcW w:w="10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417,026</w:t>
            </w:r>
          </w:p>
        </w:tc>
        <w:tc>
          <w:tcPr>
            <w:tcW w:w="2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83,124</w:t>
            </w:r>
          </w:p>
        </w:tc>
      </w:tr>
      <w:tr>
        <w:trPr>
          <w:trHeight w:val="20"/>
        </w:trPr>
        <w:tc>
          <w:tcPr>
            <w:tcW w:w="7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3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760"/>
          </w:cols>
          <w:pgMar w:left="320" w:top="464" w:right="81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FLYWIRE CORPORATION</w:t>
      </w:r>
    </w:p>
    <w:p>
      <w:pPr>
        <w:spacing w:after="0" w:line="7"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CONDENSED CONSOLIDATED STATEMENT OF CASH FLOWS</w:t>
      </w:r>
    </w:p>
    <w:p>
      <w:pPr>
        <w:jc w:val="center"/>
        <w:ind w:right="-479"/>
        <w:spacing w:after="0"/>
        <w:rPr>
          <w:sz w:val="20"/>
          <w:szCs w:val="20"/>
          <w:color w:val="auto"/>
        </w:rPr>
      </w:pPr>
      <w:r>
        <w:rPr>
          <w:rFonts w:ascii="Arial" w:cs="Arial" w:eastAsia="Arial" w:hAnsi="Arial"/>
          <w:sz w:val="17"/>
          <w:szCs w:val="17"/>
          <w:color w:val="auto"/>
        </w:rPr>
        <w:t>(Unaudited) (Amounts in thousands)</w:t>
      </w:r>
    </w:p>
    <w:p>
      <w:pPr>
        <w:spacing w:after="0" w:line="222" w:lineRule="exact"/>
        <w:rPr>
          <w:sz w:val="20"/>
          <w:szCs w:val="20"/>
          <w:color w:val="auto"/>
        </w:rPr>
      </w:pPr>
    </w:p>
    <w:tbl>
      <w:tblPr>
        <w:tblLayout w:type="fixed"/>
        <w:tblInd w:w="480" w:type="dxa"/>
        <w:tblCellMar>
          <w:top w:w="0" w:type="dxa"/>
          <w:left w:w="0" w:type="dxa"/>
          <w:bottom w:w="0" w:type="dxa"/>
          <w:right w:w="0" w:type="dxa"/>
        </w:tblCellMar>
      </w:tblPr>
      <w:tr>
        <w:trPr>
          <w:trHeight w:val="163"/>
        </w:trPr>
        <w:tc>
          <w:tcPr>
            <w:tcW w:w="8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7"/>
          </w:tcPr>
          <w:p>
            <w:pPr>
              <w:jc w:val="right"/>
              <w:ind w:right="140"/>
              <w:spacing w:after="0"/>
              <w:rPr>
                <w:sz w:val="20"/>
                <w:szCs w:val="20"/>
                <w:color w:val="auto"/>
              </w:rPr>
            </w:pPr>
            <w:r>
              <w:rPr>
                <w:rFonts w:ascii="Arial" w:cs="Arial" w:eastAsia="Arial" w:hAnsi="Arial"/>
                <w:sz w:val="13"/>
                <w:szCs w:val="13"/>
                <w:b w:val="1"/>
                <w:bCs w:val="1"/>
                <w:color w:val="auto"/>
              </w:rPr>
              <w:t>Six Months Ended June 30,</w:t>
            </w:r>
          </w:p>
        </w:tc>
      </w:tr>
      <w:tr>
        <w:trPr>
          <w:trHeight w:val="157"/>
        </w:trPr>
        <w:tc>
          <w:tcPr>
            <w:tcW w:w="806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182"/>
        </w:trPr>
        <w:tc>
          <w:tcPr>
            <w:tcW w:w="8060" w:type="dxa"/>
            <w:vAlign w:val="bottom"/>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Supplemental disclosures of cash flow and noncash information</w:t>
            </w: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8060" w:type="dxa"/>
            <w:vAlign w:val="bottom"/>
          </w:tcPr>
          <w:p>
            <w:pPr>
              <w:spacing w:after="0" w:line="189" w:lineRule="exact"/>
              <w:rPr>
                <w:sz w:val="20"/>
                <w:szCs w:val="20"/>
                <w:color w:val="auto"/>
              </w:rPr>
            </w:pPr>
            <w:r>
              <w:rPr>
                <w:rFonts w:ascii="Arial" w:cs="Arial" w:eastAsia="Arial" w:hAnsi="Arial"/>
                <w:sz w:val="17"/>
                <w:szCs w:val="17"/>
                <w:color w:val="auto"/>
              </w:rPr>
              <w:t>Cash paid during the period for interest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1,074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938</w:t>
            </w: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Accretion of redeemable convertible preferred stock</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(6)</w:t>
            </w:r>
          </w:p>
        </w:tc>
      </w:tr>
      <w:tr>
        <w:trPr>
          <w:trHeight w:val="189"/>
        </w:trPr>
        <w:tc>
          <w:tcPr>
            <w:tcW w:w="8060" w:type="dxa"/>
            <w:vAlign w:val="bottom"/>
          </w:tcPr>
          <w:p>
            <w:pPr>
              <w:spacing w:after="0" w:line="189" w:lineRule="exact"/>
              <w:rPr>
                <w:sz w:val="20"/>
                <w:szCs w:val="20"/>
                <w:color w:val="auto"/>
              </w:rPr>
            </w:pPr>
            <w:r>
              <w:rPr>
                <w:rFonts w:ascii="Arial" w:cs="Arial" w:eastAsia="Arial" w:hAnsi="Arial"/>
                <w:sz w:val="17"/>
                <w:szCs w:val="17"/>
                <w:color w:val="auto"/>
              </w:rPr>
              <w:t>Issuance of common stock warrants</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336</w:t>
            </w: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Issuance of Series C convertible preferred stock upon net exercise of warrants</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6,417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r>
      <w:tr>
        <w:trPr>
          <w:trHeight w:val="189"/>
        </w:trPr>
        <w:tc>
          <w:tcPr>
            <w:tcW w:w="8060" w:type="dxa"/>
            <w:vAlign w:val="bottom"/>
          </w:tcPr>
          <w:p>
            <w:pPr>
              <w:spacing w:after="0" w:line="189" w:lineRule="exact"/>
              <w:rPr>
                <w:sz w:val="20"/>
                <w:szCs w:val="20"/>
                <w:color w:val="auto"/>
              </w:rPr>
            </w:pPr>
            <w:r>
              <w:rPr>
                <w:rFonts w:ascii="Arial" w:cs="Arial" w:eastAsia="Arial" w:hAnsi="Arial"/>
                <w:sz w:val="17"/>
                <w:szCs w:val="17"/>
                <w:color w:val="auto"/>
              </w:rPr>
              <w:t>Conversion of preferred stock warrants to common stock warrants</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6,272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Conversion of convertible preferred stock to common stock upon initial public offering</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116,818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r>
      <w:tr>
        <w:trPr>
          <w:trHeight w:val="189"/>
        </w:trPr>
        <w:tc>
          <w:tcPr>
            <w:tcW w:w="8060" w:type="dxa"/>
            <w:vAlign w:val="bottom"/>
          </w:tcPr>
          <w:p>
            <w:pPr>
              <w:spacing w:after="0" w:line="189" w:lineRule="exact"/>
              <w:rPr>
                <w:sz w:val="20"/>
                <w:szCs w:val="20"/>
                <w:color w:val="auto"/>
              </w:rPr>
            </w:pPr>
            <w:r>
              <w:rPr>
                <w:rFonts w:ascii="Arial" w:cs="Arial" w:eastAsia="Arial" w:hAnsi="Arial"/>
                <w:sz w:val="17"/>
                <w:szCs w:val="17"/>
                <w:color w:val="auto"/>
              </w:rPr>
              <w:t>Conversion of redeemable convertible preferred stock to common stock upon initial public offering</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179,986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r>
      <w:tr>
        <w:trPr>
          <w:trHeight w:val="188"/>
        </w:trPr>
        <w:tc>
          <w:tcPr>
            <w:tcW w:w="8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Offering costs related to initial public offering included in accounts payable, accrued expenses and other</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8060" w:type="dxa"/>
            <w:vAlign w:val="bottom"/>
            <w:shd w:val="clear" w:color="auto" w:fill="CCEEFF"/>
          </w:tcPr>
          <w:p>
            <w:pPr>
              <w:ind w:left="160"/>
              <w:spacing w:after="0" w:line="190" w:lineRule="exact"/>
              <w:rPr>
                <w:sz w:val="20"/>
                <w:szCs w:val="20"/>
                <w:color w:val="auto"/>
              </w:rPr>
            </w:pPr>
            <w:r>
              <w:rPr>
                <w:rFonts w:ascii="Arial" w:cs="Arial" w:eastAsia="Arial" w:hAnsi="Arial"/>
                <w:sz w:val="17"/>
                <w:szCs w:val="17"/>
                <w:color w:val="auto"/>
              </w:rPr>
              <w:t>current liabilities</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line="190" w:lineRule="exact"/>
              <w:rPr>
                <w:sz w:val="20"/>
                <w:szCs w:val="20"/>
                <w:color w:val="auto"/>
              </w:rPr>
            </w:pPr>
            <w:r>
              <w:rPr>
                <w:rFonts w:ascii="Arial" w:cs="Arial" w:eastAsia="Arial" w:hAnsi="Arial"/>
                <w:sz w:val="17"/>
                <w:szCs w:val="17"/>
                <w:color w:val="auto"/>
              </w:rPr>
              <w:t>1,015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line="190" w:lineRule="exact"/>
              <w:rPr>
                <w:sz w:val="20"/>
                <w:szCs w:val="20"/>
                <w:color w:val="auto"/>
              </w:rPr>
            </w:pPr>
            <w:r>
              <w:rPr>
                <w:rFonts w:ascii="Arial" w:cs="Arial" w:eastAsia="Arial" w:hAnsi="Arial"/>
                <w:sz w:val="17"/>
                <w:szCs w:val="17"/>
                <w:color w:val="auto"/>
              </w:rPr>
              <w:t>—</w:t>
            </w:r>
          </w:p>
        </w:tc>
      </w:tr>
      <w:tr>
        <w:trPr>
          <w:trHeight w:val="290"/>
        </w:trPr>
        <w:tc>
          <w:tcPr>
            <w:tcW w:w="8060" w:type="dxa"/>
            <w:vAlign w:val="bottom"/>
          </w:tcPr>
          <w:p>
            <w:pPr>
              <w:spacing w:after="0"/>
              <w:rPr>
                <w:sz w:val="20"/>
                <w:szCs w:val="20"/>
                <w:color w:val="auto"/>
              </w:rPr>
            </w:pPr>
            <w:r>
              <w:rPr>
                <w:rFonts w:ascii="Arial" w:cs="Arial" w:eastAsia="Arial" w:hAnsi="Arial"/>
                <w:sz w:val="17"/>
                <w:szCs w:val="17"/>
                <w:b w:val="1"/>
                <w:bCs w:val="1"/>
                <w:color w:val="auto"/>
              </w:rPr>
              <w:t>Reconciliation of cash, cash equivalents and restricted cash</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4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412,026</w:t>
            </w:r>
          </w:p>
        </w:tc>
        <w:tc>
          <w:tcPr>
            <w:tcW w:w="2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83,124</w:t>
            </w:r>
          </w:p>
        </w:tc>
      </w:tr>
      <w:tr>
        <w:trPr>
          <w:trHeight w:val="189"/>
        </w:trPr>
        <w:tc>
          <w:tcPr>
            <w:tcW w:w="8060" w:type="dxa"/>
            <w:vAlign w:val="bottom"/>
          </w:tcPr>
          <w:p>
            <w:pPr>
              <w:spacing w:after="0" w:line="189" w:lineRule="exact"/>
              <w:rPr>
                <w:sz w:val="20"/>
                <w:szCs w:val="20"/>
                <w:color w:val="auto"/>
              </w:rPr>
            </w:pPr>
            <w:r>
              <w:rPr>
                <w:rFonts w:ascii="Arial" w:cs="Arial" w:eastAsia="Arial" w:hAnsi="Arial"/>
                <w:sz w:val="17"/>
                <w:szCs w:val="17"/>
                <w:color w:val="auto"/>
              </w:rPr>
              <w:t>Restricted cash</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5,000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r>
      <w:tr>
        <w:trPr>
          <w:trHeight w:val="25"/>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06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Cash, cash equivalents and restricted cash</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417,026</w:t>
            </w:r>
          </w:p>
        </w:tc>
        <w:tc>
          <w:tcPr>
            <w:tcW w:w="2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83,124</w:t>
            </w:r>
          </w:p>
        </w:tc>
      </w:tr>
      <w:tr>
        <w:trPr>
          <w:trHeight w:val="20"/>
        </w:trPr>
        <w:tc>
          <w:tcPr>
            <w:tcW w:w="8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3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760"/>
          </w:cols>
          <w:pgMar w:left="320" w:top="464" w:right="81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FLYWIRE CORPORATION</w:t>
      </w:r>
    </w:p>
    <w:p>
      <w:pPr>
        <w:spacing w:after="0" w:line="7"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right="-479"/>
        <w:spacing w:after="0"/>
        <w:rPr>
          <w:sz w:val="20"/>
          <w:szCs w:val="20"/>
          <w:color w:val="auto"/>
        </w:rPr>
      </w:pPr>
      <w:r>
        <w:rPr>
          <w:rFonts w:ascii="Arial" w:cs="Arial" w:eastAsia="Arial" w:hAnsi="Arial"/>
          <w:sz w:val="17"/>
          <w:szCs w:val="17"/>
          <w:color w:val="auto"/>
        </w:rPr>
        <w:t>(Unaudited)</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Note 1. Business Overview and Summary of Significant Accounting Policies</w:t>
      </w:r>
    </w:p>
    <w:p>
      <w:pPr>
        <w:spacing w:after="0" w:line="115" w:lineRule="exact"/>
        <w:rPr>
          <w:sz w:val="20"/>
          <w:szCs w:val="20"/>
          <w:color w:val="auto"/>
        </w:rPr>
      </w:pPr>
    </w:p>
    <w:p>
      <w:pPr>
        <w:ind w:left="480" w:right="340" w:firstLine="411"/>
        <w:spacing w:after="0" w:line="237" w:lineRule="auto"/>
        <w:rPr>
          <w:sz w:val="20"/>
          <w:szCs w:val="20"/>
          <w:color w:val="auto"/>
        </w:rPr>
      </w:pPr>
      <w:r>
        <w:rPr>
          <w:rFonts w:ascii="Arial" w:cs="Arial" w:eastAsia="Arial" w:hAnsi="Arial"/>
          <w:sz w:val="17"/>
          <w:szCs w:val="17"/>
          <w:color w:val="auto"/>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11 countries across 5 continents.</w:t>
      </w:r>
    </w:p>
    <w:p>
      <w:pPr>
        <w:spacing w:after="0" w:line="190" w:lineRule="exact"/>
        <w:rPr>
          <w:sz w:val="20"/>
          <w:szCs w:val="20"/>
          <w:color w:val="auto"/>
        </w:rPr>
      </w:pPr>
    </w:p>
    <w:p>
      <w:pPr>
        <w:ind w:left="480" w:right="100" w:firstLine="411"/>
        <w:spacing w:after="0" w:line="236" w:lineRule="auto"/>
        <w:rPr>
          <w:sz w:val="20"/>
          <w:szCs w:val="20"/>
          <w:color w:val="auto"/>
        </w:rPr>
      </w:pPr>
      <w:r>
        <w:rPr>
          <w:rFonts w:ascii="Arial" w:cs="Arial" w:eastAsia="Arial" w:hAnsi="Arial"/>
          <w:sz w:val="17"/>
          <w:szCs w:val="17"/>
          <w:color w:val="auto"/>
        </w:rPr>
        <w:t>Flywire provides a secure global payments platform, offering its clients an innovative and streamlined process to receive reconciled domestic and international payments in a more cost effective and efficient manner. The Company’s solutions are built on three core elements: (i) a payments platform; (ii) a proprietary global payment network; and (iii) vertical-specific software backed by its deep industry expertise.</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15" w:lineRule="exact"/>
        <w:rPr>
          <w:sz w:val="20"/>
          <w:szCs w:val="20"/>
          <w:color w:val="auto"/>
        </w:rPr>
      </w:pPr>
    </w:p>
    <w:p>
      <w:pPr>
        <w:ind w:left="480" w:right="360" w:firstLine="411"/>
        <w:spacing w:after="0" w:line="236" w:lineRule="auto"/>
        <w:rPr>
          <w:sz w:val="20"/>
          <w:szCs w:val="20"/>
          <w:color w:val="auto"/>
        </w:rPr>
      </w:pPr>
      <w:r>
        <w:rPr>
          <w:rFonts w:ascii="Arial" w:cs="Arial" w:eastAsia="Arial" w:hAnsi="Arial"/>
          <w:sz w:val="17"/>
          <w:szCs w:val="17"/>
          <w:color w:val="auto"/>
        </w:rPr>
        <w:t>On May 28, 2021, in connection with the Company’s initial public offering (“IPO”), the Company filed an amended and restated certificate of incorporation, which became effective on that date. The amended and restated certificate of incorporation authorized the issuance of 2,000,000,000 shares of voting common stock, 10,000,000 shares of non-voting common stock and 10,000,000 shares of preferred stock. Each class of stock has a par value of $0.0001 per share.</w:t>
      </w:r>
    </w:p>
    <w:p>
      <w:pPr>
        <w:spacing w:after="0" w:line="189" w:lineRule="exact"/>
        <w:rPr>
          <w:sz w:val="20"/>
          <w:szCs w:val="20"/>
          <w:color w:val="auto"/>
        </w:rPr>
      </w:pPr>
    </w:p>
    <w:p>
      <w:pPr>
        <w:ind w:left="480" w:right="120" w:firstLine="411"/>
        <w:spacing w:after="0" w:line="236" w:lineRule="auto"/>
        <w:rPr>
          <w:sz w:val="20"/>
          <w:szCs w:val="20"/>
          <w:color w:val="auto"/>
        </w:rPr>
      </w:pPr>
      <w:r>
        <w:rPr>
          <w:rFonts w:ascii="Arial" w:cs="Arial" w:eastAsia="Arial" w:hAnsi="Arial"/>
          <w:sz w:val="17"/>
          <w:szCs w:val="17"/>
          <w:color w:val="auto"/>
        </w:rPr>
        <w:t>On May 28, 2021, the Company completed its IPO, in which the Company issued and sold 12,006,000 shares of voting common stock at a public offering price of $24.00 per share, which included 1,566,000 shares of voting common stock issued pursuant to the exercise in full of the over-allotment option by the underwriters. The Company received $263.8 million in net proceeds from the IPO, after deducting underwriting discounts and commissions of $19.4 million and other offering costs of $4.9 million.</w:t>
      </w:r>
    </w:p>
    <w:p>
      <w:pPr>
        <w:spacing w:after="0" w:line="189" w:lineRule="exact"/>
        <w:rPr>
          <w:sz w:val="20"/>
          <w:szCs w:val="20"/>
          <w:color w:val="auto"/>
        </w:rPr>
      </w:pPr>
    </w:p>
    <w:p>
      <w:pPr>
        <w:ind w:left="480" w:right="60" w:firstLine="411"/>
        <w:spacing w:after="0" w:line="234" w:lineRule="auto"/>
        <w:rPr>
          <w:sz w:val="20"/>
          <w:szCs w:val="20"/>
          <w:color w:val="auto"/>
        </w:rPr>
      </w:pPr>
      <w:r>
        <w:rPr>
          <w:rFonts w:ascii="Arial" w:cs="Arial" w:eastAsia="Arial" w:hAnsi="Arial"/>
          <w:sz w:val="17"/>
          <w:szCs w:val="17"/>
          <w:color w:val="auto"/>
        </w:rPr>
        <w:t>Immediately prior to the closing of the IPO, all shares of the Company’s outstanding convertible preferred stock and redeemable convertible preferred stock, including 182,467 shares of preferred stock issued upon exercise of a warrant immediately prior to the closing of the IPO, were converted into 68,202,784 shares of common stock. Prior to the closing of the IPO, the Company had warrants to purchase 190,500 shares of its convertible preferred stock outstanding, such warrants were converted immediately prior to the closing of the IPO into warrants to purchase 190,500 shares of the Company’s voting common stock and the associated preferred stock warrant liabilities were re-measured to its fair value of $6.3 million and reclassified to additional paid-in capital.</w:t>
      </w:r>
    </w:p>
    <w:p>
      <w:pPr>
        <w:spacing w:after="0" w:line="193" w:lineRule="exact"/>
        <w:rPr>
          <w:sz w:val="20"/>
          <w:szCs w:val="20"/>
          <w:color w:val="auto"/>
        </w:rPr>
      </w:pPr>
    </w:p>
    <w:p>
      <w:pPr>
        <w:ind w:left="480" w:right="100" w:firstLine="411"/>
        <w:spacing w:after="0" w:line="237" w:lineRule="auto"/>
        <w:rPr>
          <w:sz w:val="20"/>
          <w:szCs w:val="20"/>
          <w:color w:val="auto"/>
        </w:rPr>
      </w:pPr>
      <w:r>
        <w:rPr>
          <w:rFonts w:ascii="Arial" w:cs="Arial" w:eastAsia="Arial" w:hAnsi="Arial"/>
          <w:sz w:val="17"/>
          <w:szCs w:val="17"/>
          <w:color w:val="auto"/>
        </w:rPr>
        <w:t>Prior to the IPO, deferred offering costs, which consist of legal, accounting, consulting and other direct fees and costs relating to the IPO, were capitalized in other long-term assets. Upon the completion of the IPO, these costs were offset against the proceeds from the IPO and recorded as a reduction to additional paid-in capital.</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15" w:lineRule="exact"/>
        <w:rPr>
          <w:sz w:val="20"/>
          <w:szCs w:val="20"/>
          <w:color w:val="auto"/>
        </w:rPr>
      </w:pPr>
    </w:p>
    <w:p>
      <w:pPr>
        <w:ind w:left="480" w:right="20" w:firstLine="411"/>
        <w:spacing w:after="0" w:line="250" w:lineRule="auto"/>
        <w:rPr>
          <w:sz w:val="20"/>
          <w:szCs w:val="20"/>
          <w:color w:val="auto"/>
        </w:rPr>
      </w:pPr>
      <w:r>
        <w:rPr>
          <w:rFonts w:ascii="Arial" w:cs="Arial" w:eastAsia="Arial" w:hAnsi="Arial"/>
          <w:sz w:val="16"/>
          <w:szCs w:val="16"/>
          <w:color w:val="auto"/>
        </w:rPr>
        <w:t>The accompanying unaudited condensed consolidated financial statements include the accounts of the Company and its wholly owned subsidiaries and have been prepared in accordance with generally accepted accounting principles in the United States (“GAAP”) and applicable rules and regulations of the Securities and Exchange Commission (“SEC”) regarding interim financial reporting.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results of operations, comprehensive loss, changes in convertible preferred stock, redeemable convertible preferred stock and stockholders’ equity (deficit), and its cash flows for the periods presented.</w:t>
      </w:r>
    </w:p>
    <w:p>
      <w:pPr>
        <w:spacing w:after="0" w:line="184" w:lineRule="exact"/>
        <w:rPr>
          <w:sz w:val="20"/>
          <w:szCs w:val="20"/>
          <w:color w:val="auto"/>
        </w:rPr>
      </w:pPr>
    </w:p>
    <w:p>
      <w:pPr>
        <w:ind w:left="480" w:firstLine="411"/>
        <w:spacing w:after="0" w:line="235" w:lineRule="auto"/>
        <w:rPr>
          <w:sz w:val="20"/>
          <w:szCs w:val="20"/>
          <w:color w:val="auto"/>
        </w:rPr>
      </w:pPr>
      <w:r>
        <w:rPr>
          <w:rFonts w:ascii="Arial" w:cs="Arial" w:eastAsia="Arial" w:hAnsi="Arial"/>
          <w:sz w:val="17"/>
          <w:szCs w:val="17"/>
          <w:color w:val="auto"/>
        </w:rPr>
        <w:t>The results of operations for the six months ended June 30, 2021, are not necessarily indicative of results to be expected for the year ended December 31, 2021, any other interim periods or any future year or period. The accompanying consolidated balance sheet as of December 31, 2020 was derived from the Company’s audited consolidated financial statements for the year ended December 31, 2020. Certain information and note disclosures normally included in the annual consolidated financial statements prepared in accordance with GAAP have been condensed or omitted from the interim unaudited condensed consolidated financial statements.</w:t>
      </w:r>
    </w:p>
    <w:p>
      <w:pPr>
        <w:spacing w:after="0" w:line="190" w:lineRule="exact"/>
        <w:rPr>
          <w:sz w:val="20"/>
          <w:szCs w:val="20"/>
          <w:color w:val="auto"/>
        </w:rPr>
      </w:pPr>
    </w:p>
    <w:p>
      <w:pPr>
        <w:ind w:left="480" w:right="200" w:firstLine="411"/>
        <w:spacing w:after="0" w:line="237" w:lineRule="auto"/>
        <w:rPr>
          <w:sz w:val="20"/>
          <w:szCs w:val="20"/>
          <w:color w:val="auto"/>
        </w:rPr>
      </w:pPr>
      <w:r>
        <w:rPr>
          <w:rFonts w:ascii="Arial" w:cs="Arial" w:eastAsia="Arial" w:hAnsi="Arial"/>
          <w:sz w:val="17"/>
          <w:szCs w:val="17"/>
          <w:color w:val="auto"/>
        </w:rPr>
        <w:t>These condensed consolidated financial statements should be read in conjunction with the consolidated financial statements and notes included in the Company’s prospectus dated May 25, 2021 and filed with the SEC pursuant to Rule 424(b)(4) under the Securities Act of 1933, as amended on May 26, 2021 (Prospectus).</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5" w:lineRule="exact"/>
        <w:rPr>
          <w:sz w:val="20"/>
          <w:szCs w:val="20"/>
          <w:color w:val="auto"/>
        </w:rPr>
      </w:pPr>
    </w:p>
    <w:p>
      <w:pPr>
        <w:ind w:left="480" w:right="100" w:firstLine="411"/>
        <w:spacing w:after="0"/>
        <w:rPr>
          <w:sz w:val="20"/>
          <w:szCs w:val="20"/>
          <w:color w:val="auto"/>
        </w:rPr>
      </w:pPr>
      <w:r>
        <w:rPr>
          <w:rFonts w:ascii="Arial" w:cs="Arial" w:eastAsia="Arial" w:hAnsi="Arial"/>
          <w:sz w:val="17"/>
          <w:szCs w:val="17"/>
          <w:color w:val="auto"/>
        </w:rPr>
        <w:t>The condensed consolidated financial statements include the accounts of Flywire Corporation and its wholly-owned subsidiaries. All intercompany transactions and balances have been eliminated in consolidation.</w:t>
      </w:r>
    </w:p>
    <w:p>
      <w:pPr>
        <w:spacing w:after="0" w:line="12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760"/>
          </w:cols>
          <w:pgMar w:left="320" w:top="464" w:right="81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15" w:lineRule="exact"/>
        <w:rPr>
          <w:sz w:val="20"/>
          <w:szCs w:val="20"/>
          <w:color w:val="auto"/>
        </w:rPr>
      </w:pPr>
    </w:p>
    <w:p>
      <w:pPr>
        <w:ind w:left="480" w:right="120" w:firstLine="411"/>
        <w:spacing w:after="0" w:line="258" w:lineRule="auto"/>
        <w:rPr>
          <w:sz w:val="20"/>
          <w:szCs w:val="20"/>
          <w:color w:val="auto"/>
        </w:rPr>
      </w:pPr>
      <w:r>
        <w:rPr>
          <w:rFonts w:ascii="Arial" w:cs="Arial" w:eastAsia="Arial" w:hAnsi="Arial"/>
          <w:sz w:val="16"/>
          <w:szCs w:val="16"/>
          <w:color w:val="auto"/>
        </w:rPr>
        <w:t>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For information regarding the Company’s revenue by geographic area, see Note 2.</w:t>
      </w:r>
    </w:p>
    <w:p>
      <w:pPr>
        <w:spacing w:after="0" w:line="25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Impact of COVID-19</w:t>
      </w:r>
    </w:p>
    <w:p>
      <w:pPr>
        <w:spacing w:after="0" w:line="115" w:lineRule="exact"/>
        <w:rPr>
          <w:sz w:val="20"/>
          <w:szCs w:val="20"/>
          <w:color w:val="auto"/>
        </w:rPr>
      </w:pPr>
    </w:p>
    <w:p>
      <w:pPr>
        <w:jc w:val="both"/>
        <w:ind w:left="480" w:right="100" w:firstLine="411"/>
        <w:spacing w:after="0" w:line="246" w:lineRule="auto"/>
        <w:rPr>
          <w:sz w:val="20"/>
          <w:szCs w:val="20"/>
          <w:color w:val="auto"/>
        </w:rPr>
      </w:pPr>
      <w:r>
        <w:rPr>
          <w:rFonts w:ascii="Arial" w:cs="Arial" w:eastAsia="Arial" w:hAnsi="Arial"/>
          <w:sz w:val="16"/>
          <w:szCs w:val="16"/>
          <w:color w:val="auto"/>
        </w:rPr>
        <w:t>On March 11, 2020, the World Health Organization (“WHO”) declared the outbreak of a novel coronavirus (“COVID-19”) as a global pandemic, which continues to spread throughout the world. The Company’s primary sources of revenue are related to international tuition payments and domestic healthcare payments for elective procedures. These areas have been adversely impacted by the pandemic.</w:t>
      </w:r>
    </w:p>
    <w:p>
      <w:pPr>
        <w:spacing w:after="0" w:line="2" w:lineRule="exact"/>
        <w:rPr>
          <w:sz w:val="20"/>
          <w:szCs w:val="20"/>
          <w:color w:val="auto"/>
        </w:rPr>
      </w:pPr>
    </w:p>
    <w:p>
      <w:pPr>
        <w:ind w:left="480" w:right="20"/>
        <w:spacing w:after="0" w:line="237" w:lineRule="auto"/>
        <w:rPr>
          <w:sz w:val="20"/>
          <w:szCs w:val="20"/>
          <w:color w:val="auto"/>
        </w:rPr>
      </w:pPr>
      <w:r>
        <w:rPr>
          <w:rFonts w:ascii="Arial" w:cs="Arial" w:eastAsia="Arial" w:hAnsi="Arial"/>
          <w:sz w:val="17"/>
          <w:szCs w:val="17"/>
          <w:color w:val="auto"/>
        </w:rPr>
        <w:t>Colleges, universities, private primary schools and language schools are still deciding on their re-opening plans; international travel has been reduced to stop the in-flow of COVID-19; and hospitals have cut back on elective procedures to ensure there are available resources to treat waves of COVID-19 cases.</w:t>
      </w:r>
    </w:p>
    <w:p>
      <w:pPr>
        <w:spacing w:after="0" w:line="190" w:lineRule="exact"/>
        <w:rPr>
          <w:sz w:val="20"/>
          <w:szCs w:val="20"/>
          <w:color w:val="auto"/>
        </w:rPr>
      </w:pPr>
    </w:p>
    <w:p>
      <w:pPr>
        <w:ind w:left="480" w:right="80" w:firstLine="411"/>
        <w:spacing w:after="0" w:line="234" w:lineRule="auto"/>
        <w:rPr>
          <w:sz w:val="20"/>
          <w:szCs w:val="20"/>
          <w:color w:val="auto"/>
        </w:rPr>
      </w:pPr>
      <w:r>
        <w:rPr>
          <w:rFonts w:ascii="Arial" w:cs="Arial" w:eastAsia="Arial" w:hAnsi="Arial"/>
          <w:sz w:val="17"/>
          <w:szCs w:val="17"/>
          <w:color w:val="auto"/>
        </w:rPr>
        <w:t>In response to the COVID-19 pandemic, the Company executed a reduction in force in May of 2020, cut corporate bonus programs, eliminated corporate travel and reduced professional service and other fees. Further, the Company implemented remote working capabilities and measures focused on the safety of employees. The Company continues to monitor the rapidly evolving conditions and circumstances as well as guidance from international and domestic authorities, including public health authorities. The Company does not currently foresee the need to take additional actions; however, it continues to evaluate the ongoing impact of COVID-19 as facts and circumstances change.</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Stock Split</w:t>
      </w:r>
    </w:p>
    <w:p>
      <w:pPr>
        <w:spacing w:after="0" w:line="115" w:lineRule="exact"/>
        <w:rPr>
          <w:sz w:val="20"/>
          <w:szCs w:val="20"/>
          <w:color w:val="auto"/>
        </w:rPr>
      </w:pPr>
    </w:p>
    <w:p>
      <w:pPr>
        <w:ind w:left="480" w:right="20" w:firstLine="411"/>
        <w:spacing w:after="0" w:line="233" w:lineRule="auto"/>
        <w:rPr>
          <w:sz w:val="20"/>
          <w:szCs w:val="20"/>
          <w:color w:val="auto"/>
        </w:rPr>
      </w:pPr>
      <w:r>
        <w:rPr>
          <w:rFonts w:ascii="Arial" w:cs="Arial" w:eastAsia="Arial" w:hAnsi="Arial"/>
          <w:sz w:val="17"/>
          <w:szCs w:val="17"/>
          <w:color w:val="auto"/>
        </w:rPr>
        <w:t>In May 2021, the Company filed an amendment to its amended and restated certificate of incorporation to effect a 3-for-1 forward stock split of its common stock, convertible preferred stock and redeemable convertible preferred stock. In connection with the forward stock split, each issued and outstanding share of common stock, automatically and without action on the part of the holders, became three shares of common stock, each issued and outstanding share of convertible preferred stock, automatically and without action on the part of the holders, became three shares of convertible preferred stock and each issued and outstanding share of redeemable convertible preferred stock, automatically and without action on the part of the holders, became three shares of redeemable convertible preferred stock. The par value per share of common stock, convertible preferred stock and redeemable convertible preferred stock was not adjusted. All references to the convertible preferred stock, redeemable convertible preferred stock, common stock, treasury stock, options to purchase common stock, restricted stock awards, warrants to purchase convertible preferred stock, warrants to purchase common stock, per share amounts and related information contained in the condensed consolidated financial statements have been retroactively adjusted to reflect the effect of the stock split for all periods presented.</w:t>
      </w:r>
    </w:p>
    <w:p>
      <w:pPr>
        <w:spacing w:after="0" w:line="27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5" w:lineRule="exact"/>
        <w:rPr>
          <w:sz w:val="20"/>
          <w:szCs w:val="20"/>
          <w:color w:val="auto"/>
        </w:rPr>
      </w:pPr>
    </w:p>
    <w:p>
      <w:pPr>
        <w:ind w:left="480" w:firstLine="411"/>
        <w:spacing w:after="0" w:line="249"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amounts reported and disclosed in the condensed consolidated financial statements and the accompanying notes. Significant estimates and assumptions reflected in these financial statements include, but are not limited to, the valuation of common stock prior to the Company’s IPO and stock-based awards, the valuation of the preferred stock warrant liability up until the date of the Company’s IPO, impairment assessment of goodwill, intangibles and other long-lived assets, the valuation of acquired intangible assets and their useful lives, and the valuation of contingent consideration.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Concentrations of Credit Risk, Financial Instruments and Significant Clients</w:t>
      </w:r>
    </w:p>
    <w:p>
      <w:pPr>
        <w:spacing w:after="0" w:line="115" w:lineRule="exact"/>
        <w:rPr>
          <w:sz w:val="20"/>
          <w:szCs w:val="20"/>
          <w:color w:val="auto"/>
        </w:rPr>
      </w:pPr>
    </w:p>
    <w:p>
      <w:pPr>
        <w:ind w:left="480" w:right="20" w:firstLine="411"/>
        <w:spacing w:after="0" w:line="234" w:lineRule="auto"/>
        <w:rPr>
          <w:sz w:val="20"/>
          <w:szCs w:val="20"/>
          <w:color w:val="auto"/>
        </w:rPr>
      </w:pPr>
      <w:r>
        <w:rPr>
          <w:rFonts w:ascii="Arial" w:cs="Arial" w:eastAsia="Arial" w:hAnsi="Arial"/>
          <w:sz w:val="17"/>
          <w:szCs w:val="17"/>
          <w:color w:val="auto"/>
        </w:rPr>
        <w:t>Financial instruments that potentially subject the Company to concentration of credit risk consists principally of cash, cash equivalents, accounts receivable and funds receivable from payment partners. The Company maintains its cash and cash equivalents with financial institutions that management believes are of high credit quality. To manage credit risk related to accounts receivable, the Company evaluates credit worthiness of its clients and maintains allowances, to the extent necessary, for potential credit losses based upon the aging of its accounts receivable balances and known collection issues. The Company has not experienced any material credit losses for the three and six months ended June 30, 2021 and 2020.</w:t>
      </w:r>
    </w:p>
    <w:p>
      <w:pPr>
        <w:spacing w:after="0" w:line="13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760"/>
          </w:cols>
          <w:pgMar w:left="320" w:top="464" w:right="81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both"/>
        <w:ind w:left="480" w:right="140" w:firstLine="411"/>
        <w:spacing w:after="0" w:line="237" w:lineRule="auto"/>
        <w:rPr>
          <w:sz w:val="20"/>
          <w:szCs w:val="20"/>
          <w:color w:val="auto"/>
        </w:rPr>
      </w:pPr>
      <w:r>
        <w:rPr>
          <w:rFonts w:ascii="Arial" w:cs="Arial" w:eastAsia="Arial" w:hAnsi="Arial"/>
          <w:sz w:val="17"/>
          <w:szCs w:val="17"/>
          <w:color w:val="auto"/>
        </w:rPr>
        <w:t>The Company has corporate deposit balances with financial institutions which exceed the Federal Deposit Insurance Corporation (“FDIC”) insurance limit of $250,000. As part of the cash management process, the Company performs periodic reviews of the financial institution credit standing.</w:t>
      </w:r>
    </w:p>
    <w:p>
      <w:pPr>
        <w:spacing w:after="0" w:line="190" w:lineRule="exact"/>
        <w:rPr>
          <w:sz w:val="20"/>
          <w:szCs w:val="20"/>
          <w:color w:val="auto"/>
        </w:rPr>
      </w:pPr>
    </w:p>
    <w:p>
      <w:pPr>
        <w:ind w:left="480" w:right="280" w:firstLine="411"/>
        <w:spacing w:after="0"/>
        <w:rPr>
          <w:sz w:val="20"/>
          <w:szCs w:val="20"/>
          <w:color w:val="auto"/>
        </w:rPr>
      </w:pPr>
      <w:r>
        <w:rPr>
          <w:rFonts w:ascii="Arial" w:cs="Arial" w:eastAsia="Arial" w:hAnsi="Arial"/>
          <w:sz w:val="17"/>
          <w:szCs w:val="17"/>
          <w:color w:val="auto"/>
        </w:rPr>
        <w:t>Accounts receivable are derived from revenue earned from Clients located in the U.S. and internationally. Significant Clients are those that represent 10% or more of accounts receivable, net as set forth in the following table:</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164"/>
        </w:trPr>
        <w:tc>
          <w:tcPr>
            <w:tcW w:w="5360" w:type="dxa"/>
            <w:vAlign w:val="bottom"/>
          </w:tcPr>
          <w:p>
            <w:pPr>
              <w:spacing w:after="0"/>
              <w:rPr>
                <w:sz w:val="14"/>
                <w:szCs w:val="14"/>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3"/>
                <w:szCs w:val="13"/>
                <w:b w:val="1"/>
                <w:bCs w:val="1"/>
                <w:color w:val="auto"/>
              </w:rPr>
              <w:t>June 30,</w:t>
            </w: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December 31,</w:t>
            </w:r>
          </w:p>
        </w:tc>
      </w:tr>
      <w:tr>
        <w:trPr>
          <w:trHeight w:val="163"/>
        </w:trPr>
        <w:tc>
          <w:tcPr>
            <w:tcW w:w="53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182"/>
        </w:trPr>
        <w:tc>
          <w:tcPr>
            <w:tcW w:w="536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Client A</w:t>
            </w:r>
          </w:p>
        </w:tc>
        <w:tc>
          <w:tcPr>
            <w:tcW w:w="1360" w:type="dxa"/>
            <w:vAlign w:val="bottom"/>
            <w:gridSpan w:val="2"/>
            <w:shd w:val="clear" w:color="auto" w:fill="CCEEFF"/>
          </w:tcPr>
          <w:p>
            <w:pPr>
              <w:jc w:val="right"/>
              <w:ind w:right="660"/>
              <w:spacing w:after="0" w:line="182" w:lineRule="exact"/>
              <w:rPr>
                <w:sz w:val="20"/>
                <w:szCs w:val="20"/>
                <w:color w:val="auto"/>
              </w:rPr>
            </w:pPr>
            <w:r>
              <w:rPr>
                <w:rFonts w:ascii="Arial" w:cs="Arial" w:eastAsia="Arial" w:hAnsi="Arial"/>
                <w:sz w:val="17"/>
                <w:szCs w:val="17"/>
                <w:color w:val="auto"/>
              </w:rPr>
              <w:t>18%</w:t>
            </w:r>
          </w:p>
        </w:tc>
        <w:tc>
          <w:tcPr>
            <w:tcW w:w="11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7"/>
                <w:szCs w:val="17"/>
                <w:color w:val="auto"/>
              </w:rPr>
              <w:t>19%</w:t>
            </w:r>
          </w:p>
        </w:tc>
      </w:tr>
      <w:tr>
        <w:trPr>
          <w:trHeight w:val="202"/>
        </w:trPr>
        <w:tc>
          <w:tcPr>
            <w:tcW w:w="5360" w:type="dxa"/>
            <w:vAlign w:val="bottom"/>
          </w:tcPr>
          <w:p>
            <w:pPr>
              <w:spacing w:after="0"/>
              <w:rPr>
                <w:sz w:val="20"/>
                <w:szCs w:val="20"/>
                <w:color w:val="auto"/>
              </w:rPr>
            </w:pPr>
            <w:r>
              <w:rPr>
                <w:rFonts w:ascii="Arial" w:cs="Arial" w:eastAsia="Arial" w:hAnsi="Arial"/>
                <w:sz w:val="17"/>
                <w:szCs w:val="17"/>
                <w:color w:val="auto"/>
              </w:rPr>
              <w:t>Client B</w:t>
            </w:r>
          </w:p>
        </w:tc>
        <w:tc>
          <w:tcPr>
            <w:tcW w:w="1360" w:type="dxa"/>
            <w:vAlign w:val="bottom"/>
            <w:gridSpan w:val="2"/>
          </w:tcPr>
          <w:p>
            <w:pPr>
              <w:jc w:val="right"/>
              <w:ind w:right="660"/>
              <w:spacing w:after="0"/>
              <w:rPr>
                <w:sz w:val="20"/>
                <w:szCs w:val="20"/>
                <w:color w:val="auto"/>
              </w:rPr>
            </w:pPr>
            <w:r>
              <w:rPr>
                <w:rFonts w:ascii="Arial" w:cs="Arial" w:eastAsia="Arial" w:hAnsi="Arial"/>
                <w:sz w:val="17"/>
                <w:szCs w:val="17"/>
                <w:color w:val="auto"/>
              </w:rPr>
              <w:t>13%</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r>
    </w:tbl>
    <w:p>
      <w:pPr>
        <w:spacing w:after="0" w:line="188" w:lineRule="exact"/>
        <w:rPr>
          <w:sz w:val="20"/>
          <w:szCs w:val="20"/>
          <w:color w:val="auto"/>
        </w:rPr>
      </w:pPr>
    </w:p>
    <w:p>
      <w:pPr>
        <w:jc w:val="both"/>
        <w:ind w:left="480" w:right="40" w:firstLine="411"/>
        <w:spacing w:after="0" w:line="237" w:lineRule="auto"/>
        <w:rPr>
          <w:sz w:val="20"/>
          <w:szCs w:val="20"/>
          <w:color w:val="auto"/>
        </w:rPr>
      </w:pPr>
      <w:r>
        <w:rPr>
          <w:rFonts w:ascii="Arial" w:cs="Arial" w:eastAsia="Arial" w:hAnsi="Arial"/>
          <w:sz w:val="17"/>
          <w:szCs w:val="17"/>
          <w:color w:val="auto"/>
        </w:rPr>
        <w:t>Funds receivable from payment partners consist primarily of cash held by the Company’s global payment processing partners that have not yet been remitted to the Company. Significant partners are those that represent 10% or more of funds receivable from payment partners as set forth in the following table:</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4"/>
        </w:trPr>
        <w:tc>
          <w:tcPr>
            <w:tcW w:w="5360" w:type="dxa"/>
            <w:vAlign w:val="bottom"/>
          </w:tcPr>
          <w:p>
            <w:pPr>
              <w:spacing w:after="0"/>
              <w:rPr>
                <w:sz w:val="14"/>
                <w:szCs w:val="14"/>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3"/>
                <w:szCs w:val="13"/>
                <w:b w:val="1"/>
                <w:bCs w:val="1"/>
                <w:color w:val="auto"/>
              </w:rPr>
              <w:t>June 30,</w:t>
            </w: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December 31,</w:t>
            </w:r>
          </w:p>
        </w:tc>
      </w:tr>
      <w:tr>
        <w:trPr>
          <w:trHeight w:val="163"/>
        </w:trPr>
        <w:tc>
          <w:tcPr>
            <w:tcW w:w="53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182"/>
        </w:trPr>
        <w:tc>
          <w:tcPr>
            <w:tcW w:w="536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Partner A</w:t>
            </w:r>
          </w:p>
        </w:tc>
        <w:tc>
          <w:tcPr>
            <w:tcW w:w="1360" w:type="dxa"/>
            <w:vAlign w:val="bottom"/>
            <w:gridSpan w:val="2"/>
            <w:shd w:val="clear" w:color="auto" w:fill="CCEEFF"/>
          </w:tcPr>
          <w:p>
            <w:pPr>
              <w:jc w:val="right"/>
              <w:ind w:right="660"/>
              <w:spacing w:after="0" w:line="182" w:lineRule="exact"/>
              <w:rPr>
                <w:sz w:val="20"/>
                <w:szCs w:val="20"/>
                <w:color w:val="auto"/>
              </w:rPr>
            </w:pPr>
            <w:r>
              <w:rPr>
                <w:rFonts w:ascii="Arial" w:cs="Arial" w:eastAsia="Arial" w:hAnsi="Arial"/>
                <w:sz w:val="17"/>
                <w:szCs w:val="17"/>
                <w:color w:val="auto"/>
              </w:rPr>
              <w:t>12%</w:t>
            </w:r>
          </w:p>
        </w:tc>
        <w:tc>
          <w:tcPr>
            <w:tcW w:w="11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7"/>
                <w:szCs w:val="17"/>
                <w:color w:val="auto"/>
              </w:rPr>
              <w:t>24%</w:t>
            </w:r>
          </w:p>
        </w:tc>
      </w:tr>
      <w:tr>
        <w:trPr>
          <w:trHeight w:val="189"/>
        </w:trPr>
        <w:tc>
          <w:tcPr>
            <w:tcW w:w="5360" w:type="dxa"/>
            <w:vAlign w:val="bottom"/>
          </w:tcPr>
          <w:p>
            <w:pPr>
              <w:spacing w:after="0" w:line="189" w:lineRule="exact"/>
              <w:rPr>
                <w:sz w:val="20"/>
                <w:szCs w:val="20"/>
                <w:color w:val="auto"/>
              </w:rPr>
            </w:pPr>
            <w:r>
              <w:rPr>
                <w:rFonts w:ascii="Arial" w:cs="Arial" w:eastAsia="Arial" w:hAnsi="Arial"/>
                <w:sz w:val="17"/>
                <w:szCs w:val="17"/>
                <w:color w:val="auto"/>
              </w:rPr>
              <w:t>Partner B</w:t>
            </w:r>
          </w:p>
        </w:tc>
        <w:tc>
          <w:tcPr>
            <w:tcW w:w="136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13%</w:t>
            </w:r>
          </w:p>
        </w:tc>
        <w:tc>
          <w:tcPr>
            <w:tcW w:w="11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w:t>
            </w:r>
          </w:p>
        </w:tc>
      </w:tr>
      <w:tr>
        <w:trPr>
          <w:trHeight w:val="189"/>
        </w:trPr>
        <w:tc>
          <w:tcPr>
            <w:tcW w:w="5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Partner C</w:t>
            </w:r>
          </w:p>
        </w:tc>
        <w:tc>
          <w:tcPr>
            <w:tcW w:w="136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22%</w:t>
            </w:r>
          </w:p>
        </w:tc>
        <w:tc>
          <w:tcPr>
            <w:tcW w:w="11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w:t>
            </w:r>
          </w:p>
        </w:tc>
      </w:tr>
      <w:tr>
        <w:trPr>
          <w:trHeight w:val="202"/>
        </w:trPr>
        <w:tc>
          <w:tcPr>
            <w:tcW w:w="5360" w:type="dxa"/>
            <w:vAlign w:val="bottom"/>
          </w:tcPr>
          <w:p>
            <w:pPr>
              <w:spacing w:after="0"/>
              <w:rPr>
                <w:sz w:val="20"/>
                <w:szCs w:val="20"/>
                <w:color w:val="auto"/>
              </w:rPr>
            </w:pPr>
            <w:r>
              <w:rPr>
                <w:rFonts w:ascii="Arial" w:cs="Arial" w:eastAsia="Arial" w:hAnsi="Arial"/>
                <w:sz w:val="17"/>
                <w:szCs w:val="17"/>
                <w:color w:val="auto"/>
              </w:rPr>
              <w:t>Partner D</w:t>
            </w:r>
          </w:p>
        </w:tc>
        <w:tc>
          <w:tcPr>
            <w:tcW w:w="1360" w:type="dxa"/>
            <w:vAlign w:val="bottom"/>
            <w:gridSpan w:val="2"/>
          </w:tcPr>
          <w:p>
            <w:pPr>
              <w:jc w:val="right"/>
              <w:ind w:right="660"/>
              <w:spacing w:after="0"/>
              <w:rPr>
                <w:sz w:val="20"/>
                <w:szCs w:val="20"/>
                <w:color w:val="auto"/>
              </w:rPr>
            </w:pPr>
            <w:r>
              <w:rPr>
                <w:rFonts w:ascii="Arial" w:cs="Arial" w:eastAsia="Arial" w:hAnsi="Arial"/>
                <w:sz w:val="17"/>
                <w:szCs w:val="17"/>
                <w:color w:val="auto"/>
              </w:rPr>
              <w:t>10%</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71755</wp:posOffset>
            </wp:positionV>
            <wp:extent cx="720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Less than 10% of total balance.</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During the three and six months ended June 30, 2021 and 2020, no clients accounted for 10% or more of revenue.</w:t>
      </w:r>
    </w:p>
    <w:p>
      <w:pPr>
        <w:spacing w:after="0" w:line="195" w:lineRule="exact"/>
        <w:rPr>
          <w:sz w:val="20"/>
          <w:szCs w:val="20"/>
          <w:color w:val="auto"/>
        </w:rPr>
      </w:pPr>
    </w:p>
    <w:p>
      <w:pPr>
        <w:ind w:left="480" w:firstLine="411"/>
        <w:spacing w:after="0" w:line="236" w:lineRule="auto"/>
        <w:rPr>
          <w:sz w:val="20"/>
          <w:szCs w:val="20"/>
          <w:color w:val="auto"/>
        </w:rPr>
      </w:pPr>
      <w:r>
        <w:rPr>
          <w:rFonts w:ascii="Arial" w:cs="Arial" w:eastAsia="Arial" w:hAnsi="Arial"/>
          <w:sz w:val="17"/>
          <w:szCs w:val="17"/>
          <w:color w:val="auto"/>
        </w:rPr>
        <w:t>During the three months ended June 30, 2021 and 2020, revenue from clients located outside of the United States in the aggregate accounted for 37.9% and 20.8% of the Company’s revenue, respectively, with the United Kingdom accounting for 12.0% and 10.4%, respectively and Canada accounting for 19.7% and 8.5%, respectively. No other countries accounted for 10% or more of revenue for the three months ended June 30, 2021 and 2020.</w:t>
      </w:r>
    </w:p>
    <w:p>
      <w:pPr>
        <w:spacing w:after="0" w:line="189" w:lineRule="exact"/>
        <w:rPr>
          <w:sz w:val="20"/>
          <w:szCs w:val="20"/>
          <w:color w:val="auto"/>
        </w:rPr>
      </w:pPr>
    </w:p>
    <w:p>
      <w:pPr>
        <w:ind w:left="480" w:right="60" w:firstLine="411"/>
        <w:spacing w:after="0" w:line="236" w:lineRule="auto"/>
        <w:rPr>
          <w:sz w:val="20"/>
          <w:szCs w:val="20"/>
          <w:color w:val="auto"/>
        </w:rPr>
      </w:pPr>
      <w:r>
        <w:rPr>
          <w:rFonts w:ascii="Arial" w:cs="Arial" w:eastAsia="Arial" w:hAnsi="Arial"/>
          <w:sz w:val="17"/>
          <w:szCs w:val="17"/>
          <w:color w:val="auto"/>
        </w:rPr>
        <w:t>During the six months ended June 30, 2021 and 2020, revenue from clients located outside of the United States in the aggregate accounted for 31.0% and 23.0% of the Company’s revenue, respectively, with the United Kingdom accounting for 9.6% and 10.7%, respectively and Canada accounting for 15.6% and 9.3%, respectively. No other countries accounted for 10% or more of revenue for the six months ended June 30, 2021 and 2020.</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Summary of Significant Accounting Policies</w:t>
      </w:r>
    </w:p>
    <w:p>
      <w:pPr>
        <w:spacing w:after="0" w:line="115" w:lineRule="exact"/>
        <w:rPr>
          <w:sz w:val="20"/>
          <w:szCs w:val="20"/>
          <w:color w:val="auto"/>
        </w:rPr>
      </w:pPr>
    </w:p>
    <w:p>
      <w:pPr>
        <w:ind w:left="480" w:right="340"/>
        <w:spacing w:after="0" w:line="237" w:lineRule="auto"/>
        <w:rPr>
          <w:sz w:val="20"/>
          <w:szCs w:val="20"/>
          <w:color w:val="auto"/>
        </w:rPr>
      </w:pPr>
      <w:r>
        <w:rPr>
          <w:rFonts w:ascii="Arial" w:cs="Arial" w:eastAsia="Arial" w:hAnsi="Arial"/>
          <w:sz w:val="17"/>
          <w:szCs w:val="17"/>
          <w:color w:val="auto"/>
        </w:rPr>
        <w:t>The Company’s significant accounting policies are discussed in “Index to Consolidated Financial Statements - Note 2. Summary of Significant Accounting Policies” in the Notes to Consolidated Financial Statements contained in the Prospectus. There have been no changes to these policies as described in the Prospectus.</w:t>
      </w:r>
    </w:p>
    <w:p>
      <w:pPr>
        <w:spacing w:after="0" w:line="12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40"/>
          </w:cols>
          <w:pgMar w:left="320" w:top="464" w:right="9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115" w:lineRule="exact"/>
        <w:rPr>
          <w:sz w:val="20"/>
          <w:szCs w:val="20"/>
          <w:color w:val="auto"/>
        </w:rPr>
      </w:pPr>
    </w:p>
    <w:p>
      <w:pPr>
        <w:ind w:left="480" w:right="40" w:firstLine="411"/>
        <w:spacing w:after="0" w:line="235" w:lineRule="auto"/>
        <w:rPr>
          <w:sz w:val="20"/>
          <w:szCs w:val="20"/>
          <w:color w:val="auto"/>
        </w:rPr>
      </w:pPr>
      <w:r>
        <w:rPr>
          <w:rFonts w:ascii="Arial" w:cs="Arial" w:eastAsia="Arial" w:hAnsi="Arial"/>
          <w:sz w:val="17"/>
          <w:szCs w:val="17"/>
          <w:color w:val="auto"/>
        </w:rPr>
        <w:t>The Company capitalized certain legal, accounting and other third-party fees that were directly associated with in-process equity financings as deferred offering costs until such financings were consummated. After consummation of the IPO, these costs were recorded in stockholder’s equity as a reduction of the additional paid-in capital generated as a result of the IPO. As of June 30, 2021, the Company had $1.0 million of deferred offering costs that are unpaid, of which $0.9 million was recorded in accounts payable and $0.1 million was recorded in accrued expenses and other current liabilities.</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Software Developed for Internal Use</w:t>
      </w:r>
    </w:p>
    <w:p>
      <w:pPr>
        <w:spacing w:after="0" w:line="115" w:lineRule="exact"/>
        <w:rPr>
          <w:sz w:val="20"/>
          <w:szCs w:val="20"/>
          <w:color w:val="auto"/>
        </w:rPr>
      </w:pPr>
    </w:p>
    <w:p>
      <w:pPr>
        <w:ind w:left="480" w:right="180" w:firstLine="411"/>
        <w:spacing w:after="0" w:line="249" w:lineRule="auto"/>
        <w:rPr>
          <w:sz w:val="20"/>
          <w:szCs w:val="20"/>
          <w:color w:val="auto"/>
        </w:rPr>
      </w:pPr>
      <w:r>
        <w:rPr>
          <w:rFonts w:ascii="Arial" w:cs="Arial" w:eastAsia="Arial" w:hAnsi="Arial"/>
          <w:sz w:val="16"/>
          <w:szCs w:val="16"/>
          <w:color w:val="auto"/>
        </w:rPr>
        <w:t>The Company capitalizes costs related to internal-use software during the application development stage including third-party consulting costs and compensation expenses related to employees who devote time to the development of the projects. The Company records software development costs in property and equipment. Costs incurred in the preliminary stages of development activities and post implementation activities are expensed in the period incurred and they are included in technology and development expense in the consolidated statements of operations and comprehensive loss. The Company also capitalizes costs related to specific upgrades and enhancements when it is probable the expenditures will result in additional functionality. Once the additional functionality is available for general use, capitalization ceases and the asset begins being amortized. The Company capitalized $5.0 million and $1.8 million in costs related to internal use software as of June 30, 2021 and December 31, 2020, respectively. The Company capitalized $3.2 million and $0.7 million in costs related to internal use software during the six months ended June 30, 2021 and 2020, respectively. Software developed for internal use is amortized on a straight-line basis over its estimated useful life of five years.</w:t>
      </w:r>
    </w:p>
    <w:p>
      <w:pPr>
        <w:spacing w:after="0" w:line="26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115" w:lineRule="exact"/>
        <w:rPr>
          <w:sz w:val="20"/>
          <w:szCs w:val="20"/>
          <w:color w:val="auto"/>
        </w:rPr>
      </w:pPr>
    </w:p>
    <w:p>
      <w:pPr>
        <w:ind w:left="480" w:right="260" w:firstLine="411"/>
        <w:spacing w:after="0" w:line="236" w:lineRule="auto"/>
        <w:rPr>
          <w:sz w:val="20"/>
          <w:szCs w:val="20"/>
          <w:color w:val="auto"/>
        </w:rPr>
      </w:pPr>
      <w:r>
        <w:rPr>
          <w:rFonts w:ascii="Arial" w:cs="Arial" w:eastAsia="Arial" w:hAnsi="Arial"/>
          <w:sz w:val="17"/>
          <w:szCs w:val="17"/>
          <w:color w:val="auto"/>
        </w:rPr>
        <w:t>Advertising costs are expensed as incurred and are included in selling and marketing expenses in the consolidated statements of operations and comprehensive loss. Advertising expenses for the three months ended June 30, 2021 and 2020 were $0.6 million and $0.3 million, respectively. Advertising expenses for the six months ended June 30, 2021 and 2020 were $1.1 million and $0.6 million, respectively.</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115" w:lineRule="exact"/>
        <w:rPr>
          <w:sz w:val="20"/>
          <w:szCs w:val="20"/>
          <w:color w:val="auto"/>
        </w:rPr>
      </w:pPr>
    </w:p>
    <w:p>
      <w:pPr>
        <w:ind w:left="480" w:right="140" w:firstLine="411"/>
        <w:spacing w:after="0"/>
        <w:rPr>
          <w:sz w:val="20"/>
          <w:szCs w:val="20"/>
          <w:color w:val="auto"/>
        </w:rPr>
      </w:pPr>
      <w:r>
        <w:rPr>
          <w:rFonts w:ascii="Arial" w:cs="Arial" w:eastAsia="Arial" w:hAnsi="Arial"/>
          <w:sz w:val="17"/>
          <w:szCs w:val="17"/>
          <w:color w:val="auto"/>
        </w:rPr>
        <w:t>The following Accounting Standards Updates (“ASUs”) were issued by the Financial Accounting Standards Board (“FASB”) and not yet adopted by Flywire:</w:t>
      </w:r>
    </w:p>
    <w:p>
      <w:pPr>
        <w:spacing w:after="0" w:line="171" w:lineRule="exact"/>
        <w:rPr>
          <w:sz w:val="20"/>
          <w:szCs w:val="20"/>
          <w:color w:val="auto"/>
        </w:rPr>
      </w:pPr>
    </w:p>
    <w:p>
      <w:pPr>
        <w:ind w:left="480" w:firstLine="411"/>
        <w:spacing w:after="0" w:line="235" w:lineRule="auto"/>
        <w:rPr>
          <w:sz w:val="20"/>
          <w:szCs w:val="20"/>
          <w:color w:val="auto"/>
        </w:rPr>
      </w:pPr>
      <w:r>
        <w:rPr>
          <w:rFonts w:ascii="Arial" w:cs="Arial" w:eastAsia="Arial" w:hAnsi="Arial"/>
          <w:sz w:val="17"/>
          <w:szCs w:val="17"/>
          <w:color w:val="auto"/>
        </w:rPr>
        <w:t xml:space="preserve">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and subsequent related ASUs: The new lease standard sets out the principles for the recognition, measurement, presentation and disclosure of leases for both parties to a contract (i.e., lessees and lessors). The standard requires lessees to apply a dual approach, classifying leases as either finance or operating leases based on the principle of whether the lease is effectively a financed purchase by the lessee. This classification determines whether lease expense is recognized based on an effective interest method or on a straight-line basis over the term of the lease. In addition, a lessee is required to record (i) a right-of-use asset and a lease liability on its balance sheet for all leases with accounting lease terms of more than 12 months regardless of whether it is an operating or financing lease and (ii) lease expense for operating leases and amortization and interest expense for financing leases. Leases with a term of 12 months or less may be accounted for similar to the prior guidance for operating leases. In 2018, the FASB issued ASU 2018-11, which added an optional transition method under the new lease standard that allows companies to adopt the standard as of the beginning of the year of adoption as opposed to the earliest comparative period presented. ASU 2016-02 is effective for the Company on January 1, 2022, with early adoption permitted. The Company is currently evaluating the impact of this standard on its consolidated financial statements and disclosures.</w:t>
      </w:r>
    </w:p>
    <w:p>
      <w:pPr>
        <w:spacing w:after="0" w:line="174" w:lineRule="exact"/>
        <w:rPr>
          <w:sz w:val="20"/>
          <w:szCs w:val="20"/>
          <w:color w:val="auto"/>
        </w:rPr>
      </w:pPr>
    </w:p>
    <w:p>
      <w:pPr>
        <w:ind w:left="480" w:right="280" w:firstLine="411"/>
        <w:spacing w:after="0" w:line="239" w:lineRule="auto"/>
        <w:rPr>
          <w:sz w:val="20"/>
          <w:szCs w:val="20"/>
          <w:color w:val="auto"/>
        </w:rPr>
      </w:pPr>
      <w:r>
        <w:rPr>
          <w:rFonts w:ascii="Arial" w:cs="Arial" w:eastAsia="Arial" w:hAnsi="Arial"/>
          <w:sz w:val="17"/>
          <w:szCs w:val="17"/>
          <w:color w:val="auto"/>
        </w:rPr>
        <w:t xml:space="preserve">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ASU simplifies the accounting for income taxes by removing certain exceptions for intra period tax allocations and deferred tax liabilities for equity method investments and adds guidance on whether a step-up in tax basis of goodwill relates to a business combination or a separate transaction. ASU 2019-12 is effective for the Company on January 1, 2022, with early adoption permitted. The Company is currently evaluating the impact of this standard on its consolidated financial statements and disclosures.</w:t>
      </w:r>
    </w:p>
    <w:p>
      <w:pPr>
        <w:spacing w:after="0" w:line="174" w:lineRule="exact"/>
        <w:rPr>
          <w:sz w:val="20"/>
          <w:szCs w:val="20"/>
          <w:color w:val="auto"/>
        </w:rPr>
      </w:pPr>
    </w:p>
    <w:p>
      <w:pPr>
        <w:ind w:left="480" w:right="20" w:firstLine="411"/>
        <w:spacing w:after="0" w:line="238" w:lineRule="auto"/>
        <w:rPr>
          <w:sz w:val="20"/>
          <w:szCs w:val="20"/>
          <w:color w:val="auto"/>
        </w:rPr>
      </w:pPr>
      <w:r>
        <w:rPr>
          <w:rFonts w:ascii="Arial" w:cs="Arial" w:eastAsia="Arial" w:hAnsi="Arial"/>
          <w:sz w:val="17"/>
          <w:szCs w:val="17"/>
          <w:color w:val="auto"/>
        </w:rPr>
        <w:t xml:space="preserve">ASU 2021-04 </w:t>
      </w:r>
      <w:r>
        <w:rPr>
          <w:rFonts w:ascii="Arial" w:cs="Arial" w:eastAsia="Arial" w:hAnsi="Arial"/>
          <w:sz w:val="17"/>
          <w:szCs w:val="17"/>
          <w:i w:val="1"/>
          <w:iCs w:val="1"/>
          <w:color w:val="auto"/>
        </w:rPr>
        <w:t>Earnings Per Share (Topic 260), Debt - Modifications and Extinguishments (Subtopic 470-50), 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(Topic 718), and Derivatives and Hedging - Contracts in Entity’s Own Equity (Subtopic 815-40): </w:t>
      </w:r>
      <w:r>
        <w:rPr>
          <w:rFonts w:ascii="Arial" w:cs="Arial" w:eastAsia="Arial" w:hAnsi="Arial"/>
          <w:sz w:val="17"/>
          <w:szCs w:val="17"/>
          <w:color w:val="auto"/>
        </w:rPr>
        <w:t>ASU 2021-04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issuers to account for modifications or exchanges of freestanding equity-classified written call options (e.g., warrants) that remain equity classified after the modification or exchange based on the substance of the modification or exchange (e.g., a financing transaction to raise equity versus one to raise debt). ASU 2021-04 is effective for Flywire on January 1, 2022, with early adoption permitted. The Company is currently evaluating the impact of this standard on its consolidated financial statements and disclosures.</w:t>
      </w:r>
    </w:p>
    <w:p>
      <w:pPr>
        <w:spacing w:after="0" w:line="128"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740"/>
          </w:cols>
          <w:pgMar w:left="320" w:top="464" w:right="8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480" w:right="320" w:firstLine="411"/>
        <w:spacing w:after="0" w:line="239" w:lineRule="auto"/>
        <w:rPr>
          <w:sz w:val="20"/>
          <w:szCs w:val="20"/>
          <w:color w:val="auto"/>
        </w:rPr>
      </w:pPr>
      <w:r>
        <w:rPr>
          <w:rFonts w:ascii="Arial" w:cs="Arial" w:eastAsia="Arial" w:hAnsi="Arial"/>
          <w:sz w:val="17"/>
          <w:szCs w:val="17"/>
          <w:color w:val="auto"/>
        </w:rPr>
        <w:t xml:space="preserve">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and subsequent related ASUs: ASU 2016-13 replaces the current incurred loss impairment model that recognizes losses when a probable threshold is met with a requirement to recognize lifetime expected credit losses immediately when a financial asset is originated or purchased. ASU 2016-13 is effective for the Company on January 1, 2023, with early adoption permitted. The Company is currently evaluating the impact of this standard on its consolidated financial statements and disclosures.</w:t>
      </w:r>
    </w:p>
    <w:p>
      <w:pPr>
        <w:spacing w:after="0" w:line="174" w:lineRule="exact"/>
        <w:rPr>
          <w:sz w:val="20"/>
          <w:szCs w:val="20"/>
          <w:color w:val="auto"/>
        </w:rPr>
      </w:pPr>
    </w:p>
    <w:p>
      <w:pPr>
        <w:ind w:left="480"/>
        <w:spacing w:after="0" w:line="258" w:lineRule="auto"/>
        <w:rPr>
          <w:sz w:val="20"/>
          <w:szCs w:val="20"/>
          <w:color w:val="auto"/>
        </w:rPr>
      </w:pPr>
      <w:r>
        <w:rPr>
          <w:rFonts w:ascii="Arial" w:cs="Arial" w:eastAsia="Arial" w:hAnsi="Arial"/>
          <w:sz w:val="16"/>
          <w:szCs w:val="16"/>
          <w:color w:val="auto"/>
        </w:rPr>
        <w:t xml:space="preserve">ASU 2020-06, </w:t>
      </w:r>
      <w:r>
        <w:rPr>
          <w:rFonts w:ascii="Arial" w:cs="Arial" w:eastAsia="Arial" w:hAnsi="Arial"/>
          <w:sz w:val="16"/>
          <w:szCs w:val="16"/>
          <w:i w:val="1"/>
          <w:iCs w:val="1"/>
          <w:color w:val="auto"/>
        </w:rPr>
        <w:t>Debt - Debt with Conversion and Other Options (Subtopic 470-20) and Derivatives and Hedging - Contracts in Entity’s Own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(Subtopic 815-40): Accounting for Convertible Instruments and Contracts in an Entity’s Own Equity: </w:t>
      </w:r>
      <w:r>
        <w:rPr>
          <w:rFonts w:ascii="Arial" w:cs="Arial" w:eastAsia="Arial" w:hAnsi="Arial"/>
          <w:sz w:val="16"/>
          <w:szCs w:val="16"/>
          <w:color w:val="auto"/>
        </w:rPr>
        <w:t>ASU 2020-06 reduces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accounting models for convertible debt instruments and convertible preferred stock as well as amends the derivatives scope exception for contracts in an entity’s own equity. ASU 2020-06 is effective for the Company on January 1, 2024, with early adoption permitted. The Company is currently evaluating the impact of this standard on its consolidated financial statements and disclosures.</w:t>
      </w:r>
    </w:p>
    <w:p>
      <w:pPr>
        <w:spacing w:after="0" w:line="25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115" w:lineRule="exact"/>
        <w:rPr>
          <w:sz w:val="20"/>
          <w:szCs w:val="20"/>
          <w:color w:val="auto"/>
        </w:rPr>
      </w:pPr>
    </w:p>
    <w:p>
      <w:pPr>
        <w:ind w:left="480" w:right="20" w:firstLine="411"/>
        <w:spacing w:after="0" w:line="234" w:lineRule="auto"/>
        <w:rPr>
          <w:sz w:val="20"/>
          <w:szCs w:val="20"/>
          <w:color w:val="auto"/>
        </w:rPr>
      </w:pPr>
      <w:r>
        <w:rPr>
          <w:rFonts w:ascii="Arial" w:cs="Arial" w:eastAsia="Arial" w:hAnsi="Arial"/>
          <w:sz w:val="17"/>
          <w:szCs w:val="17"/>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28"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720"/>
          </w:cols>
          <w:pgMar w:left="320" w:top="464" w:right="8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Note 2. Revenue and Recognition</w:t>
      </w:r>
    </w:p>
    <w:p>
      <w:pPr>
        <w:spacing w:after="0" w:line="115" w:lineRule="exact"/>
        <w:rPr>
          <w:sz w:val="20"/>
          <w:szCs w:val="20"/>
          <w:color w:val="auto"/>
        </w:rPr>
      </w:pPr>
    </w:p>
    <w:p>
      <w:pPr>
        <w:ind w:left="480" w:right="500" w:firstLine="411"/>
        <w:spacing w:after="0"/>
        <w:rPr>
          <w:sz w:val="20"/>
          <w:szCs w:val="20"/>
          <w:color w:val="auto"/>
        </w:rPr>
      </w:pPr>
      <w:r>
        <w:rPr>
          <w:rFonts w:ascii="Arial" w:cs="Arial" w:eastAsia="Arial" w:hAnsi="Arial"/>
          <w:sz w:val="17"/>
          <w:szCs w:val="17"/>
          <w:color w:val="auto"/>
        </w:rPr>
        <w:t>The following tables present revenue from contracts with clients disaggregated by geographical area and major solutions. The categorization of revenue by geographical location is determined based on where the client resides.</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151"/>
        </w:trPr>
        <w:tc>
          <w:tcPr>
            <w:tcW w:w="6060" w:type="dxa"/>
            <w:vAlign w:val="bottom"/>
          </w:tcPr>
          <w:p>
            <w:pPr>
              <w:spacing w:after="0"/>
              <w:rPr>
                <w:sz w:val="13"/>
                <w:szCs w:val="13"/>
                <w:color w:val="auto"/>
              </w:rPr>
            </w:pPr>
          </w:p>
        </w:tc>
        <w:tc>
          <w:tcPr>
            <w:tcW w:w="1700" w:type="dxa"/>
            <w:vAlign w:val="bottom"/>
            <w:gridSpan w:val="4"/>
          </w:tcPr>
          <w:p>
            <w:pPr>
              <w:ind w:left="12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3"/>
                <w:szCs w:val="13"/>
                <w:color w:val="auto"/>
              </w:rPr>
            </w:pPr>
          </w:p>
        </w:tc>
        <w:tc>
          <w:tcPr>
            <w:tcW w:w="154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3"/>
        </w:trPr>
        <w:tc>
          <w:tcPr>
            <w:tcW w:w="606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15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378"/>
              <w:spacing w:after="0"/>
              <w:rPr>
                <w:sz w:val="20"/>
                <w:szCs w:val="20"/>
                <w:color w:val="auto"/>
              </w:rPr>
            </w:pPr>
            <w:r>
              <w:rPr>
                <w:rFonts w:ascii="Arial" w:cs="Arial" w:eastAsia="Arial" w:hAnsi="Arial"/>
                <w:sz w:val="13"/>
                <w:szCs w:val="13"/>
                <w:b w:val="1"/>
                <w:bCs w:val="1"/>
                <w:color w:val="auto"/>
              </w:rPr>
              <w:t>June 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60" w:type="dxa"/>
            <w:vAlign w:val="bottom"/>
            <w:vMerge w:val="continue"/>
          </w:tcPr>
          <w:p>
            <w:pPr>
              <w:spacing w:after="0"/>
              <w:rPr>
                <w:sz w:val="13"/>
                <w:szCs w:val="13"/>
                <w:color w:val="auto"/>
              </w:rPr>
            </w:pPr>
          </w:p>
        </w:tc>
        <w:tc>
          <w:tcPr>
            <w:tcW w:w="620" w:type="dxa"/>
            <w:vAlign w:val="bottom"/>
          </w:tcPr>
          <w:p>
            <w:pPr>
              <w:jc w:val="right"/>
              <w:ind w:right="81"/>
              <w:spacing w:after="0"/>
              <w:rPr>
                <w:sz w:val="20"/>
                <w:szCs w:val="20"/>
                <w:color w:val="auto"/>
              </w:rPr>
            </w:pPr>
            <w:r>
              <w:rPr>
                <w:rFonts w:ascii="Arial" w:cs="Arial" w:eastAsia="Arial" w:hAnsi="Arial"/>
                <w:sz w:val="13"/>
                <w:szCs w:val="13"/>
                <w:b w:val="1"/>
                <w:bCs w:val="1"/>
                <w:color w:val="auto"/>
              </w:rPr>
              <w:t>2021</w:t>
            </w:r>
          </w:p>
        </w:tc>
        <w:tc>
          <w:tcPr>
            <w:tcW w:w="94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780" w:type="dxa"/>
            <w:vAlign w:val="bottom"/>
            <w:gridSpan w:val="2"/>
          </w:tcPr>
          <w:p>
            <w:pPr>
              <w:jc w:val="right"/>
              <w:ind w:right="84"/>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3"/>
                <w:szCs w:val="13"/>
                <w:color w:val="auto"/>
              </w:rPr>
            </w:pPr>
          </w:p>
        </w:tc>
        <w:tc>
          <w:tcPr>
            <w:tcW w:w="620" w:type="dxa"/>
            <w:vAlign w:val="bottom"/>
          </w:tcPr>
          <w:p>
            <w:pPr>
              <w:jc w:val="right"/>
              <w:ind w:right="78"/>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Primary geographical markets</w:t>
            </w:r>
          </w:p>
        </w:tc>
        <w:tc>
          <w:tcPr>
            <w:tcW w:w="6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line="189" w:lineRule="exact"/>
              <w:rPr>
                <w:sz w:val="20"/>
                <w:szCs w:val="20"/>
                <w:color w:val="auto"/>
              </w:rPr>
            </w:pPr>
            <w:r>
              <w:rPr>
                <w:rFonts w:ascii="Arial" w:cs="Arial" w:eastAsia="Arial" w:hAnsi="Arial"/>
                <w:sz w:val="17"/>
                <w:szCs w:val="17"/>
                <w:color w:val="auto"/>
              </w:rPr>
              <w:t>United States (“U.S.”)</w:t>
            </w: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w w:val="97"/>
              </w:rPr>
              <w:t>$22,964</w:t>
            </w:r>
          </w:p>
        </w:tc>
        <w:tc>
          <w:tcPr>
            <w:tcW w:w="108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$18,807</w:t>
            </w:r>
          </w:p>
        </w:tc>
        <w:tc>
          <w:tcPr>
            <w:tcW w:w="102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$56,538</w:t>
            </w: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$43,494</w:t>
            </w:r>
          </w:p>
        </w:tc>
        <w:tc>
          <w:tcPr>
            <w:tcW w:w="0" w:type="dxa"/>
            <w:vAlign w:val="bottom"/>
          </w:tcPr>
          <w:p>
            <w:pPr>
              <w:spacing w:after="0"/>
              <w:rPr>
                <w:sz w:val="1"/>
                <w:szCs w:val="1"/>
                <w:color w:val="auto"/>
              </w:rPr>
            </w:pPr>
          </w:p>
        </w:tc>
      </w:tr>
      <w:tr>
        <w:trPr>
          <w:trHeight w:val="189"/>
        </w:trPr>
        <w:tc>
          <w:tcPr>
            <w:tcW w:w="6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Canada</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7,282</w:t>
            </w:r>
          </w:p>
        </w:tc>
        <w:tc>
          <w:tcPr>
            <w:tcW w:w="108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2,031</w:t>
            </w:r>
          </w:p>
        </w:tc>
        <w:tc>
          <w:tcPr>
            <w:tcW w:w="102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12,798</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5,242</w:t>
            </w:r>
          </w:p>
        </w:tc>
        <w:tc>
          <w:tcPr>
            <w:tcW w:w="0" w:type="dxa"/>
            <w:vAlign w:val="bottom"/>
          </w:tcPr>
          <w:p>
            <w:pPr>
              <w:spacing w:after="0"/>
              <w:rPr>
                <w:sz w:val="1"/>
                <w:szCs w:val="1"/>
                <w:color w:val="auto"/>
              </w:rPr>
            </w:pPr>
          </w:p>
        </w:tc>
      </w:tr>
      <w:tr>
        <w:trPr>
          <w:trHeight w:val="189"/>
        </w:trPr>
        <w:tc>
          <w:tcPr>
            <w:tcW w:w="6060" w:type="dxa"/>
            <w:vAlign w:val="bottom"/>
          </w:tcPr>
          <w:p>
            <w:pPr>
              <w:spacing w:after="0" w:line="189" w:lineRule="exact"/>
              <w:rPr>
                <w:sz w:val="20"/>
                <w:szCs w:val="20"/>
                <w:color w:val="auto"/>
              </w:rPr>
            </w:pPr>
            <w:r>
              <w:rPr>
                <w:rFonts w:ascii="Arial" w:cs="Arial" w:eastAsia="Arial" w:hAnsi="Arial"/>
                <w:sz w:val="17"/>
                <w:szCs w:val="17"/>
                <w:color w:val="auto"/>
              </w:rPr>
              <w:t>United Kingdom (“U.K.”)</w:t>
            </w: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4,454</w:t>
            </w:r>
          </w:p>
        </w:tc>
        <w:tc>
          <w:tcPr>
            <w:tcW w:w="108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2,461</w:t>
            </w:r>
          </w:p>
        </w:tc>
        <w:tc>
          <w:tcPr>
            <w:tcW w:w="102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7,887</w:t>
            </w: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6,049</w:t>
            </w:r>
          </w:p>
        </w:tc>
        <w:tc>
          <w:tcPr>
            <w:tcW w:w="0" w:type="dxa"/>
            <w:vAlign w:val="bottom"/>
          </w:tcPr>
          <w:p>
            <w:pPr>
              <w:spacing w:after="0"/>
              <w:rPr>
                <w:sz w:val="1"/>
                <w:szCs w:val="1"/>
                <w:color w:val="auto"/>
              </w:rPr>
            </w:pPr>
          </w:p>
        </w:tc>
      </w:tr>
      <w:tr>
        <w:trPr>
          <w:trHeight w:val="189"/>
        </w:trPr>
        <w:tc>
          <w:tcPr>
            <w:tcW w:w="6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Countries</w:t>
            </w:r>
            <w:r>
              <w:rPr>
                <w:rFonts w:ascii="Arial" w:cs="Arial" w:eastAsia="Arial" w:hAnsi="Arial"/>
                <w:sz w:val="11"/>
                <w:szCs w:val="11"/>
                <w:color w:val="auto"/>
              </w:rPr>
              <w:t>1</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2,276</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458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4,744</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1,681</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340"/>
              <w:spacing w:after="0"/>
              <w:rPr>
                <w:sz w:val="20"/>
                <w:szCs w:val="20"/>
                <w:color w:val="auto"/>
              </w:rPr>
            </w:pPr>
            <w:r>
              <w:rPr>
                <w:rFonts w:ascii="Arial" w:cs="Arial" w:eastAsia="Arial" w:hAnsi="Arial"/>
                <w:sz w:val="17"/>
                <w:szCs w:val="17"/>
                <w:b w:val="1"/>
                <w:bCs w:val="1"/>
                <w:color w:val="auto"/>
              </w:rPr>
              <w:t>Revenue</w:t>
            </w: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60" w:type="dxa"/>
            <w:vAlign w:val="bottom"/>
            <w:vMerge w:val="continue"/>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36,976</w:t>
            </w:r>
          </w:p>
        </w:tc>
        <w:tc>
          <w:tcPr>
            <w:tcW w:w="1080" w:type="dxa"/>
            <w:vAlign w:val="bottom"/>
            <w:gridSpan w:val="3"/>
          </w:tcPr>
          <w:p>
            <w:pPr>
              <w:jc w:val="right"/>
              <w:ind w:right="140"/>
              <w:spacing w:after="0" w:line="194"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23,757</w:t>
            </w:r>
          </w:p>
        </w:tc>
        <w:tc>
          <w:tcPr>
            <w:tcW w:w="1020" w:type="dxa"/>
            <w:vAlign w:val="bottom"/>
            <w:gridSpan w:val="3"/>
          </w:tcPr>
          <w:p>
            <w:pPr>
              <w:jc w:val="right"/>
              <w:ind w:right="240"/>
              <w:spacing w:after="0" w:line="194"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81,967</w:t>
            </w:r>
          </w:p>
        </w:tc>
        <w:tc>
          <w:tcPr>
            <w:tcW w:w="680" w:type="dxa"/>
            <w:vAlign w:val="bottom"/>
            <w:gridSpan w:val="2"/>
          </w:tcPr>
          <w:p>
            <w:pPr>
              <w:jc w:val="right"/>
              <w:ind w:right="60"/>
              <w:spacing w:after="0" w:line="194" w:lineRule="exact"/>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56,466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60" w:type="dxa"/>
            <w:vAlign w:val="bottom"/>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Major solutions</w:t>
            </w: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line="189" w:lineRule="exact"/>
              <w:rPr>
                <w:sz w:val="20"/>
                <w:szCs w:val="20"/>
                <w:color w:val="auto"/>
              </w:rPr>
            </w:pPr>
            <w:r>
              <w:rPr>
                <w:rFonts w:ascii="Arial" w:cs="Arial" w:eastAsia="Arial" w:hAnsi="Arial"/>
                <w:sz w:val="17"/>
                <w:szCs w:val="17"/>
                <w:color w:val="auto"/>
              </w:rPr>
              <w:t>Transactions</w:t>
            </w: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w w:val="97"/>
              </w:rPr>
              <w:t>$24,250</w:t>
            </w:r>
          </w:p>
        </w:tc>
        <w:tc>
          <w:tcPr>
            <w:tcW w:w="108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$11,224</w:t>
            </w:r>
          </w:p>
        </w:tc>
        <w:tc>
          <w:tcPr>
            <w:tcW w:w="102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$56,684</w:t>
            </w: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$36,441</w:t>
            </w:r>
          </w:p>
        </w:tc>
        <w:tc>
          <w:tcPr>
            <w:tcW w:w="0" w:type="dxa"/>
            <w:vAlign w:val="bottom"/>
          </w:tcPr>
          <w:p>
            <w:pPr>
              <w:spacing w:after="0"/>
              <w:rPr>
                <w:sz w:val="1"/>
                <w:szCs w:val="1"/>
                <w:color w:val="auto"/>
              </w:rPr>
            </w:pPr>
          </w:p>
        </w:tc>
      </w:tr>
      <w:tr>
        <w:trPr>
          <w:trHeight w:val="189"/>
        </w:trPr>
        <w:tc>
          <w:tcPr>
            <w:tcW w:w="6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Platform and usage-based fees</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12,726</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12,533</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25,283</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20,025</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60"/>
              <w:spacing w:after="0"/>
              <w:rPr>
                <w:sz w:val="20"/>
                <w:szCs w:val="20"/>
                <w:color w:val="auto"/>
              </w:rPr>
            </w:pPr>
            <w:r>
              <w:rPr>
                <w:rFonts w:ascii="Arial" w:cs="Arial" w:eastAsia="Arial" w:hAnsi="Arial"/>
                <w:sz w:val="17"/>
                <w:szCs w:val="17"/>
                <w:b w:val="1"/>
                <w:bCs w:val="1"/>
                <w:color w:val="auto"/>
              </w:rPr>
              <w:t>Revenue</w:t>
            </w: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60" w:type="dxa"/>
            <w:vAlign w:val="bottom"/>
            <w:vMerge w:val="continue"/>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36,976</w:t>
            </w:r>
          </w:p>
        </w:tc>
        <w:tc>
          <w:tcPr>
            <w:tcW w:w="1080" w:type="dxa"/>
            <w:vAlign w:val="bottom"/>
            <w:gridSpan w:val="3"/>
          </w:tcPr>
          <w:p>
            <w:pPr>
              <w:jc w:val="right"/>
              <w:ind w:right="140"/>
              <w:spacing w:after="0" w:line="194"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23,757</w:t>
            </w:r>
          </w:p>
        </w:tc>
        <w:tc>
          <w:tcPr>
            <w:tcW w:w="1020" w:type="dxa"/>
            <w:vAlign w:val="bottom"/>
            <w:gridSpan w:val="3"/>
          </w:tcPr>
          <w:p>
            <w:pPr>
              <w:jc w:val="right"/>
              <w:ind w:right="240"/>
              <w:spacing w:after="0" w:line="194"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81,967</w:t>
            </w:r>
          </w:p>
        </w:tc>
        <w:tc>
          <w:tcPr>
            <w:tcW w:w="680" w:type="dxa"/>
            <w:vAlign w:val="bottom"/>
            <w:gridSpan w:val="2"/>
          </w:tcPr>
          <w:p>
            <w:pPr>
              <w:jc w:val="right"/>
              <w:ind w:right="60"/>
              <w:spacing w:after="0" w:line="194" w:lineRule="exact"/>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56,466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88265</wp:posOffset>
            </wp:positionV>
            <wp:extent cx="720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8" w:lineRule="exact"/>
        <w:rPr>
          <w:sz w:val="20"/>
          <w:szCs w:val="20"/>
          <w:color w:val="auto"/>
        </w:rPr>
      </w:pPr>
    </w:p>
    <w:p>
      <w:pPr>
        <w:ind w:left="880" w:hanging="400"/>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7"/>
          <w:szCs w:val="17"/>
          <w:color w:val="auto"/>
        </w:rPr>
        <w:t>No single country included in the other countries category represented 10% or more of revenue.</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Contract Balances from Contracts with Clients</w:t>
      </w:r>
    </w:p>
    <w:p>
      <w:pPr>
        <w:spacing w:after="0" w:line="115" w:lineRule="exact"/>
        <w:rPr>
          <w:sz w:val="20"/>
          <w:szCs w:val="20"/>
          <w:color w:val="auto"/>
        </w:rPr>
      </w:pPr>
    </w:p>
    <w:p>
      <w:pPr>
        <w:ind w:left="480" w:right="200" w:firstLine="411"/>
        <w:spacing w:after="0"/>
        <w:rPr>
          <w:sz w:val="20"/>
          <w:szCs w:val="20"/>
          <w:color w:val="auto"/>
        </w:rPr>
      </w:pPr>
      <w:r>
        <w:rPr>
          <w:rFonts w:ascii="Arial" w:cs="Arial" w:eastAsia="Arial" w:hAnsi="Arial"/>
          <w:sz w:val="17"/>
          <w:szCs w:val="17"/>
          <w:color w:val="auto"/>
        </w:rPr>
        <w:t>The following table provides information about accounts receivable, unbilled receivables and deferred revenue from contracts with clients (in thousands):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151"/>
        </w:trPr>
        <w:tc>
          <w:tcPr>
            <w:tcW w:w="578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December 31,</w:t>
            </w:r>
          </w:p>
        </w:tc>
      </w:tr>
      <w:tr>
        <w:trPr>
          <w:trHeight w:val="163"/>
        </w:trPr>
        <w:tc>
          <w:tcPr>
            <w:tcW w:w="5780" w:type="dxa"/>
            <w:vAlign w:val="bottom"/>
          </w:tcPr>
          <w:p>
            <w:pPr>
              <w:spacing w:after="0"/>
              <w:rPr>
                <w:sz w:val="14"/>
                <w:szCs w:val="14"/>
                <w:color w:val="auto"/>
              </w:rPr>
            </w:pPr>
          </w:p>
        </w:tc>
        <w:tc>
          <w:tcPr>
            <w:tcW w:w="620" w:type="dxa"/>
            <w:vAlign w:val="bottom"/>
          </w:tcPr>
          <w:p>
            <w:pPr>
              <w:jc w:val="right"/>
              <w:ind w:right="82"/>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4"/>
                <w:szCs w:val="14"/>
                <w:color w:val="auto"/>
              </w:rPr>
            </w:pPr>
          </w:p>
        </w:tc>
        <w:tc>
          <w:tcPr>
            <w:tcW w:w="1120" w:type="dxa"/>
            <w:vAlign w:val="bottom"/>
            <w:gridSpan w:val="2"/>
          </w:tcPr>
          <w:p>
            <w:pPr>
              <w:jc w:val="right"/>
              <w:ind w:right="204"/>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4"/>
                <w:szCs w:val="14"/>
                <w:color w:val="auto"/>
              </w:rPr>
            </w:pPr>
          </w:p>
        </w:tc>
      </w:tr>
      <w:tr>
        <w:trPr>
          <w:trHeight w:val="182"/>
        </w:trPr>
        <w:tc>
          <w:tcPr>
            <w:tcW w:w="5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rPr>
              <w:t>Accounts receivable, net of allowances</w:t>
            </w: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w w:val="97"/>
              </w:rPr>
              <w:t>$11,621</w:t>
            </w: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   11,573</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5780" w:type="dxa"/>
            <w:vAlign w:val="bottom"/>
          </w:tcPr>
          <w:p>
            <w:pPr>
              <w:spacing w:after="0" w:line="189" w:lineRule="exact"/>
              <w:rPr>
                <w:sz w:val="20"/>
                <w:szCs w:val="20"/>
                <w:color w:val="auto"/>
              </w:rPr>
            </w:pPr>
            <w:r>
              <w:rPr>
                <w:rFonts w:ascii="Arial" w:cs="Arial" w:eastAsia="Arial" w:hAnsi="Arial"/>
                <w:sz w:val="17"/>
                <w:szCs w:val="17"/>
                <w:color w:val="auto"/>
              </w:rPr>
              <w:t>Unbilled receivables</w:t>
            </w:r>
          </w:p>
        </w:tc>
        <w:tc>
          <w:tcPr>
            <w:tcW w:w="8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1,006</w:t>
            </w:r>
          </w:p>
        </w:tc>
        <w:tc>
          <w:tcPr>
            <w:tcW w:w="11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1,698</w:t>
            </w:r>
          </w:p>
        </w:tc>
      </w:tr>
      <w:tr>
        <w:trPr>
          <w:trHeight w:val="189"/>
        </w:trPr>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revenue—current</w:t>
            </w:r>
          </w:p>
        </w:tc>
        <w:tc>
          <w:tcPr>
            <w:tcW w:w="8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836</w:t>
            </w:r>
          </w:p>
        </w:tc>
        <w:tc>
          <w:tcPr>
            <w:tcW w:w="11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1,227</w:t>
            </w:r>
          </w:p>
        </w:tc>
      </w:tr>
      <w:tr>
        <w:trPr>
          <w:trHeight w:val="202"/>
        </w:trPr>
        <w:tc>
          <w:tcPr>
            <w:tcW w:w="5780" w:type="dxa"/>
            <w:vAlign w:val="bottom"/>
          </w:tcPr>
          <w:p>
            <w:pPr>
              <w:spacing w:after="0"/>
              <w:rPr>
                <w:sz w:val="20"/>
                <w:szCs w:val="20"/>
                <w:color w:val="auto"/>
              </w:rPr>
            </w:pPr>
            <w:r>
              <w:rPr>
                <w:rFonts w:ascii="Arial" w:cs="Arial" w:eastAsia="Arial" w:hAnsi="Arial"/>
                <w:sz w:val="17"/>
                <w:szCs w:val="17"/>
                <w:color w:val="auto"/>
              </w:rPr>
              <w:t>Deferred revenue—non-current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63</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108</w:t>
            </w:r>
          </w:p>
        </w:tc>
        <w:tc>
          <w:tcPr>
            <w:tcW w:w="60" w:type="dxa"/>
            <w:vAlign w:val="bottom"/>
          </w:tcPr>
          <w:p>
            <w:pPr>
              <w:spacing w:after="0"/>
              <w:rPr>
                <w:sz w:val="17"/>
                <w:szCs w:val="17"/>
                <w:color w:val="auto"/>
              </w:rPr>
            </w:pPr>
          </w:p>
        </w:tc>
      </w:tr>
    </w:tbl>
    <w:p>
      <w:pPr>
        <w:spacing w:after="0" w:line="188" w:lineRule="exact"/>
        <w:rPr>
          <w:sz w:val="20"/>
          <w:szCs w:val="20"/>
          <w:color w:val="auto"/>
        </w:rPr>
      </w:pPr>
    </w:p>
    <w:p>
      <w:pPr>
        <w:ind w:left="480"/>
        <w:spacing w:after="0" w:line="236" w:lineRule="auto"/>
        <w:rPr>
          <w:sz w:val="20"/>
          <w:szCs w:val="20"/>
          <w:color w:val="auto"/>
        </w:rPr>
      </w:pPr>
      <w:r>
        <w:rPr>
          <w:rFonts w:ascii="Arial" w:cs="Arial" w:eastAsia="Arial" w:hAnsi="Arial"/>
          <w:sz w:val="17"/>
          <w:szCs w:val="17"/>
          <w:color w:val="auto"/>
        </w:rPr>
        <w:t>For the three months ended June 30, 2021 and 2020, the Company recognized $0.2 million and $0.1 million, respectively, of revenue from amounts that were included in deferred revenue as of March 31, 2021 and 2020. For the six months ended June 30, 2021 and 2020, the Company recognized $0.7 million and $0.6 million, respectively of revenue from amounts that were included in deferred revenue as of December 31, 2020 and 2019.</w:t>
      </w:r>
    </w:p>
    <w:p>
      <w:pPr>
        <w:spacing w:after="0" w:line="270"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Note 3. Allowance for Doubtful Accounts</w:t>
      </w:r>
    </w:p>
    <w:p>
      <w:pPr>
        <w:spacing w:after="0" w:line="115" w:lineRule="exact"/>
        <w:rPr>
          <w:sz w:val="20"/>
          <w:szCs w:val="20"/>
          <w:color w:val="auto"/>
        </w:rPr>
      </w:pPr>
    </w:p>
    <w:p>
      <w:pPr>
        <w:ind w:left="480" w:right="380" w:firstLine="411"/>
        <w:spacing w:after="0"/>
        <w:rPr>
          <w:sz w:val="20"/>
          <w:szCs w:val="20"/>
          <w:color w:val="auto"/>
        </w:rPr>
      </w:pPr>
      <w:r>
        <w:rPr>
          <w:rFonts w:ascii="Arial" w:cs="Arial" w:eastAsia="Arial" w:hAnsi="Arial"/>
          <w:sz w:val="17"/>
          <w:szCs w:val="17"/>
          <w:color w:val="auto"/>
        </w:rPr>
        <w:t>Changes in the allowance for doubtful accounts for the three and six months ended June 30, 2021 and 2020 were as follows (in thousands):</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151"/>
        </w:trPr>
        <w:tc>
          <w:tcPr>
            <w:tcW w:w="46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8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142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22"/>
              <w:spacing w:after="0"/>
              <w:rPr>
                <w:sz w:val="20"/>
                <w:szCs w:val="20"/>
                <w:color w:val="auto"/>
              </w:rPr>
            </w:pPr>
            <w:r>
              <w:rPr>
                <w:rFonts w:ascii="Arial" w:cs="Arial" w:eastAsia="Arial" w:hAnsi="Arial"/>
                <w:sz w:val="13"/>
                <w:szCs w:val="13"/>
                <w:b w:val="1"/>
                <w:bCs w:val="1"/>
                <w:color w:val="auto"/>
              </w:rPr>
              <w:t>2021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39"/>
              <w:spacing w:after="0"/>
              <w:rPr>
                <w:sz w:val="20"/>
                <w:szCs w:val="20"/>
                <w:color w:val="auto"/>
              </w:rPr>
            </w:pPr>
            <w:r>
              <w:rPr>
                <w:rFonts w:ascii="Arial" w:cs="Arial" w:eastAsia="Arial" w:hAnsi="Arial"/>
                <w:sz w:val="13"/>
                <w:szCs w:val="13"/>
                <w:b w:val="1"/>
                <w:bCs w:val="1"/>
                <w:color w:val="auto"/>
                <w:w w:val="96"/>
              </w:rPr>
              <w:t>2020</w:t>
            </w:r>
          </w:p>
        </w:tc>
        <w:tc>
          <w:tcPr>
            <w:tcW w:w="180" w:type="dxa"/>
            <w:vAlign w:val="bottom"/>
          </w:tcPr>
          <w:p>
            <w:pPr>
              <w:spacing w:after="0"/>
              <w:rPr>
                <w:sz w:val="13"/>
                <w:szCs w:val="13"/>
                <w:color w:val="auto"/>
              </w:rPr>
            </w:pPr>
          </w:p>
        </w:tc>
        <w:tc>
          <w:tcPr>
            <w:tcW w:w="600" w:type="dxa"/>
            <w:vAlign w:val="bottom"/>
            <w:gridSpan w:val="2"/>
          </w:tcPr>
          <w:p>
            <w:pPr>
              <w:jc w:val="right"/>
              <w:ind w:right="27"/>
              <w:spacing w:after="0"/>
              <w:rPr>
                <w:sz w:val="20"/>
                <w:szCs w:val="20"/>
                <w:color w:val="auto"/>
              </w:rPr>
            </w:pPr>
            <w:r>
              <w:rPr>
                <w:rFonts w:ascii="Arial" w:cs="Arial" w:eastAsia="Arial" w:hAnsi="Arial"/>
                <w:sz w:val="13"/>
                <w:szCs w:val="13"/>
                <w:b w:val="1"/>
                <w:bCs w:val="1"/>
                <w:color w:val="auto"/>
              </w:rPr>
              <w:t>2021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39"/>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w w:val="98"/>
              </w:rPr>
              <w:t>Allowance for doubtful accounts at the beginning of the period</w:t>
            </w:r>
          </w:p>
        </w:tc>
        <w:tc>
          <w:tcPr>
            <w:tcW w:w="1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(201)</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(306)</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w w:val="85"/>
              </w:rPr>
              <w:t>$ (481)</w:t>
            </w: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(306)</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7"/>
                <w:szCs w:val="17"/>
                <w:color w:val="auto"/>
              </w:rPr>
              <w:t>Provisions</w:t>
            </w: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26</w:t>
            </w: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(237)</w:t>
            </w:r>
          </w:p>
        </w:tc>
        <w:tc>
          <w:tcPr>
            <w:tcW w:w="90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(80)</w:t>
            </w:r>
          </w:p>
        </w:tc>
        <w:tc>
          <w:tcPr>
            <w:tcW w:w="100" w:type="dxa"/>
            <w:vAlign w:val="bottom"/>
          </w:tcPr>
          <w:p>
            <w:pPr>
              <w:spacing w:after="0"/>
              <w:rPr>
                <w:sz w:val="16"/>
                <w:szCs w:val="16"/>
                <w:color w:val="auto"/>
              </w:rPr>
            </w:pP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Write-offs, net of recoveries</w:t>
            </w: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47</w:t>
            </w:r>
          </w:p>
        </w:tc>
        <w:tc>
          <w:tcPr>
            <w:tcW w:w="90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20" w:type="dxa"/>
            <w:vAlign w:val="bottom"/>
          </w:tcPr>
          <w:p>
            <w:pPr>
              <w:spacing w:after="0" w:line="194" w:lineRule="exact"/>
              <w:rPr>
                <w:sz w:val="20"/>
                <w:szCs w:val="20"/>
                <w:color w:val="auto"/>
              </w:rPr>
            </w:pPr>
            <w:r>
              <w:rPr>
                <w:rFonts w:ascii="Arial" w:cs="Arial" w:eastAsia="Arial" w:hAnsi="Arial"/>
                <w:sz w:val="17"/>
                <w:szCs w:val="17"/>
                <w:color w:val="auto"/>
              </w:rPr>
              <w:t>Allowance for doubtful accounts at the end of the period</w:t>
            </w:r>
          </w:p>
        </w:tc>
        <w:tc>
          <w:tcPr>
            <w:tcW w:w="18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80"/>
              <w:spacing w:after="0" w:line="194" w:lineRule="exact"/>
              <w:rPr>
                <w:sz w:val="20"/>
                <w:szCs w:val="20"/>
                <w:color w:val="auto"/>
              </w:rPr>
            </w:pPr>
            <w:r>
              <w:rPr>
                <w:rFonts w:ascii="Arial" w:cs="Arial" w:eastAsia="Arial" w:hAnsi="Arial"/>
                <w:sz w:val="17"/>
                <w:szCs w:val="17"/>
                <w:color w:val="auto"/>
              </w:rPr>
              <w:t>(167)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(496)</w:t>
            </w:r>
          </w:p>
        </w:tc>
        <w:tc>
          <w:tcPr>
            <w:tcW w:w="900" w:type="dxa"/>
            <w:vAlign w:val="bottom"/>
            <w:gridSpan w:val="3"/>
          </w:tcPr>
          <w:p>
            <w:pPr>
              <w:jc w:val="right"/>
              <w:ind w:right="240"/>
              <w:spacing w:after="0" w:line="194" w:lineRule="exact"/>
              <w:rPr>
                <w:sz w:val="20"/>
                <w:szCs w:val="20"/>
                <w:color w:val="auto"/>
              </w:rPr>
            </w:pPr>
            <w:r>
              <w:rPr>
                <w:rFonts w:ascii="Arial" w:cs="Arial" w:eastAsia="Arial" w:hAnsi="Arial"/>
                <w:sz w:val="17"/>
                <w:szCs w:val="17"/>
                <w:color w:val="auto"/>
              </w:rPr>
              <w:t>$ (167)</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(496)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720" w:type="dxa"/>
            <w:vAlign w:val="bottom"/>
            <w:vMerge w:val="restart"/>
          </w:tcPr>
          <w:p>
            <w:pPr>
              <w:jc w:val="right"/>
              <w:ind w:right="1436"/>
              <w:spacing w:after="0"/>
              <w:rPr>
                <w:sz w:val="20"/>
                <w:szCs w:val="20"/>
                <w:color w:val="auto"/>
              </w:rPr>
            </w:pPr>
            <w:r>
              <w:rPr>
                <w:rFonts w:ascii="Arial" w:cs="Arial" w:eastAsia="Arial" w:hAnsi="Arial"/>
                <w:sz w:val="17"/>
                <w:szCs w:val="17"/>
                <w:color w:val="auto"/>
                <w:w w:val="94"/>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6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320" w:top="464" w:right="8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Note 4. Fair Value Measurements</w:t>
      </w:r>
    </w:p>
    <w:p>
      <w:pPr>
        <w:spacing w:after="0" w:line="115" w:lineRule="exact"/>
        <w:rPr>
          <w:sz w:val="20"/>
          <w:szCs w:val="20"/>
          <w:color w:val="auto"/>
        </w:rPr>
      </w:pPr>
    </w:p>
    <w:p>
      <w:pPr>
        <w:ind w:left="480" w:right="160" w:firstLine="411"/>
        <w:spacing w:after="0"/>
        <w:rPr>
          <w:sz w:val="20"/>
          <w:szCs w:val="20"/>
          <w:color w:val="auto"/>
        </w:rPr>
      </w:pPr>
      <w:r>
        <w:rPr>
          <w:rFonts w:ascii="Arial" w:cs="Arial" w:eastAsia="Arial" w:hAnsi="Arial"/>
          <w:sz w:val="17"/>
          <w:szCs w:val="17"/>
          <w:color w:val="auto"/>
        </w:rPr>
        <w:t>The following tables present the Company’s fair value hierarchy for its financial assets and liabilities that are measured at fair value on a recurring basis as of June 30, 2021 and December 31, 2020 (in thousands):</w:t>
      </w:r>
    </w:p>
    <w:p>
      <w:pPr>
        <w:spacing w:after="0" w:line="216" w:lineRule="exact"/>
        <w:rPr>
          <w:sz w:val="20"/>
          <w:szCs w:val="20"/>
          <w:color w:val="auto"/>
        </w:rPr>
      </w:pPr>
    </w:p>
    <w:tbl>
      <w:tblPr>
        <w:tblLayout w:type="fixed"/>
        <w:tblInd w:w="900" w:type="dxa"/>
        <w:tblCellMar>
          <w:top w:w="0" w:type="dxa"/>
          <w:left w:w="0" w:type="dxa"/>
          <w:bottom w:w="0" w:type="dxa"/>
          <w:right w:w="0" w:type="dxa"/>
        </w:tblCellMar>
      </w:tblPr>
      <w:tr>
        <w:trPr>
          <w:trHeight w:val="163"/>
        </w:trPr>
        <w:tc>
          <w:tcPr>
            <w:tcW w:w="3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9"/>
          </w:tcPr>
          <w:p>
            <w:pPr>
              <w:jc w:val="right"/>
              <w:ind w:right="519"/>
              <w:spacing w:after="0"/>
              <w:rPr>
                <w:sz w:val="20"/>
                <w:szCs w:val="20"/>
                <w:color w:val="auto"/>
              </w:rPr>
            </w:pPr>
            <w:r>
              <w:rPr>
                <w:rFonts w:ascii="Arial" w:cs="Arial" w:eastAsia="Arial" w:hAnsi="Arial"/>
                <w:sz w:val="13"/>
                <w:szCs w:val="13"/>
                <w:b w:val="1"/>
                <w:bCs w:val="1"/>
                <w:color w:val="auto"/>
              </w:rPr>
              <w:t>Fair Value Measurements as of June 30, 2021 Using: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Level 1</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9"/>
              <w:spacing w:after="0"/>
              <w:rPr>
                <w:sz w:val="20"/>
                <w:szCs w:val="20"/>
                <w:color w:val="auto"/>
              </w:rPr>
            </w:pPr>
            <w:r>
              <w:rPr>
                <w:rFonts w:ascii="Arial" w:cs="Arial" w:eastAsia="Arial" w:hAnsi="Arial"/>
                <w:sz w:val="13"/>
                <w:szCs w:val="13"/>
                <w:b w:val="1"/>
                <w:bCs w:val="1"/>
                <w:color w:val="auto"/>
                <w:w w:val="99"/>
              </w:rPr>
              <w:t>Level 2</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18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Financial Assets:</w:t>
            </w:r>
          </w:p>
        </w:tc>
        <w:tc>
          <w:tcPr>
            <w:tcW w:w="1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right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7"/>
                <w:szCs w:val="17"/>
                <w:color w:val="auto"/>
              </w:rPr>
              <w:t>Foreign exchange contracts</w:t>
            </w:r>
          </w:p>
        </w:tc>
        <w:tc>
          <w:tcPr>
            <w:tcW w:w="1280" w:type="dxa"/>
            <w:vAlign w:val="bottom"/>
          </w:tcPr>
          <w:p>
            <w:pPr>
              <w:spacing w:after="0"/>
              <w:rPr>
                <w:sz w:val="16"/>
                <w:szCs w:val="16"/>
                <w:color w:val="auto"/>
              </w:rPr>
            </w:pPr>
          </w:p>
        </w:tc>
        <w:tc>
          <w:tcPr>
            <w:tcW w:w="240" w:type="dxa"/>
            <w:vAlign w:val="bottom"/>
          </w:tcPr>
          <w:p>
            <w:pPr>
              <w:jc w:val="right"/>
              <w:ind w:right="60"/>
              <w:spacing w:after="0" w:line="189" w:lineRule="exact"/>
              <w:rPr>
                <w:sz w:val="20"/>
                <w:szCs w:val="20"/>
                <w:color w:val="auto"/>
              </w:rPr>
            </w:pPr>
            <w:r>
              <w:rPr>
                <w:rFonts w:ascii="Arial" w:cs="Arial" w:eastAsia="Arial" w:hAnsi="Arial"/>
                <w:sz w:val="17"/>
                <w:szCs w:val="17"/>
                <w:color w:val="auto"/>
                <w:w w:val="84"/>
              </w:rPr>
              <w:t>$</w:t>
            </w:r>
          </w:p>
        </w:tc>
        <w:tc>
          <w:tcPr>
            <w:tcW w:w="400" w:type="dxa"/>
            <w:vAlign w:val="bottom"/>
          </w:tcPr>
          <w:p>
            <w:pPr>
              <w:jc w:val="right"/>
              <w:ind w:right="17"/>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ind w:left="460"/>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84"/>
              </w:rPr>
              <w:t>$</w:t>
            </w:r>
          </w:p>
        </w:tc>
        <w:tc>
          <w:tcPr>
            <w:tcW w:w="400" w:type="dxa"/>
            <w:vAlign w:val="bottom"/>
            <w:tcBorders>
              <w:right w:val="single" w:sz="8" w:color="CCEEFF"/>
            </w:tcBorders>
            <w:shd w:val="clear" w:color="auto" w:fill="CCEEFF"/>
          </w:tcPr>
          <w:p>
            <w:pPr>
              <w:jc w:val="right"/>
              <w:ind w:right="17"/>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ind w:left="460"/>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7"/>
                <w:szCs w:val="17"/>
                <w:b w:val="1"/>
                <w:bCs w:val="1"/>
                <w:color w:val="auto"/>
              </w:rPr>
              <w:t>Financial Liabilities:</w:t>
            </w:r>
          </w:p>
        </w:tc>
        <w:tc>
          <w:tcPr>
            <w:tcW w:w="1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8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exchange contracts</w:t>
            </w:r>
          </w:p>
        </w:tc>
        <w:tc>
          <w:tcPr>
            <w:tcW w:w="15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400" w:type="dxa"/>
            <w:vAlign w:val="bottom"/>
            <w:tcBorders>
              <w:right w:val="single" w:sz="8" w:color="CCEEFF"/>
            </w:tcBorders>
            <w:shd w:val="clear" w:color="auto" w:fill="CCEEFF"/>
          </w:tcPr>
          <w:p>
            <w:pPr>
              <w:jc w:val="right"/>
              <w:ind w:right="17"/>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7"/>
                <w:szCs w:val="17"/>
                <w:color w:val="auto"/>
              </w:rPr>
              <w:t>Contingent consideration</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jc w:val="right"/>
              <w:ind w:right="17"/>
              <w:spacing w:after="0" w:line="189" w:lineRule="exact"/>
              <w:rPr>
                <w:sz w:val="20"/>
                <w:szCs w:val="20"/>
                <w:color w:val="auto"/>
              </w:rPr>
            </w:pPr>
            <w:r>
              <w:rPr>
                <w:rFonts w:ascii="Arial" w:cs="Arial" w:eastAsia="Arial" w:hAnsi="Arial"/>
                <w:sz w:val="17"/>
                <w:szCs w:val="17"/>
                <w:color w:val="auto"/>
              </w:rPr>
              <w:t>—</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7,079</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7,079</w:t>
            </w: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84"/>
              </w:rPr>
              <w:t>$</w:t>
            </w:r>
          </w:p>
        </w:tc>
        <w:tc>
          <w:tcPr>
            <w:tcW w:w="400" w:type="dxa"/>
            <w:vAlign w:val="bottom"/>
            <w:tcBorders>
              <w:right w:val="single" w:sz="8" w:color="CCEEFF"/>
            </w:tcBorders>
            <w:shd w:val="clear" w:color="auto" w:fill="CCEEFF"/>
          </w:tcPr>
          <w:p>
            <w:pPr>
              <w:jc w:val="right"/>
              <w:ind w:right="17"/>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7,091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7,091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3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0"/>
          </w:tcPr>
          <w:p>
            <w:pPr>
              <w:jc w:val="right"/>
              <w:ind w:right="359"/>
              <w:spacing w:after="0"/>
              <w:rPr>
                <w:sz w:val="20"/>
                <w:szCs w:val="20"/>
                <w:color w:val="auto"/>
              </w:rPr>
            </w:pPr>
            <w:r>
              <w:rPr>
                <w:rFonts w:ascii="Arial" w:cs="Arial" w:eastAsia="Arial" w:hAnsi="Arial"/>
                <w:sz w:val="13"/>
                <w:szCs w:val="13"/>
                <w:b w:val="1"/>
                <w:bCs w:val="1"/>
                <w:color w:val="auto"/>
              </w:rPr>
              <w:t>Fair Value Measurements as of December 31, 2020 Using:</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Level 1</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9"/>
              <w:spacing w:after="0"/>
              <w:rPr>
                <w:sz w:val="20"/>
                <w:szCs w:val="20"/>
                <w:color w:val="auto"/>
              </w:rPr>
            </w:pPr>
            <w:r>
              <w:rPr>
                <w:rFonts w:ascii="Arial" w:cs="Arial" w:eastAsia="Arial" w:hAnsi="Arial"/>
                <w:sz w:val="13"/>
                <w:szCs w:val="13"/>
                <w:b w:val="1"/>
                <w:bCs w:val="1"/>
                <w:color w:val="auto"/>
                <w:w w:val="99"/>
              </w:rPr>
              <w:t>Level 2</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18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Financial Assets:</w:t>
            </w:r>
          </w:p>
        </w:tc>
        <w:tc>
          <w:tcPr>
            <w:tcW w:w="1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right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7"/>
                <w:szCs w:val="17"/>
                <w:color w:val="auto"/>
              </w:rPr>
              <w:t>Foreign exchange contracts</w:t>
            </w:r>
          </w:p>
        </w:tc>
        <w:tc>
          <w:tcPr>
            <w:tcW w:w="1280" w:type="dxa"/>
            <w:vAlign w:val="bottom"/>
          </w:tcPr>
          <w:p>
            <w:pPr>
              <w:spacing w:after="0"/>
              <w:rPr>
                <w:sz w:val="16"/>
                <w:szCs w:val="16"/>
                <w:color w:val="auto"/>
              </w:rPr>
            </w:pPr>
          </w:p>
        </w:tc>
        <w:tc>
          <w:tcPr>
            <w:tcW w:w="240" w:type="dxa"/>
            <w:vAlign w:val="bottom"/>
          </w:tcPr>
          <w:p>
            <w:pPr>
              <w:jc w:val="right"/>
              <w:ind w:right="60"/>
              <w:spacing w:after="0" w:line="189" w:lineRule="exact"/>
              <w:rPr>
                <w:sz w:val="20"/>
                <w:szCs w:val="20"/>
                <w:color w:val="auto"/>
              </w:rPr>
            </w:pPr>
            <w:r>
              <w:rPr>
                <w:rFonts w:ascii="Arial" w:cs="Arial" w:eastAsia="Arial" w:hAnsi="Arial"/>
                <w:sz w:val="17"/>
                <w:szCs w:val="17"/>
                <w:color w:val="auto"/>
                <w:w w:val="84"/>
              </w:rPr>
              <w:t>$</w:t>
            </w:r>
          </w:p>
        </w:tc>
        <w:tc>
          <w:tcPr>
            <w:tcW w:w="400" w:type="dxa"/>
            <w:vAlign w:val="bottom"/>
          </w:tcPr>
          <w:p>
            <w:pPr>
              <w:jc w:val="right"/>
              <w:ind w:right="17"/>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54</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84"/>
              </w:rPr>
              <w:t>$</w:t>
            </w:r>
          </w:p>
        </w:tc>
        <w:tc>
          <w:tcPr>
            <w:tcW w:w="400" w:type="dxa"/>
            <w:vAlign w:val="bottom"/>
            <w:tcBorders>
              <w:right w:val="single" w:sz="8" w:color="CCEEFF"/>
            </w:tcBorders>
            <w:shd w:val="clear" w:color="auto" w:fill="CCEEFF"/>
          </w:tcPr>
          <w:p>
            <w:pPr>
              <w:jc w:val="right"/>
              <w:ind w:right="17"/>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54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7"/>
                <w:szCs w:val="17"/>
                <w:b w:val="1"/>
                <w:bCs w:val="1"/>
                <w:color w:val="auto"/>
              </w:rPr>
              <w:t>Financial Liabilities:</w:t>
            </w:r>
          </w:p>
        </w:tc>
        <w:tc>
          <w:tcPr>
            <w:tcW w:w="1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8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Preferred stock warrant liability</w:t>
            </w: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right"/>
              <w:ind w:right="17"/>
              <w:spacing w:after="0" w:line="189"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1,932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1,932</w:t>
            </w:r>
          </w:p>
        </w:tc>
        <w:tc>
          <w:tcPr>
            <w:tcW w:w="0" w:type="dxa"/>
            <w:vAlign w:val="bottom"/>
          </w:tcPr>
          <w:p>
            <w:pPr>
              <w:spacing w:after="0"/>
              <w:rPr>
                <w:sz w:val="1"/>
                <w:szCs w:val="1"/>
                <w:color w:val="auto"/>
              </w:rPr>
            </w:pP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7"/>
                <w:szCs w:val="17"/>
                <w:color w:val="auto"/>
              </w:rPr>
              <w:t>Contingent consideration</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jc w:val="right"/>
              <w:ind w:right="17"/>
              <w:spacing w:after="0" w:line="189" w:lineRule="exact"/>
              <w:rPr>
                <w:sz w:val="20"/>
                <w:szCs w:val="20"/>
                <w:color w:val="auto"/>
              </w:rPr>
            </w:pPr>
            <w:r>
              <w:rPr>
                <w:rFonts w:ascii="Arial" w:cs="Arial" w:eastAsia="Arial" w:hAnsi="Arial"/>
                <w:sz w:val="17"/>
                <w:szCs w:val="17"/>
                <w:color w:val="auto"/>
              </w:rPr>
              <w:t>—</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12,500</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84"/>
              </w:rPr>
              <w:t>$</w:t>
            </w:r>
          </w:p>
        </w:tc>
        <w:tc>
          <w:tcPr>
            <w:tcW w:w="400" w:type="dxa"/>
            <w:vAlign w:val="bottom"/>
            <w:tcBorders>
              <w:right w:val="single" w:sz="8" w:color="CCEEFF"/>
            </w:tcBorders>
            <w:shd w:val="clear" w:color="auto" w:fill="CCEEFF"/>
          </w:tcPr>
          <w:p>
            <w:pPr>
              <w:jc w:val="right"/>
              <w:ind w:right="17"/>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14,432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14,432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During the three and six months ended June 30, 2021 and 2020, there were no transfers between Level 1, Level 2 or Level 3.</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Preferred stock warrant liability</w:t>
      </w:r>
    </w:p>
    <w:p>
      <w:pPr>
        <w:spacing w:after="0" w:line="115" w:lineRule="exact"/>
        <w:rPr>
          <w:sz w:val="20"/>
          <w:szCs w:val="20"/>
          <w:color w:val="auto"/>
        </w:rPr>
      </w:pPr>
    </w:p>
    <w:p>
      <w:pPr>
        <w:ind w:left="480" w:right="140" w:firstLine="411"/>
        <w:spacing w:after="0" w:line="236" w:lineRule="auto"/>
        <w:rPr>
          <w:sz w:val="20"/>
          <w:szCs w:val="20"/>
          <w:color w:val="auto"/>
        </w:rPr>
      </w:pPr>
      <w:r>
        <w:rPr>
          <w:rFonts w:ascii="Arial" w:cs="Arial" w:eastAsia="Arial" w:hAnsi="Arial"/>
          <w:sz w:val="17"/>
          <w:szCs w:val="17"/>
          <w:color w:val="auto"/>
        </w:rPr>
        <w:t>Immediately prior to the completion of the IPO, 182,467 preferred stock warrants were exercised for Series C Convertible Preferred Stock in a cashless net exercise. The preferred stock warrants were re-measured to their fair value of $6.4 million on the date of the exercise. The fair value of the warrants was reclassified to convertible preferred stock. Upon the completion of the IPO all of the outstanding convertible preferred stock were converted to common stock.</w:t>
      </w:r>
    </w:p>
    <w:p>
      <w:pPr>
        <w:spacing w:after="0" w:line="189" w:lineRule="exact"/>
        <w:rPr>
          <w:sz w:val="20"/>
          <w:szCs w:val="20"/>
          <w:color w:val="auto"/>
        </w:rPr>
      </w:pPr>
    </w:p>
    <w:p>
      <w:pPr>
        <w:ind w:left="480" w:right="160" w:firstLine="411"/>
        <w:spacing w:after="0" w:line="237" w:lineRule="auto"/>
        <w:rPr>
          <w:sz w:val="20"/>
          <w:szCs w:val="20"/>
          <w:color w:val="auto"/>
        </w:rPr>
      </w:pPr>
      <w:r>
        <w:rPr>
          <w:rFonts w:ascii="Arial" w:cs="Arial" w:eastAsia="Arial" w:hAnsi="Arial"/>
          <w:sz w:val="17"/>
          <w:szCs w:val="17"/>
          <w:color w:val="auto"/>
        </w:rPr>
        <w:t>Upon the completion of the IPO, the Company’s unexercised preferred stock warrants were converted into common stock warrants and the associated preferred stock warrant liabilities were re-measured to their fair value of $6.3 million and reclassified to additional paid-in capital.</w:t>
      </w:r>
    </w:p>
    <w:p>
      <w:pPr>
        <w:spacing w:after="0" w:line="190" w:lineRule="exact"/>
        <w:rPr>
          <w:sz w:val="20"/>
          <w:szCs w:val="20"/>
          <w:color w:val="auto"/>
        </w:rPr>
      </w:pPr>
    </w:p>
    <w:p>
      <w:pPr>
        <w:ind w:left="480" w:firstLine="411"/>
        <w:spacing w:after="0" w:line="237" w:lineRule="auto"/>
        <w:rPr>
          <w:sz w:val="20"/>
          <w:szCs w:val="20"/>
          <w:color w:val="auto"/>
        </w:rPr>
      </w:pPr>
      <w:r>
        <w:rPr>
          <w:rFonts w:ascii="Arial" w:cs="Arial" w:eastAsia="Arial" w:hAnsi="Arial"/>
          <w:sz w:val="17"/>
          <w:szCs w:val="17"/>
          <w:color w:val="auto"/>
        </w:rPr>
        <w:t>The preferred stock warrant liability in the table above consists of the pre-IPO fair value of warrants to purchase convertible preferred stock. The fair value of the preferred stock warrant liability was determined using significant inputs not observable in the market, which represent a Level 3 measurement within the fair value hierarchy.</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Contingent consideration</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presents the unobservable inputs incorporated into the valuation of contingent consideration:</w:t>
      </w:r>
    </w:p>
    <w:p>
      <w:pPr>
        <w:spacing w:after="0" w:line="210" w:lineRule="exact"/>
        <w:rPr>
          <w:sz w:val="20"/>
          <w:szCs w:val="20"/>
          <w:color w:val="auto"/>
        </w:rPr>
      </w:pPr>
    </w:p>
    <w:tbl>
      <w:tblPr>
        <w:tblLayout w:type="fixed"/>
        <w:tblInd w:w="900" w:type="dxa"/>
        <w:tblCellMar>
          <w:top w:w="0" w:type="dxa"/>
          <w:left w:w="0" w:type="dxa"/>
          <w:bottom w:w="0" w:type="dxa"/>
          <w:right w:w="0" w:type="dxa"/>
        </w:tblCellMar>
      </w:tblPr>
      <w:tr>
        <w:trPr>
          <w:trHeight w:val="151"/>
        </w:trPr>
        <w:tc>
          <w:tcPr>
            <w:tcW w:w="4640" w:type="dxa"/>
            <w:vAlign w:val="bottom"/>
          </w:tcPr>
          <w:p>
            <w:pPr>
              <w:spacing w:after="0"/>
              <w:rPr>
                <w:sz w:val="13"/>
                <w:szCs w:val="13"/>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Three Months</w:t>
            </w:r>
          </w:p>
        </w:tc>
        <w:tc>
          <w:tcPr>
            <w:tcW w:w="13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Three Months</w:t>
            </w:r>
          </w:p>
        </w:tc>
        <w:tc>
          <w:tcPr>
            <w:tcW w:w="11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Six Months</w:t>
            </w: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Six Months</w:t>
            </w:r>
          </w:p>
        </w:tc>
      </w:tr>
      <w:tr>
        <w:trPr>
          <w:trHeight w:val="151"/>
        </w:trPr>
        <w:tc>
          <w:tcPr>
            <w:tcW w:w="4640" w:type="dxa"/>
            <w:vAlign w:val="bottom"/>
          </w:tcPr>
          <w:p>
            <w:pPr>
              <w:spacing w:after="0"/>
              <w:rPr>
                <w:sz w:val="13"/>
                <w:szCs w:val="13"/>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Ended</w:t>
            </w:r>
          </w:p>
        </w:tc>
        <w:tc>
          <w:tcPr>
            <w:tcW w:w="13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Ended</w:t>
            </w:r>
          </w:p>
        </w:tc>
        <w:tc>
          <w:tcPr>
            <w:tcW w:w="11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Ended</w:t>
            </w: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Ended</w:t>
            </w:r>
          </w:p>
        </w:tc>
      </w:tr>
      <w:tr>
        <w:trPr>
          <w:trHeight w:val="151"/>
        </w:trPr>
        <w:tc>
          <w:tcPr>
            <w:tcW w:w="4640" w:type="dxa"/>
            <w:vAlign w:val="bottom"/>
          </w:tcPr>
          <w:p>
            <w:pPr>
              <w:spacing w:after="0"/>
              <w:rPr>
                <w:sz w:val="13"/>
                <w:szCs w:val="13"/>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June 30,</w:t>
            </w:r>
          </w:p>
        </w:tc>
        <w:tc>
          <w:tcPr>
            <w:tcW w:w="13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9"/>
              </w:rPr>
              <w:t>June 30,</w:t>
            </w:r>
          </w:p>
        </w:tc>
        <w:tc>
          <w:tcPr>
            <w:tcW w:w="11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June 30,</w:t>
            </w: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June 30,</w:t>
            </w:r>
          </w:p>
        </w:tc>
      </w:tr>
      <w:tr>
        <w:trPr>
          <w:trHeight w:val="163"/>
        </w:trPr>
        <w:tc>
          <w:tcPr>
            <w:tcW w:w="46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2021</w:t>
            </w:r>
          </w:p>
        </w:tc>
        <w:tc>
          <w:tcPr>
            <w:tcW w:w="4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Borders>
              <w:bottom w:val="single" w:sz="8" w:color="CCEEFF"/>
            </w:tcBorders>
          </w:tcPr>
          <w:p>
            <w:pPr>
              <w:spacing w:after="0"/>
              <w:rPr>
                <w:sz w:val="14"/>
                <w:szCs w:val="14"/>
                <w:color w:val="auto"/>
              </w:rPr>
            </w:pPr>
          </w:p>
        </w:tc>
      </w:tr>
      <w:tr>
        <w:trPr>
          <w:trHeight w:val="182"/>
        </w:trPr>
        <w:tc>
          <w:tcPr>
            <w:tcW w:w="464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Discount rate</w:t>
            </w:r>
          </w:p>
        </w:tc>
        <w:tc>
          <w:tcPr>
            <w:tcW w:w="132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7"/>
                <w:szCs w:val="17"/>
                <w:color w:val="auto"/>
              </w:rPr>
              <w:t>4.15%</w:t>
            </w:r>
          </w:p>
        </w:tc>
        <w:tc>
          <w:tcPr>
            <w:tcW w:w="132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7"/>
                <w:szCs w:val="17"/>
                <w:color w:val="auto"/>
              </w:rPr>
              <w:t>14.5%</w:t>
            </w:r>
          </w:p>
        </w:tc>
        <w:tc>
          <w:tcPr>
            <w:tcW w:w="116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7"/>
                <w:szCs w:val="17"/>
                <w:color w:val="auto"/>
              </w:rPr>
              <w:t>4.15%</w:t>
            </w:r>
          </w:p>
        </w:tc>
        <w:tc>
          <w:tcPr>
            <w:tcW w:w="10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7"/>
                <w:szCs w:val="17"/>
                <w:color w:val="auto"/>
              </w:rPr>
              <w:t>14.5%</w:t>
            </w: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7"/>
                <w:szCs w:val="17"/>
                <w:color w:val="auto"/>
              </w:rPr>
              <w:t>Probability of successful achievement *</w:t>
            </w:r>
          </w:p>
        </w:tc>
        <w:tc>
          <w:tcPr>
            <w:tcW w:w="13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0% - 100%</w:t>
            </w:r>
          </w:p>
        </w:tc>
        <w:tc>
          <w:tcPr>
            <w:tcW w:w="13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90% - 100%</w:t>
            </w:r>
          </w:p>
        </w:tc>
        <w:tc>
          <w:tcPr>
            <w:tcW w:w="116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0% - 100%</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90% - 100%</w:t>
            </w:r>
          </w:p>
        </w:tc>
      </w:tr>
      <w:tr>
        <w:trPr>
          <w:trHeight w:val="189"/>
        </w:trPr>
        <w:tc>
          <w:tcPr>
            <w:tcW w:w="4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Performance period</w:t>
            </w:r>
          </w:p>
        </w:tc>
        <w:tc>
          <w:tcPr>
            <w:tcW w:w="132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 year</w:t>
            </w:r>
          </w:p>
        </w:tc>
        <w:tc>
          <w:tcPr>
            <w:tcW w:w="13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 years</w:t>
            </w:r>
          </w:p>
        </w:tc>
        <w:tc>
          <w:tcPr>
            <w:tcW w:w="11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 year</w:t>
            </w:r>
          </w:p>
        </w:tc>
        <w:tc>
          <w:tcPr>
            <w:tcW w:w="10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80010</wp:posOffset>
            </wp:positionV>
            <wp:extent cx="720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56" w:lineRule="exact"/>
        <w:rPr>
          <w:sz w:val="20"/>
          <w:szCs w:val="20"/>
          <w:color w:val="auto"/>
        </w:rPr>
      </w:pPr>
    </w:p>
    <w:p>
      <w:pPr>
        <w:ind w:left="5540" w:right="780" w:hanging="5060"/>
        <w:spacing w:after="0" w:line="410" w:lineRule="auto"/>
        <w:tabs>
          <w:tab w:leader="none" w:pos="691"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Probability of successful achievement was set at different targets based on the Company’s best estimates on achieving them. 16</w:t>
      </w:r>
    </w:p>
    <w:p>
      <w:pPr>
        <w:sectPr>
          <w:pgSz w:w="11900" w:h="16838" w:orient="portrait"/>
          <w:cols w:equalWidth="0" w:num="1">
            <w:col w:w="10760"/>
          </w:cols>
          <w:pgMar w:left="320" w:top="464" w:right="81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right="60" w:firstLine="411"/>
        <w:spacing w:after="0" w:line="237" w:lineRule="auto"/>
        <w:rPr>
          <w:sz w:val="20"/>
          <w:szCs w:val="20"/>
          <w:color w:val="auto"/>
        </w:rPr>
      </w:pPr>
      <w:r>
        <w:rPr>
          <w:rFonts w:ascii="Arial" w:cs="Arial" w:eastAsia="Arial" w:hAnsi="Arial"/>
          <w:sz w:val="17"/>
          <w:szCs w:val="17"/>
          <w:color w:val="auto"/>
        </w:rPr>
        <w:t>Increases or decreases in any of the probabilities of success in which revenue targets are expected to be achieved would result in a higher or lower fair value measurement, respectively. Increases or decreases in the discount rate would result in a lower or higher fair value measurement, respectively.</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following table summarizes the changes in the carrying value of the contingent consideration for the three and six months ended</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June 30, 2021 and 2020 (in thousands):</w:t>
      </w:r>
    </w:p>
    <w:p>
      <w:pPr>
        <w:spacing w:after="0" w:line="210" w:lineRule="exact"/>
        <w:rPr>
          <w:sz w:val="20"/>
          <w:szCs w:val="20"/>
          <w:color w:val="auto"/>
        </w:rPr>
      </w:pPr>
    </w:p>
    <w:tbl>
      <w:tblPr>
        <w:tblLayout w:type="fixed"/>
        <w:tblInd w:w="90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Three Months Ended</w:t>
            </w:r>
          </w:p>
        </w:tc>
        <w:tc>
          <w:tcPr>
            <w:tcW w:w="162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3"/>
                <w:szCs w:val="13"/>
                <w:color w:val="auto"/>
              </w:rPr>
            </w:pPr>
          </w:p>
        </w:tc>
        <w:tc>
          <w:tcPr>
            <w:tcW w:w="1700" w:type="dxa"/>
            <w:vAlign w:val="bottom"/>
            <w:gridSpan w:val="3"/>
          </w:tcPr>
          <w:p>
            <w:pPr>
              <w:spacing w:after="0"/>
              <w:rPr>
                <w:sz w:val="20"/>
                <w:szCs w:val="20"/>
                <w:color w:val="auto"/>
              </w:rPr>
            </w:pPr>
            <w:r>
              <w:rPr>
                <w:rFonts w:ascii="Arial" w:cs="Arial" w:eastAsia="Arial" w:hAnsi="Arial"/>
                <w:sz w:val="13"/>
                <w:szCs w:val="13"/>
                <w:b w:val="1"/>
                <w:bCs w:val="1"/>
                <w:color w:val="auto"/>
              </w:rPr>
              <w:t>Six Months Ended</w:t>
            </w:r>
          </w:p>
        </w:tc>
        <w:tc>
          <w:tcPr>
            <w:tcW w:w="1300" w:type="dxa"/>
            <w:vAlign w:val="bottom"/>
            <w:gridSpan w:val="3"/>
          </w:tcPr>
          <w:p>
            <w:pPr>
              <w:ind w:left="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June 30, 2021</w:t>
            </w:r>
          </w:p>
        </w:tc>
        <w:tc>
          <w:tcPr>
            <w:tcW w:w="16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June 30, 2020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June 30, 2021</w:t>
            </w: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June 30, 2020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rPr>
              <w:t>Beginning balance</w:t>
            </w: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5,465</w:t>
            </w:r>
          </w:p>
        </w:tc>
        <w:tc>
          <w:tcPr>
            <w:tcW w:w="5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6,800</w:t>
            </w: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12,500</w:t>
            </w:r>
          </w:p>
        </w:tc>
        <w:tc>
          <w:tcPr>
            <w:tcW w:w="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2,000</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tcPr>
          <w:p>
            <w:pPr>
              <w:spacing w:after="0" w:line="189" w:lineRule="exact"/>
              <w:rPr>
                <w:sz w:val="20"/>
                <w:szCs w:val="20"/>
                <w:color w:val="auto"/>
              </w:rPr>
            </w:pPr>
            <w:r>
              <w:rPr>
                <w:rFonts w:ascii="Arial" w:cs="Arial" w:eastAsia="Arial" w:hAnsi="Arial"/>
                <w:sz w:val="17"/>
                <w:szCs w:val="17"/>
                <w:color w:val="auto"/>
              </w:rPr>
              <w:t>Additions</w:t>
            </w:r>
          </w:p>
        </w:tc>
        <w:tc>
          <w:tcPr>
            <w:tcW w:w="160" w:type="dxa"/>
            <w:vAlign w:val="bottom"/>
          </w:tcPr>
          <w:p>
            <w:pPr>
              <w:spacing w:after="0"/>
              <w:rPr>
                <w:sz w:val="16"/>
                <w:szCs w:val="16"/>
                <w:color w:val="auto"/>
              </w:rPr>
            </w:pPr>
          </w:p>
        </w:tc>
        <w:tc>
          <w:tcPr>
            <w:tcW w:w="172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46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7,100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Change in fair value</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1,614</w:t>
            </w: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4,002</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1,591</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3,702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80" w:type="dxa"/>
            <w:vAlign w:val="bottom"/>
          </w:tcPr>
          <w:p>
            <w:pPr>
              <w:spacing w:after="0" w:line="189" w:lineRule="exact"/>
              <w:rPr>
                <w:sz w:val="20"/>
                <w:szCs w:val="20"/>
                <w:color w:val="auto"/>
              </w:rPr>
            </w:pPr>
            <w:r>
              <w:rPr>
                <w:rFonts w:ascii="Arial" w:cs="Arial" w:eastAsia="Arial" w:hAnsi="Arial"/>
                <w:sz w:val="17"/>
                <w:szCs w:val="17"/>
                <w:color w:val="auto"/>
              </w:rPr>
              <w:t>Contingent consideration</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80" w:type="dxa"/>
            <w:vAlign w:val="bottom"/>
          </w:tcPr>
          <w:p>
            <w:pPr>
              <w:ind w:left="140"/>
              <w:spacing w:after="0" w:line="190" w:lineRule="exact"/>
              <w:rPr>
                <w:sz w:val="20"/>
                <w:szCs w:val="20"/>
                <w:color w:val="auto"/>
              </w:rPr>
            </w:pPr>
            <w:r>
              <w:rPr>
                <w:rFonts w:ascii="Arial" w:cs="Arial" w:eastAsia="Arial" w:hAnsi="Arial"/>
                <w:sz w:val="17"/>
                <w:szCs w:val="17"/>
                <w:color w:val="auto"/>
              </w:rPr>
              <w:t>paid</w:t>
            </w:r>
          </w:p>
        </w:tc>
        <w:tc>
          <w:tcPr>
            <w:tcW w:w="160" w:type="dxa"/>
            <w:vAlign w:val="bottom"/>
          </w:tcPr>
          <w:p>
            <w:pPr>
              <w:spacing w:after="0"/>
              <w:rPr>
                <w:sz w:val="16"/>
                <w:szCs w:val="16"/>
                <w:color w:val="auto"/>
              </w:rPr>
            </w:pPr>
          </w:p>
        </w:tc>
        <w:tc>
          <w:tcPr>
            <w:tcW w:w="1180" w:type="dxa"/>
            <w:vAlign w:val="bottom"/>
          </w:tcPr>
          <w:p>
            <w:pPr>
              <w:jc w:val="right"/>
              <w:spacing w:after="0" w:line="190" w:lineRule="exact"/>
              <w:rPr>
                <w:sz w:val="20"/>
                <w:szCs w:val="20"/>
                <w:color w:val="auto"/>
              </w:rPr>
            </w:pPr>
            <w:r>
              <w:rPr>
                <w:rFonts w:ascii="Arial" w:cs="Arial" w:eastAsia="Arial" w:hAnsi="Arial"/>
                <w:sz w:val="17"/>
                <w:szCs w:val="17"/>
                <w:color w:val="auto"/>
              </w:rPr>
              <w:t>—</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9"/>
              <w:spacing w:after="0" w:line="190"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460"/>
              <w:spacing w:after="0" w:line="190" w:lineRule="exact"/>
              <w:rPr>
                <w:sz w:val="20"/>
                <w:szCs w:val="20"/>
                <w:color w:val="auto"/>
              </w:rPr>
            </w:pPr>
            <w:r>
              <w:rPr>
                <w:rFonts w:ascii="Arial" w:cs="Arial" w:eastAsia="Arial" w:hAnsi="Arial"/>
                <w:sz w:val="17"/>
                <w:szCs w:val="17"/>
                <w:color w:val="auto"/>
              </w:rPr>
              <w:t>(7,012)</w:t>
            </w:r>
          </w:p>
        </w:tc>
        <w:tc>
          <w:tcPr>
            <w:tcW w:w="120" w:type="dxa"/>
            <w:vAlign w:val="bottom"/>
          </w:tcPr>
          <w:p>
            <w:pPr>
              <w:spacing w:after="0"/>
              <w:rPr>
                <w:sz w:val="16"/>
                <w:szCs w:val="16"/>
                <w:color w:val="auto"/>
              </w:rPr>
            </w:pPr>
          </w:p>
        </w:tc>
        <w:tc>
          <w:tcPr>
            <w:tcW w:w="1180" w:type="dxa"/>
            <w:vAlign w:val="bottom"/>
            <w:gridSpan w:val="2"/>
          </w:tcPr>
          <w:p>
            <w:pPr>
              <w:jc w:val="right"/>
              <w:ind w:right="60"/>
              <w:spacing w:after="0" w:line="190" w:lineRule="exact"/>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Ending balance</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7,079</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10,802</w:t>
            </w:r>
          </w:p>
        </w:tc>
        <w:tc>
          <w:tcPr>
            <w:tcW w:w="38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7,079</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88265</wp:posOffset>
            </wp:positionV>
            <wp:extent cx="720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8" w:lineRule="exact"/>
        <w:rPr>
          <w:sz w:val="20"/>
          <w:szCs w:val="20"/>
          <w:color w:val="auto"/>
        </w:rPr>
      </w:pPr>
    </w:p>
    <w:p>
      <w:pPr>
        <w:ind w:left="680" w:right="20" w:hanging="200"/>
        <w:spacing w:after="0" w:line="236"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Amounts of $3.2 million paid in excess of the fair value initially recorded in purchase accounting were classified as operating cash flows in the consolidated statements of cash flows during the six months ended June 30, 2021. Amounts of $0.7 million paid in excess of fair value initially recorded in purchase accounting were classified as operating cash flows in the consolidated statements of cash flows during the six months ended June 30, 2020.</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Note 5. Derivative Instruments</w:t>
      </w:r>
    </w:p>
    <w:p>
      <w:pPr>
        <w:spacing w:after="0" w:line="115" w:lineRule="exact"/>
        <w:rPr>
          <w:sz w:val="20"/>
          <w:szCs w:val="20"/>
          <w:color w:val="auto"/>
        </w:rPr>
      </w:pPr>
    </w:p>
    <w:p>
      <w:pPr>
        <w:ind w:left="480" w:right="80" w:firstLine="411"/>
        <w:spacing w:after="0" w:line="250" w:lineRule="auto"/>
        <w:rPr>
          <w:sz w:val="20"/>
          <w:szCs w:val="20"/>
          <w:color w:val="auto"/>
        </w:rPr>
      </w:pPr>
      <w:r>
        <w:rPr>
          <w:rFonts w:ascii="Arial" w:cs="Arial" w:eastAsia="Arial" w:hAnsi="Arial"/>
          <w:sz w:val="16"/>
          <w:szCs w:val="16"/>
          <w:color w:val="auto"/>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June 30, 2021 and December 31, 2020, respectively, the Company had 1,859 and 3,647 open foreign exchange contracts. As of June 30, 2021 and December 31, 2020, the Company had foreign currency forward contracts outstanding with a notional amount of $12.7 million and $11.8 million, respectively.</w:t>
      </w:r>
    </w:p>
    <w:p>
      <w:pPr>
        <w:spacing w:after="0" w:line="181" w:lineRule="exact"/>
        <w:rPr>
          <w:sz w:val="20"/>
          <w:szCs w:val="20"/>
          <w:color w:val="auto"/>
        </w:rPr>
      </w:pPr>
    </w:p>
    <w:p>
      <w:pPr>
        <w:ind w:left="480" w:right="180" w:firstLine="411"/>
        <w:spacing w:after="0" w:line="235" w:lineRule="auto"/>
        <w:rPr>
          <w:sz w:val="20"/>
          <w:szCs w:val="20"/>
          <w:color w:val="auto"/>
        </w:rPr>
      </w:pPr>
      <w:r>
        <w:rPr>
          <w:rFonts w:ascii="Arial" w:cs="Arial" w:eastAsia="Arial" w:hAnsi="Arial"/>
          <w:sz w:val="17"/>
          <w:szCs w:val="17"/>
          <w:color w:val="auto"/>
        </w:rPr>
        <w:t>The Company records all derivative instruments in the condensed consolidated balance sheets at their fair values. As of June 30, 2021, the Company recorded a liability of less than $0.1 million and as of December 31, 2020, the Company recorded an asset of less than $0.1 million related to outstanding foreign exchange contracts. The Company recognized a gain of less than $0.1 million during the three and six months ended June 30, 2021 and 2020, which was included as a component of general and administrative expense within the consolidated statements of operations and comprehensive loss.</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Note 6. Accrued Expenses and Other Current Liabilities</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Accrued expenses and other current liabilities consisted of the following as of the dates presented (in thousands):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51"/>
        </w:trPr>
        <w:tc>
          <w:tcPr>
            <w:tcW w:w="5760" w:type="dxa"/>
            <w:vAlign w:val="bottom"/>
          </w:tcPr>
          <w:p>
            <w:pPr>
              <w:spacing w:after="0"/>
              <w:rPr>
                <w:sz w:val="13"/>
                <w:szCs w:val="13"/>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9"/>
              </w:rPr>
              <w:t>June 30,</w:t>
            </w:r>
          </w:p>
        </w:tc>
        <w:tc>
          <w:tcPr>
            <w:tcW w:w="24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3"/>
        </w:trPr>
        <w:tc>
          <w:tcPr>
            <w:tcW w:w="5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6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Accrued employee compensation and related taxes</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8,022</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9,371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line="189" w:lineRule="exact"/>
              <w:rPr>
                <w:sz w:val="20"/>
                <w:szCs w:val="20"/>
                <w:color w:val="auto"/>
              </w:rPr>
            </w:pPr>
            <w:r>
              <w:rPr>
                <w:rFonts w:ascii="Arial" w:cs="Arial" w:eastAsia="Arial" w:hAnsi="Arial"/>
                <w:sz w:val="17"/>
                <w:szCs w:val="17"/>
                <w:color w:val="auto"/>
              </w:rPr>
              <w:t>Accrued vendor liabilities</w:t>
            </w:r>
          </w:p>
        </w:tc>
        <w:tc>
          <w:tcPr>
            <w:tcW w:w="100" w:type="dxa"/>
            <w:vAlign w:val="bottom"/>
          </w:tcPr>
          <w:p>
            <w:pPr>
              <w:spacing w:after="0"/>
              <w:rPr>
                <w:sz w:val="16"/>
                <w:szCs w:val="16"/>
                <w:color w:val="auto"/>
              </w:rPr>
            </w:pPr>
          </w:p>
        </w:tc>
        <w:tc>
          <w:tcPr>
            <w:tcW w:w="7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1,159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2,542</w:t>
            </w:r>
          </w:p>
        </w:tc>
        <w:tc>
          <w:tcPr>
            <w:tcW w:w="0" w:type="dxa"/>
            <w:vAlign w:val="bottom"/>
          </w:tcPr>
          <w:p>
            <w:pPr>
              <w:spacing w:after="0"/>
              <w:rPr>
                <w:sz w:val="1"/>
                <w:szCs w:val="1"/>
                <w:color w:val="auto"/>
              </w:rPr>
            </w:pPr>
          </w:p>
        </w:tc>
      </w:tr>
      <w:tr>
        <w:trPr>
          <w:trHeight w:val="189"/>
        </w:trPr>
        <w:tc>
          <w:tcPr>
            <w:tcW w:w="5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income taxes payable</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658</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1,027</w:t>
            </w:r>
          </w:p>
        </w:tc>
        <w:tc>
          <w:tcPr>
            <w:tcW w:w="0" w:type="dxa"/>
            <w:vAlign w:val="bottom"/>
          </w:tcPr>
          <w:p>
            <w:pPr>
              <w:spacing w:after="0"/>
              <w:rPr>
                <w:sz w:val="1"/>
                <w:szCs w:val="1"/>
                <w:color w:val="auto"/>
              </w:rPr>
            </w:pPr>
          </w:p>
        </w:tc>
      </w:tr>
      <w:tr>
        <w:trPr>
          <w:trHeight w:val="189"/>
        </w:trPr>
        <w:tc>
          <w:tcPr>
            <w:tcW w:w="5760" w:type="dxa"/>
            <w:vAlign w:val="bottom"/>
          </w:tcPr>
          <w:p>
            <w:pPr>
              <w:spacing w:after="0" w:line="189" w:lineRule="exact"/>
              <w:rPr>
                <w:sz w:val="20"/>
                <w:szCs w:val="20"/>
                <w:color w:val="auto"/>
              </w:rPr>
            </w:pPr>
            <w:r>
              <w:rPr>
                <w:rFonts w:ascii="Arial" w:cs="Arial" w:eastAsia="Arial" w:hAnsi="Arial"/>
                <w:sz w:val="17"/>
                <w:szCs w:val="17"/>
                <w:color w:val="auto"/>
              </w:rPr>
              <w:t>Accrued professional services</w:t>
            </w:r>
          </w:p>
        </w:tc>
        <w:tc>
          <w:tcPr>
            <w:tcW w:w="100" w:type="dxa"/>
            <w:vAlign w:val="bottom"/>
          </w:tcPr>
          <w:p>
            <w:pPr>
              <w:spacing w:after="0"/>
              <w:rPr>
                <w:sz w:val="16"/>
                <w:szCs w:val="16"/>
                <w:color w:val="auto"/>
              </w:rPr>
            </w:pPr>
          </w:p>
        </w:tc>
        <w:tc>
          <w:tcPr>
            <w:tcW w:w="7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628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937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accrued expenses and current liabilities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3,617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6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u w:val="single" w:color="auto"/>
                <w:color w:val="auto"/>
                <w:w w:val="84"/>
              </w:rPr>
              <w:t>$</w:t>
            </w:r>
          </w:p>
        </w:tc>
        <w:tc>
          <w:tcPr>
            <w:tcW w:w="78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w w:val="96"/>
              </w:rPr>
              <w:t>14,084</w:t>
            </w:r>
          </w:p>
        </w:tc>
        <w:tc>
          <w:tcPr>
            <w:tcW w:w="440" w:type="dxa"/>
            <w:vAlign w:val="bottom"/>
            <w:gridSpan w:val="2"/>
          </w:tcPr>
          <w:p>
            <w:pPr>
              <w:ind w:left="240"/>
              <w:spacing w:after="0" w:line="194"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14,991</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3820"/>
              <w:spacing w:after="0"/>
              <w:rPr>
                <w:sz w:val="20"/>
                <w:szCs w:val="20"/>
                <w:color w:val="auto"/>
              </w:rPr>
            </w:pPr>
            <w:r>
              <w:rPr>
                <w:rFonts w:ascii="Arial" w:cs="Arial" w:eastAsia="Arial" w:hAnsi="Arial"/>
                <w:sz w:val="17"/>
                <w:szCs w:val="17"/>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320" w:top="464" w:right="8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Note 7. Property and Equipment, net</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Property and equipment, net consisted of the following as of the dates presented (in thousands):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51"/>
        </w:trPr>
        <w:tc>
          <w:tcPr>
            <w:tcW w:w="5660" w:type="dxa"/>
            <w:vAlign w:val="bottom"/>
          </w:tcPr>
          <w:p>
            <w:pPr>
              <w:spacing w:after="0"/>
              <w:rPr>
                <w:sz w:val="13"/>
                <w:szCs w:val="13"/>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r>
      <w:tr>
        <w:trPr>
          <w:trHeight w:val="163"/>
        </w:trPr>
        <w:tc>
          <w:tcPr>
            <w:tcW w:w="5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2021</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182"/>
        </w:trPr>
        <w:tc>
          <w:tcPr>
            <w:tcW w:w="566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Computer equipment and software</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1,655</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1,465</w:t>
            </w:r>
          </w:p>
        </w:tc>
        <w:tc>
          <w:tcPr>
            <w:tcW w:w="120" w:type="dxa"/>
            <w:vAlign w:val="bottom"/>
            <w:shd w:val="clear" w:color="auto" w:fill="CCEEFF"/>
          </w:tcPr>
          <w:p>
            <w:pPr>
              <w:spacing w:after="0"/>
              <w:rPr>
                <w:sz w:val="15"/>
                <w:szCs w:val="15"/>
                <w:color w:val="auto"/>
              </w:rPr>
            </w:pPr>
          </w:p>
        </w:tc>
      </w:tr>
      <w:tr>
        <w:trPr>
          <w:trHeight w:val="189"/>
        </w:trPr>
        <w:tc>
          <w:tcPr>
            <w:tcW w:w="5660" w:type="dxa"/>
            <w:vAlign w:val="bottom"/>
          </w:tcPr>
          <w:p>
            <w:pPr>
              <w:spacing w:after="0" w:line="189" w:lineRule="exact"/>
              <w:rPr>
                <w:sz w:val="20"/>
                <w:szCs w:val="20"/>
                <w:color w:val="auto"/>
              </w:rPr>
            </w:pPr>
            <w:r>
              <w:rPr>
                <w:rFonts w:ascii="Arial" w:cs="Arial" w:eastAsia="Arial" w:hAnsi="Arial"/>
                <w:sz w:val="17"/>
                <w:szCs w:val="17"/>
                <w:color w:val="auto"/>
              </w:rPr>
              <w:t>Internal use software</w:t>
            </w:r>
          </w:p>
        </w:tc>
        <w:tc>
          <w:tcPr>
            <w:tcW w:w="100" w:type="dxa"/>
            <w:vAlign w:val="bottom"/>
          </w:tcPr>
          <w:p>
            <w:pPr>
              <w:spacing w:after="0"/>
              <w:rPr>
                <w:sz w:val="16"/>
                <w:szCs w:val="16"/>
                <w:color w:val="auto"/>
              </w:rPr>
            </w:pPr>
          </w:p>
        </w:tc>
        <w:tc>
          <w:tcPr>
            <w:tcW w:w="82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4,967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1,779</w:t>
            </w:r>
          </w:p>
        </w:tc>
      </w:tr>
      <w:tr>
        <w:trPr>
          <w:trHeight w:val="189"/>
        </w:trPr>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fixtures</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632</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687</w:t>
            </w:r>
          </w:p>
        </w:tc>
      </w:tr>
      <w:tr>
        <w:trPr>
          <w:trHeight w:val="189"/>
        </w:trPr>
        <w:tc>
          <w:tcPr>
            <w:tcW w:w="566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100" w:type="dxa"/>
            <w:vAlign w:val="bottom"/>
          </w:tcPr>
          <w:p>
            <w:pPr>
              <w:spacing w:after="0"/>
              <w:rPr>
                <w:sz w:val="16"/>
                <w:szCs w:val="16"/>
                <w:color w:val="auto"/>
              </w:rPr>
            </w:pPr>
          </w:p>
        </w:tc>
        <w:tc>
          <w:tcPr>
            <w:tcW w:w="82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4,044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3,989</w:t>
            </w:r>
          </w:p>
        </w:tc>
      </w:tr>
      <w:tr>
        <w:trPr>
          <w:trHeight w:val="25"/>
        </w:trPr>
        <w:tc>
          <w:tcPr>
            <w:tcW w:w="5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5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w w:val="96"/>
              </w:rPr>
              <w:t>11,298</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7,920</w:t>
            </w:r>
          </w:p>
        </w:tc>
      </w:tr>
      <w:tr>
        <w:trPr>
          <w:trHeight w:val="189"/>
        </w:trPr>
        <w:tc>
          <w:tcPr>
            <w:tcW w:w="5660" w:type="dxa"/>
            <w:vAlign w:val="bottom"/>
          </w:tcPr>
          <w:p>
            <w:pPr>
              <w:spacing w:after="0" w:line="189" w:lineRule="exact"/>
              <w:rPr>
                <w:sz w:val="20"/>
                <w:szCs w:val="20"/>
                <w:color w:val="auto"/>
              </w:rPr>
            </w:pPr>
            <w:r>
              <w:rPr>
                <w:rFonts w:ascii="Arial" w:cs="Arial" w:eastAsia="Arial" w:hAnsi="Arial"/>
                <w:sz w:val="17"/>
                <w:szCs w:val="17"/>
                <w:color w:val="auto"/>
              </w:rPr>
              <w:t>Less: Accumulated depreciation and amortization</w:t>
            </w: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(3,762)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(2,819)</w:t>
            </w:r>
          </w:p>
        </w:tc>
      </w:tr>
      <w:tr>
        <w:trPr>
          <w:trHeight w:val="25"/>
        </w:trPr>
        <w:tc>
          <w:tcPr>
            <w:tcW w:w="5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56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7,536</w:t>
            </w:r>
          </w:p>
        </w:tc>
        <w:tc>
          <w:tcPr>
            <w:tcW w:w="42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5,101</w:t>
            </w:r>
          </w:p>
        </w:tc>
      </w:tr>
      <w:tr>
        <w:trPr>
          <w:trHeight w:val="20"/>
        </w:trPr>
        <w:tc>
          <w:tcPr>
            <w:tcW w:w="5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ind w:left="480" w:right="120" w:firstLine="411"/>
        <w:spacing w:after="0" w:line="237" w:lineRule="auto"/>
        <w:rPr>
          <w:sz w:val="20"/>
          <w:szCs w:val="20"/>
          <w:color w:val="auto"/>
        </w:rPr>
      </w:pPr>
      <w:r>
        <w:rPr>
          <w:rFonts w:ascii="Arial" w:cs="Arial" w:eastAsia="Arial" w:hAnsi="Arial"/>
          <w:sz w:val="17"/>
          <w:szCs w:val="17"/>
          <w:color w:val="auto"/>
        </w:rPr>
        <w:t>Depreciation and amortization expense for the three months ended June 30, 2021 and 2020 was $0.5 million and $0.5 million, respectively. Depreciation and amortization expense for the six months ended June 30, 2021 and 2020 was $1.0 million and $1.0 million, respectively.</w:t>
      </w:r>
    </w:p>
    <w:p>
      <w:pPr>
        <w:spacing w:after="0" w:line="190" w:lineRule="exact"/>
        <w:rPr>
          <w:sz w:val="20"/>
          <w:szCs w:val="20"/>
          <w:color w:val="auto"/>
        </w:rPr>
      </w:pPr>
    </w:p>
    <w:p>
      <w:pPr>
        <w:jc w:val="both"/>
        <w:ind w:left="480" w:right="80" w:firstLine="411"/>
        <w:spacing w:after="0" w:line="237" w:lineRule="auto"/>
        <w:rPr>
          <w:sz w:val="20"/>
          <w:szCs w:val="20"/>
          <w:color w:val="auto"/>
        </w:rPr>
      </w:pPr>
      <w:r>
        <w:rPr>
          <w:rFonts w:ascii="Arial" w:cs="Arial" w:eastAsia="Arial" w:hAnsi="Arial"/>
          <w:sz w:val="17"/>
          <w:szCs w:val="17"/>
          <w:color w:val="auto"/>
        </w:rPr>
        <w:t>During the three and six months ended June 30, 2021, the Company sold $0.1 million of property and equipment with accumulated depreciation of $0.1 million. The Company recognized a gain on the sale of the fixed assets of less than $0.1 million. There were no write offs of assets during the three and six months ended June 30, 2020.</w:t>
      </w:r>
    </w:p>
    <w:p>
      <w:pPr>
        <w:spacing w:after="0" w:line="190" w:lineRule="exact"/>
        <w:rPr>
          <w:sz w:val="20"/>
          <w:szCs w:val="20"/>
          <w:color w:val="auto"/>
        </w:rPr>
      </w:pPr>
    </w:p>
    <w:p>
      <w:pPr>
        <w:ind w:left="480" w:firstLine="411"/>
        <w:spacing w:after="0" w:line="236" w:lineRule="auto"/>
        <w:rPr>
          <w:sz w:val="20"/>
          <w:szCs w:val="20"/>
          <w:color w:val="auto"/>
        </w:rPr>
      </w:pPr>
      <w:r>
        <w:rPr>
          <w:rFonts w:ascii="Arial" w:cs="Arial" w:eastAsia="Arial" w:hAnsi="Arial"/>
          <w:sz w:val="17"/>
          <w:szCs w:val="17"/>
          <w:color w:val="auto"/>
        </w:rPr>
        <w:t>As of June 30, 2021 and December 31, 2020, the carrying value of internal-used software was $4.6 million and $1.7 million, respectively. Amortization expense related to internal-use software for the three months ended June 30, 2021 and 2020 was $0.1 million and less than $ 0.1 million, respectively. Amortization expense related to internal-use software for the six months ended June 30, 2021 and 2020 was $0.2 million and less than $0.1 million, respectively.</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Note 8. Business Combinations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 were no acquisitions accounted for business combinations completed in the three and six months ended June 30, 2021.</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Business Acquisition Completed in 2020</w:t>
      </w:r>
    </w:p>
    <w:p>
      <w:pPr>
        <w:spacing w:after="0" w:line="97"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Simplificare Inc.</w:t>
      </w:r>
    </w:p>
    <w:p>
      <w:pPr>
        <w:spacing w:after="0" w:line="213" w:lineRule="exact"/>
        <w:rPr>
          <w:sz w:val="20"/>
          <w:szCs w:val="20"/>
          <w:color w:val="auto"/>
        </w:rPr>
      </w:pPr>
    </w:p>
    <w:p>
      <w:pPr>
        <w:jc w:val="both"/>
        <w:ind w:left="480" w:right="60" w:firstLine="411"/>
        <w:spacing w:after="0" w:line="237" w:lineRule="auto"/>
        <w:rPr>
          <w:sz w:val="20"/>
          <w:szCs w:val="20"/>
          <w:color w:val="auto"/>
        </w:rPr>
      </w:pPr>
      <w:r>
        <w:rPr>
          <w:rFonts w:ascii="Arial" w:cs="Arial" w:eastAsia="Arial" w:hAnsi="Arial"/>
          <w:sz w:val="17"/>
          <w:szCs w:val="17"/>
          <w:color w:val="auto"/>
        </w:rPr>
        <w:t>On February 13, 2020, the Company completed its acquisition of Simplificare Inc. (“Simplee”), a provider of healthcare payment and collections software. The acquisition of Simplee was intended to further expand the capabilities of the Company and to acquire additional clients in the healthcare market. The acquisition of Simplee has been accounted for as a business combination.</w:t>
      </w:r>
    </w:p>
    <w:p>
      <w:pPr>
        <w:spacing w:after="0" w:line="190" w:lineRule="exact"/>
        <w:rPr>
          <w:sz w:val="20"/>
          <w:szCs w:val="20"/>
          <w:color w:val="auto"/>
        </w:rPr>
      </w:pPr>
    </w:p>
    <w:p>
      <w:pPr>
        <w:ind w:left="480" w:right="560" w:firstLine="411"/>
        <w:spacing w:after="0"/>
        <w:rPr>
          <w:sz w:val="20"/>
          <w:szCs w:val="20"/>
          <w:color w:val="auto"/>
        </w:rPr>
      </w:pPr>
      <w:r>
        <w:rPr>
          <w:rFonts w:ascii="Arial" w:cs="Arial" w:eastAsia="Arial" w:hAnsi="Arial"/>
          <w:sz w:val="17"/>
          <w:szCs w:val="17"/>
          <w:color w:val="auto"/>
        </w:rPr>
        <w:t>Pursuant to the terms of the agreement, the Company acquired all outstanding equity of Simplee for estimated total purchase consideration of $86.5 million, which consists of (in thousands):</w:t>
      </w:r>
    </w:p>
    <w:p>
      <w:pPr>
        <w:spacing w:after="0" w:line="209" w:lineRule="exact"/>
        <w:rPr>
          <w:sz w:val="20"/>
          <w:szCs w:val="20"/>
          <w:color w:val="auto"/>
        </w:rPr>
      </w:pPr>
    </w:p>
    <w:tbl>
      <w:tblPr>
        <w:tblLayout w:type="fixed"/>
        <w:tblInd w:w="2140" w:type="dxa"/>
        <w:tblCellMar>
          <w:top w:w="0" w:type="dxa"/>
          <w:left w:w="0" w:type="dxa"/>
          <w:bottom w:w="0" w:type="dxa"/>
          <w:right w:w="0" w:type="dxa"/>
        </w:tblCellMar>
      </w:tblPr>
      <w:tr>
        <w:trPr>
          <w:trHeight w:val="195"/>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Cash consideration, net of cash acquired</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$79,401</w:t>
            </w:r>
          </w:p>
        </w:tc>
      </w:tr>
      <w:tr>
        <w:trPr>
          <w:trHeight w:val="189"/>
        </w:trPr>
        <w:tc>
          <w:tcPr>
            <w:tcW w:w="6300" w:type="dxa"/>
            <w:vAlign w:val="bottom"/>
          </w:tcPr>
          <w:p>
            <w:pPr>
              <w:spacing w:after="0" w:line="189" w:lineRule="exact"/>
              <w:rPr>
                <w:sz w:val="20"/>
                <w:szCs w:val="20"/>
                <w:color w:val="auto"/>
              </w:rPr>
            </w:pPr>
            <w:r>
              <w:rPr>
                <w:rFonts w:ascii="Arial" w:cs="Arial" w:eastAsia="Arial" w:hAnsi="Arial"/>
                <w:sz w:val="17"/>
                <w:szCs w:val="17"/>
                <w:color w:val="auto"/>
              </w:rPr>
              <w:t>Estimated fair value of contingent consideration</w:t>
            </w: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7,100</w:t>
            </w:r>
          </w:p>
        </w:tc>
      </w:tr>
      <w:tr>
        <w:trPr>
          <w:trHeight w:val="25"/>
        </w:trPr>
        <w:tc>
          <w:tcPr>
            <w:tcW w:w="6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3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purchase consideration, net of cash acquired</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86,501</w:t>
            </w:r>
          </w:p>
        </w:tc>
      </w:tr>
      <w:tr>
        <w:trPr>
          <w:trHeight w:val="20"/>
        </w:trPr>
        <w:tc>
          <w:tcPr>
            <w:tcW w:w="6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ind w:left="480" w:firstLine="411"/>
        <w:spacing w:after="0" w:line="249" w:lineRule="auto"/>
        <w:rPr>
          <w:sz w:val="20"/>
          <w:szCs w:val="20"/>
          <w:color w:val="auto"/>
        </w:rPr>
      </w:pPr>
      <w:r>
        <w:rPr>
          <w:rFonts w:ascii="Arial" w:cs="Arial" w:eastAsia="Arial" w:hAnsi="Arial"/>
          <w:sz w:val="16"/>
          <w:szCs w:val="16"/>
          <w:color w:val="auto"/>
        </w:rPr>
        <w:t>Contingent consideration represents additional payments that the Company may be required to make in the future, which totals up to $20.0 million depending on the Company reaching certain revenue and integration targets established for the years ended December 31, 2020 and 2021, as well as retaining key clients. A portion of the contingent consideration is also tied to continuing employment of certain key employees; accordingly, $ 2.1 million has been excluded from the purchase price allocation. During the three months ended June 30, 2021 and 2020, the Company expensed $0.2 million and $ 0.3 million, respectively in personnel costs associated with the contingent consideration. During the six months ended June 30, 2021 and 2020, the Company expensed $0.4 million and $0.6 million, respectively. These personnel costs associated with contingent consideration are expensed in the Company’s consolidated statements of operations and comprehensive loss and a liability is included in accrued expenses and other current liabilities on the consolidated balance sheet. The contingent consideration is payable at the one-year and two-year acquisition anniversary dates based on the prior year results.</w:t>
      </w:r>
    </w:p>
    <w:p>
      <w:pPr>
        <w:spacing w:after="0" w:line="12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740"/>
          </w:cols>
          <w:pgMar w:left="320" w:top="464" w:right="8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Company incurred $1.9 million in transaction costs related to the Simplee acquisition, of which less than $0.1 million and</w:t>
      </w:r>
    </w:p>
    <w:p>
      <w:pPr>
        <w:ind w:left="480" w:right="80"/>
        <w:spacing w:after="0" w:line="252" w:lineRule="auto"/>
        <w:rPr>
          <w:sz w:val="20"/>
          <w:szCs w:val="20"/>
          <w:color w:val="auto"/>
        </w:rPr>
      </w:pPr>
      <w:r>
        <w:rPr>
          <w:rFonts w:ascii="Arial" w:cs="Arial" w:eastAsia="Arial" w:hAnsi="Arial"/>
          <w:sz w:val="16"/>
          <w:szCs w:val="16"/>
          <w:color w:val="auto"/>
        </w:rPr>
        <w:t>$1.3 million was incurred during the three and six months ended June 30, 2020, respectively. No costs were incurred during the three and six months ended June 30, 2021. Additionally, the Company incurred retention costs to compensate employees of Simplee for future services. These costs were included in personnel expense in the Company’s consolidated statements of operations and comprehensive loss. During the three months ended June 30, 2021 and 2020, the Company incurred $0.9 million and $1.4 million of retention costs, respectively. During the six months ended June 30, 2021 and 2020, the Company incurred $1.7 and $2.1 of retention costs, respectively.</w:t>
      </w:r>
    </w:p>
    <w:p>
      <w:pPr>
        <w:spacing w:after="0" w:line="181" w:lineRule="exact"/>
        <w:rPr>
          <w:sz w:val="20"/>
          <w:szCs w:val="20"/>
          <w:color w:val="auto"/>
        </w:rPr>
      </w:pPr>
    </w:p>
    <w:p>
      <w:pPr>
        <w:ind w:left="480" w:right="340" w:firstLine="411"/>
        <w:spacing w:after="0"/>
        <w:rPr>
          <w:sz w:val="20"/>
          <w:szCs w:val="20"/>
          <w:color w:val="auto"/>
        </w:rPr>
      </w:pPr>
      <w:r>
        <w:rPr>
          <w:rFonts w:ascii="Arial" w:cs="Arial" w:eastAsia="Arial" w:hAnsi="Arial"/>
          <w:sz w:val="17"/>
          <w:szCs w:val="17"/>
          <w:color w:val="auto"/>
        </w:rPr>
        <w:t>The following table summarizes the allocation of the purchase consideration to the fair value of the assets acquired and liabilities assumed (in thousands):</w:t>
      </w:r>
    </w:p>
    <w:p>
      <w:pPr>
        <w:spacing w:after="0" w:line="209" w:lineRule="exact"/>
        <w:rPr>
          <w:sz w:val="20"/>
          <w:szCs w:val="20"/>
          <w:color w:val="auto"/>
        </w:rPr>
      </w:pPr>
    </w:p>
    <w:tbl>
      <w:tblPr>
        <w:tblLayout w:type="fixed"/>
        <w:tblInd w:w="21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spacing w:after="0" w:line="189" w:lineRule="exact"/>
              <w:rPr>
                <w:sz w:val="20"/>
                <w:szCs w:val="20"/>
                <w:color w:val="auto"/>
              </w:rPr>
            </w:pPr>
            <w:r>
              <w:rPr>
                <w:rFonts w:ascii="Arial" w:cs="Arial" w:eastAsia="Arial" w:hAnsi="Arial"/>
                <w:sz w:val="17"/>
                <w:szCs w:val="17"/>
                <w:color w:val="auto"/>
              </w:rPr>
              <w:t>Accounts receivable</w:t>
            </w:r>
          </w:p>
        </w:tc>
        <w:tc>
          <w:tcPr>
            <w:tcW w:w="10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8,555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Prepaid expenses and other assets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spacing w:after="0" w:line="189" w:lineRule="exact"/>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tax assets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6,587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spacing w:after="0" w:line="189" w:lineRule="exact"/>
              <w:rPr>
                <w:sz w:val="20"/>
                <w:szCs w:val="20"/>
                <w:color w:val="auto"/>
              </w:rPr>
            </w:pPr>
            <w:r>
              <w:rPr>
                <w:rFonts w:ascii="Arial" w:cs="Arial" w:eastAsia="Arial" w:hAnsi="Arial"/>
                <w:sz w:val="17"/>
                <w:szCs w:val="17"/>
                <w:color w:val="auto"/>
              </w:rPr>
              <w:t>Goodwill</w:t>
            </w:r>
          </w:p>
        </w:tc>
        <w:tc>
          <w:tcPr>
            <w:tcW w:w="10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31,696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Identifiable intangible assets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58,800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Pr>
          <w:p>
            <w:pPr>
              <w:ind w:left="300"/>
              <w:spacing w:after="0" w:line="194" w:lineRule="exact"/>
              <w:rPr>
                <w:sz w:val="20"/>
                <w:szCs w:val="20"/>
                <w:color w:val="auto"/>
              </w:rPr>
            </w:pPr>
            <w:r>
              <w:rPr>
                <w:rFonts w:ascii="Arial" w:cs="Arial" w:eastAsia="Arial" w:hAnsi="Arial"/>
                <w:sz w:val="17"/>
                <w:szCs w:val="17"/>
                <w:color w:val="auto"/>
              </w:rPr>
              <w:t>Total assets acquired</w:t>
            </w:r>
          </w:p>
        </w:tc>
        <w:tc>
          <w:tcPr>
            <w:tcW w:w="100" w:type="dxa"/>
            <w:vAlign w:val="bottom"/>
          </w:tcPr>
          <w:p>
            <w:pPr>
              <w:spacing w:after="0"/>
              <w:rPr>
                <w:sz w:val="16"/>
                <w:szCs w:val="16"/>
                <w:color w:val="auto"/>
              </w:rPr>
            </w:pPr>
          </w:p>
        </w:tc>
        <w:tc>
          <w:tcPr>
            <w:tcW w:w="6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w w:val="97"/>
              </w:rPr>
              <w:t>109,513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tax liabilities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15,092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2,267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expenses and other liabilities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Pr>
          <w:p>
            <w:pPr>
              <w:ind w:left="300"/>
              <w:spacing w:after="0" w:line="194" w:lineRule="exact"/>
              <w:rPr>
                <w:sz w:val="20"/>
                <w:szCs w:val="20"/>
                <w:color w:val="auto"/>
              </w:rPr>
            </w:pPr>
            <w:r>
              <w:rPr>
                <w:rFonts w:ascii="Arial" w:cs="Arial" w:eastAsia="Arial" w:hAnsi="Arial"/>
                <w:sz w:val="17"/>
                <w:szCs w:val="17"/>
                <w:color w:val="auto"/>
              </w:rPr>
              <w:t>Total liabilities assumed</w:t>
            </w:r>
          </w:p>
        </w:tc>
        <w:tc>
          <w:tcPr>
            <w:tcW w:w="100" w:type="dxa"/>
            <w:vAlign w:val="bottom"/>
          </w:tcPr>
          <w:p>
            <w:pPr>
              <w:spacing w:after="0"/>
              <w:rPr>
                <w:sz w:val="16"/>
                <w:szCs w:val="16"/>
                <w:color w:val="auto"/>
              </w:rPr>
            </w:pPr>
          </w:p>
        </w:tc>
        <w:tc>
          <w:tcPr>
            <w:tcW w:w="6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20,822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assets acquired</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88,691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ind w:left="300"/>
              <w:spacing w:after="0" w:line="189" w:lineRule="exact"/>
              <w:rPr>
                <w:sz w:val="20"/>
                <w:szCs w:val="20"/>
                <w:color w:val="auto"/>
              </w:rPr>
            </w:pPr>
            <w:r>
              <w:rPr>
                <w:rFonts w:ascii="Arial" w:cs="Arial" w:eastAsia="Arial" w:hAnsi="Arial"/>
                <w:sz w:val="17"/>
                <w:szCs w:val="17"/>
                <w:color w:val="auto"/>
              </w:rPr>
              <w:t>Less: cash acquired</w:t>
            </w:r>
          </w:p>
        </w:tc>
        <w:tc>
          <w:tcPr>
            <w:tcW w:w="10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2,190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assets, less cash acquired</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86,501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480" w:firstLine="411"/>
        <w:spacing w:after="0"/>
        <w:rPr>
          <w:sz w:val="20"/>
          <w:szCs w:val="20"/>
          <w:color w:val="auto"/>
        </w:rPr>
      </w:pPr>
      <w:r>
        <w:rPr>
          <w:rFonts w:ascii="Arial" w:cs="Arial" w:eastAsia="Arial" w:hAnsi="Arial"/>
          <w:sz w:val="17"/>
          <w:szCs w:val="17"/>
          <w:color w:val="auto"/>
        </w:rPr>
        <w:t>Goodwill arising from the acquisition of $31.7 million was attributable to the workforce of Simplee and the synergies expected to arise from the acquisition. The Company expects that no goodwill from this acquisition will be deductible for income tax purposes.</w:t>
      </w:r>
    </w:p>
    <w:p>
      <w:pPr>
        <w:spacing w:after="0" w:line="189" w:lineRule="exact"/>
        <w:rPr>
          <w:sz w:val="20"/>
          <w:szCs w:val="20"/>
          <w:color w:val="auto"/>
        </w:rPr>
      </w:pPr>
    </w:p>
    <w:p>
      <w:pPr>
        <w:ind w:left="480" w:right="400" w:firstLine="411"/>
        <w:spacing w:after="0"/>
        <w:rPr>
          <w:sz w:val="20"/>
          <w:szCs w:val="20"/>
          <w:color w:val="auto"/>
        </w:rPr>
      </w:pPr>
      <w:r>
        <w:rPr>
          <w:rFonts w:ascii="Arial" w:cs="Arial" w:eastAsia="Arial" w:hAnsi="Arial"/>
          <w:sz w:val="17"/>
          <w:szCs w:val="17"/>
          <w:color w:val="auto"/>
        </w:rPr>
        <w:t>The following table reflects the estimated fair values of the identified intangible assets of Simplee and their respective weighted-average estimated amortization periods.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151"/>
        </w:trPr>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Weighted-</w:t>
            </w:r>
          </w:p>
        </w:tc>
      </w:tr>
      <w:tr>
        <w:trPr>
          <w:trHeight w:val="151"/>
        </w:trPr>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Average</w:t>
            </w:r>
          </w:p>
        </w:tc>
      </w:tr>
      <w:tr>
        <w:trPr>
          <w:trHeight w:val="151"/>
        </w:trPr>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Estimated</w:t>
            </w:r>
          </w:p>
        </w:tc>
      </w:tr>
      <w:tr>
        <w:trPr>
          <w:trHeight w:val="151"/>
        </w:trPr>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w w:val="99"/>
              </w:rPr>
              <w:t>Estimated</w:t>
            </w:r>
          </w:p>
        </w:tc>
        <w:tc>
          <w:tcPr>
            <w:tcW w:w="9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Amortization</w:t>
            </w:r>
          </w:p>
        </w:tc>
      </w:tr>
      <w:tr>
        <w:trPr>
          <w:trHeight w:val="163"/>
        </w:trPr>
        <w:tc>
          <w:tcPr>
            <w:tcW w:w="542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Values</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Periods</w:t>
            </w:r>
          </w:p>
        </w:tc>
        <w:tc>
          <w:tcPr>
            <w:tcW w:w="60" w:type="dxa"/>
            <w:vAlign w:val="bottom"/>
          </w:tcPr>
          <w:p>
            <w:pPr>
              <w:spacing w:after="0"/>
              <w:rPr>
                <w:sz w:val="14"/>
                <w:szCs w:val="14"/>
                <w:color w:val="auto"/>
              </w:rPr>
            </w:pPr>
          </w:p>
        </w:tc>
      </w:tr>
      <w:tr>
        <w:trPr>
          <w:trHeight w:val="144"/>
        </w:trPr>
        <w:tc>
          <w:tcPr>
            <w:tcW w:w="5420" w:type="dxa"/>
            <w:vAlign w:val="bottom"/>
          </w:tcPr>
          <w:p>
            <w:pPr>
              <w:spacing w:after="0"/>
              <w:rPr>
                <w:sz w:val="12"/>
                <w:szCs w:val="12"/>
                <w:color w:val="auto"/>
              </w:rPr>
            </w:pPr>
          </w:p>
        </w:tc>
        <w:tc>
          <w:tcPr>
            <w:tcW w:w="1500" w:type="dxa"/>
            <w:vAlign w:val="bottom"/>
            <w:gridSpan w:val="3"/>
          </w:tcPr>
          <w:p>
            <w:pPr>
              <w:jc w:val="right"/>
              <w:ind w:right="640"/>
              <w:spacing w:after="0" w:line="144" w:lineRule="exact"/>
              <w:rPr>
                <w:sz w:val="20"/>
                <w:szCs w:val="20"/>
                <w:color w:val="auto"/>
              </w:rPr>
            </w:pPr>
            <w:r>
              <w:rPr>
                <w:rFonts w:ascii="Arial" w:cs="Arial" w:eastAsia="Arial" w:hAnsi="Arial"/>
                <w:sz w:val="13"/>
                <w:szCs w:val="13"/>
                <w:color w:val="auto"/>
              </w:rPr>
              <w:t>(in thousands)</w:t>
            </w:r>
          </w:p>
        </w:tc>
        <w:tc>
          <w:tcPr>
            <w:tcW w:w="900" w:type="dxa"/>
            <w:vAlign w:val="bottom"/>
            <w:gridSpan w:val="2"/>
          </w:tcPr>
          <w:p>
            <w:pPr>
              <w:jc w:val="center"/>
              <w:ind w:right="40"/>
              <w:spacing w:after="0" w:line="144" w:lineRule="exact"/>
              <w:rPr>
                <w:sz w:val="20"/>
                <w:szCs w:val="20"/>
                <w:color w:val="auto"/>
              </w:rPr>
            </w:pPr>
            <w:r>
              <w:rPr>
                <w:rFonts w:ascii="Arial" w:cs="Arial" w:eastAsia="Arial" w:hAnsi="Arial"/>
                <w:sz w:val="13"/>
                <w:szCs w:val="13"/>
                <w:color w:val="auto"/>
              </w:rPr>
              <w:t>(years)</w:t>
            </w:r>
          </w:p>
        </w:tc>
      </w:tr>
      <w:tr>
        <w:trPr>
          <w:trHeight w:val="189"/>
        </w:trPr>
        <w:tc>
          <w:tcPr>
            <w:tcW w:w="5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Developed technology</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10,500</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w:t>
            </w:r>
          </w:p>
        </w:tc>
        <w:tc>
          <w:tcPr>
            <w:tcW w:w="60" w:type="dxa"/>
            <w:vAlign w:val="bottom"/>
            <w:shd w:val="clear" w:color="auto" w:fill="CCEEFF"/>
          </w:tcPr>
          <w:p>
            <w:pPr>
              <w:spacing w:after="0"/>
              <w:rPr>
                <w:sz w:val="16"/>
                <w:szCs w:val="16"/>
                <w:color w:val="auto"/>
              </w:rPr>
            </w:pP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Client relationships</w:t>
            </w:r>
          </w:p>
        </w:tc>
        <w:tc>
          <w:tcPr>
            <w:tcW w:w="120" w:type="dxa"/>
            <w:vAlign w:val="bottom"/>
          </w:tcPr>
          <w:p>
            <w:pPr>
              <w:spacing w:after="0"/>
              <w:rPr>
                <w:sz w:val="16"/>
                <w:szCs w:val="16"/>
                <w:color w:val="auto"/>
              </w:rPr>
            </w:pPr>
          </w:p>
        </w:tc>
        <w:tc>
          <w:tcPr>
            <w:tcW w:w="138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48,300</w:t>
            </w: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w:t>
            </w:r>
          </w:p>
        </w:tc>
      </w:tr>
      <w:tr>
        <w:trPr>
          <w:trHeight w:val="25"/>
        </w:trPr>
        <w:tc>
          <w:tcPr>
            <w:tcW w:w="5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4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58,800</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ind w:left="480" w:right="320" w:firstLine="411"/>
        <w:spacing w:after="0" w:line="252" w:lineRule="auto"/>
        <w:rPr>
          <w:sz w:val="20"/>
          <w:szCs w:val="20"/>
          <w:color w:val="auto"/>
        </w:rPr>
      </w:pPr>
      <w:r>
        <w:rPr>
          <w:rFonts w:ascii="Arial" w:cs="Arial" w:eastAsia="Arial" w:hAnsi="Arial"/>
          <w:sz w:val="16"/>
          <w:szCs w:val="16"/>
          <w:color w:val="auto"/>
        </w:rPr>
        <w:t>The results of Simplee have been included in the consolidated financial statements since the date of acquisition. Simplee’s consolidated revenue included in the consolidated financial statements for the three months ended June 30, 2020 was $10.7 million. Simplee’s consolidated revenue included in the consolidated financial statements since the acquisition date for the six months ended June 30, 2020 was $16.2 million. The Company has not disclosed net loss since the acquisition date through June 30, 2020 as the business was fully integrated into the consolidated Company’s operations and therefore it was impracticable to determine this amount.</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760"/>
          </w:cols>
          <w:pgMar w:left="320" w:top="464" w:right="81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Unaudited Pro Forma Financial Information</w:t>
      </w:r>
    </w:p>
    <w:p>
      <w:pPr>
        <w:spacing w:after="0" w:line="95" w:lineRule="exact"/>
        <w:rPr>
          <w:sz w:val="20"/>
          <w:szCs w:val="20"/>
          <w:color w:val="auto"/>
        </w:rPr>
      </w:pPr>
    </w:p>
    <w:p>
      <w:pPr>
        <w:ind w:left="480" w:firstLine="411"/>
        <w:spacing w:after="0" w:line="251" w:lineRule="auto"/>
        <w:rPr>
          <w:sz w:val="20"/>
          <w:szCs w:val="20"/>
          <w:color w:val="auto"/>
        </w:rPr>
      </w:pPr>
      <w:r>
        <w:rPr>
          <w:rFonts w:ascii="Arial" w:cs="Arial" w:eastAsia="Arial" w:hAnsi="Arial"/>
          <w:sz w:val="16"/>
          <w:szCs w:val="16"/>
          <w:color w:val="auto"/>
        </w:rPr>
        <w:t>The following unaudited pro forma financial information shows the results of the Company’s operations for the three and six months ended June 30, 2020 as if the acquisition had occurred on January 1, 2019.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Simplee. The unaudited pro forma information reflects the effects of applying the Company’s accounting policies and certain pro forma adjustments to the combined historical financial information of the Company and Simplee. The pro forma adjustments include:</w:t>
      </w:r>
    </w:p>
    <w:p>
      <w:pPr>
        <w:spacing w:after="0" w:line="94" w:lineRule="exact"/>
        <w:rPr>
          <w:sz w:val="20"/>
          <w:szCs w:val="20"/>
          <w:color w:val="auto"/>
        </w:rPr>
      </w:pPr>
    </w:p>
    <w:p>
      <w:pPr>
        <w:ind w:left="1380" w:right="320" w:hanging="497"/>
        <w:spacing w:after="0"/>
        <w:tabs>
          <w:tab w:leader="none" w:pos="1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incremental amortization expense associated with the estimated fair value of identified intangible assets and property and equipment;</w:t>
      </w:r>
    </w:p>
    <w:p>
      <w:pPr>
        <w:spacing w:after="0" w:line="100" w:lineRule="exact"/>
        <w:rPr>
          <w:rFonts w:ascii="Arial" w:cs="Arial" w:eastAsia="Arial" w:hAnsi="Arial"/>
          <w:sz w:val="17"/>
          <w:szCs w:val="17"/>
          <w:color w:val="auto"/>
        </w:rPr>
      </w:pPr>
    </w:p>
    <w:p>
      <w:pPr>
        <w:ind w:left="1380" w:right="640" w:hanging="497"/>
        <w:spacing w:after="0"/>
        <w:tabs>
          <w:tab w:leader="none" w:pos="1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revenue and cost of revenue adjustments as a result of the reduction in deferred revenue and the cost related to their estimated fair value;</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incremental employee compensation expense for Simplee employees; and</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estimated tax impact of the above items.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51"/>
        </w:trPr>
        <w:tc>
          <w:tcPr>
            <w:tcW w:w="6000" w:type="dxa"/>
            <w:vAlign w:val="bottom"/>
          </w:tcPr>
          <w:p>
            <w:pPr>
              <w:spacing w:after="0"/>
              <w:rPr>
                <w:sz w:val="13"/>
                <w:szCs w:val="13"/>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Six Months Ended</w:t>
            </w:r>
          </w:p>
        </w:tc>
      </w:tr>
      <w:tr>
        <w:trPr>
          <w:trHeight w:val="163"/>
        </w:trPr>
        <w:tc>
          <w:tcPr>
            <w:tcW w:w="6000" w:type="dxa"/>
            <w:vAlign w:val="bottom"/>
          </w:tcPr>
          <w:p>
            <w:pPr>
              <w:spacing w:after="0"/>
              <w:rPr>
                <w:sz w:val="14"/>
                <w:szCs w:val="14"/>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June 30, 2020</w:t>
            </w:r>
          </w:p>
        </w:tc>
      </w:tr>
      <w:tr>
        <w:trPr>
          <w:trHeight w:val="132"/>
        </w:trPr>
        <w:tc>
          <w:tcPr>
            <w:tcW w:w="60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left="64"/>
              <w:spacing w:after="0" w:line="133" w:lineRule="exact"/>
              <w:rPr>
                <w:sz w:val="20"/>
                <w:szCs w:val="20"/>
                <w:color w:val="auto"/>
              </w:rPr>
            </w:pPr>
            <w:r>
              <w:rPr>
                <w:rFonts w:ascii="Arial" w:cs="Arial" w:eastAsia="Arial" w:hAnsi="Arial"/>
                <w:sz w:val="13"/>
                <w:szCs w:val="13"/>
                <w:b w:val="1"/>
                <w:bCs w:val="1"/>
                <w:color w:val="auto"/>
              </w:rPr>
              <w:t>Pro</w:t>
            </w:r>
          </w:p>
        </w:tc>
        <w:tc>
          <w:tcPr>
            <w:tcW w:w="120" w:type="dxa"/>
            <w:vAlign w:val="bottom"/>
          </w:tcPr>
          <w:p>
            <w:pPr>
              <w:spacing w:after="0"/>
              <w:rPr>
                <w:sz w:val="11"/>
                <w:szCs w:val="11"/>
                <w:color w:val="auto"/>
              </w:rPr>
            </w:pPr>
          </w:p>
        </w:tc>
      </w:tr>
      <w:tr>
        <w:trPr>
          <w:trHeight w:val="163"/>
        </w:trPr>
        <w:tc>
          <w:tcPr>
            <w:tcW w:w="6000" w:type="dxa"/>
            <w:vAlign w:val="bottom"/>
          </w:tcPr>
          <w:p>
            <w:pPr>
              <w:spacing w:after="0"/>
              <w:rPr>
                <w:sz w:val="14"/>
                <w:szCs w:val="1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Actual</w:t>
            </w:r>
          </w:p>
        </w:tc>
        <w:tc>
          <w:tcPr>
            <w:tcW w:w="820" w:type="dxa"/>
            <w:vAlign w:val="bottom"/>
            <w:tcBorders>
              <w:bottom w:val="single" w:sz="8" w:color="auto"/>
            </w:tcBorders>
          </w:tcPr>
          <w:p>
            <w:pPr>
              <w:jc w:val="center"/>
              <w:ind w:left="64"/>
              <w:spacing w:after="0"/>
              <w:rPr>
                <w:sz w:val="20"/>
                <w:szCs w:val="20"/>
                <w:color w:val="auto"/>
              </w:rPr>
            </w:pPr>
            <w:r>
              <w:rPr>
                <w:rFonts w:ascii="Arial" w:cs="Arial" w:eastAsia="Arial" w:hAnsi="Arial"/>
                <w:sz w:val="13"/>
                <w:szCs w:val="13"/>
                <w:b w:val="1"/>
                <w:bCs w:val="1"/>
                <w:color w:val="auto"/>
              </w:rPr>
              <w:t>Forma</w:t>
            </w:r>
          </w:p>
        </w:tc>
        <w:tc>
          <w:tcPr>
            <w:tcW w:w="120" w:type="dxa"/>
            <w:vAlign w:val="bottom"/>
          </w:tcPr>
          <w:p>
            <w:pPr>
              <w:spacing w:after="0"/>
              <w:rPr>
                <w:sz w:val="14"/>
                <w:szCs w:val="14"/>
                <w:color w:val="auto"/>
              </w:rPr>
            </w:pPr>
          </w:p>
        </w:tc>
      </w:tr>
      <w:tr>
        <w:trPr>
          <w:trHeight w:val="144"/>
        </w:trPr>
        <w:tc>
          <w:tcPr>
            <w:tcW w:w="6000" w:type="dxa"/>
            <w:vAlign w:val="bottom"/>
          </w:tcPr>
          <w:p>
            <w:pPr>
              <w:spacing w:after="0"/>
              <w:rPr>
                <w:sz w:val="12"/>
                <w:szCs w:val="12"/>
                <w:color w:val="auto"/>
              </w:rPr>
            </w:pPr>
          </w:p>
        </w:tc>
        <w:tc>
          <w:tcPr>
            <w:tcW w:w="1820" w:type="dxa"/>
            <w:vAlign w:val="bottom"/>
            <w:gridSpan w:val="3"/>
          </w:tcPr>
          <w:p>
            <w:pPr>
              <w:jc w:val="center"/>
              <w:ind w:right="120"/>
              <w:spacing w:after="0" w:line="144" w:lineRule="exact"/>
              <w:rPr>
                <w:sz w:val="20"/>
                <w:szCs w:val="20"/>
                <w:color w:val="auto"/>
              </w:rPr>
            </w:pPr>
            <w:r>
              <w:rPr>
                <w:rFonts w:ascii="Arial" w:cs="Arial" w:eastAsia="Arial" w:hAnsi="Arial"/>
                <w:sz w:val="13"/>
                <w:szCs w:val="13"/>
                <w:color w:val="auto"/>
              </w:rPr>
              <w:t>(in thousands)</w:t>
            </w:r>
          </w:p>
        </w:tc>
      </w:tr>
      <w:tr>
        <w:trPr>
          <w:trHeight w:val="189"/>
        </w:trPr>
        <w:tc>
          <w:tcPr>
            <w:tcW w:w="6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w:t>
            </w:r>
          </w:p>
        </w:tc>
        <w:tc>
          <w:tcPr>
            <w:tcW w:w="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$ 56,466</w:t>
            </w:r>
          </w:p>
        </w:tc>
        <w:tc>
          <w:tcPr>
            <w:tcW w:w="9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7"/>
                <w:szCs w:val="17"/>
                <w:color w:val="auto"/>
              </w:rPr>
              <w:t>$ 60,952</w:t>
            </w:r>
          </w:p>
        </w:tc>
      </w:tr>
      <w:tr>
        <w:trPr>
          <w:trHeight w:val="202"/>
        </w:trPr>
        <w:tc>
          <w:tcPr>
            <w:tcW w:w="6000" w:type="dxa"/>
            <w:vAlign w:val="bottom"/>
          </w:tcPr>
          <w:p>
            <w:pPr>
              <w:spacing w:after="0"/>
              <w:rPr>
                <w:sz w:val="20"/>
                <w:szCs w:val="20"/>
                <w:color w:val="auto"/>
              </w:rPr>
            </w:pPr>
            <w:r>
              <w:rPr>
                <w:rFonts w:ascii="Arial" w:cs="Arial" w:eastAsia="Arial" w:hAnsi="Arial"/>
                <w:sz w:val="17"/>
                <w:szCs w:val="17"/>
                <w:color w:val="auto"/>
              </w:rPr>
              <w:t>Net Loss</w:t>
            </w:r>
          </w:p>
        </w:tc>
        <w:tc>
          <w:tcPr>
            <w:tcW w:w="880" w:type="dxa"/>
            <w:vAlign w:val="bottom"/>
          </w:tcPr>
          <w:p>
            <w:pPr>
              <w:spacing w:after="0"/>
              <w:rPr>
                <w:sz w:val="20"/>
                <w:szCs w:val="20"/>
                <w:color w:val="auto"/>
              </w:rPr>
            </w:pPr>
            <w:r>
              <w:rPr>
                <w:rFonts w:ascii="Arial" w:cs="Arial" w:eastAsia="Arial" w:hAnsi="Arial"/>
                <w:sz w:val="17"/>
                <w:szCs w:val="17"/>
                <w:color w:val="auto"/>
              </w:rPr>
              <w:t>$(12,297)</w:t>
            </w:r>
          </w:p>
        </w:tc>
        <w:tc>
          <w:tcPr>
            <w:tcW w:w="940" w:type="dxa"/>
            <w:vAlign w:val="bottom"/>
            <w:gridSpan w:val="2"/>
          </w:tcPr>
          <w:p>
            <w:pPr>
              <w:ind w:left="140"/>
              <w:spacing w:after="0"/>
              <w:rPr>
                <w:sz w:val="20"/>
                <w:szCs w:val="20"/>
                <w:color w:val="auto"/>
              </w:rPr>
            </w:pPr>
            <w:r>
              <w:rPr>
                <w:rFonts w:ascii="Arial" w:cs="Arial" w:eastAsia="Arial" w:hAnsi="Arial"/>
                <w:sz w:val="17"/>
                <w:szCs w:val="17"/>
                <w:color w:val="auto"/>
              </w:rPr>
              <w:t>$(13,852)</w:t>
            </w:r>
          </w:p>
        </w:tc>
      </w:tr>
    </w:tbl>
    <w:p>
      <w:pPr>
        <w:spacing w:after="0" w:line="16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Note 9. Goodwill and Acquired Intangible Assets</w:t>
      </w:r>
    </w:p>
    <w:p>
      <w:pPr>
        <w:spacing w:after="0" w:line="9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Goodwill</w:t>
      </w:r>
    </w:p>
    <w:p>
      <w:pPr>
        <w:spacing w:after="0" w:line="115" w:lineRule="exact"/>
        <w:rPr>
          <w:sz w:val="20"/>
          <w:szCs w:val="20"/>
          <w:color w:val="auto"/>
        </w:rPr>
      </w:pPr>
    </w:p>
    <w:p>
      <w:pPr>
        <w:ind w:left="480" w:right="200" w:firstLine="411"/>
        <w:spacing w:after="0"/>
        <w:rPr>
          <w:sz w:val="20"/>
          <w:szCs w:val="20"/>
          <w:color w:val="auto"/>
        </w:rPr>
      </w:pPr>
      <w:r>
        <w:rPr>
          <w:rFonts w:ascii="Arial" w:cs="Arial" w:eastAsia="Arial" w:hAnsi="Arial"/>
          <w:sz w:val="17"/>
          <w:szCs w:val="17"/>
          <w:color w:val="auto"/>
        </w:rPr>
        <w:t>The following table summarizes the changes in the carrying amount of goodwill for the three and six months ended June 30, 2021 and 2020 (in thousands):</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151"/>
        </w:trPr>
        <w:tc>
          <w:tcPr>
            <w:tcW w:w="4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700"/>
              <w:spacing w:after="0"/>
              <w:rPr>
                <w:sz w:val="20"/>
                <w:szCs w:val="20"/>
                <w:color w:val="auto"/>
              </w:rPr>
            </w:pPr>
            <w:r>
              <w:rPr>
                <w:rFonts w:ascii="Arial" w:cs="Arial" w:eastAsia="Arial" w:hAnsi="Arial"/>
                <w:sz w:val="13"/>
                <w:szCs w:val="13"/>
                <w:b w:val="1"/>
                <w:bCs w:val="1"/>
                <w:color w:val="auto"/>
              </w:rPr>
              <w:t>Three</w:t>
            </w:r>
          </w:p>
        </w:tc>
        <w:tc>
          <w:tcPr>
            <w:tcW w:w="140" w:type="dxa"/>
            <w:vAlign w:val="bottom"/>
          </w:tcPr>
          <w:p>
            <w:pPr>
              <w:spacing w:after="0"/>
              <w:rPr>
                <w:sz w:val="13"/>
                <w:szCs w:val="13"/>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Three</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rPr>
              <w:t>Six</w:t>
            </w:r>
          </w:p>
        </w:tc>
        <w:tc>
          <w:tcPr>
            <w:tcW w:w="16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Six</w:t>
            </w:r>
          </w:p>
        </w:tc>
      </w:tr>
      <w:tr>
        <w:trPr>
          <w:trHeight w:val="151"/>
        </w:trPr>
        <w:tc>
          <w:tcPr>
            <w:tcW w:w="4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4"/>
          </w:tcPr>
          <w:p>
            <w:pPr>
              <w:jc w:val="center"/>
              <w:ind w:right="540"/>
              <w:spacing w:after="0"/>
              <w:rPr>
                <w:sz w:val="20"/>
                <w:szCs w:val="20"/>
                <w:color w:val="auto"/>
              </w:rPr>
            </w:pPr>
            <w:r>
              <w:rPr>
                <w:rFonts w:ascii="Arial" w:cs="Arial" w:eastAsia="Arial" w:hAnsi="Arial"/>
                <w:sz w:val="13"/>
                <w:szCs w:val="13"/>
                <w:b w:val="1"/>
                <w:bCs w:val="1"/>
                <w:color w:val="auto"/>
              </w:rPr>
              <w:t>Months Ended</w:t>
            </w:r>
          </w:p>
        </w:tc>
        <w:tc>
          <w:tcPr>
            <w:tcW w:w="12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rPr>
              <w:t>Months Ended</w:t>
            </w:r>
          </w:p>
        </w:tc>
        <w:tc>
          <w:tcPr>
            <w:tcW w:w="240" w:type="dxa"/>
            <w:vAlign w:val="bottom"/>
          </w:tcPr>
          <w:p>
            <w:pPr>
              <w:spacing w:after="0"/>
              <w:rPr>
                <w:sz w:val="13"/>
                <w:szCs w:val="13"/>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rPr>
              <w:t>Months Ended</w:t>
            </w:r>
          </w:p>
        </w:tc>
        <w:tc>
          <w:tcPr>
            <w:tcW w:w="10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rPr>
              <w:t>Months Ended</w:t>
            </w:r>
          </w:p>
        </w:tc>
      </w:tr>
      <w:tr>
        <w:trPr>
          <w:trHeight w:val="151"/>
        </w:trPr>
        <w:tc>
          <w:tcPr>
            <w:tcW w:w="4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700"/>
              <w:spacing w:after="0"/>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3"/>
                <w:szCs w:val="13"/>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June 30,</w:t>
            </w:r>
          </w:p>
        </w:tc>
      </w:tr>
      <w:tr>
        <w:trPr>
          <w:trHeight w:val="163"/>
        </w:trPr>
        <w:tc>
          <w:tcPr>
            <w:tcW w:w="4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rPr>
              <w:t>2020</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182"/>
        </w:trPr>
        <w:tc>
          <w:tcPr>
            <w:tcW w:w="410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Beginning balance</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44,618</w:t>
            </w: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44,872</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44,650</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12,924</w:t>
            </w:r>
          </w:p>
        </w:tc>
        <w:tc>
          <w:tcPr>
            <w:tcW w:w="60" w:type="dxa"/>
            <w:vAlign w:val="bottom"/>
            <w:shd w:val="clear" w:color="auto" w:fill="CCEEFF"/>
          </w:tcPr>
          <w:p>
            <w:pPr>
              <w:spacing w:after="0"/>
              <w:rPr>
                <w:sz w:val="15"/>
                <w:szCs w:val="15"/>
                <w:color w:val="auto"/>
              </w:rPr>
            </w:pPr>
          </w:p>
        </w:tc>
      </w:tr>
      <w:tr>
        <w:trPr>
          <w:trHeight w:val="189"/>
        </w:trPr>
        <w:tc>
          <w:tcPr>
            <w:tcW w:w="4100" w:type="dxa"/>
            <w:vAlign w:val="bottom"/>
          </w:tcPr>
          <w:p>
            <w:pPr>
              <w:spacing w:after="0" w:line="189" w:lineRule="exact"/>
              <w:rPr>
                <w:sz w:val="20"/>
                <w:szCs w:val="20"/>
                <w:color w:val="auto"/>
              </w:rPr>
            </w:pPr>
            <w:r>
              <w:rPr>
                <w:rFonts w:ascii="Arial" w:cs="Arial" w:eastAsia="Arial" w:hAnsi="Arial"/>
                <w:sz w:val="17"/>
                <w:szCs w:val="17"/>
                <w:color w:val="auto"/>
              </w:rPr>
              <w:t>Goodwill related to Simplee acquisition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ind w:left="52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31,696</w:t>
            </w:r>
          </w:p>
        </w:tc>
      </w:tr>
      <w:tr>
        <w:trPr>
          <w:trHeight w:val="189"/>
        </w:trPr>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currency translation adjustment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w:t>
            </w: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(39)</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213</w:t>
            </w:r>
          </w:p>
        </w:tc>
      </w:tr>
      <w:tr>
        <w:trPr>
          <w:trHeight w:val="20"/>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4100" w:type="dxa"/>
            <w:vAlign w:val="bottom"/>
          </w:tcPr>
          <w:p>
            <w:pPr>
              <w:spacing w:after="0" w:line="194" w:lineRule="exact"/>
              <w:rPr>
                <w:sz w:val="20"/>
                <w:szCs w:val="20"/>
                <w:color w:val="auto"/>
              </w:rPr>
            </w:pPr>
            <w:r>
              <w:rPr>
                <w:rFonts w:ascii="Arial" w:cs="Arial" w:eastAsia="Arial" w:hAnsi="Arial"/>
                <w:sz w:val="17"/>
                <w:szCs w:val="17"/>
                <w:color w:val="auto"/>
              </w:rPr>
              <w:t>Ending balance</w:t>
            </w:r>
          </w:p>
        </w:tc>
        <w:tc>
          <w:tcPr>
            <w:tcW w:w="160" w:type="dxa"/>
            <w:vAlign w:val="bottom"/>
            <w:gridSpan w:val="2"/>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44,656</w:t>
            </w:r>
          </w:p>
        </w:tc>
        <w:tc>
          <w:tcPr>
            <w:tcW w:w="520" w:type="dxa"/>
            <w:vAlign w:val="bottom"/>
          </w:tcPr>
          <w:p>
            <w:pPr>
              <w:spacing w:after="0"/>
              <w:rPr>
                <w:sz w:val="16"/>
                <w:szCs w:val="16"/>
                <w:color w:val="auto"/>
              </w:rPr>
            </w:pP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300"/>
              <w:spacing w:after="0" w:line="194" w:lineRule="exact"/>
              <w:rPr>
                <w:sz w:val="20"/>
                <w:szCs w:val="20"/>
                <w:color w:val="auto"/>
              </w:rPr>
            </w:pPr>
            <w:r>
              <w:rPr>
                <w:rFonts w:ascii="Arial" w:cs="Arial" w:eastAsia="Arial" w:hAnsi="Arial"/>
                <w:sz w:val="17"/>
                <w:szCs w:val="17"/>
                <w:color w:val="auto"/>
              </w:rPr>
              <w:t>44,833</w:t>
            </w:r>
          </w:p>
        </w:tc>
        <w:tc>
          <w:tcPr>
            <w:tcW w:w="4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460"/>
              <w:spacing w:after="0" w:line="194" w:lineRule="exact"/>
              <w:rPr>
                <w:sz w:val="20"/>
                <w:szCs w:val="20"/>
                <w:color w:val="auto"/>
              </w:rPr>
            </w:pPr>
            <w:r>
              <w:rPr>
                <w:rFonts w:ascii="Arial" w:cs="Arial" w:eastAsia="Arial" w:hAnsi="Arial"/>
                <w:sz w:val="17"/>
                <w:szCs w:val="17"/>
                <w:color w:val="auto"/>
              </w:rPr>
              <w:t>44,656</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44,833</w:t>
            </w:r>
          </w:p>
        </w:tc>
      </w:tr>
      <w:tr>
        <w:trPr>
          <w:trHeight w:val="20"/>
        </w:trPr>
        <w:tc>
          <w:tcPr>
            <w:tcW w:w="4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No goodwill impairment was recorded during the six months ended June 30, 2021 and 2020.</w:t>
      </w:r>
    </w:p>
    <w:p>
      <w:pPr>
        <w:spacing w:after="0" w:line="13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720"/>
          </w:cols>
          <w:pgMar w:left="320" w:top="464" w:right="85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Acquired Intangible Assets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Acquired intangible assets subject to amortization consisted of the following (in thousands):</w:t>
      </w:r>
    </w:p>
    <w:p>
      <w:pPr>
        <w:spacing w:after="0" w:line="222" w:lineRule="exact"/>
        <w:rPr>
          <w:sz w:val="20"/>
          <w:szCs w:val="20"/>
          <w:color w:val="auto"/>
        </w:rPr>
      </w:pPr>
    </w:p>
    <w:tbl>
      <w:tblPr>
        <w:tblLayout w:type="fixed"/>
        <w:tblInd w:w="900" w:type="dxa"/>
        <w:tblCellMar>
          <w:top w:w="0" w:type="dxa"/>
          <w:left w:w="0" w:type="dxa"/>
          <w:bottom w:w="0" w:type="dxa"/>
          <w:right w:w="0" w:type="dxa"/>
        </w:tblCellMar>
      </w:tblPr>
      <w:tr>
        <w:trPr>
          <w:trHeight w:val="163"/>
        </w:trPr>
        <w:tc>
          <w:tcPr>
            <w:tcW w:w="3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3"/>
                <w:szCs w:val="13"/>
                <w:b w:val="1"/>
                <w:bCs w:val="1"/>
                <w:color w:val="auto"/>
              </w:rPr>
              <w:t>June 30, 2021</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51"/>
        </w:trPr>
        <w:tc>
          <w:tcPr>
            <w:tcW w:w="308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1160" w:type="dxa"/>
            <w:vAlign w:val="bottom"/>
          </w:tcPr>
          <w:p>
            <w:pPr>
              <w:spacing w:after="0"/>
              <w:rPr>
                <w:sz w:val="13"/>
                <w:szCs w:val="13"/>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Gross Carrying</w:t>
            </w:r>
          </w:p>
        </w:tc>
        <w:tc>
          <w:tcPr>
            <w:tcW w:w="32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300" w:type="dxa"/>
            <w:vAlign w:val="bottom"/>
            <w:gridSpan w:val="3"/>
          </w:tcPr>
          <w:p>
            <w:pPr>
              <w:spacing w:after="0"/>
              <w:rPr>
                <w:sz w:val="20"/>
                <w:szCs w:val="20"/>
                <w:color w:val="auto"/>
              </w:rPr>
            </w:pPr>
            <w:r>
              <w:rPr>
                <w:rFonts w:ascii="Arial" w:cs="Arial" w:eastAsia="Arial" w:hAnsi="Arial"/>
                <w:sz w:val="13"/>
                <w:szCs w:val="13"/>
                <w:b w:val="1"/>
                <w:bCs w:val="1"/>
                <w:color w:val="auto"/>
              </w:rPr>
              <w:t>Net Carrying</w:t>
            </w:r>
          </w:p>
        </w:tc>
        <w:tc>
          <w:tcPr>
            <w:tcW w:w="10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Remaining Life</w:t>
            </w:r>
          </w:p>
        </w:tc>
        <w:tc>
          <w:tcPr>
            <w:tcW w:w="0" w:type="dxa"/>
            <w:vAlign w:val="bottom"/>
          </w:tcPr>
          <w:p>
            <w:pPr>
              <w:spacing w:after="0"/>
              <w:rPr>
                <w:sz w:val="1"/>
                <w:szCs w:val="1"/>
                <w:color w:val="auto"/>
              </w:rPr>
            </w:pPr>
          </w:p>
        </w:tc>
      </w:tr>
      <w:tr>
        <w:trPr>
          <w:trHeight w:val="163"/>
        </w:trPr>
        <w:tc>
          <w:tcPr>
            <w:tcW w:w="308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Value*</w:t>
            </w:r>
          </w:p>
        </w:tc>
        <w:tc>
          <w:tcPr>
            <w:tcW w:w="3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9"/>
              </w:rPr>
              <w:t>(Years)</w:t>
            </w:r>
          </w:p>
        </w:tc>
        <w:tc>
          <w:tcPr>
            <w:tcW w:w="0" w:type="dxa"/>
            <w:vAlign w:val="bottom"/>
          </w:tcPr>
          <w:p>
            <w:pPr>
              <w:spacing w:after="0"/>
              <w:rPr>
                <w:sz w:val="1"/>
                <w:szCs w:val="1"/>
                <w:color w:val="auto"/>
              </w:rPr>
            </w:pPr>
          </w:p>
        </w:tc>
      </w:tr>
      <w:tr>
        <w:trPr>
          <w:trHeight w:val="182"/>
        </w:trPr>
        <w:tc>
          <w:tcPr>
            <w:tcW w:w="3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rPr>
              <w:t>Developed Technology</w:t>
            </w:r>
          </w:p>
        </w:tc>
        <w:tc>
          <w:tcPr>
            <w:tcW w:w="1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25,182</w:t>
            </w: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(8,618)</w:t>
            </w:r>
          </w:p>
        </w:tc>
        <w:tc>
          <w:tcPr>
            <w:tcW w:w="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16,564</w:t>
            </w:r>
          </w:p>
        </w:tc>
        <w:tc>
          <w:tcPr>
            <w:tcW w:w="4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5.66</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Client Relationships</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52,402</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(4,082)</w:t>
            </w:r>
          </w:p>
        </w:tc>
        <w:tc>
          <w:tcPr>
            <w:tcW w:w="120" w:type="dxa"/>
            <w:vAlign w:val="bottom"/>
          </w:tcPr>
          <w:p>
            <w:pPr>
              <w:spacing w:after="0"/>
              <w:rPr>
                <w:sz w:val="16"/>
                <w:szCs w:val="16"/>
                <w:color w:val="auto"/>
              </w:rPr>
            </w:pPr>
          </w:p>
        </w:tc>
        <w:tc>
          <w:tcPr>
            <w:tcW w:w="118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48,320</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10.35</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Trade Name/Trademark</w:t>
            </w: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511</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(511)</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Non-Compete Agreement</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469</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(320)</w:t>
            </w:r>
          </w:p>
        </w:tc>
        <w:tc>
          <w:tcPr>
            <w:tcW w:w="1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149</w:t>
            </w:r>
          </w:p>
        </w:tc>
        <w:tc>
          <w:tcPr>
            <w:tcW w:w="48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0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78,564</w:t>
            </w:r>
          </w:p>
        </w:tc>
        <w:tc>
          <w:tcPr>
            <w:tcW w:w="50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(13,531)</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65,033</w:t>
            </w: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88265</wp:posOffset>
            </wp:positionV>
            <wp:extent cx="720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8" w:lineRule="exact"/>
        <w:rPr>
          <w:sz w:val="20"/>
          <w:szCs w:val="20"/>
          <w:color w:val="auto"/>
        </w:rPr>
      </w:pPr>
    </w:p>
    <w:p>
      <w:pPr>
        <w:ind w:left="680" w:right="240" w:hanging="200"/>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less than $0.1 million of foreign currency translation adjustments and $0.1 million in acquired developed technology assets during the six months ended June 30, 2021.</w:t>
      </w:r>
    </w:p>
    <w:p>
      <w:pPr>
        <w:spacing w:after="0" w:line="216" w:lineRule="exact"/>
        <w:rPr>
          <w:sz w:val="20"/>
          <w:szCs w:val="20"/>
          <w:color w:val="auto"/>
        </w:rPr>
      </w:pPr>
    </w:p>
    <w:tbl>
      <w:tblPr>
        <w:tblLayout w:type="fixed"/>
        <w:tblInd w:w="900" w:type="dxa"/>
        <w:tblCellMar>
          <w:top w:w="0" w:type="dxa"/>
          <w:left w:w="0" w:type="dxa"/>
          <w:bottom w:w="0" w:type="dxa"/>
          <w:right w:w="0" w:type="dxa"/>
        </w:tblCellMar>
      </w:tblPr>
      <w:tr>
        <w:trPr>
          <w:trHeight w:val="163"/>
        </w:trPr>
        <w:tc>
          <w:tcPr>
            <w:tcW w:w="3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3"/>
                <w:szCs w:val="13"/>
                <w:b w:val="1"/>
                <w:bCs w:val="1"/>
                <w:color w:val="auto"/>
              </w:rPr>
              <w:t>June 30, 2020</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51"/>
        </w:trPr>
        <w:tc>
          <w:tcPr>
            <w:tcW w:w="3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Gross Carrying</w:t>
            </w:r>
          </w:p>
        </w:tc>
        <w:tc>
          <w:tcPr>
            <w:tcW w:w="32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300" w:type="dxa"/>
            <w:vAlign w:val="bottom"/>
            <w:gridSpan w:val="3"/>
          </w:tcPr>
          <w:p>
            <w:pPr>
              <w:spacing w:after="0"/>
              <w:rPr>
                <w:sz w:val="20"/>
                <w:szCs w:val="20"/>
                <w:color w:val="auto"/>
              </w:rPr>
            </w:pPr>
            <w:r>
              <w:rPr>
                <w:rFonts w:ascii="Arial" w:cs="Arial" w:eastAsia="Arial" w:hAnsi="Arial"/>
                <w:sz w:val="13"/>
                <w:szCs w:val="13"/>
                <w:b w:val="1"/>
                <w:bCs w:val="1"/>
                <w:color w:val="auto"/>
              </w:rPr>
              <w:t>Net Carrying</w:t>
            </w:r>
          </w:p>
        </w:tc>
        <w:tc>
          <w:tcPr>
            <w:tcW w:w="10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Remaining Life</w:t>
            </w:r>
          </w:p>
        </w:tc>
        <w:tc>
          <w:tcPr>
            <w:tcW w:w="0" w:type="dxa"/>
            <w:vAlign w:val="bottom"/>
          </w:tcPr>
          <w:p>
            <w:pPr>
              <w:spacing w:after="0"/>
              <w:rPr>
                <w:sz w:val="1"/>
                <w:szCs w:val="1"/>
                <w:color w:val="auto"/>
              </w:rPr>
            </w:pPr>
          </w:p>
        </w:tc>
      </w:tr>
      <w:tr>
        <w:trPr>
          <w:trHeight w:val="163"/>
        </w:trPr>
        <w:tc>
          <w:tcPr>
            <w:tcW w:w="3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Value*</w:t>
            </w:r>
          </w:p>
        </w:tc>
        <w:tc>
          <w:tcPr>
            <w:tcW w:w="3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9"/>
              </w:rPr>
              <w:t>(Years)</w:t>
            </w:r>
          </w:p>
        </w:tc>
        <w:tc>
          <w:tcPr>
            <w:tcW w:w="0" w:type="dxa"/>
            <w:vAlign w:val="bottom"/>
          </w:tcPr>
          <w:p>
            <w:pPr>
              <w:spacing w:after="0"/>
              <w:rPr>
                <w:sz w:val="1"/>
                <w:szCs w:val="1"/>
                <w:color w:val="auto"/>
              </w:rPr>
            </w:pPr>
          </w:p>
        </w:tc>
      </w:tr>
      <w:tr>
        <w:trPr>
          <w:trHeight w:val="182"/>
        </w:trPr>
        <w:tc>
          <w:tcPr>
            <w:tcW w:w="3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rPr>
              <w:t>Developed Technology</w:t>
            </w:r>
          </w:p>
        </w:tc>
        <w:tc>
          <w:tcPr>
            <w:tcW w:w="1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25,063</w:t>
            </w: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(6,595)</w:t>
            </w:r>
          </w:p>
        </w:tc>
        <w:tc>
          <w:tcPr>
            <w:tcW w:w="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18,468</w:t>
            </w:r>
          </w:p>
        </w:tc>
        <w:tc>
          <w:tcPr>
            <w:tcW w:w="4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6.13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Client Relationships</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52,312</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(2,772)</w:t>
            </w:r>
          </w:p>
        </w:tc>
        <w:tc>
          <w:tcPr>
            <w:tcW w:w="120" w:type="dxa"/>
            <w:vAlign w:val="bottom"/>
          </w:tcPr>
          <w:p>
            <w:pPr>
              <w:spacing w:after="0"/>
              <w:rPr>
                <w:sz w:val="16"/>
                <w:szCs w:val="16"/>
                <w:color w:val="auto"/>
              </w:rPr>
            </w:pPr>
          </w:p>
        </w:tc>
        <w:tc>
          <w:tcPr>
            <w:tcW w:w="118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49,540</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10.88</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Trade Name/Trademark</w:t>
            </w: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511</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(504)</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4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Non-Compete Agreement</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469</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(273)</w:t>
            </w:r>
          </w:p>
        </w:tc>
        <w:tc>
          <w:tcPr>
            <w:tcW w:w="1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196</w:t>
            </w:r>
          </w:p>
        </w:tc>
        <w:tc>
          <w:tcPr>
            <w:tcW w:w="48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0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78,355</w:t>
            </w:r>
          </w:p>
        </w:tc>
        <w:tc>
          <w:tcPr>
            <w:tcW w:w="50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(10,144)</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68,211</w:t>
            </w: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88265</wp:posOffset>
            </wp:positionV>
            <wp:extent cx="720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Includes less than $0.1 million of foreign currency translation during the six months ended June 30, 2020.</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Amortization expense for the three months ended June 30, 2021 and 2020 was $1.7 million and $1.2 million, respectively.</w:t>
      </w:r>
    </w:p>
    <w:p>
      <w:pPr>
        <w:ind w:left="480"/>
        <w:spacing w:after="0"/>
        <w:rPr>
          <w:sz w:val="20"/>
          <w:szCs w:val="20"/>
          <w:color w:val="auto"/>
        </w:rPr>
      </w:pPr>
      <w:r>
        <w:rPr>
          <w:rFonts w:ascii="Arial" w:cs="Arial" w:eastAsia="Arial" w:hAnsi="Arial"/>
          <w:sz w:val="17"/>
          <w:szCs w:val="17"/>
          <w:color w:val="auto"/>
        </w:rPr>
        <w:t>Amortization expense for the six months ended June 30, 2021 and 2020 was $3.3 million and $2.8 million, respectively.</w:t>
      </w:r>
    </w:p>
    <w:p>
      <w:pPr>
        <w:spacing w:after="0" w:line="195" w:lineRule="exact"/>
        <w:rPr>
          <w:sz w:val="20"/>
          <w:szCs w:val="20"/>
          <w:color w:val="auto"/>
        </w:rPr>
      </w:pPr>
    </w:p>
    <w:p>
      <w:pPr>
        <w:ind w:left="480" w:firstLine="411"/>
        <w:spacing w:after="0"/>
        <w:rPr>
          <w:sz w:val="20"/>
          <w:szCs w:val="20"/>
          <w:color w:val="auto"/>
        </w:rPr>
      </w:pPr>
      <w:r>
        <w:rPr>
          <w:rFonts w:ascii="Arial" w:cs="Arial" w:eastAsia="Arial" w:hAnsi="Arial"/>
          <w:sz w:val="17"/>
          <w:szCs w:val="17"/>
          <w:color w:val="auto"/>
        </w:rPr>
        <w:t>As of June 30, 2021, the estimated annual amortization expense of intangible assets for each of the next five years and thereafter is expected to be as follows (in thousands):</w:t>
      </w:r>
    </w:p>
    <w:p>
      <w:pPr>
        <w:spacing w:after="0" w:line="203" w:lineRule="exact"/>
        <w:rPr>
          <w:sz w:val="20"/>
          <w:szCs w:val="20"/>
          <w:color w:val="auto"/>
        </w:rPr>
      </w:pPr>
    </w:p>
    <w:tbl>
      <w:tblPr>
        <w:tblLayout w:type="fixed"/>
        <w:tblInd w:w="2140" w:type="dxa"/>
        <w:tblCellMar>
          <w:top w:w="0" w:type="dxa"/>
          <w:left w:w="0" w:type="dxa"/>
          <w:bottom w:w="0" w:type="dxa"/>
          <w:right w:w="0" w:type="dxa"/>
        </w:tblCellMar>
      </w:tblPr>
      <w:tr>
        <w:trPr>
          <w:trHeight w:val="151"/>
        </w:trPr>
        <w:tc>
          <w:tcPr>
            <w:tcW w:w="28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51"/>
        </w:trPr>
        <w:tc>
          <w:tcPr>
            <w:tcW w:w="28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Amortization</w:t>
            </w:r>
          </w:p>
        </w:tc>
        <w:tc>
          <w:tcPr>
            <w:tcW w:w="0" w:type="dxa"/>
            <w:vAlign w:val="bottom"/>
          </w:tcPr>
          <w:p>
            <w:pPr>
              <w:spacing w:after="0"/>
              <w:rPr>
                <w:sz w:val="1"/>
                <w:szCs w:val="1"/>
                <w:color w:val="auto"/>
              </w:rPr>
            </w:pPr>
          </w:p>
        </w:tc>
      </w:tr>
      <w:tr>
        <w:trPr>
          <w:trHeight w:val="163"/>
        </w:trPr>
        <w:tc>
          <w:tcPr>
            <w:tcW w:w="2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Expense</w:t>
            </w:r>
          </w:p>
        </w:tc>
        <w:tc>
          <w:tcPr>
            <w:tcW w:w="0" w:type="dxa"/>
            <w:vAlign w:val="bottom"/>
          </w:tcPr>
          <w:p>
            <w:pPr>
              <w:spacing w:after="0"/>
              <w:rPr>
                <w:sz w:val="1"/>
                <w:szCs w:val="1"/>
                <w:color w:val="auto"/>
              </w:rPr>
            </w:pPr>
          </w:p>
        </w:tc>
      </w:tr>
      <w:tr>
        <w:trPr>
          <w:trHeight w:val="182"/>
        </w:trPr>
        <w:tc>
          <w:tcPr>
            <w:tcW w:w="2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rPr>
              <w:t>Remaining of fiscal year 2021</w:t>
            </w:r>
          </w:p>
        </w:tc>
        <w:tc>
          <w:tcPr>
            <w:tcW w:w="3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3,310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line="189" w:lineRule="exact"/>
              <w:rPr>
                <w:sz w:val="20"/>
                <w:szCs w:val="20"/>
                <w:color w:val="auto"/>
              </w:rPr>
            </w:pPr>
            <w:r>
              <w:rPr>
                <w:rFonts w:ascii="Arial" w:cs="Arial" w:eastAsia="Arial" w:hAnsi="Arial"/>
                <w:sz w:val="17"/>
                <w:szCs w:val="17"/>
                <w:color w:val="auto"/>
              </w:rPr>
              <w:t>2022</w:t>
            </w:r>
          </w:p>
        </w:tc>
        <w:tc>
          <w:tcPr>
            <w:tcW w:w="3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7,154</w:t>
            </w: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2023</w:t>
            </w:r>
          </w:p>
        </w:tc>
        <w:tc>
          <w:tcPr>
            <w:tcW w:w="3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7,626</w:t>
            </w:r>
          </w:p>
        </w:tc>
        <w:tc>
          <w:tcPr>
            <w:tcW w:w="0" w:type="dxa"/>
            <w:vAlign w:val="bottom"/>
          </w:tcPr>
          <w:p>
            <w:pPr>
              <w:spacing w:after="0"/>
              <w:rPr>
                <w:sz w:val="1"/>
                <w:szCs w:val="1"/>
                <w:color w:val="auto"/>
              </w:rPr>
            </w:pPr>
          </w:p>
        </w:tc>
      </w:tr>
      <w:tr>
        <w:trPr>
          <w:trHeight w:val="189"/>
        </w:trPr>
        <w:tc>
          <w:tcPr>
            <w:tcW w:w="2800" w:type="dxa"/>
            <w:vAlign w:val="bottom"/>
          </w:tcPr>
          <w:p>
            <w:pPr>
              <w:spacing w:after="0" w:line="189" w:lineRule="exact"/>
              <w:rPr>
                <w:sz w:val="20"/>
                <w:szCs w:val="20"/>
                <w:color w:val="auto"/>
              </w:rPr>
            </w:pPr>
            <w:r>
              <w:rPr>
                <w:rFonts w:ascii="Arial" w:cs="Arial" w:eastAsia="Arial" w:hAnsi="Arial"/>
                <w:sz w:val="17"/>
                <w:szCs w:val="17"/>
                <w:color w:val="auto"/>
              </w:rPr>
              <w:t>2024</w:t>
            </w:r>
          </w:p>
        </w:tc>
        <w:tc>
          <w:tcPr>
            <w:tcW w:w="3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7,607</w:t>
            </w: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2025</w:t>
            </w:r>
          </w:p>
        </w:tc>
        <w:tc>
          <w:tcPr>
            <w:tcW w:w="3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7,162</w:t>
            </w:r>
          </w:p>
        </w:tc>
        <w:tc>
          <w:tcPr>
            <w:tcW w:w="0" w:type="dxa"/>
            <w:vAlign w:val="bottom"/>
          </w:tcPr>
          <w:p>
            <w:pPr>
              <w:spacing w:after="0"/>
              <w:rPr>
                <w:sz w:val="1"/>
                <w:szCs w:val="1"/>
                <w:color w:val="auto"/>
              </w:rPr>
            </w:pPr>
          </w:p>
        </w:tc>
      </w:tr>
      <w:tr>
        <w:trPr>
          <w:trHeight w:val="189"/>
        </w:trPr>
        <w:tc>
          <w:tcPr>
            <w:tcW w:w="2800" w:type="dxa"/>
            <w:vAlign w:val="bottom"/>
          </w:tcPr>
          <w:p>
            <w:pPr>
              <w:spacing w:after="0" w:line="189" w:lineRule="exact"/>
              <w:rPr>
                <w:sz w:val="20"/>
                <w:szCs w:val="20"/>
                <w:color w:val="auto"/>
              </w:rPr>
            </w:pPr>
            <w:r>
              <w:rPr>
                <w:rFonts w:ascii="Arial" w:cs="Arial" w:eastAsia="Arial" w:hAnsi="Arial"/>
                <w:sz w:val="17"/>
                <w:szCs w:val="17"/>
                <w:color w:val="auto"/>
              </w:rPr>
              <w:t>Thereafter</w:t>
            </w:r>
          </w:p>
        </w:tc>
        <w:tc>
          <w:tcPr>
            <w:tcW w:w="3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32,174</w:t>
            </w:r>
          </w:p>
        </w:tc>
        <w:tc>
          <w:tcPr>
            <w:tcW w:w="0" w:type="dxa"/>
            <w:vAlign w:val="bottom"/>
          </w:tcPr>
          <w:p>
            <w:pPr>
              <w:spacing w:after="0"/>
              <w:rPr>
                <w:sz w:val="1"/>
                <w:szCs w:val="1"/>
                <w:color w:val="auto"/>
              </w:rPr>
            </w:pPr>
          </w:p>
        </w:tc>
      </w:tr>
      <w:tr>
        <w:trPr>
          <w:trHeight w:val="25"/>
        </w:trPr>
        <w:tc>
          <w:tcPr>
            <w:tcW w:w="28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80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ind w:left="330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65,033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3300" w:type="dxa"/>
            <w:vAlign w:val="bottom"/>
            <w:vMerge w:val="restart"/>
          </w:tcPr>
          <w:p>
            <w:pPr>
              <w:jc w:val="right"/>
              <w:ind w:right="2441"/>
              <w:spacing w:after="0"/>
              <w:rPr>
                <w:sz w:val="20"/>
                <w:szCs w:val="20"/>
                <w:color w:val="auto"/>
              </w:rPr>
            </w:pPr>
            <w:r>
              <w:rPr>
                <w:rFonts w:ascii="Arial" w:cs="Arial" w:eastAsia="Arial" w:hAnsi="Arial"/>
                <w:sz w:val="17"/>
                <w:szCs w:val="17"/>
                <w:color w:val="auto"/>
              </w:rPr>
              <w:t>21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8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64" w:right="89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Note 10. Debt</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components of the Company’s outstanding debt as of each period presented, consisted of the following (in thousands):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51"/>
        </w:trPr>
        <w:tc>
          <w:tcPr>
            <w:tcW w:w="5740" w:type="dxa"/>
            <w:vAlign w:val="bottom"/>
          </w:tcPr>
          <w:p>
            <w:pPr>
              <w:spacing w:after="0"/>
              <w:rPr>
                <w:sz w:val="13"/>
                <w:szCs w:val="13"/>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r>
      <w:tr>
        <w:trPr>
          <w:trHeight w:val="163"/>
        </w:trPr>
        <w:tc>
          <w:tcPr>
            <w:tcW w:w="57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182"/>
        </w:trPr>
        <w:tc>
          <w:tcPr>
            <w:tcW w:w="574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Long term debt</w:t>
            </w: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94"/>
              </w:rPr>
              <w:t>$25,000</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25,000</w:t>
            </w:r>
          </w:p>
        </w:tc>
        <w:tc>
          <w:tcPr>
            <w:tcW w:w="120" w:type="dxa"/>
            <w:vAlign w:val="bottom"/>
            <w:shd w:val="clear" w:color="auto" w:fill="CCEEFF"/>
          </w:tcPr>
          <w:p>
            <w:pPr>
              <w:spacing w:after="0"/>
              <w:rPr>
                <w:sz w:val="15"/>
                <w:szCs w:val="15"/>
                <w:color w:val="auto"/>
              </w:rPr>
            </w:pPr>
          </w:p>
        </w:tc>
      </w:tr>
      <w:tr>
        <w:trPr>
          <w:trHeight w:val="189"/>
        </w:trPr>
        <w:tc>
          <w:tcPr>
            <w:tcW w:w="5740" w:type="dxa"/>
            <w:vAlign w:val="bottom"/>
          </w:tcPr>
          <w:p>
            <w:pPr>
              <w:ind w:left="660"/>
              <w:spacing w:after="0" w:line="189" w:lineRule="exact"/>
              <w:rPr>
                <w:sz w:val="20"/>
                <w:szCs w:val="20"/>
                <w:color w:val="auto"/>
              </w:rPr>
            </w:pPr>
            <w:r>
              <w:rPr>
                <w:rFonts w:ascii="Arial" w:cs="Arial" w:eastAsia="Arial" w:hAnsi="Arial"/>
                <w:sz w:val="17"/>
                <w:szCs w:val="17"/>
                <w:color w:val="auto"/>
              </w:rPr>
              <w:t>Less unamortized debt discount</w:t>
            </w:r>
          </w:p>
        </w:tc>
        <w:tc>
          <w:tcPr>
            <w:tcW w:w="88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(363)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(430)</w:t>
            </w:r>
          </w:p>
        </w:tc>
      </w:tr>
      <w:tr>
        <w:trPr>
          <w:trHeight w:val="189"/>
        </w:trPr>
        <w:tc>
          <w:tcPr>
            <w:tcW w:w="5740" w:type="dxa"/>
            <w:vAlign w:val="bottom"/>
            <w:shd w:val="clear" w:color="auto" w:fill="CCEEFF"/>
          </w:tcPr>
          <w:p>
            <w:pPr>
              <w:ind w:left="660"/>
              <w:spacing w:after="0" w:line="189" w:lineRule="exact"/>
              <w:rPr>
                <w:sz w:val="20"/>
                <w:szCs w:val="20"/>
                <w:color w:val="auto"/>
              </w:rPr>
            </w:pPr>
            <w:r>
              <w:rPr>
                <w:rFonts w:ascii="Arial" w:cs="Arial" w:eastAsia="Arial" w:hAnsi="Arial"/>
                <w:sz w:val="17"/>
                <w:szCs w:val="17"/>
                <w:color w:val="auto"/>
              </w:rPr>
              <w:t>Less unamortized debt issuance costs</w:t>
            </w:r>
          </w:p>
        </w:tc>
        <w:tc>
          <w:tcPr>
            <w:tcW w:w="88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(190)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(218)</w:t>
            </w:r>
          </w:p>
        </w:tc>
      </w:tr>
      <w:tr>
        <w:trPr>
          <w:trHeight w:val="20"/>
        </w:trPr>
        <w:tc>
          <w:tcPr>
            <w:tcW w:w="5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5740" w:type="dxa"/>
            <w:vAlign w:val="bottom"/>
          </w:tcPr>
          <w:p>
            <w:pPr>
              <w:ind w:left="340"/>
              <w:spacing w:after="0" w:line="194" w:lineRule="exact"/>
              <w:rPr>
                <w:sz w:val="20"/>
                <w:szCs w:val="20"/>
                <w:color w:val="auto"/>
              </w:rPr>
            </w:pPr>
            <w:r>
              <w:rPr>
                <w:rFonts w:ascii="Arial" w:cs="Arial" w:eastAsia="Arial" w:hAnsi="Arial"/>
                <w:sz w:val="17"/>
                <w:szCs w:val="17"/>
                <w:color w:val="auto"/>
              </w:rPr>
              <w:t>Net carrying amount</w:t>
            </w:r>
          </w:p>
        </w:tc>
        <w:tc>
          <w:tcPr>
            <w:tcW w:w="620" w:type="dxa"/>
            <w:vAlign w:val="bottom"/>
            <w:gridSpan w:val="2"/>
          </w:tcPr>
          <w:p>
            <w:pPr>
              <w:jc w:val="right"/>
              <w:spacing w:after="0" w:line="194" w:lineRule="exact"/>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24,447</w:t>
            </w:r>
          </w:p>
        </w:tc>
        <w:tc>
          <w:tcPr>
            <w:tcW w:w="260" w:type="dxa"/>
            <w:vAlign w:val="bottom"/>
          </w:tcPr>
          <w:p>
            <w:pPr>
              <w:spacing w:after="0"/>
              <w:rPr>
                <w:sz w:val="16"/>
                <w:szCs w:val="16"/>
                <w:color w:val="auto"/>
              </w:rPr>
            </w:pPr>
          </w:p>
        </w:tc>
        <w:tc>
          <w:tcPr>
            <w:tcW w:w="3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24,352</w:t>
            </w:r>
          </w:p>
        </w:tc>
      </w:tr>
      <w:tr>
        <w:trPr>
          <w:trHeight w:val="20"/>
        </w:trPr>
        <w:tc>
          <w:tcPr>
            <w:tcW w:w="5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4"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Loan and Security Agreement</w:t>
      </w:r>
    </w:p>
    <w:p>
      <w:pPr>
        <w:spacing w:after="0" w:line="115" w:lineRule="exact"/>
        <w:rPr>
          <w:sz w:val="20"/>
          <w:szCs w:val="20"/>
          <w:color w:val="auto"/>
        </w:rPr>
      </w:pPr>
    </w:p>
    <w:p>
      <w:pPr>
        <w:ind w:left="480" w:right="200" w:firstLine="411"/>
        <w:spacing w:after="0" w:line="234" w:lineRule="auto"/>
        <w:rPr>
          <w:sz w:val="20"/>
          <w:szCs w:val="20"/>
          <w:color w:val="auto"/>
        </w:rPr>
      </w:pPr>
      <w:r>
        <w:rPr>
          <w:rFonts w:ascii="Arial" w:cs="Arial" w:eastAsia="Arial" w:hAnsi="Arial"/>
          <w:sz w:val="17"/>
          <w:szCs w:val="17"/>
          <w:color w:val="auto"/>
        </w:rPr>
        <w:t>On January 16, 2018, the Company entered into a Loan and Security Agreement with a financial institution for a $25.0 million loan (the “LSA”) with interest at a rate of 8.5% per annum. The proceeds of the LSA were used to fund the acquisition of OnPlan. The LSA could be drawn down in three tranches. The first tranche of $15.0 million was drawn in January 2018, while the remaining two tranches were drawn in February 2019 and August 2019 for $ 5.0 million each. The LSA maturity date was January 22, 2022. The Company was obligated to make monthly interest payments on the loan. The LSA was interest only until either August 1, 2019 or February 1, 2020 pending on achieving certain revenue and margin targets. The Company incurred debt issuance costs of $0.2 million in connection with the issuance of the LSA. These issuance costs were amortized to interest expense, using the effective interest method, over the term of the loan.</w:t>
      </w:r>
    </w:p>
    <w:p>
      <w:pPr>
        <w:spacing w:after="0" w:line="190" w:lineRule="exact"/>
        <w:rPr>
          <w:sz w:val="20"/>
          <w:szCs w:val="20"/>
          <w:color w:val="auto"/>
        </w:rPr>
      </w:pPr>
    </w:p>
    <w:p>
      <w:pPr>
        <w:ind w:left="480" w:right="60" w:firstLine="411"/>
        <w:spacing w:after="0"/>
        <w:rPr>
          <w:sz w:val="20"/>
          <w:szCs w:val="20"/>
          <w:color w:val="auto"/>
        </w:rPr>
      </w:pPr>
      <w:r>
        <w:rPr>
          <w:rFonts w:ascii="Arial" w:cs="Arial" w:eastAsia="Arial" w:hAnsi="Arial"/>
          <w:sz w:val="17"/>
          <w:szCs w:val="17"/>
          <w:color w:val="auto"/>
        </w:rPr>
        <w:t>On December 31, 2018, the Company achieved the required targets, and deemed that the principal payments would not commence until February 1, 2020.</w:t>
      </w:r>
    </w:p>
    <w:p>
      <w:pPr>
        <w:spacing w:after="0" w:line="189" w:lineRule="exact"/>
        <w:rPr>
          <w:sz w:val="20"/>
          <w:szCs w:val="20"/>
          <w:color w:val="auto"/>
        </w:rPr>
      </w:pPr>
    </w:p>
    <w:p>
      <w:pPr>
        <w:jc w:val="both"/>
        <w:ind w:left="480" w:right="400" w:firstLine="411"/>
        <w:spacing w:after="0" w:line="237" w:lineRule="auto"/>
        <w:rPr>
          <w:sz w:val="20"/>
          <w:szCs w:val="20"/>
          <w:color w:val="auto"/>
        </w:rPr>
      </w:pPr>
      <w:r>
        <w:rPr>
          <w:rFonts w:ascii="Arial" w:cs="Arial" w:eastAsia="Arial" w:hAnsi="Arial"/>
          <w:sz w:val="17"/>
          <w:szCs w:val="17"/>
          <w:color w:val="auto"/>
        </w:rPr>
        <w:t>The LSA does not include any financial covenants. The LSA contains negative covenants that restrict, among other things, the Company’s ability to sell assets, make investments and acquisitions, make capital expenditures, grant liens, pay dividends and make certain other restricted payments.</w:t>
      </w:r>
    </w:p>
    <w:p>
      <w:pPr>
        <w:spacing w:after="0" w:line="190" w:lineRule="exact"/>
        <w:rPr>
          <w:sz w:val="20"/>
          <w:szCs w:val="20"/>
          <w:color w:val="auto"/>
        </w:rPr>
      </w:pPr>
    </w:p>
    <w:p>
      <w:pPr>
        <w:ind w:left="480" w:firstLine="411"/>
        <w:spacing w:after="0" w:line="236" w:lineRule="auto"/>
        <w:rPr>
          <w:sz w:val="20"/>
          <w:szCs w:val="20"/>
          <w:color w:val="auto"/>
        </w:rPr>
      </w:pPr>
      <w:r>
        <w:rPr>
          <w:rFonts w:ascii="Arial" w:cs="Arial" w:eastAsia="Arial" w:hAnsi="Arial"/>
          <w:sz w:val="17"/>
          <w:szCs w:val="17"/>
          <w:color w:val="auto"/>
        </w:rPr>
        <w:t>The LSA is subject to customary mandatory prepayment provisions and acceleration upon events of default for, among other things, non-payment, breach of covenants, certain large judgments and misrepresentations. The Company may make voluntary prepayments of the LSA at any time without penalty or premium. The Company did not make any prepayments of the LSA during the three and six months ended June 30, 2021 or 2020.</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Amendments to Loan and Security Agreement</w:t>
      </w:r>
    </w:p>
    <w:p>
      <w:pPr>
        <w:spacing w:after="0" w:line="115" w:lineRule="exact"/>
        <w:rPr>
          <w:sz w:val="20"/>
          <w:szCs w:val="20"/>
          <w:color w:val="auto"/>
        </w:rPr>
      </w:pPr>
    </w:p>
    <w:p>
      <w:pPr>
        <w:ind w:left="480" w:right="60" w:firstLine="411"/>
        <w:spacing w:after="0"/>
        <w:rPr>
          <w:sz w:val="20"/>
          <w:szCs w:val="20"/>
          <w:color w:val="auto"/>
        </w:rPr>
      </w:pPr>
      <w:r>
        <w:rPr>
          <w:rFonts w:ascii="Arial" w:cs="Arial" w:eastAsia="Arial" w:hAnsi="Arial"/>
          <w:sz w:val="17"/>
          <w:szCs w:val="17"/>
          <w:color w:val="auto"/>
        </w:rPr>
        <w:t>On April 25, 2020, the Company entered into a Joinder and First Amendment to the Loan and Security Agreement for administrative matters.</w:t>
      </w:r>
    </w:p>
    <w:p>
      <w:pPr>
        <w:spacing w:after="0" w:line="189" w:lineRule="exact"/>
        <w:rPr>
          <w:sz w:val="20"/>
          <w:szCs w:val="20"/>
          <w:color w:val="auto"/>
        </w:rPr>
      </w:pPr>
    </w:p>
    <w:p>
      <w:pPr>
        <w:ind w:left="480" w:right="80" w:firstLine="411"/>
        <w:spacing w:after="0" w:line="246" w:lineRule="auto"/>
        <w:rPr>
          <w:sz w:val="20"/>
          <w:szCs w:val="20"/>
          <w:color w:val="auto"/>
        </w:rPr>
      </w:pPr>
      <w:r>
        <w:rPr>
          <w:rFonts w:ascii="Arial" w:cs="Arial" w:eastAsia="Arial" w:hAnsi="Arial"/>
          <w:sz w:val="16"/>
          <w:szCs w:val="16"/>
          <w:color w:val="auto"/>
        </w:rPr>
        <w:t>On May 18, 2020, the Company entered into a Joinder and Second Amendment to Loan and Security Agreement to refinance the LSA. As part of the amendment, the financial institution re-advanced $4.2 million of principal paid on the loan through May 1, 2020. The final maturity date of the LSA was extended to May 2025. The new stated interest rate at a floating per annum rate equal to the greater of</w:t>
      </w:r>
    </w:p>
    <w:p>
      <w:pPr>
        <w:spacing w:after="0" w:line="2" w:lineRule="exact"/>
        <w:rPr>
          <w:sz w:val="20"/>
          <w:szCs w:val="20"/>
          <w:color w:val="auto"/>
        </w:rPr>
      </w:pPr>
    </w:p>
    <w:p>
      <w:pPr>
        <w:ind w:left="680" w:hanging="200"/>
        <w:spacing w:after="0"/>
        <w:tabs>
          <w:tab w:leader="none" w:pos="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5.25% above the prime rate; or (ii) 8.50%. The LSA is interest only until May 2023. Beginning on June 1, 2023, the Company will make</w:t>
      </w:r>
    </w:p>
    <w:p>
      <w:pPr>
        <w:spacing w:after="0" w:line="5" w:lineRule="exact"/>
        <w:rPr>
          <w:rFonts w:ascii="Arial" w:cs="Arial" w:eastAsia="Arial" w:hAnsi="Arial"/>
          <w:sz w:val="16"/>
          <w:szCs w:val="16"/>
          <w:color w:val="auto"/>
        </w:rPr>
      </w:pPr>
    </w:p>
    <w:p>
      <w:pPr>
        <w:ind w:left="480" w:right="60"/>
        <w:spacing w:after="0"/>
        <w:rPr>
          <w:rFonts w:ascii="Arial" w:cs="Arial" w:eastAsia="Arial" w:hAnsi="Arial"/>
          <w:sz w:val="16"/>
          <w:szCs w:val="16"/>
          <w:color w:val="auto"/>
        </w:rPr>
      </w:pPr>
      <w:r>
        <w:rPr>
          <w:rFonts w:ascii="Arial" w:cs="Arial" w:eastAsia="Arial" w:hAnsi="Arial"/>
          <w:sz w:val="17"/>
          <w:szCs w:val="17"/>
          <w:color w:val="auto"/>
        </w:rPr>
        <w:t>24 equal principal payments. The Company incurred $0.2 million in commitment fees from the financial institution to close the refinancing. These commitment fees were recorded as a reduction to the loan balance on the balance sheet.</w:t>
      </w:r>
    </w:p>
    <w:p>
      <w:pPr>
        <w:spacing w:after="0" w:line="189" w:lineRule="exact"/>
        <w:rPr>
          <w:sz w:val="20"/>
          <w:szCs w:val="20"/>
          <w:color w:val="auto"/>
        </w:rPr>
      </w:pPr>
    </w:p>
    <w:p>
      <w:pPr>
        <w:ind w:left="480" w:right="780" w:firstLine="411"/>
        <w:spacing w:after="0"/>
        <w:rPr>
          <w:sz w:val="20"/>
          <w:szCs w:val="20"/>
          <w:color w:val="auto"/>
        </w:rPr>
      </w:pPr>
      <w:r>
        <w:rPr>
          <w:rFonts w:ascii="Arial" w:cs="Arial" w:eastAsia="Arial" w:hAnsi="Arial"/>
          <w:sz w:val="17"/>
          <w:szCs w:val="17"/>
          <w:color w:val="auto"/>
        </w:rPr>
        <w:t>On June 2, 2020, December 9, 2020 and May 19, 2021, the Company entered into a Third, Fourth and Fifth Amendments, respectively, to the Loan and Security Agreement for administrative matters.</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All amendments were accounted for as debt modifications.</w:t>
      </w:r>
    </w:p>
    <w:p>
      <w:pPr>
        <w:spacing w:after="0" w:line="13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740"/>
          </w:cols>
          <w:pgMar w:left="320" w:top="464" w:right="8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Future Principal Payments</w:t>
      </w:r>
    </w:p>
    <w:p>
      <w:pPr>
        <w:spacing w:after="0" w:line="115" w:lineRule="exact"/>
        <w:rPr>
          <w:sz w:val="20"/>
          <w:szCs w:val="20"/>
          <w:color w:val="auto"/>
        </w:rPr>
      </w:pPr>
    </w:p>
    <w:p>
      <w:pPr>
        <w:ind w:left="480" w:right="220" w:firstLine="411"/>
        <w:spacing w:after="0"/>
        <w:rPr>
          <w:sz w:val="20"/>
          <w:szCs w:val="20"/>
          <w:color w:val="auto"/>
        </w:rPr>
      </w:pPr>
      <w:r>
        <w:rPr>
          <w:rFonts w:ascii="Arial" w:cs="Arial" w:eastAsia="Arial" w:hAnsi="Arial"/>
          <w:sz w:val="17"/>
          <w:szCs w:val="17"/>
          <w:color w:val="auto"/>
        </w:rPr>
        <w:t>As of June 30, 2021, the aggregate minimum future principal payments due in connection with the Company’s LSA in the next five years were as follows (in thousands):</w:t>
      </w:r>
    </w:p>
    <w:p>
      <w:pPr>
        <w:spacing w:after="0" w:line="209" w:lineRule="exact"/>
        <w:rPr>
          <w:sz w:val="20"/>
          <w:szCs w:val="20"/>
          <w:color w:val="auto"/>
        </w:rPr>
      </w:pPr>
    </w:p>
    <w:tbl>
      <w:tblPr>
        <w:tblLayout w:type="fixed"/>
        <w:tblInd w:w="2140" w:type="dxa"/>
        <w:tblCellMar>
          <w:top w:w="0" w:type="dxa"/>
          <w:left w:w="0" w:type="dxa"/>
          <w:bottom w:w="0" w:type="dxa"/>
          <w:right w:w="0" w:type="dxa"/>
        </w:tblCellMar>
      </w:tblPr>
      <w:tr>
        <w:trPr>
          <w:trHeight w:val="195"/>
        </w:trPr>
        <w:tc>
          <w:tcPr>
            <w:tcW w:w="6300" w:type="dxa"/>
            <w:vAlign w:val="bottom"/>
            <w:shd w:val="clear" w:color="auto" w:fill="CCEEFF"/>
          </w:tcPr>
          <w:p>
            <w:pPr>
              <w:jc w:val="right"/>
              <w:ind w:right="5856"/>
              <w:spacing w:after="0"/>
              <w:rPr>
                <w:sz w:val="20"/>
                <w:szCs w:val="20"/>
                <w:color w:val="auto"/>
              </w:rPr>
            </w:pPr>
            <w:r>
              <w:rPr>
                <w:rFonts w:ascii="Arial" w:cs="Arial" w:eastAsia="Arial" w:hAnsi="Arial"/>
                <w:sz w:val="17"/>
                <w:szCs w:val="17"/>
                <w:color w:val="auto"/>
                <w:w w:val="89"/>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r>
      <w:tr>
        <w:trPr>
          <w:trHeight w:val="189"/>
        </w:trPr>
        <w:tc>
          <w:tcPr>
            <w:tcW w:w="6300" w:type="dxa"/>
            <w:vAlign w:val="bottom"/>
          </w:tcPr>
          <w:p>
            <w:pPr>
              <w:jc w:val="right"/>
              <w:ind w:right="5856"/>
              <w:spacing w:after="0" w:line="189" w:lineRule="exact"/>
              <w:rPr>
                <w:sz w:val="20"/>
                <w:szCs w:val="20"/>
                <w:color w:val="auto"/>
              </w:rPr>
            </w:pPr>
            <w:r>
              <w:rPr>
                <w:rFonts w:ascii="Arial" w:cs="Arial" w:eastAsia="Arial" w:hAnsi="Arial"/>
                <w:sz w:val="17"/>
                <w:szCs w:val="17"/>
                <w:color w:val="auto"/>
                <w:w w:val="89"/>
              </w:rPr>
              <w:t>2022</w:t>
            </w:r>
          </w:p>
        </w:tc>
        <w:tc>
          <w:tcPr>
            <w:tcW w:w="100" w:type="dxa"/>
            <w:vAlign w:val="bottom"/>
          </w:tcPr>
          <w:p>
            <w:pPr>
              <w:spacing w:after="0"/>
              <w:rPr>
                <w:sz w:val="16"/>
                <w:szCs w:val="16"/>
                <w:color w:val="auto"/>
              </w:rPr>
            </w:pPr>
          </w:p>
        </w:tc>
        <w:tc>
          <w:tcPr>
            <w:tcW w:w="58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w:t>
            </w:r>
          </w:p>
        </w:tc>
      </w:tr>
      <w:tr>
        <w:trPr>
          <w:trHeight w:val="189"/>
        </w:trPr>
        <w:tc>
          <w:tcPr>
            <w:tcW w:w="6300" w:type="dxa"/>
            <w:vAlign w:val="bottom"/>
            <w:shd w:val="clear" w:color="auto" w:fill="CCEEFF"/>
          </w:tcPr>
          <w:p>
            <w:pPr>
              <w:jc w:val="right"/>
              <w:ind w:right="5856"/>
              <w:spacing w:after="0" w:line="189" w:lineRule="exact"/>
              <w:rPr>
                <w:sz w:val="20"/>
                <w:szCs w:val="20"/>
                <w:color w:val="auto"/>
              </w:rPr>
            </w:pPr>
            <w:r>
              <w:rPr>
                <w:rFonts w:ascii="Arial" w:cs="Arial" w:eastAsia="Arial" w:hAnsi="Arial"/>
                <w:sz w:val="17"/>
                <w:szCs w:val="17"/>
                <w:color w:val="auto"/>
                <w:w w:val="89"/>
              </w:rPr>
              <w:t>2023</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7,292</w:t>
            </w:r>
          </w:p>
        </w:tc>
        <w:tc>
          <w:tcPr>
            <w:tcW w:w="60" w:type="dxa"/>
            <w:vAlign w:val="bottom"/>
            <w:shd w:val="clear" w:color="auto" w:fill="CCEEFF"/>
          </w:tcPr>
          <w:p>
            <w:pPr>
              <w:spacing w:after="0"/>
              <w:rPr>
                <w:sz w:val="16"/>
                <w:szCs w:val="16"/>
                <w:color w:val="auto"/>
              </w:rPr>
            </w:pPr>
          </w:p>
        </w:tc>
      </w:tr>
      <w:tr>
        <w:trPr>
          <w:trHeight w:val="189"/>
        </w:trPr>
        <w:tc>
          <w:tcPr>
            <w:tcW w:w="6300" w:type="dxa"/>
            <w:vAlign w:val="bottom"/>
          </w:tcPr>
          <w:p>
            <w:pPr>
              <w:jc w:val="right"/>
              <w:ind w:right="5856"/>
              <w:spacing w:after="0" w:line="189" w:lineRule="exact"/>
              <w:rPr>
                <w:sz w:val="20"/>
                <w:szCs w:val="20"/>
                <w:color w:val="auto"/>
              </w:rPr>
            </w:pPr>
            <w:r>
              <w:rPr>
                <w:rFonts w:ascii="Arial" w:cs="Arial" w:eastAsia="Arial" w:hAnsi="Arial"/>
                <w:sz w:val="17"/>
                <w:szCs w:val="17"/>
                <w:color w:val="auto"/>
                <w:w w:val="89"/>
              </w:rPr>
              <w:t>2024</w:t>
            </w:r>
          </w:p>
        </w:tc>
        <w:tc>
          <w:tcPr>
            <w:tcW w:w="10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w w:val="96"/>
              </w:rPr>
              <w:t>12,500</w:t>
            </w:r>
          </w:p>
        </w:tc>
        <w:tc>
          <w:tcPr>
            <w:tcW w:w="60" w:type="dxa"/>
            <w:vAlign w:val="bottom"/>
          </w:tcPr>
          <w:p>
            <w:pPr>
              <w:spacing w:after="0"/>
              <w:rPr>
                <w:sz w:val="16"/>
                <w:szCs w:val="16"/>
                <w:color w:val="auto"/>
              </w:rPr>
            </w:pPr>
          </w:p>
        </w:tc>
      </w:tr>
      <w:tr>
        <w:trPr>
          <w:trHeight w:val="189"/>
        </w:trPr>
        <w:tc>
          <w:tcPr>
            <w:tcW w:w="6300" w:type="dxa"/>
            <w:vAlign w:val="bottom"/>
            <w:shd w:val="clear" w:color="auto" w:fill="CCEEFF"/>
          </w:tcPr>
          <w:p>
            <w:pPr>
              <w:jc w:val="right"/>
              <w:ind w:right="5856"/>
              <w:spacing w:after="0" w:line="189" w:lineRule="exact"/>
              <w:rPr>
                <w:sz w:val="20"/>
                <w:szCs w:val="20"/>
                <w:color w:val="auto"/>
              </w:rPr>
            </w:pPr>
            <w:r>
              <w:rPr>
                <w:rFonts w:ascii="Arial" w:cs="Arial" w:eastAsia="Arial" w:hAnsi="Arial"/>
                <w:sz w:val="17"/>
                <w:szCs w:val="17"/>
                <w:color w:val="auto"/>
                <w:w w:val="89"/>
              </w:rPr>
              <w:t>2025</w:t>
            </w: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5,208</w:t>
            </w:r>
          </w:p>
        </w:tc>
        <w:tc>
          <w:tcPr>
            <w:tcW w:w="60" w:type="dxa"/>
            <w:vAlign w:val="bottom"/>
            <w:shd w:val="clear" w:color="auto" w:fill="CCEEFF"/>
          </w:tcPr>
          <w:p>
            <w:pPr>
              <w:spacing w:after="0"/>
              <w:rPr>
                <w:sz w:val="16"/>
                <w:szCs w:val="16"/>
                <w:color w:val="auto"/>
              </w:rPr>
            </w:pPr>
          </w:p>
        </w:tc>
      </w:tr>
      <w:tr>
        <w:trPr>
          <w:trHeight w:val="194"/>
        </w:trPr>
        <w:tc>
          <w:tcPr>
            <w:tcW w:w="630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u w:val="single" w:color="auto"/>
                <w:color w:val="auto"/>
                <w:w w:val="84"/>
              </w:rPr>
              <w:t>$</w:t>
            </w:r>
          </w:p>
        </w:tc>
        <w:tc>
          <w:tcPr>
            <w:tcW w:w="5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96"/>
              </w:rPr>
              <w:t>25,000</w:t>
            </w:r>
          </w:p>
        </w:tc>
        <w:tc>
          <w:tcPr>
            <w:tcW w:w="60" w:type="dxa"/>
            <w:vAlign w:val="bottom"/>
          </w:tcPr>
          <w:p>
            <w:pPr>
              <w:spacing w:after="0"/>
              <w:rPr>
                <w:sz w:val="16"/>
                <w:szCs w:val="16"/>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ind w:left="480" w:right="20" w:firstLine="411"/>
        <w:spacing w:after="0" w:line="235" w:lineRule="auto"/>
        <w:rPr>
          <w:sz w:val="20"/>
          <w:szCs w:val="20"/>
          <w:color w:val="auto"/>
        </w:rPr>
      </w:pPr>
      <w:r>
        <w:rPr>
          <w:rFonts w:ascii="Arial" w:cs="Arial" w:eastAsia="Arial" w:hAnsi="Arial"/>
          <w:sz w:val="17"/>
          <w:szCs w:val="17"/>
          <w:color w:val="auto"/>
        </w:rPr>
        <w:t>Interest expense for the three months ended June 30, 2021 and 2020 was $0.6 million and $0.7, respectively. Interest expense for the six months ended June 30, 2021 and 2020 was $1.2 million and $1.3 million, respectively. Included in interest expense for the three months ended June 30, 2021 and 2020 is $0.1 million and $0.1 million of amortization of debt issuance cost and debt discount. Included in interest expense for the six months ended June 30, 2021 and 2020 is $0.1 million and $0.1 million of amortization of debt issuance cost and debt discount.</w:t>
      </w:r>
    </w:p>
    <w:p>
      <w:pPr>
        <w:spacing w:after="0" w:line="190" w:lineRule="exact"/>
        <w:rPr>
          <w:sz w:val="20"/>
          <w:szCs w:val="20"/>
          <w:color w:val="auto"/>
        </w:rPr>
      </w:pPr>
    </w:p>
    <w:p>
      <w:pPr>
        <w:ind w:left="480" w:right="540" w:firstLine="411"/>
        <w:spacing w:after="0"/>
        <w:rPr>
          <w:sz w:val="20"/>
          <w:szCs w:val="20"/>
          <w:color w:val="auto"/>
        </w:rPr>
      </w:pPr>
      <w:r>
        <w:rPr>
          <w:rFonts w:ascii="Arial" w:cs="Arial" w:eastAsia="Arial" w:hAnsi="Arial"/>
          <w:sz w:val="17"/>
          <w:szCs w:val="17"/>
          <w:color w:val="auto"/>
        </w:rPr>
        <w:t>On July 29, 2021, the Company closed a new loan facility that was used to pay off the existing debt under the LSA, in full, and provide an additional $25.0 million of available credit. See the subsequent event footnote.</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Note 11. Stockholders’ (Deficit) Equity</w:t>
      </w:r>
    </w:p>
    <w:p>
      <w:pPr>
        <w:spacing w:after="0" w:line="95" w:lineRule="exact"/>
        <w:rPr>
          <w:sz w:val="20"/>
          <w:szCs w:val="20"/>
          <w:color w:val="auto"/>
        </w:rPr>
      </w:pPr>
    </w:p>
    <w:p>
      <w:pPr>
        <w:ind w:left="480" w:right="40" w:firstLine="411"/>
        <w:spacing w:after="0" w:line="248" w:lineRule="auto"/>
        <w:rPr>
          <w:sz w:val="20"/>
          <w:szCs w:val="20"/>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color w:val="auto"/>
        </w:rPr>
        <w:t>– In connection with the IPO, the Company’s amended and restated certificate of incorporation became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authorized the issuance of 10,000,000 shares of undesignated preferred stock with a par value of $0.0001 per share with rights and preferences, including voting rights,designated from time to time by the board of directors.</w:t>
      </w:r>
    </w:p>
    <w:p>
      <w:pPr>
        <w:spacing w:after="0" w:line="163" w:lineRule="exact"/>
        <w:rPr>
          <w:sz w:val="20"/>
          <w:szCs w:val="20"/>
          <w:color w:val="auto"/>
        </w:rPr>
      </w:pPr>
    </w:p>
    <w:p>
      <w:pPr>
        <w:ind w:left="480" w:right="60" w:firstLine="411"/>
        <w:spacing w:after="0" w:line="238" w:lineRule="auto"/>
        <w:rPr>
          <w:sz w:val="20"/>
          <w:szCs w:val="20"/>
          <w:color w:val="auto"/>
        </w:rPr>
      </w:pPr>
      <w:r>
        <w:rPr>
          <w:rFonts w:ascii="Arial" w:cs="Arial" w:eastAsia="Arial" w:hAnsi="Arial"/>
          <w:sz w:val="17"/>
          <w:szCs w:val="17"/>
          <w:b w:val="1"/>
          <w:bCs w:val="1"/>
          <w:i w:val="1"/>
          <w:iCs w:val="1"/>
          <w:color w:val="auto"/>
        </w:rPr>
        <w:t xml:space="preserve">Common Stock </w:t>
      </w:r>
      <w:r>
        <w:rPr>
          <w:rFonts w:ascii="Arial" w:cs="Arial" w:eastAsia="Arial" w:hAnsi="Arial"/>
          <w:sz w:val="17"/>
          <w:szCs w:val="17"/>
          <w:color w:val="auto"/>
        </w:rPr>
        <w:t>– In connection with the IPO, the Company’s current amended and restated certificate of incorporation authorized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w:t>
      </w:r>
    </w:p>
    <w:p>
      <w:pPr>
        <w:spacing w:after="0" w:line="2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As of June 30, 2021, the Company had reserved shares of common stock for future issuance as follows:</w:t>
      </w:r>
    </w:p>
    <w:p>
      <w:pPr>
        <w:spacing w:after="0" w:line="202" w:lineRule="exact"/>
        <w:rPr>
          <w:sz w:val="20"/>
          <w:szCs w:val="20"/>
          <w:color w:val="auto"/>
        </w:rPr>
      </w:pPr>
    </w:p>
    <w:tbl>
      <w:tblPr>
        <w:tblLayout w:type="fixed"/>
        <w:tblInd w:w="2140" w:type="dxa"/>
        <w:tblCellMar>
          <w:top w:w="0" w:type="dxa"/>
          <w:left w:w="0" w:type="dxa"/>
          <w:bottom w:w="0" w:type="dxa"/>
          <w:right w:w="0" w:type="dxa"/>
        </w:tblCellMar>
      </w:tblPr>
      <w:tr>
        <w:trPr>
          <w:trHeight w:val="195"/>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Issued and outstanding stock options</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16,366,407</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7"/>
                <w:szCs w:val="17"/>
                <w:color w:val="auto"/>
              </w:rPr>
              <w:t>Available issuance under stock plans</w:t>
            </w: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9,864,400</w:t>
            </w:r>
          </w:p>
        </w:tc>
      </w:tr>
      <w:tr>
        <w:trPr>
          <w:trHeight w:val="25"/>
        </w:trPr>
        <w:tc>
          <w:tcPr>
            <w:tcW w:w="60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0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26,230,807</w:t>
            </w:r>
          </w:p>
        </w:tc>
      </w:tr>
      <w:tr>
        <w:trPr>
          <w:trHeight w:val="20"/>
        </w:trPr>
        <w:tc>
          <w:tcPr>
            <w:tcW w:w="6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Note 12. Stock-Based Compensation</w:t>
      </w:r>
    </w:p>
    <w:p>
      <w:pPr>
        <w:spacing w:after="0" w:line="9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2021 Equity Incentive Plan</w:t>
      </w:r>
    </w:p>
    <w:p>
      <w:pPr>
        <w:spacing w:after="0" w:line="115" w:lineRule="exact"/>
        <w:rPr>
          <w:sz w:val="20"/>
          <w:szCs w:val="20"/>
          <w:color w:val="auto"/>
        </w:rPr>
      </w:pPr>
    </w:p>
    <w:p>
      <w:pPr>
        <w:ind w:left="480" w:firstLine="411"/>
        <w:spacing w:after="0" w:line="251" w:lineRule="auto"/>
        <w:rPr>
          <w:sz w:val="20"/>
          <w:szCs w:val="20"/>
          <w:color w:val="auto"/>
        </w:rPr>
      </w:pPr>
      <w:r>
        <w:rPr>
          <w:rFonts w:ascii="Arial" w:cs="Arial" w:eastAsia="Arial" w:hAnsi="Arial"/>
          <w:sz w:val="16"/>
          <w:szCs w:val="16"/>
          <w:color w:val="auto"/>
        </w:rPr>
        <w:t>The Company has stock-based compensation plans that provide for the award of equity incentives, including stock options, restricted stock awards, restricted stock units (RSUs), performance shares, performance units and other stock-based awards. No further awards can be made under the 2009 Equity Incentive Plan (2009 Plan) or 2018 Equity Incentive Plan (2018 Plan), however awards outstanding under the 2009 Plan and 2018 Plan will continue to be governed by their existing terms. With the establishment of the 2021 Equity Incentive Plan (the 2021 Plan) as further discussed below, upon the expiration, forfeiture, cancellation, or reacquisition of any stock-based awards granted under the 2009 Plan or 2018 Plan, and equal number of shares will become available for grant under the 2021 Plan.</w:t>
      </w:r>
    </w:p>
    <w:p>
      <w:pPr>
        <w:spacing w:after="0" w:line="182" w:lineRule="exact"/>
        <w:rPr>
          <w:sz w:val="20"/>
          <w:szCs w:val="20"/>
          <w:color w:val="auto"/>
        </w:rPr>
      </w:pPr>
    </w:p>
    <w:p>
      <w:pPr>
        <w:ind w:left="480" w:right="120" w:firstLine="411"/>
        <w:spacing w:after="0" w:line="246" w:lineRule="auto"/>
        <w:rPr>
          <w:sz w:val="20"/>
          <w:szCs w:val="20"/>
          <w:color w:val="auto"/>
        </w:rPr>
      </w:pPr>
      <w:r>
        <w:rPr>
          <w:rFonts w:ascii="Arial" w:cs="Arial" w:eastAsia="Arial" w:hAnsi="Arial"/>
          <w:sz w:val="16"/>
          <w:szCs w:val="16"/>
          <w:color w:val="auto"/>
        </w:rPr>
        <w:t>In April 2021, the Company’s board of directors adopted, and in May 2021 its stockholders approved, the 2021 Plan, which became effective in connection with the IPO. The 2021 Plan provides for the grant of incentive stock options, nonqualified stock options, stock appreciation rights, restricted stock awards, RSU awards, performance awards and other forms of equity compensation (collectively, equity awards). A total of 9,201,156 shares of the common stock have been reserved for issuance under the 2021 Plan in addition to</w:t>
      </w:r>
    </w:p>
    <w:p>
      <w:pPr>
        <w:ind w:left="680" w:hanging="200"/>
        <w:spacing w:after="0" w:line="234"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annual automatic evergreen increases in the number of shares of common stock reserved for issuance under the 2021 Plan and</w:t>
      </w:r>
    </w:p>
    <w:p>
      <w:pPr>
        <w:ind w:left="480" w:right="500"/>
        <w:spacing w:after="0"/>
        <w:tabs>
          <w:tab w:leader="none" w:pos="713" w:val="left"/>
        </w:tabs>
        <w:numPr>
          <w:ilvl w:val="0"/>
          <w:numId w:val="11"/>
        </w:numPr>
        <w:rPr>
          <w:rFonts w:ascii="Arial" w:cs="Arial" w:eastAsia="Arial" w:hAnsi="Arial"/>
          <w:sz w:val="17"/>
          <w:szCs w:val="17"/>
          <w:color w:val="auto"/>
        </w:rPr>
      </w:pPr>
      <w:r>
        <w:rPr>
          <w:rFonts w:ascii="Arial" w:cs="Arial" w:eastAsia="Arial" w:hAnsi="Arial"/>
          <w:sz w:val="17"/>
          <w:szCs w:val="17"/>
          <w:color w:val="auto"/>
        </w:rPr>
        <w:t>upon the expiration, forfeiture, cancellation, or reacquisition of any shares of common stock underlying outstanding stock awards granted under the 2009 Plan and 2018 Plan, an equal number of shares of common stock.</w:t>
      </w:r>
    </w:p>
    <w:p>
      <w:pPr>
        <w:spacing w:after="0" w:line="12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760"/>
          </w:cols>
          <w:pgMar w:left="320" w:top="464" w:right="81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In April 2021, the Company’s board of directors adopted, and in May 2021 its stockholders approved, the 2021 Employee Stock Purchase Plan (the 2021 ESPP), which became effective in connection with the IPO. The 2021 ESPP authorizes the issuance of shares of common stock pursuant to purchase rights granted to employees. A total of 1,639,810 shares of the Company’s common stock have been reserved for future issuance under the 2021 ESPP, in addition to any annual automatic evergreen increases in the number of shares of common stock reserved for future issuance under the 2021 ESPP. The price at which common stock is purchased under the 2021 ESPP is equal to 85% of the fair market value of a share of the Company’s common stock on the first or last day of the offering period, whichever is lower. Offering periods are generally 3 months long. As of June 30, 2021, the Company has not commenced any offering period under the ESPP.</w:t>
      </w:r>
    </w:p>
    <w:p>
      <w:pPr>
        <w:spacing w:after="0" w:line="170" w:lineRule="exact"/>
        <w:rPr>
          <w:sz w:val="20"/>
          <w:szCs w:val="20"/>
          <w:color w:val="auto"/>
        </w:rPr>
      </w:pPr>
    </w:p>
    <w:p>
      <w:pPr>
        <w:ind w:left="480" w:right="520" w:firstLine="411"/>
        <w:spacing w:after="0" w:line="264" w:lineRule="auto"/>
        <w:rPr>
          <w:sz w:val="20"/>
          <w:szCs w:val="20"/>
          <w:color w:val="auto"/>
        </w:rPr>
      </w:pPr>
      <w:r>
        <w:rPr>
          <w:rFonts w:ascii="Arial" w:cs="Arial" w:eastAsia="Arial" w:hAnsi="Arial"/>
          <w:sz w:val="17"/>
          <w:szCs w:val="17"/>
          <w:b w:val="1"/>
          <w:bCs w:val="1"/>
          <w:i w:val="1"/>
          <w:iCs w:val="1"/>
          <w:color w:val="auto"/>
        </w:rPr>
        <w:t>Stock Options</w:t>
      </w:r>
      <w:r>
        <w:rPr>
          <w:rFonts w:ascii="Arial" w:cs="Arial" w:eastAsia="Arial" w:hAnsi="Arial"/>
          <w:sz w:val="17"/>
          <w:szCs w:val="17"/>
          <w:color w:val="auto"/>
        </w:rPr>
        <w:t>—Stock options granted under the 2009 Plan, 2018 Plan and the 2021 Plan generally vest based on continued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over four years and expire ten years from the date of grant.</w:t>
      </w:r>
    </w:p>
    <w:p>
      <w:pPr>
        <w:spacing w:after="0" w:line="170" w:lineRule="exact"/>
        <w:rPr>
          <w:sz w:val="20"/>
          <w:szCs w:val="20"/>
          <w:color w:val="auto"/>
        </w:rPr>
      </w:pPr>
    </w:p>
    <w:p>
      <w:pPr>
        <w:ind w:left="480" w:right="80" w:firstLine="411"/>
        <w:spacing w:after="0" w:line="254" w:lineRule="auto"/>
        <w:rPr>
          <w:sz w:val="20"/>
          <w:szCs w:val="20"/>
          <w:color w:val="auto"/>
        </w:rPr>
      </w:pPr>
      <w:r>
        <w:rPr>
          <w:rFonts w:ascii="Arial" w:cs="Arial" w:eastAsia="Arial" w:hAnsi="Arial"/>
          <w:sz w:val="16"/>
          <w:szCs w:val="16"/>
          <w:color w:val="auto"/>
        </w:rPr>
        <w:t>During the three and six months ended June 30, 2021, the Company granted an aggregate of 1,030,185 and 3,898,650 shares of stock options with weighted average exercise prices of $6.17 and $16.83 per share, respectively. The fair value of options granted before the closing of the IPO was estimated at the grant date using the Black-Scholes model with the following assumptions: (i) expected term of 6.08 years, (ii) expected volatility of 42.4%, (iii) risk-free interest rate range of 0.53% to 1.21% and (iv) expected dividend yield of 0%.</w:t>
      </w:r>
    </w:p>
    <w:p>
      <w:pPr>
        <w:spacing w:after="0" w:line="179" w:lineRule="exact"/>
        <w:rPr>
          <w:sz w:val="20"/>
          <w:szCs w:val="20"/>
          <w:color w:val="auto"/>
        </w:rPr>
      </w:pPr>
    </w:p>
    <w:p>
      <w:pPr>
        <w:ind w:left="480" w:right="340" w:firstLine="411"/>
        <w:spacing w:after="0"/>
        <w:rPr>
          <w:sz w:val="20"/>
          <w:szCs w:val="20"/>
          <w:color w:val="auto"/>
        </w:rPr>
      </w:pPr>
      <w:r>
        <w:rPr>
          <w:rFonts w:ascii="Arial" w:cs="Arial" w:eastAsia="Arial" w:hAnsi="Arial"/>
          <w:sz w:val="17"/>
          <w:szCs w:val="17"/>
          <w:color w:val="auto"/>
        </w:rPr>
        <w:t>As of June 30, 2021, there was $27.7 million of total unrecognized compensation expense related to unvested stock options and restricted stock awards, which is expected to be recognized over a weighted-average period of 2.8 years.</w:t>
      </w:r>
    </w:p>
    <w:p>
      <w:pPr>
        <w:spacing w:after="0" w:line="189" w:lineRule="exact"/>
        <w:rPr>
          <w:sz w:val="20"/>
          <w:szCs w:val="20"/>
          <w:color w:val="auto"/>
        </w:rPr>
      </w:pPr>
    </w:p>
    <w:p>
      <w:pPr>
        <w:ind w:left="480" w:right="340" w:firstLine="411"/>
        <w:spacing w:after="0"/>
        <w:rPr>
          <w:sz w:val="20"/>
          <w:szCs w:val="20"/>
          <w:color w:val="auto"/>
        </w:rPr>
      </w:pPr>
      <w:r>
        <w:rPr>
          <w:rFonts w:ascii="Arial" w:cs="Arial" w:eastAsia="Arial" w:hAnsi="Arial"/>
          <w:sz w:val="17"/>
          <w:szCs w:val="17"/>
          <w:color w:val="auto"/>
        </w:rPr>
        <w:t>The following table summarizes the stock-based compensation expense for stock options and restricted stock awards granted to employees that was recorded in the Company’s consolidated statements of operations and comprehensive loss (in thousands):</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151"/>
        </w:trPr>
        <w:tc>
          <w:tcPr>
            <w:tcW w:w="4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rPr>
              <w:t>For the Three</w:t>
            </w:r>
          </w:p>
        </w:tc>
        <w:tc>
          <w:tcPr>
            <w:tcW w:w="12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rPr>
              <w:t>For the Three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rPr>
              <w:t>For the Six</w:t>
            </w:r>
          </w:p>
        </w:tc>
        <w:tc>
          <w:tcPr>
            <w:tcW w:w="12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For the Six</w:t>
            </w:r>
          </w:p>
        </w:tc>
      </w:tr>
      <w:tr>
        <w:trPr>
          <w:trHeight w:val="151"/>
        </w:trPr>
        <w:tc>
          <w:tcPr>
            <w:tcW w:w="4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rPr>
              <w:t>Months Ended</w:t>
            </w:r>
          </w:p>
        </w:tc>
        <w:tc>
          <w:tcPr>
            <w:tcW w:w="120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Months Ended</w:t>
            </w:r>
          </w:p>
        </w:tc>
        <w:tc>
          <w:tcPr>
            <w:tcW w:w="260" w:type="dxa"/>
            <w:vAlign w:val="bottom"/>
          </w:tcPr>
          <w:p>
            <w:pPr>
              <w:spacing w:after="0"/>
              <w:rPr>
                <w:sz w:val="13"/>
                <w:szCs w:val="13"/>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rPr>
              <w:t>Months Ended</w:t>
            </w:r>
          </w:p>
        </w:tc>
        <w:tc>
          <w:tcPr>
            <w:tcW w:w="10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rPr>
              <w:t>Months Ended</w:t>
            </w:r>
          </w:p>
        </w:tc>
      </w:tr>
      <w:tr>
        <w:trPr>
          <w:trHeight w:val="151"/>
        </w:trPr>
        <w:tc>
          <w:tcPr>
            <w:tcW w:w="4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3"/>
                <w:szCs w:val="13"/>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June 30,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June 30,</w:t>
            </w:r>
          </w:p>
        </w:tc>
      </w:tr>
      <w:tr>
        <w:trPr>
          <w:trHeight w:val="163"/>
        </w:trPr>
        <w:tc>
          <w:tcPr>
            <w:tcW w:w="4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182"/>
        </w:trPr>
        <w:tc>
          <w:tcPr>
            <w:tcW w:w="414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Technology and development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410</w:t>
            </w: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170</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1,494</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333</w:t>
            </w:r>
          </w:p>
        </w:tc>
        <w:tc>
          <w:tcPr>
            <w:tcW w:w="60" w:type="dxa"/>
            <w:vAlign w:val="bottom"/>
            <w:shd w:val="clear" w:color="auto" w:fill="CCEEFF"/>
          </w:tcPr>
          <w:p>
            <w:pPr>
              <w:spacing w:after="0"/>
              <w:rPr>
                <w:sz w:val="15"/>
                <w:szCs w:val="15"/>
                <w:color w:val="auto"/>
              </w:rPr>
            </w:pPr>
          </w:p>
        </w:tc>
      </w:tr>
      <w:tr>
        <w:trPr>
          <w:trHeight w:val="189"/>
        </w:trPr>
        <w:tc>
          <w:tcPr>
            <w:tcW w:w="4140" w:type="dxa"/>
            <w:vAlign w:val="bottom"/>
          </w:tcPr>
          <w:p>
            <w:pPr>
              <w:spacing w:after="0" w:line="189" w:lineRule="exact"/>
              <w:rPr>
                <w:sz w:val="20"/>
                <w:szCs w:val="20"/>
                <w:color w:val="auto"/>
              </w:rPr>
            </w:pPr>
            <w:r>
              <w:rPr>
                <w:rFonts w:ascii="Arial" w:cs="Arial" w:eastAsia="Arial" w:hAnsi="Arial"/>
                <w:sz w:val="17"/>
                <w:szCs w:val="17"/>
                <w:color w:val="auto"/>
              </w:rPr>
              <w:t>Selling and marketing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751</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348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3,396</w:t>
            </w:r>
          </w:p>
        </w:tc>
        <w:tc>
          <w:tcPr>
            <w:tcW w:w="12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599</w:t>
            </w:r>
          </w:p>
        </w:tc>
      </w:tr>
      <w:tr>
        <w:trPr>
          <w:trHeight w:val="189"/>
        </w:trPr>
        <w:tc>
          <w:tcPr>
            <w:tcW w:w="4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General and administrative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1,235</w:t>
            </w: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471</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7,870</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892</w:t>
            </w:r>
          </w:p>
        </w:tc>
      </w:tr>
      <w:tr>
        <w:trPr>
          <w:trHeight w:val="20"/>
        </w:trPr>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4140" w:type="dxa"/>
            <w:vAlign w:val="bottom"/>
          </w:tcPr>
          <w:p>
            <w:pPr>
              <w:spacing w:after="0" w:line="194" w:lineRule="exact"/>
              <w:rPr>
                <w:sz w:val="20"/>
                <w:szCs w:val="20"/>
                <w:color w:val="auto"/>
              </w:rPr>
            </w:pPr>
            <w:r>
              <w:rPr>
                <w:rFonts w:ascii="Arial" w:cs="Arial" w:eastAsia="Arial" w:hAnsi="Arial"/>
                <w:sz w:val="17"/>
                <w:szCs w:val="17"/>
                <w:color w:val="auto"/>
              </w:rPr>
              <w:t>Total stock-based compensation expense</w:t>
            </w:r>
          </w:p>
        </w:tc>
        <w:tc>
          <w:tcPr>
            <w:tcW w:w="140" w:type="dxa"/>
            <w:vAlign w:val="bottom"/>
            <w:gridSpan w:val="2"/>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2,396</w:t>
            </w:r>
          </w:p>
        </w:tc>
        <w:tc>
          <w:tcPr>
            <w:tcW w:w="52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989</w:t>
            </w:r>
          </w:p>
        </w:tc>
        <w:tc>
          <w:tcPr>
            <w:tcW w:w="3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460"/>
              <w:spacing w:after="0" w:line="194" w:lineRule="exact"/>
              <w:rPr>
                <w:sz w:val="20"/>
                <w:szCs w:val="20"/>
                <w:color w:val="auto"/>
              </w:rPr>
            </w:pPr>
            <w:r>
              <w:rPr>
                <w:rFonts w:ascii="Arial" w:cs="Arial" w:eastAsia="Arial" w:hAnsi="Arial"/>
                <w:sz w:val="17"/>
                <w:szCs w:val="17"/>
                <w:color w:val="auto"/>
              </w:rPr>
              <w:t>12,760</w:t>
            </w:r>
          </w:p>
        </w:tc>
        <w:tc>
          <w:tcPr>
            <w:tcW w:w="12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1,824</w:t>
            </w:r>
          </w:p>
        </w:tc>
      </w:tr>
      <w:tr>
        <w:trPr>
          <w:trHeight w:val="20"/>
        </w:trPr>
        <w:tc>
          <w:tcPr>
            <w:tcW w:w="4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ind w:left="480" w:firstLine="411"/>
        <w:spacing w:after="0" w:line="254" w:lineRule="auto"/>
        <w:rPr>
          <w:sz w:val="20"/>
          <w:szCs w:val="20"/>
          <w:color w:val="auto"/>
        </w:rPr>
      </w:pPr>
      <w:r>
        <w:rPr>
          <w:rFonts w:ascii="Arial" w:cs="Arial" w:eastAsia="Arial" w:hAnsi="Arial"/>
          <w:sz w:val="16"/>
          <w:szCs w:val="16"/>
          <w:color w:val="auto"/>
        </w:rPr>
        <w:t>In February 2021, certain of the Company’s existing investors acquired 1,205,118 outstanding shares of common stock from employees of the Company, for a purchase price greater than the fair value of the common stock at the time of the transaction. As a result, the Company recorded $8.4 million in stock-based compensation during the six months ended June 30, 2021. The amount recorded as stock-based compensation represents the difference between the price paid and the estimated fair value at the date of the transaction.</w:t>
      </w:r>
    </w:p>
    <w:p>
      <w:pPr>
        <w:spacing w:after="0" w:line="26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Note 13. Net Loss per Share</w:t>
      </w:r>
    </w:p>
    <w:p>
      <w:pPr>
        <w:spacing w:after="0" w:line="115" w:lineRule="exact"/>
        <w:rPr>
          <w:sz w:val="20"/>
          <w:szCs w:val="20"/>
          <w:color w:val="auto"/>
        </w:rPr>
      </w:pPr>
    </w:p>
    <w:p>
      <w:pPr>
        <w:ind w:left="480" w:right="80" w:firstLine="411"/>
        <w:spacing w:after="0" w:line="234" w:lineRule="auto"/>
        <w:rPr>
          <w:sz w:val="20"/>
          <w:szCs w:val="20"/>
          <w:color w:val="auto"/>
        </w:rPr>
      </w:pPr>
      <w:r>
        <w:rPr>
          <w:rFonts w:ascii="Arial" w:cs="Arial" w:eastAsia="Arial" w:hAnsi="Arial"/>
          <w:sz w:val="17"/>
          <w:szCs w:val="17"/>
          <w:color w:val="auto"/>
        </w:rPr>
        <w:t>Flywire follows the two-class method when computing net income (loss) per share as the Company has issued shares that meet the definition of participating securities. Prior to the automatic conversion of all of its convertible preferred stock, and redeemable convertible preferred stock, into voting and non-voting common stock upon the completion of the IPO, the Company considered all series of its preferred stock and unvested common stock to be participating securities as the holders of such stock have the right to receive nonforfeitable dividends on a pari passu basis in the event that a dividend is paid on common stock. Under the two-class method, the net loss attributable to common stockholders is not allocated to the convertible preferred stock or the redeemable convertible preferred stock as the preferred stockholders do not have a contractual obligation to share in the Company’s losses.</w:t>
      </w:r>
    </w:p>
    <w:p>
      <w:pPr>
        <w:spacing w:after="0" w:line="191" w:lineRule="exact"/>
        <w:rPr>
          <w:sz w:val="20"/>
          <w:szCs w:val="20"/>
          <w:color w:val="auto"/>
        </w:rPr>
      </w:pPr>
    </w:p>
    <w:p>
      <w:pPr>
        <w:ind w:left="480" w:right="140" w:firstLine="411"/>
        <w:spacing w:after="0" w:line="234" w:lineRule="auto"/>
        <w:rPr>
          <w:sz w:val="20"/>
          <w:szCs w:val="20"/>
          <w:color w:val="auto"/>
        </w:rPr>
      </w:pPr>
      <w:r>
        <w:rPr>
          <w:rFonts w:ascii="Arial" w:cs="Arial" w:eastAsia="Arial" w:hAnsi="Arial"/>
          <w:sz w:val="17"/>
          <w:szCs w:val="17"/>
          <w:color w:val="auto"/>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w:t>
      </w:r>
    </w:p>
    <w:p>
      <w:pPr>
        <w:spacing w:after="0" w:line="193" w:lineRule="exact"/>
        <w:rPr>
          <w:sz w:val="20"/>
          <w:szCs w:val="20"/>
          <w:color w:val="auto"/>
        </w:rPr>
      </w:pPr>
    </w:p>
    <w:p>
      <w:pPr>
        <w:ind w:left="480" w:right="320" w:firstLine="411"/>
        <w:spacing w:after="0"/>
        <w:rPr>
          <w:sz w:val="20"/>
          <w:szCs w:val="20"/>
          <w:color w:val="auto"/>
        </w:rPr>
      </w:pPr>
      <w:r>
        <w:rPr>
          <w:rFonts w:ascii="Arial" w:cs="Arial" w:eastAsia="Arial" w:hAnsi="Arial"/>
          <w:sz w:val="17"/>
          <w:szCs w:val="17"/>
          <w:color w:val="auto"/>
        </w:rPr>
        <w:t>In periods in which the Company reports a net loss attributable to common stockholders, diluted net loss per share attributable to common stockholders is the same as basic net loss per share attributable to common stockholders, since</w:t>
      </w:r>
    </w:p>
    <w:p>
      <w:pPr>
        <w:spacing w:after="0" w:line="12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760"/>
          </w:cols>
          <w:pgMar w:left="320" w:top="464" w:right="81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right="60"/>
        <w:spacing w:after="0" w:line="236" w:lineRule="auto"/>
        <w:rPr>
          <w:sz w:val="20"/>
          <w:szCs w:val="20"/>
          <w:color w:val="auto"/>
        </w:rPr>
      </w:pPr>
      <w:r>
        <w:rPr>
          <w:rFonts w:ascii="Arial" w:cs="Arial" w:eastAsia="Arial" w:hAnsi="Arial"/>
          <w:sz w:val="17"/>
          <w:szCs w:val="17"/>
          <w:color w:val="auto"/>
        </w:rPr>
        <w:t>dilutive common shares are not assumed to have been issued if their effect is anti-dilutive. The Company reported a net loss attributable to common stockholders for the three and six months ended June 30, 2021 and 2020. For the three and six months ended June 30, 2021 and 2020, net loss per share attributable to common stockholders was the same as diluted net loss per share attributable to common stockholders.</w:t>
      </w:r>
    </w:p>
    <w:p>
      <w:pPr>
        <w:spacing w:after="0" w:line="189" w:lineRule="exact"/>
        <w:rPr>
          <w:sz w:val="20"/>
          <w:szCs w:val="20"/>
          <w:color w:val="auto"/>
        </w:rPr>
      </w:pPr>
    </w:p>
    <w:p>
      <w:pPr>
        <w:ind w:left="480" w:right="320" w:firstLine="411"/>
        <w:spacing w:after="0" w:line="236" w:lineRule="auto"/>
        <w:rPr>
          <w:sz w:val="20"/>
          <w:szCs w:val="20"/>
          <w:color w:val="auto"/>
        </w:rPr>
      </w:pPr>
      <w:r>
        <w:rPr>
          <w:rFonts w:ascii="Arial" w:cs="Arial" w:eastAsia="Arial" w:hAnsi="Arial"/>
          <w:sz w:val="17"/>
          <w:szCs w:val="17"/>
          <w:color w:val="auto"/>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loss per share attributable to common stockholders are, therefore, the same for both Voting and Non-Voting common stock on both individual and combined basis.</w:t>
      </w:r>
    </w:p>
    <w:p>
      <w:pPr>
        <w:spacing w:after="0" w:line="189" w:lineRule="exact"/>
        <w:rPr>
          <w:sz w:val="20"/>
          <w:szCs w:val="20"/>
          <w:color w:val="auto"/>
        </w:rPr>
      </w:pPr>
    </w:p>
    <w:p>
      <w:pPr>
        <w:ind w:left="480" w:right="40" w:firstLine="411"/>
        <w:spacing w:after="0"/>
        <w:rPr>
          <w:sz w:val="20"/>
          <w:szCs w:val="20"/>
          <w:color w:val="auto"/>
        </w:rPr>
      </w:pPr>
      <w:r>
        <w:rPr>
          <w:rFonts w:ascii="Arial" w:cs="Arial" w:eastAsia="Arial" w:hAnsi="Arial"/>
          <w:sz w:val="17"/>
          <w:szCs w:val="17"/>
          <w:color w:val="auto"/>
        </w:rPr>
        <w:t>Basic and diluted net loss per share attributable to common stockholders was calculated as follows (in thousands, except share and per share amounts):</w:t>
      </w:r>
    </w:p>
    <w:p>
      <w:pPr>
        <w:spacing w:after="0" w:line="216" w:lineRule="exact"/>
        <w:rPr>
          <w:sz w:val="20"/>
          <w:szCs w:val="20"/>
          <w:color w:val="auto"/>
        </w:rPr>
      </w:pPr>
    </w:p>
    <w:tbl>
      <w:tblPr>
        <w:tblLayout w:type="fixed"/>
        <w:tblInd w:w="900" w:type="dxa"/>
        <w:tblCellMar>
          <w:top w:w="0" w:type="dxa"/>
          <w:left w:w="0" w:type="dxa"/>
          <w:bottom w:w="0" w:type="dxa"/>
          <w:right w:w="0" w:type="dxa"/>
        </w:tblCellMar>
      </w:tblPr>
      <w:tr>
        <w:trPr>
          <w:trHeight w:val="163"/>
        </w:trPr>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Three Months Ended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Six Months Ended June 30,</w:t>
            </w:r>
          </w:p>
        </w:tc>
      </w:tr>
      <w:tr>
        <w:trPr>
          <w:trHeight w:val="157"/>
        </w:trPr>
        <w:tc>
          <w:tcPr>
            <w:tcW w:w="39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82"/>
        </w:trPr>
        <w:tc>
          <w:tcPr>
            <w:tcW w:w="396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Numerator:</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3960" w:type="dxa"/>
            <w:vAlign w:val="bottom"/>
          </w:tcPr>
          <w:p>
            <w:pPr>
              <w:ind w:left="340"/>
              <w:spacing w:after="0" w:line="189" w:lineRule="exact"/>
              <w:rPr>
                <w:sz w:val="20"/>
                <w:szCs w:val="20"/>
                <w:color w:val="auto"/>
              </w:rPr>
            </w:pPr>
            <w:r>
              <w:rPr>
                <w:rFonts w:ascii="Arial" w:cs="Arial" w:eastAsia="Arial" w:hAnsi="Arial"/>
                <w:sz w:val="17"/>
                <w:szCs w:val="17"/>
                <w:color w:val="auto"/>
              </w:rPr>
              <w:t>Net loss</w:t>
            </w:r>
          </w:p>
        </w:tc>
        <w:tc>
          <w:tcPr>
            <w:tcW w:w="3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(18,146)</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(15,997)</w:t>
            </w:r>
          </w:p>
        </w:tc>
        <w:tc>
          <w:tcPr>
            <w:tcW w:w="3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(26,798)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(12,297)</w:t>
            </w:r>
          </w:p>
        </w:tc>
      </w:tr>
      <w:tr>
        <w:trPr>
          <w:trHeight w:val="188"/>
        </w:trPr>
        <w:tc>
          <w:tcPr>
            <w:tcW w:w="396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Accretion of preferred stock to redemption</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3960" w:type="dxa"/>
            <w:vAlign w:val="bottom"/>
            <w:shd w:val="clear" w:color="auto" w:fill="CCEEFF"/>
          </w:tcPr>
          <w:p>
            <w:pPr>
              <w:ind w:left="500"/>
              <w:spacing w:after="0" w:line="190" w:lineRule="exact"/>
              <w:rPr>
                <w:sz w:val="20"/>
                <w:szCs w:val="20"/>
                <w:color w:val="auto"/>
              </w:rPr>
            </w:pPr>
            <w:r>
              <w:rPr>
                <w:rFonts w:ascii="Arial" w:cs="Arial" w:eastAsia="Arial" w:hAnsi="Arial"/>
                <w:sz w:val="17"/>
                <w:szCs w:val="17"/>
                <w:color w:val="auto"/>
              </w:rPr>
              <w:t>value</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00"/>
              <w:spacing w:after="0" w:line="190" w:lineRule="exact"/>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line="190" w:lineRule="exact"/>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400"/>
              <w:spacing w:after="0" w:line="190" w:lineRule="exact"/>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line="190" w:lineRule="exact"/>
              <w:rPr>
                <w:sz w:val="20"/>
                <w:szCs w:val="20"/>
                <w:color w:val="auto"/>
              </w:rPr>
            </w:pPr>
            <w:r>
              <w:rPr>
                <w:rFonts w:ascii="Arial" w:cs="Arial" w:eastAsia="Arial" w:hAnsi="Arial"/>
                <w:sz w:val="17"/>
                <w:szCs w:val="17"/>
                <w:color w:val="auto"/>
              </w:rPr>
              <w:t>(6)</w:t>
            </w:r>
          </w:p>
        </w:tc>
      </w:tr>
      <w:tr>
        <w:trPr>
          <w:trHeight w:val="194"/>
        </w:trPr>
        <w:tc>
          <w:tcPr>
            <w:tcW w:w="3960" w:type="dxa"/>
            <w:vAlign w:val="bottom"/>
          </w:tcPr>
          <w:p>
            <w:pPr>
              <w:ind w:left="340"/>
              <w:spacing w:after="0" w:line="194" w:lineRule="exact"/>
              <w:rPr>
                <w:sz w:val="20"/>
                <w:szCs w:val="20"/>
                <w:color w:val="auto"/>
              </w:rPr>
            </w:pPr>
            <w:r>
              <w:rPr>
                <w:rFonts w:ascii="Arial" w:cs="Arial" w:eastAsia="Arial" w:hAnsi="Arial"/>
                <w:sz w:val="17"/>
                <w:szCs w:val="17"/>
                <w:color w:val="auto"/>
              </w:rPr>
              <w:t>Net loss attributable to common shareholders</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3960" w:type="dxa"/>
            <w:vAlign w:val="bottom"/>
          </w:tcPr>
          <w:p>
            <w:pPr>
              <w:ind w:left="500"/>
              <w:spacing w:after="0" w:line="190" w:lineRule="exact"/>
              <w:rPr>
                <w:sz w:val="20"/>
                <w:szCs w:val="20"/>
                <w:color w:val="auto"/>
              </w:rPr>
            </w:pPr>
            <w:r>
              <w:rPr>
                <w:rFonts w:ascii="Arial" w:cs="Arial" w:eastAsia="Arial" w:hAnsi="Arial"/>
                <w:sz w:val="17"/>
                <w:szCs w:val="17"/>
                <w:color w:val="auto"/>
              </w:rPr>
              <w:t>- basic and diluted</w:t>
            </w:r>
          </w:p>
        </w:tc>
        <w:tc>
          <w:tcPr>
            <w:tcW w:w="30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400"/>
              <w:spacing w:after="0" w:line="190" w:lineRule="exact"/>
              <w:rPr>
                <w:sz w:val="20"/>
                <w:szCs w:val="20"/>
                <w:color w:val="auto"/>
              </w:rPr>
            </w:pPr>
            <w:r>
              <w:rPr>
                <w:rFonts w:ascii="Arial" w:cs="Arial" w:eastAsia="Arial" w:hAnsi="Arial"/>
                <w:sz w:val="17"/>
                <w:szCs w:val="17"/>
                <w:color w:val="auto"/>
              </w:rPr>
              <w:t>(18,154)</w:t>
            </w:r>
          </w:p>
        </w:tc>
        <w:tc>
          <w:tcPr>
            <w:tcW w:w="100" w:type="dxa"/>
            <w:vAlign w:val="bottom"/>
          </w:tcPr>
          <w:p>
            <w:pPr>
              <w:jc w:val="right"/>
              <w:spacing w:after="0" w:line="190" w:lineRule="exact"/>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200"/>
              <w:spacing w:after="0" w:line="190" w:lineRule="exact"/>
              <w:rPr>
                <w:sz w:val="20"/>
                <w:szCs w:val="20"/>
                <w:color w:val="auto"/>
              </w:rPr>
            </w:pPr>
            <w:r>
              <w:rPr>
                <w:rFonts w:ascii="Arial" w:cs="Arial" w:eastAsia="Arial" w:hAnsi="Arial"/>
                <w:sz w:val="17"/>
                <w:szCs w:val="17"/>
                <w:color w:val="auto"/>
              </w:rPr>
              <w:t>(16,001)</w:t>
            </w:r>
          </w:p>
        </w:tc>
        <w:tc>
          <w:tcPr>
            <w:tcW w:w="320" w:type="dxa"/>
            <w:vAlign w:val="bottom"/>
            <w:gridSpan w:val="2"/>
          </w:tcPr>
          <w:p>
            <w:pPr>
              <w:jc w:val="right"/>
              <w:ind w:right="20"/>
              <w:spacing w:after="0" w:line="190"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400"/>
              <w:spacing w:after="0" w:line="190" w:lineRule="exact"/>
              <w:rPr>
                <w:sz w:val="20"/>
                <w:szCs w:val="20"/>
                <w:color w:val="auto"/>
              </w:rPr>
            </w:pPr>
            <w:r>
              <w:rPr>
                <w:rFonts w:ascii="Arial" w:cs="Arial" w:eastAsia="Arial" w:hAnsi="Arial"/>
                <w:sz w:val="17"/>
                <w:szCs w:val="17"/>
                <w:color w:val="auto"/>
              </w:rPr>
              <w:t>(26,811)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line="190" w:lineRule="exact"/>
              <w:rPr>
                <w:sz w:val="20"/>
                <w:szCs w:val="20"/>
                <w:color w:val="auto"/>
              </w:rPr>
            </w:pPr>
            <w:r>
              <w:rPr>
                <w:rFonts w:ascii="Arial" w:cs="Arial" w:eastAsia="Arial" w:hAnsi="Arial"/>
                <w:sz w:val="17"/>
                <w:szCs w:val="17"/>
                <w:color w:val="auto"/>
              </w:rPr>
              <w:t>(12,303)</w:t>
            </w:r>
          </w:p>
        </w:tc>
      </w:tr>
      <w:tr>
        <w:trPr>
          <w:trHeight w:val="20"/>
        </w:trPr>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396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Denominator:</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8"/>
        </w:trPr>
        <w:tc>
          <w:tcPr>
            <w:tcW w:w="3960" w:type="dxa"/>
            <w:vAlign w:val="bottom"/>
          </w:tcPr>
          <w:p>
            <w:pPr>
              <w:ind w:left="340"/>
              <w:spacing w:after="0" w:line="189" w:lineRule="exact"/>
              <w:rPr>
                <w:sz w:val="20"/>
                <w:szCs w:val="20"/>
                <w:color w:val="auto"/>
              </w:rPr>
            </w:pPr>
            <w:r>
              <w:rPr>
                <w:rFonts w:ascii="Arial" w:cs="Arial" w:eastAsia="Arial" w:hAnsi="Arial"/>
                <w:sz w:val="17"/>
                <w:szCs w:val="17"/>
                <w:color w:val="auto"/>
              </w:rPr>
              <w:t>Weighted average shares outstanding – basic</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3960" w:type="dxa"/>
            <w:vAlign w:val="bottom"/>
          </w:tcPr>
          <w:p>
            <w:pPr>
              <w:ind w:left="500"/>
              <w:spacing w:after="0" w:line="190" w:lineRule="exact"/>
              <w:rPr>
                <w:sz w:val="20"/>
                <w:szCs w:val="20"/>
                <w:color w:val="auto"/>
              </w:rPr>
            </w:pPr>
            <w:r>
              <w:rPr>
                <w:rFonts w:ascii="Arial" w:cs="Arial" w:eastAsia="Arial" w:hAnsi="Arial"/>
                <w:sz w:val="17"/>
                <w:szCs w:val="17"/>
                <w:color w:val="auto"/>
              </w:rPr>
              <w:t>and diluted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auto"/>
                <w:w w:val="98"/>
              </w:rPr>
              <w:t>52,496,862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60"/>
              <w:spacing w:after="0" w:line="190" w:lineRule="exact"/>
              <w:rPr>
                <w:sz w:val="20"/>
                <w:szCs w:val="20"/>
                <w:color w:val="auto"/>
              </w:rPr>
            </w:pPr>
            <w:r>
              <w:rPr>
                <w:rFonts w:ascii="Arial" w:cs="Arial" w:eastAsia="Arial" w:hAnsi="Arial"/>
                <w:sz w:val="17"/>
                <w:szCs w:val="17"/>
                <w:color w:val="auto"/>
                <w:w w:val="96"/>
              </w:rPr>
              <w:t>18,327,639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90" w:lineRule="exact"/>
              <w:rPr>
                <w:sz w:val="20"/>
                <w:szCs w:val="20"/>
                <w:color w:val="auto"/>
              </w:rPr>
            </w:pPr>
            <w:r>
              <w:rPr>
                <w:rFonts w:ascii="Arial" w:cs="Arial" w:eastAsia="Arial" w:hAnsi="Arial"/>
                <w:sz w:val="17"/>
                <w:szCs w:val="17"/>
                <w:color w:val="auto"/>
                <w:w w:val="96"/>
              </w:rPr>
              <w:t>36,886,657</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20"/>
              <w:spacing w:after="0" w:line="190" w:lineRule="exact"/>
              <w:rPr>
                <w:sz w:val="20"/>
                <w:szCs w:val="20"/>
                <w:color w:val="auto"/>
              </w:rPr>
            </w:pPr>
            <w:r>
              <w:rPr>
                <w:rFonts w:ascii="Arial" w:cs="Arial" w:eastAsia="Arial" w:hAnsi="Arial"/>
                <w:sz w:val="17"/>
                <w:szCs w:val="17"/>
                <w:color w:val="auto"/>
                <w:w w:val="96"/>
              </w:rPr>
              <w:t>17,919,721</w:t>
            </w:r>
          </w:p>
        </w:tc>
      </w:tr>
      <w:tr>
        <w:trPr>
          <w:trHeight w:val="20"/>
        </w:trPr>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9"/>
        </w:trPr>
        <w:tc>
          <w:tcPr>
            <w:tcW w:w="3960" w:type="dxa"/>
            <w:vAlign w:val="bottom"/>
            <w:shd w:val="clear" w:color="auto" w:fill="CCEEFF"/>
          </w:tcPr>
          <w:p>
            <w:pPr>
              <w:ind w:left="340"/>
              <w:spacing w:after="0" w:line="179" w:lineRule="exact"/>
              <w:rPr>
                <w:sz w:val="20"/>
                <w:szCs w:val="20"/>
                <w:color w:val="auto"/>
              </w:rPr>
            </w:pPr>
            <w:r>
              <w:rPr>
                <w:rFonts w:ascii="Arial" w:cs="Arial" w:eastAsia="Arial" w:hAnsi="Arial"/>
                <w:sz w:val="17"/>
                <w:szCs w:val="17"/>
                <w:color w:val="auto"/>
              </w:rPr>
              <w:t>Net loss per share attributable to common</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0"/>
        </w:trPr>
        <w:tc>
          <w:tcPr>
            <w:tcW w:w="3960" w:type="dxa"/>
            <w:vAlign w:val="bottom"/>
            <w:shd w:val="clear" w:color="auto" w:fill="CCEEFF"/>
          </w:tcPr>
          <w:p>
            <w:pPr>
              <w:ind w:left="500"/>
              <w:spacing w:after="0" w:line="190" w:lineRule="exact"/>
              <w:rPr>
                <w:sz w:val="20"/>
                <w:szCs w:val="20"/>
                <w:color w:val="auto"/>
              </w:rPr>
            </w:pPr>
            <w:r>
              <w:rPr>
                <w:rFonts w:ascii="Arial" w:cs="Arial" w:eastAsia="Arial" w:hAnsi="Arial"/>
                <w:sz w:val="17"/>
                <w:szCs w:val="17"/>
                <w:color w:val="auto"/>
              </w:rPr>
              <w:t>stockholders – basic and diluted</w:t>
            </w:r>
          </w:p>
        </w:tc>
        <w:tc>
          <w:tcPr>
            <w:tcW w:w="30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00"/>
              <w:spacing w:after="0" w:line="190" w:lineRule="exact"/>
              <w:rPr>
                <w:sz w:val="20"/>
                <w:szCs w:val="20"/>
                <w:color w:val="auto"/>
              </w:rPr>
            </w:pPr>
            <w:r>
              <w:rPr>
                <w:rFonts w:ascii="Arial" w:cs="Arial" w:eastAsia="Arial" w:hAnsi="Arial"/>
                <w:sz w:val="17"/>
                <w:szCs w:val="17"/>
                <w:color w:val="auto"/>
              </w:rPr>
              <w:t>(0.35)</w:t>
            </w:r>
          </w:p>
        </w:tc>
        <w:tc>
          <w:tcPr>
            <w:tcW w:w="1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200"/>
              <w:spacing w:after="0" w:line="190" w:lineRule="exact"/>
              <w:rPr>
                <w:sz w:val="20"/>
                <w:szCs w:val="20"/>
                <w:color w:val="auto"/>
              </w:rPr>
            </w:pPr>
            <w:r>
              <w:rPr>
                <w:rFonts w:ascii="Arial" w:cs="Arial" w:eastAsia="Arial" w:hAnsi="Arial"/>
                <w:sz w:val="17"/>
                <w:szCs w:val="17"/>
                <w:color w:val="auto"/>
              </w:rPr>
              <w:t>(0.87)</w:t>
            </w:r>
          </w:p>
        </w:tc>
        <w:tc>
          <w:tcPr>
            <w:tcW w:w="320" w:type="dxa"/>
            <w:vAlign w:val="bottom"/>
            <w:gridSpan w:val="2"/>
            <w:shd w:val="clear" w:color="auto" w:fill="CCEEFF"/>
          </w:tcPr>
          <w:p>
            <w:pPr>
              <w:jc w:val="right"/>
              <w:ind w:right="20"/>
              <w:spacing w:after="0" w:line="190"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400"/>
              <w:spacing w:after="0" w:line="190" w:lineRule="exact"/>
              <w:rPr>
                <w:sz w:val="20"/>
                <w:szCs w:val="20"/>
                <w:color w:val="auto"/>
              </w:rPr>
            </w:pPr>
            <w:r>
              <w:rPr>
                <w:rFonts w:ascii="Arial" w:cs="Arial" w:eastAsia="Arial" w:hAnsi="Arial"/>
                <w:sz w:val="17"/>
                <w:szCs w:val="17"/>
                <w:color w:val="auto"/>
              </w:rPr>
              <w:t>(0.73)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line="190" w:lineRule="exact"/>
              <w:rPr>
                <w:sz w:val="20"/>
                <w:szCs w:val="20"/>
                <w:color w:val="auto"/>
              </w:rPr>
            </w:pPr>
            <w:r>
              <w:rPr>
                <w:rFonts w:ascii="Arial" w:cs="Arial" w:eastAsia="Arial" w:hAnsi="Arial"/>
                <w:sz w:val="17"/>
                <w:szCs w:val="17"/>
                <w:color w:val="auto"/>
              </w:rPr>
              <w:t>(0.69)</w:t>
            </w:r>
          </w:p>
        </w:tc>
      </w:tr>
      <w:tr>
        <w:trPr>
          <w:trHeight w:val="20"/>
        </w:trPr>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left="480" w:right="100" w:firstLine="411"/>
        <w:spacing w:after="0" w:line="237" w:lineRule="auto"/>
        <w:rPr>
          <w:sz w:val="20"/>
          <w:szCs w:val="20"/>
          <w:color w:val="auto"/>
        </w:rPr>
      </w:pPr>
      <w:r>
        <w:rPr>
          <w:rFonts w:ascii="Arial" w:cs="Arial" w:eastAsia="Arial" w:hAnsi="Arial"/>
          <w:sz w:val="17"/>
          <w:szCs w:val="17"/>
          <w:color w:val="auto"/>
        </w:rPr>
        <w:t>For periods the Company is in a loss positions, basic net loss per share attributable to common stockholders is the same as diluted net loss per share attributable to common stockholders. Outstanding potentially dilutive securities, which were excluded from the diluted net loss per share calculations because they would have been antidilutive were as follows as of the dates presented:</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63"/>
        </w:trPr>
        <w:tc>
          <w:tcPr>
            <w:tcW w:w="5760" w:type="dxa"/>
            <w:vAlign w:val="bottom"/>
          </w:tcPr>
          <w:p>
            <w:pPr>
              <w:spacing w:after="0"/>
              <w:rPr>
                <w:sz w:val="14"/>
                <w:szCs w:val="14"/>
                <w:color w:val="auto"/>
              </w:rPr>
            </w:pPr>
          </w:p>
        </w:tc>
        <w:tc>
          <w:tcPr>
            <w:tcW w:w="2060" w:type="dxa"/>
            <w:vAlign w:val="bottom"/>
            <w:gridSpan w:val="4"/>
          </w:tcPr>
          <w:p>
            <w:pPr>
              <w:ind w:left="740"/>
              <w:spacing w:after="0"/>
              <w:rPr>
                <w:sz w:val="20"/>
                <w:szCs w:val="20"/>
                <w:color w:val="auto"/>
              </w:rPr>
            </w:pPr>
            <w:r>
              <w:rPr>
                <w:rFonts w:ascii="Arial" w:cs="Arial" w:eastAsia="Arial" w:hAnsi="Arial"/>
                <w:sz w:val="13"/>
                <w:szCs w:val="13"/>
                <w:b w:val="1"/>
                <w:bCs w:val="1"/>
                <w:color w:val="auto"/>
              </w:rPr>
              <w:t>June 30,</w:t>
            </w:r>
          </w:p>
        </w:tc>
      </w:tr>
      <w:tr>
        <w:trPr>
          <w:trHeight w:val="157"/>
        </w:trPr>
        <w:tc>
          <w:tcPr>
            <w:tcW w:w="576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82"/>
        </w:trPr>
        <w:tc>
          <w:tcPr>
            <w:tcW w:w="576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Warrants for the purchase of common stock</w:t>
            </w:r>
          </w:p>
        </w:tc>
        <w:tc>
          <w:tcPr>
            <w:tcW w:w="900" w:type="dxa"/>
            <w:vAlign w:val="bottom"/>
            <w:shd w:val="clear" w:color="auto" w:fill="CCEEFF"/>
          </w:tcPr>
          <w:p>
            <w:pPr>
              <w:ind w:left="640"/>
              <w:spacing w:after="0" w:line="182"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264,171</w:t>
            </w:r>
          </w:p>
        </w:tc>
        <w:tc>
          <w:tcPr>
            <w:tcW w:w="60" w:type="dxa"/>
            <w:vAlign w:val="bottom"/>
            <w:shd w:val="clear" w:color="auto" w:fill="CCEEFF"/>
          </w:tcPr>
          <w:p>
            <w:pPr>
              <w:spacing w:after="0"/>
              <w:rPr>
                <w:sz w:val="15"/>
                <w:szCs w:val="15"/>
                <w:color w:val="auto"/>
              </w:rPr>
            </w:pPr>
          </w:p>
        </w:tc>
      </w:tr>
      <w:tr>
        <w:trPr>
          <w:trHeight w:val="188"/>
        </w:trPr>
        <w:tc>
          <w:tcPr>
            <w:tcW w:w="5760" w:type="dxa"/>
            <w:vAlign w:val="bottom"/>
          </w:tcPr>
          <w:p>
            <w:pPr>
              <w:spacing w:after="0" w:line="189" w:lineRule="exact"/>
              <w:rPr>
                <w:sz w:val="20"/>
                <w:szCs w:val="20"/>
                <w:color w:val="auto"/>
              </w:rPr>
            </w:pPr>
            <w:r>
              <w:rPr>
                <w:rFonts w:ascii="Arial" w:cs="Arial" w:eastAsia="Arial" w:hAnsi="Arial"/>
                <w:sz w:val="17"/>
                <w:szCs w:val="17"/>
                <w:color w:val="auto"/>
              </w:rPr>
              <w:t>Warrants for the purchase of convertible preferred stock (as converted into</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5760" w:type="dxa"/>
            <w:vAlign w:val="bottom"/>
          </w:tcPr>
          <w:p>
            <w:pPr>
              <w:ind w:left="160"/>
              <w:spacing w:after="0" w:line="190" w:lineRule="exact"/>
              <w:rPr>
                <w:sz w:val="20"/>
                <w:szCs w:val="20"/>
                <w:color w:val="auto"/>
              </w:rPr>
            </w:pPr>
            <w:r>
              <w:rPr>
                <w:rFonts w:ascii="Arial" w:cs="Arial" w:eastAsia="Arial" w:hAnsi="Arial"/>
                <w:sz w:val="17"/>
                <w:szCs w:val="17"/>
                <w:color w:val="auto"/>
              </w:rPr>
              <w:t>common stock)</w:t>
            </w:r>
          </w:p>
        </w:tc>
        <w:tc>
          <w:tcPr>
            <w:tcW w:w="1100" w:type="dxa"/>
            <w:vAlign w:val="bottom"/>
            <w:gridSpan w:val="2"/>
          </w:tcPr>
          <w:p>
            <w:pPr>
              <w:ind w:left="640"/>
              <w:spacing w:after="0" w:line="190"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90" w:lineRule="exact"/>
              <w:rPr>
                <w:sz w:val="20"/>
                <w:szCs w:val="20"/>
                <w:color w:val="auto"/>
              </w:rPr>
            </w:pPr>
            <w:r>
              <w:rPr>
                <w:rFonts w:ascii="Arial" w:cs="Arial" w:eastAsia="Arial" w:hAnsi="Arial"/>
                <w:sz w:val="17"/>
                <w:szCs w:val="17"/>
                <w:color w:val="auto"/>
              </w:rPr>
              <w:t>381,000</w:t>
            </w:r>
          </w:p>
        </w:tc>
        <w:tc>
          <w:tcPr>
            <w:tcW w:w="60" w:type="dxa"/>
            <w:vAlign w:val="bottom"/>
          </w:tcPr>
          <w:p>
            <w:pPr>
              <w:spacing w:after="0"/>
              <w:rPr>
                <w:sz w:val="16"/>
                <w:szCs w:val="16"/>
                <w:color w:val="auto"/>
              </w:rPr>
            </w:pPr>
          </w:p>
        </w:tc>
      </w:tr>
      <w:tr>
        <w:trPr>
          <w:trHeight w:val="189"/>
        </w:trPr>
        <w:tc>
          <w:tcPr>
            <w:tcW w:w="5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Redeemable convertible preferred stock (as converted into common stock)</w:t>
            </w:r>
          </w:p>
        </w:tc>
        <w:tc>
          <w:tcPr>
            <w:tcW w:w="1100" w:type="dxa"/>
            <w:vAlign w:val="bottom"/>
            <w:gridSpan w:val="2"/>
            <w:shd w:val="clear" w:color="auto" w:fill="CCEEFF"/>
          </w:tcPr>
          <w:p>
            <w:pPr>
              <w:ind w:left="640"/>
              <w:spacing w:after="0" w:line="18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54,208,461</w:t>
            </w:r>
          </w:p>
        </w:tc>
        <w:tc>
          <w:tcPr>
            <w:tcW w:w="60" w:type="dxa"/>
            <w:vAlign w:val="bottom"/>
            <w:shd w:val="clear" w:color="auto" w:fill="CCEEFF"/>
          </w:tcPr>
          <w:p>
            <w:pPr>
              <w:spacing w:after="0"/>
              <w:rPr>
                <w:sz w:val="16"/>
                <w:szCs w:val="16"/>
                <w:color w:val="auto"/>
              </w:rPr>
            </w:pPr>
          </w:p>
        </w:tc>
      </w:tr>
      <w:tr>
        <w:trPr>
          <w:trHeight w:val="189"/>
        </w:trPr>
        <w:tc>
          <w:tcPr>
            <w:tcW w:w="5760" w:type="dxa"/>
            <w:vAlign w:val="bottom"/>
          </w:tcPr>
          <w:p>
            <w:pPr>
              <w:spacing w:after="0" w:line="189" w:lineRule="exact"/>
              <w:rPr>
                <w:sz w:val="20"/>
                <w:szCs w:val="20"/>
                <w:color w:val="auto"/>
              </w:rPr>
            </w:pPr>
            <w:r>
              <w:rPr>
                <w:rFonts w:ascii="Arial" w:cs="Arial" w:eastAsia="Arial" w:hAnsi="Arial"/>
                <w:sz w:val="17"/>
                <w:szCs w:val="17"/>
                <w:color w:val="auto"/>
              </w:rPr>
              <w:t>Convertible preferred stock (as converted into common stock)</w:t>
            </w:r>
          </w:p>
        </w:tc>
        <w:tc>
          <w:tcPr>
            <w:tcW w:w="1100" w:type="dxa"/>
            <w:vAlign w:val="bottom"/>
            <w:gridSpan w:val="2"/>
          </w:tcPr>
          <w:p>
            <w:pPr>
              <w:ind w:left="640"/>
              <w:spacing w:after="0" w:line="189"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11,239,920</w:t>
            </w:r>
          </w:p>
        </w:tc>
        <w:tc>
          <w:tcPr>
            <w:tcW w:w="60" w:type="dxa"/>
            <w:vAlign w:val="bottom"/>
          </w:tcPr>
          <w:p>
            <w:pPr>
              <w:spacing w:after="0"/>
              <w:rPr>
                <w:sz w:val="16"/>
                <w:szCs w:val="16"/>
                <w:color w:val="auto"/>
              </w:rPr>
            </w:pPr>
          </w:p>
        </w:tc>
      </w:tr>
      <w:tr>
        <w:trPr>
          <w:trHeight w:val="189"/>
        </w:trPr>
        <w:tc>
          <w:tcPr>
            <w:tcW w:w="5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restricted stock awards</w:t>
            </w:r>
          </w:p>
        </w:tc>
        <w:tc>
          <w:tcPr>
            <w:tcW w:w="11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375,771</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981,441</w:t>
            </w:r>
          </w:p>
        </w:tc>
        <w:tc>
          <w:tcPr>
            <w:tcW w:w="60" w:type="dxa"/>
            <w:vAlign w:val="bottom"/>
            <w:shd w:val="clear" w:color="auto" w:fill="CCEEFF"/>
          </w:tcPr>
          <w:p>
            <w:pPr>
              <w:spacing w:after="0"/>
              <w:rPr>
                <w:sz w:val="16"/>
                <w:szCs w:val="16"/>
                <w:color w:val="auto"/>
              </w:rPr>
            </w:pPr>
          </w:p>
        </w:tc>
      </w:tr>
      <w:tr>
        <w:trPr>
          <w:trHeight w:val="189"/>
        </w:trPr>
        <w:tc>
          <w:tcPr>
            <w:tcW w:w="5760" w:type="dxa"/>
            <w:vAlign w:val="bottom"/>
          </w:tcPr>
          <w:p>
            <w:pPr>
              <w:spacing w:after="0" w:line="189" w:lineRule="exact"/>
              <w:rPr>
                <w:sz w:val="20"/>
                <w:szCs w:val="20"/>
                <w:color w:val="auto"/>
              </w:rPr>
            </w:pPr>
            <w:r>
              <w:rPr>
                <w:rFonts w:ascii="Arial" w:cs="Arial" w:eastAsia="Arial" w:hAnsi="Arial"/>
                <w:sz w:val="17"/>
                <w:szCs w:val="17"/>
                <w:color w:val="auto"/>
              </w:rPr>
              <w:t>Stock options to purchase common stock (as converted to common stock)</w:t>
            </w:r>
          </w:p>
        </w:tc>
        <w:tc>
          <w:tcPr>
            <w:tcW w:w="11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16,366,407</w:t>
            </w: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16,527,297</w:t>
            </w:r>
          </w:p>
        </w:tc>
        <w:tc>
          <w:tcPr>
            <w:tcW w:w="60" w:type="dxa"/>
            <w:vAlign w:val="bottom"/>
          </w:tcPr>
          <w:p>
            <w:pPr>
              <w:spacing w:after="0"/>
              <w:rPr>
                <w:sz w:val="16"/>
                <w:szCs w:val="16"/>
                <w:color w:val="auto"/>
              </w:rPr>
            </w:pPr>
          </w:p>
        </w:tc>
      </w:tr>
      <w:tr>
        <w:trPr>
          <w:trHeight w:val="25"/>
        </w:trPr>
        <w:tc>
          <w:tcPr>
            <w:tcW w:w="57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7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16,742,178</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83,602,290</w:t>
            </w:r>
          </w:p>
        </w:tc>
        <w:tc>
          <w:tcPr>
            <w:tcW w:w="60" w:type="dxa"/>
            <w:vAlign w:val="bottom"/>
            <w:shd w:val="clear" w:color="auto" w:fill="CCEEFF"/>
          </w:tcPr>
          <w:p>
            <w:pPr>
              <w:spacing w:after="0"/>
              <w:rPr>
                <w:sz w:val="16"/>
                <w:szCs w:val="16"/>
                <w:color w:val="auto"/>
              </w:rPr>
            </w:pPr>
          </w:p>
        </w:tc>
      </w:tr>
      <w:tr>
        <w:trPr>
          <w:trHeight w:val="20"/>
        </w:trPr>
        <w:tc>
          <w:tcPr>
            <w:tcW w:w="5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Note 14</w:t>
      </w:r>
      <w:r>
        <w:rPr>
          <w:rFonts w:ascii="Arial" w:cs="Arial" w:eastAsia="Arial" w:hAnsi="Arial"/>
          <w:sz w:val="17"/>
          <w:szCs w:val="17"/>
          <w:b w:val="1"/>
          <w:bCs w:val="1"/>
          <w:i w:val="1"/>
          <w:iCs w:val="1"/>
          <w:color w:val="auto"/>
        </w:rPr>
        <w:t>. Income Taxes</w:t>
      </w:r>
    </w:p>
    <w:p>
      <w:pPr>
        <w:spacing w:after="0" w:line="10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Company’s provision for income taxes during the interim periods is determined using an estimate of the Company’s annual</w:t>
      </w:r>
    </w:p>
    <w:p>
      <w:pPr>
        <w:ind w:left="480"/>
        <w:spacing w:after="0"/>
        <w:rPr>
          <w:sz w:val="20"/>
          <w:szCs w:val="20"/>
          <w:color w:val="auto"/>
        </w:rPr>
      </w:pPr>
      <w:r>
        <w:rPr>
          <w:rFonts w:ascii="Arial" w:cs="Arial" w:eastAsia="Arial" w:hAnsi="Arial"/>
          <w:sz w:val="16"/>
          <w:szCs w:val="16"/>
          <w:color w:val="auto"/>
        </w:rPr>
        <w:t>effective tax rate, which is adjusted for certain discrete tax items during the interim period. The Company recorded an income tax expense</w:t>
      </w:r>
    </w:p>
    <w:p>
      <w:pPr>
        <w:ind w:left="480"/>
        <w:spacing w:after="0" w:line="238" w:lineRule="auto"/>
        <w:rPr>
          <w:sz w:val="20"/>
          <w:szCs w:val="20"/>
          <w:color w:val="auto"/>
        </w:rPr>
      </w:pPr>
      <w:r>
        <w:rPr>
          <w:rFonts w:ascii="Arial" w:cs="Arial" w:eastAsia="Arial" w:hAnsi="Arial"/>
          <w:sz w:val="17"/>
          <w:szCs w:val="17"/>
          <w:color w:val="auto"/>
        </w:rPr>
        <w:t>of $0.3 million and an income tax expense of $0.3 million for the three months ended June 30, 2021 and 2020, respectively. The income</w:t>
      </w:r>
    </w:p>
    <w:p>
      <w:pPr>
        <w:ind w:left="480"/>
        <w:spacing w:after="0" w:line="232" w:lineRule="auto"/>
        <w:rPr>
          <w:sz w:val="20"/>
          <w:szCs w:val="20"/>
          <w:color w:val="auto"/>
        </w:rPr>
      </w:pPr>
      <w:r>
        <w:rPr>
          <w:rFonts w:ascii="Arial" w:cs="Arial" w:eastAsia="Arial" w:hAnsi="Arial"/>
          <w:sz w:val="17"/>
          <w:szCs w:val="17"/>
          <w:color w:val="auto"/>
        </w:rPr>
        <w:t>tax expense for the three months ended June 30, 2021 was primarily attributable to foreign taxes. The tax expense for the three months</w:t>
      </w:r>
    </w:p>
    <w:p>
      <w:pPr>
        <w:ind w:left="480"/>
        <w:spacing w:after="0" w:line="232" w:lineRule="auto"/>
        <w:rPr>
          <w:sz w:val="20"/>
          <w:szCs w:val="20"/>
          <w:color w:val="auto"/>
        </w:rPr>
      </w:pPr>
      <w:r>
        <w:rPr>
          <w:rFonts w:ascii="Arial" w:cs="Arial" w:eastAsia="Arial" w:hAnsi="Arial"/>
          <w:sz w:val="17"/>
          <w:szCs w:val="17"/>
          <w:color w:val="auto"/>
        </w:rPr>
        <w:t>ended June 30, 2020 was primarily attributable to foreign taxes. The Company recorded an income tax expense of $0.5 million and</w:t>
      </w:r>
    </w:p>
    <w:p>
      <w:pPr>
        <w:ind w:left="480"/>
        <w:spacing w:after="0" w:line="233" w:lineRule="auto"/>
        <w:rPr>
          <w:sz w:val="20"/>
          <w:szCs w:val="20"/>
          <w:color w:val="auto"/>
        </w:rPr>
      </w:pPr>
      <w:r>
        <w:rPr>
          <w:rFonts w:ascii="Arial" w:cs="Arial" w:eastAsia="Arial" w:hAnsi="Arial"/>
          <w:sz w:val="17"/>
          <w:szCs w:val="17"/>
          <w:color w:val="auto"/>
        </w:rPr>
        <w:t>$7.4 million for the six months ended June 30, 2021 and 2020, respectively. The income tax expense for the six months ended June 30,</w:t>
      </w:r>
    </w:p>
    <w:p>
      <w:pPr>
        <w:ind w:left="480"/>
        <w:spacing w:after="0" w:line="232" w:lineRule="auto"/>
        <w:rPr>
          <w:sz w:val="20"/>
          <w:szCs w:val="20"/>
          <w:color w:val="auto"/>
        </w:rPr>
      </w:pPr>
      <w:r>
        <w:rPr>
          <w:rFonts w:ascii="Arial" w:cs="Arial" w:eastAsia="Arial" w:hAnsi="Arial"/>
          <w:sz w:val="17"/>
          <w:szCs w:val="17"/>
          <w:color w:val="auto"/>
        </w:rPr>
        <w:t>2021 was primarily attributable to foreign taxes. The tax benefit for the six months ended June 30, 2020 was primarily attributable to the</w:t>
      </w:r>
    </w:p>
    <w:p>
      <w:pPr>
        <w:ind w:left="480"/>
        <w:spacing w:after="0" w:line="232" w:lineRule="auto"/>
        <w:rPr>
          <w:sz w:val="20"/>
          <w:szCs w:val="20"/>
          <w:color w:val="auto"/>
        </w:rPr>
      </w:pPr>
      <w:r>
        <w:rPr>
          <w:rFonts w:ascii="Arial" w:cs="Arial" w:eastAsia="Arial" w:hAnsi="Arial"/>
          <w:sz w:val="17"/>
          <w:szCs w:val="17"/>
          <w:color w:val="auto"/>
        </w:rPr>
        <w:t>release of the Company’s valuation allowance in connection with the acquisition of Simplee. This release was due to taxable temporary</w:t>
      </w:r>
    </w:p>
    <w:p>
      <w:pPr>
        <w:ind w:left="480"/>
        <w:spacing w:after="0" w:line="232" w:lineRule="auto"/>
        <w:rPr>
          <w:sz w:val="20"/>
          <w:szCs w:val="20"/>
          <w:color w:val="auto"/>
        </w:rPr>
      </w:pPr>
      <w:r>
        <w:rPr>
          <w:rFonts w:ascii="Arial" w:cs="Arial" w:eastAsia="Arial" w:hAnsi="Arial"/>
          <w:sz w:val="17"/>
          <w:szCs w:val="17"/>
          <w:color w:val="auto"/>
        </w:rPr>
        <w:t>differences recorded as part of the Simplee acquisition which are a source of income to realize certain pre-existing federal and state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deferred tax assets.</w:t>
      </w:r>
    </w:p>
    <w:p>
      <w:pPr>
        <w:spacing w:after="0" w:line="13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720"/>
          </w:cols>
          <w:pgMar w:left="320" w:top="464" w:right="85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right="140" w:firstLine="411"/>
        <w:spacing w:after="0" w:line="235" w:lineRule="auto"/>
        <w:rPr>
          <w:sz w:val="20"/>
          <w:szCs w:val="20"/>
          <w:color w:val="auto"/>
        </w:rPr>
      </w:pPr>
      <w:r>
        <w:rPr>
          <w:rFonts w:ascii="Arial" w:cs="Arial" w:eastAsia="Arial" w:hAnsi="Arial"/>
          <w:sz w:val="17"/>
          <w:szCs w:val="17"/>
          <w:color w:val="auto"/>
        </w:rPr>
        <w:t>The Company’s effective tax rate differs from the Federal statutory rate primarily due to the change in valuation allowance primarily in the U.S. The Company has not recorded any amounts for unrecognized tax benefits. The Company is open to future tax examinations from 2016 to the present; however, carryforward attributes that were generated prior to 2016 may still be adjusted upon examination by federal, state or local tax authorities to the extent they will be used in a future period. In 2021, the U.S. Internal Revenue Service commenced a corporate income tax audit with respect to the 2018 calendar year, which is still open.</w:t>
      </w:r>
    </w:p>
    <w:p>
      <w:pPr>
        <w:spacing w:after="0" w:line="190" w:lineRule="exact"/>
        <w:rPr>
          <w:sz w:val="20"/>
          <w:szCs w:val="20"/>
          <w:color w:val="auto"/>
        </w:rPr>
      </w:pPr>
    </w:p>
    <w:p>
      <w:pPr>
        <w:ind w:left="480" w:firstLine="411"/>
        <w:spacing w:after="0" w:line="236" w:lineRule="auto"/>
        <w:rPr>
          <w:sz w:val="20"/>
          <w:szCs w:val="20"/>
          <w:color w:val="auto"/>
        </w:rPr>
      </w:pPr>
      <w:r>
        <w:rPr>
          <w:rFonts w:ascii="Arial" w:cs="Arial" w:eastAsia="Arial" w:hAnsi="Arial"/>
          <w:sz w:val="17"/>
          <w:szCs w:val="17"/>
          <w:color w:val="auto"/>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June 30, 2021, the Company continues to maintain a full valuation allowance of the U.S. net deferred tax assets.</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Note 15. Commitments and Contingencies</w:t>
      </w:r>
    </w:p>
    <w:p>
      <w:pPr>
        <w:spacing w:after="0" w:line="9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15" w:lineRule="exact"/>
        <w:rPr>
          <w:sz w:val="20"/>
          <w:szCs w:val="20"/>
          <w:color w:val="auto"/>
        </w:rPr>
      </w:pPr>
    </w:p>
    <w:p>
      <w:pPr>
        <w:ind w:left="480" w:right="40" w:firstLine="411"/>
        <w:spacing w:after="0" w:line="236" w:lineRule="auto"/>
        <w:rPr>
          <w:sz w:val="20"/>
          <w:szCs w:val="20"/>
          <w:color w:val="auto"/>
        </w:rPr>
      </w:pPr>
      <w:r>
        <w:rPr>
          <w:rFonts w:ascii="Arial" w:cs="Arial" w:eastAsia="Arial" w:hAnsi="Arial"/>
          <w:sz w:val="17"/>
          <w:szCs w:val="17"/>
          <w:color w:val="auto"/>
        </w:rPr>
        <w:t>In March 2021, the Company entered into a lease agreement for 680 square feet of office space in Tel Aviv, Israel. The term of the lease commenced on March 15, 2021 and continues until March 25, 2023. The Company has the option to extend the lease for an additional two-year term at market-based rates. The base rent payments commenced in March 2021. The Company is obligated to pay its portion of building operating and tax expenses.</w:t>
      </w:r>
    </w:p>
    <w:p>
      <w:pPr>
        <w:spacing w:after="0" w:line="189" w:lineRule="exact"/>
        <w:rPr>
          <w:sz w:val="20"/>
          <w:szCs w:val="20"/>
          <w:color w:val="auto"/>
        </w:rPr>
      </w:pPr>
    </w:p>
    <w:p>
      <w:pPr>
        <w:ind w:left="480" w:right="120" w:firstLine="411"/>
        <w:spacing w:after="0" w:line="237" w:lineRule="auto"/>
        <w:rPr>
          <w:sz w:val="20"/>
          <w:szCs w:val="20"/>
          <w:color w:val="auto"/>
        </w:rPr>
      </w:pPr>
      <w:r>
        <w:rPr>
          <w:rFonts w:ascii="Arial" w:cs="Arial" w:eastAsia="Arial" w:hAnsi="Arial"/>
          <w:sz w:val="17"/>
          <w:szCs w:val="17"/>
          <w:color w:val="auto"/>
        </w:rPr>
        <w:t>In May 2021, the Company executed lease extensions on previously rented office space in Cluj, Romania and Singapore. Both extensions commence on May 15, 2021. The Cluj extension continues until March 31, 2024, and the Singapore extension continues until November 14, 2021. The Company is obligated to pay its portion of building operating and tax expenses under both agreeements.</w:t>
      </w:r>
    </w:p>
    <w:p>
      <w:pPr>
        <w:spacing w:after="0" w:line="19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Future minimum lease payments for noncancelable operating leases as of June 30, 2021, are as follows (in thousands):</w:t>
      </w:r>
    </w:p>
    <w:p>
      <w:pPr>
        <w:spacing w:after="0" w:line="215" w:lineRule="exact"/>
        <w:rPr>
          <w:sz w:val="20"/>
          <w:szCs w:val="20"/>
          <w:color w:val="auto"/>
        </w:rPr>
      </w:pPr>
    </w:p>
    <w:tbl>
      <w:tblPr>
        <w:tblLayout w:type="fixed"/>
        <w:tblInd w:w="2140" w:type="dxa"/>
        <w:tblCellMar>
          <w:top w:w="0" w:type="dxa"/>
          <w:left w:w="0" w:type="dxa"/>
          <w:bottom w:w="0" w:type="dxa"/>
          <w:right w:w="0" w:type="dxa"/>
        </w:tblCellMar>
      </w:tblPr>
      <w:tr>
        <w:trPr>
          <w:trHeight w:val="195"/>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Years Ending December 31,</w:t>
            </w:r>
          </w:p>
        </w:tc>
        <w:tc>
          <w:tcPr>
            <w:tcW w:w="2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260" w:type="dxa"/>
            <w:vAlign w:val="bottom"/>
          </w:tcPr>
          <w:p>
            <w:pPr>
              <w:spacing w:after="0" w:line="189" w:lineRule="exact"/>
              <w:rPr>
                <w:sz w:val="20"/>
                <w:szCs w:val="20"/>
                <w:color w:val="auto"/>
              </w:rPr>
            </w:pPr>
            <w:r>
              <w:rPr>
                <w:rFonts w:ascii="Arial" w:cs="Arial" w:eastAsia="Arial" w:hAnsi="Arial"/>
                <w:sz w:val="17"/>
                <w:szCs w:val="17"/>
                <w:color w:val="auto"/>
              </w:rPr>
              <w:t>2021 (remaining six months)</w:t>
            </w:r>
          </w:p>
        </w:tc>
        <w:tc>
          <w:tcPr>
            <w:tcW w:w="272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$1,582</w:t>
            </w:r>
          </w:p>
        </w:tc>
      </w:tr>
      <w:tr>
        <w:trPr>
          <w:trHeight w:val="189"/>
        </w:trPr>
        <w:tc>
          <w:tcPr>
            <w:tcW w:w="4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27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1,722</w:t>
            </w:r>
          </w:p>
        </w:tc>
      </w:tr>
      <w:tr>
        <w:trPr>
          <w:trHeight w:val="189"/>
        </w:trPr>
        <w:tc>
          <w:tcPr>
            <w:tcW w:w="4260" w:type="dxa"/>
            <w:vAlign w:val="bottom"/>
          </w:tcPr>
          <w:p>
            <w:pPr>
              <w:spacing w:after="0" w:line="189" w:lineRule="exact"/>
              <w:rPr>
                <w:sz w:val="20"/>
                <w:szCs w:val="20"/>
                <w:color w:val="auto"/>
              </w:rPr>
            </w:pPr>
            <w:r>
              <w:rPr>
                <w:rFonts w:ascii="Arial" w:cs="Arial" w:eastAsia="Arial" w:hAnsi="Arial"/>
                <w:sz w:val="17"/>
                <w:szCs w:val="17"/>
                <w:color w:val="auto"/>
              </w:rPr>
              <w:t>2023</w:t>
            </w:r>
          </w:p>
        </w:tc>
        <w:tc>
          <w:tcPr>
            <w:tcW w:w="272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1,505</w:t>
            </w:r>
          </w:p>
        </w:tc>
      </w:tr>
      <w:tr>
        <w:trPr>
          <w:trHeight w:val="189"/>
        </w:trPr>
        <w:tc>
          <w:tcPr>
            <w:tcW w:w="4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2024</w:t>
            </w:r>
          </w:p>
        </w:tc>
        <w:tc>
          <w:tcPr>
            <w:tcW w:w="27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446</w:t>
            </w:r>
          </w:p>
        </w:tc>
      </w:tr>
      <w:tr>
        <w:trPr>
          <w:trHeight w:val="189"/>
        </w:trPr>
        <w:tc>
          <w:tcPr>
            <w:tcW w:w="4260" w:type="dxa"/>
            <w:vAlign w:val="bottom"/>
          </w:tcPr>
          <w:p>
            <w:pPr>
              <w:spacing w:after="0" w:line="189" w:lineRule="exact"/>
              <w:rPr>
                <w:sz w:val="20"/>
                <w:szCs w:val="20"/>
                <w:color w:val="auto"/>
              </w:rPr>
            </w:pPr>
            <w:r>
              <w:rPr>
                <w:rFonts w:ascii="Arial" w:cs="Arial" w:eastAsia="Arial" w:hAnsi="Arial"/>
                <w:sz w:val="17"/>
                <w:szCs w:val="17"/>
                <w:color w:val="auto"/>
              </w:rPr>
              <w:t>2025</w:t>
            </w:r>
          </w:p>
        </w:tc>
        <w:tc>
          <w:tcPr>
            <w:tcW w:w="214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18</w:t>
            </w:r>
          </w:p>
        </w:tc>
      </w:tr>
      <w:tr>
        <w:trPr>
          <w:trHeight w:val="25"/>
        </w:trPr>
        <w:tc>
          <w:tcPr>
            <w:tcW w:w="4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260" w:type="dxa"/>
            <w:vAlign w:val="bottom"/>
            <w:shd w:val="clear" w:color="auto" w:fill="CCEEFF"/>
          </w:tcPr>
          <w:p>
            <w:pPr>
              <w:spacing w:after="0"/>
              <w:rPr>
                <w:sz w:val="16"/>
                <w:szCs w:val="16"/>
                <w:color w:val="auto"/>
              </w:rPr>
            </w:pPr>
          </w:p>
        </w:tc>
        <w:tc>
          <w:tcPr>
            <w:tcW w:w="27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5,273</w:t>
            </w:r>
          </w:p>
        </w:tc>
      </w:tr>
      <w:tr>
        <w:trPr>
          <w:trHeight w:val="20"/>
        </w:trPr>
        <w:tc>
          <w:tcPr>
            <w:tcW w:w="4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ind w:left="480" w:right="120" w:firstLine="411"/>
        <w:spacing w:after="0"/>
        <w:rPr>
          <w:sz w:val="20"/>
          <w:szCs w:val="20"/>
          <w:color w:val="auto"/>
        </w:rPr>
      </w:pPr>
      <w:r>
        <w:rPr>
          <w:rFonts w:ascii="Arial" w:cs="Arial" w:eastAsia="Arial" w:hAnsi="Arial"/>
          <w:sz w:val="17"/>
          <w:szCs w:val="17"/>
          <w:color w:val="auto"/>
        </w:rPr>
        <w:t>Rent expense for the three months ended June 30, 2021 and 2020 was $0.6 million and $0.6 million respectively. Rent expense for the six months ended June 30, 2021 and 2020 was $1.1 million and $1.2 million, respectively.</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15" w:lineRule="exact"/>
        <w:rPr>
          <w:sz w:val="20"/>
          <w:szCs w:val="20"/>
          <w:color w:val="auto"/>
        </w:rPr>
      </w:pPr>
    </w:p>
    <w:p>
      <w:pPr>
        <w:ind w:left="480" w:right="40" w:firstLine="411"/>
        <w:spacing w:after="0" w:line="234" w:lineRule="auto"/>
        <w:rPr>
          <w:sz w:val="20"/>
          <w:szCs w:val="20"/>
          <w:color w:val="auto"/>
        </w:rPr>
      </w:pPr>
      <w:r>
        <w:rPr>
          <w:rFonts w:ascii="Arial" w:cs="Arial" w:eastAsia="Arial" w:hAnsi="Arial"/>
          <w:sz w:val="17"/>
          <w:szCs w:val="17"/>
          <w:color w:val="auto"/>
        </w:rPr>
        <w:t>The Company is subject to various legal proceedings and claims, the outcomes of which are subject to significant uncertainty. The Company records an accrual for legal contingencies when it is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193" w:lineRule="exact"/>
        <w:rPr>
          <w:sz w:val="20"/>
          <w:szCs w:val="20"/>
          <w:color w:val="auto"/>
        </w:rPr>
      </w:pPr>
    </w:p>
    <w:p>
      <w:pPr>
        <w:ind w:left="480" w:right="100" w:firstLine="411"/>
        <w:spacing w:after="0"/>
        <w:rPr>
          <w:sz w:val="20"/>
          <w:szCs w:val="20"/>
          <w:color w:val="auto"/>
        </w:rPr>
      </w:pPr>
      <w:r>
        <w:rPr>
          <w:rFonts w:ascii="Arial" w:cs="Arial" w:eastAsia="Arial" w:hAnsi="Arial"/>
          <w:sz w:val="17"/>
          <w:szCs w:val="17"/>
          <w:color w:val="auto"/>
        </w:rPr>
        <w:t>As of June 30, 2021, the Company was not subject to any pending legal matters or claims that could have a material adverse effect on its financial position, results of operations, or cash flows.</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5" w:lineRule="exact"/>
        <w:rPr>
          <w:sz w:val="20"/>
          <w:szCs w:val="20"/>
          <w:color w:val="auto"/>
        </w:rPr>
      </w:pPr>
    </w:p>
    <w:p>
      <w:pPr>
        <w:ind w:left="480" w:right="40"/>
        <w:spacing w:after="0" w:line="250" w:lineRule="auto"/>
        <w:rPr>
          <w:sz w:val="20"/>
          <w:szCs w:val="20"/>
          <w:color w:val="auto"/>
        </w:rPr>
      </w:pPr>
      <w:r>
        <w:rPr>
          <w:rFonts w:ascii="Arial" w:cs="Arial" w:eastAsia="Arial" w:hAnsi="Arial"/>
          <w:sz w:val="16"/>
          <w:szCs w:val="16"/>
          <w:color w:val="auto"/>
        </w:rPr>
        <w:t>In the ordinary course of business, the Company agrees to indemnify certain partners and clients against third party claims asserting infringement of certain intellectual property rights, data protection, damages caused to property or persons, or other liabilities relating to or arising from the Company’s payment platform or other contractual obligations.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currently aware of any indemnification claims and has not accrued any liabilities related to such obligations in its condensed consolidated financial statements as of June 30, 2021 or as of December 31, 2020.</w:t>
      </w:r>
    </w:p>
    <w:p>
      <w:pPr>
        <w:spacing w:after="0" w:line="12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740"/>
          </w:cols>
          <w:pgMar w:left="320" w:top="464" w:right="8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Note 16. Subsequent Events</w:t>
      </w:r>
    </w:p>
    <w:p>
      <w:pPr>
        <w:spacing w:after="0" w:line="9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Debt</w:t>
      </w:r>
    </w:p>
    <w:p>
      <w:pPr>
        <w:spacing w:after="0" w:line="115" w:lineRule="exact"/>
        <w:rPr>
          <w:sz w:val="20"/>
          <w:szCs w:val="20"/>
          <w:color w:val="auto"/>
        </w:rPr>
      </w:pPr>
    </w:p>
    <w:p>
      <w:pPr>
        <w:ind w:left="480" w:right="200"/>
        <w:spacing w:after="0" w:line="235" w:lineRule="auto"/>
        <w:rPr>
          <w:sz w:val="20"/>
          <w:szCs w:val="20"/>
          <w:color w:val="auto"/>
        </w:rPr>
      </w:pPr>
      <w:r>
        <w:rPr>
          <w:rFonts w:ascii="Arial" w:cs="Arial" w:eastAsia="Arial" w:hAnsi="Arial"/>
          <w:sz w:val="17"/>
          <w:szCs w:val="17"/>
          <w:color w:val="auto"/>
        </w:rPr>
        <w:t>On July 29, 2021, the Company entered into a three-year senior secured revolving credit syndication loan with three banks for a total commitment of $50.0 million. The revolving credit syndication loan is guaranteed by Flywire’s material domestic subsidiaries. One of the lenders in the syndicate is the existing debt holder under the LSA entered into in 2018 and amended in 2020. The proceeds of the revolving credit loan were used to early prepay the Company’s $25.0 million term loan. In connection with the transaction, the Company incurred $0.4 million in prepayment costs.</w:t>
      </w:r>
    </w:p>
    <w:p>
      <w:pPr>
        <w:spacing w:after="0" w:line="178" w:lineRule="exact"/>
        <w:rPr>
          <w:sz w:val="20"/>
          <w:szCs w:val="20"/>
          <w:color w:val="auto"/>
        </w:rPr>
      </w:pPr>
    </w:p>
    <w:p>
      <w:pPr>
        <w:ind w:left="480"/>
        <w:spacing w:after="0" w:line="201" w:lineRule="auto"/>
        <w:rPr>
          <w:sz w:val="20"/>
          <w:szCs w:val="20"/>
          <w:color w:val="auto"/>
        </w:rPr>
      </w:pPr>
      <w:r>
        <w:rPr>
          <w:rFonts w:ascii="Arial" w:cs="Arial" w:eastAsia="Arial" w:hAnsi="Arial"/>
          <w:sz w:val="17"/>
          <w:szCs w:val="17"/>
          <w:color w:val="auto"/>
        </w:rPr>
        <w:t xml:space="preserve">The secured revolving credit loan will consist of Alternate Base Rate (ABR) loans or Eurodollar Borrowings, at the Company’s option. ABR loans will bear interest at the ABR plus the applicable rate. Eurodollar Borrowings will bear interest at the Adjusted LIBO Rate plus the applicable rate. The ABR rate is based on the greatest of (a) the Prime Rate (b) the Federal Funds Effective Rate plus </w:t>
      </w:r>
      <w:r>
        <w:rPr>
          <w:rFonts w:ascii="Arial" w:cs="Arial" w:eastAsia="Arial" w:hAnsi="Arial"/>
          <w:sz w:val="11"/>
          <w:szCs w:val="11"/>
          <w:color w:val="auto"/>
        </w:rPr>
        <w:t>1</w:t>
      </w:r>
      <w:r>
        <w:rPr>
          <w:rFonts w:ascii="Arial" w:cs="Arial" w:eastAsia="Arial" w:hAnsi="Arial"/>
          <w:sz w:val="17"/>
          <w:szCs w:val="17"/>
          <w:color w:val="auto"/>
        </w:rPr>
        <w:t>⁄</w:t>
      </w:r>
      <w:r>
        <w:rPr>
          <w:rFonts w:ascii="Arial" w:cs="Arial" w:eastAsia="Arial" w:hAnsi="Arial"/>
          <w:sz w:val="11"/>
          <w:szCs w:val="11"/>
          <w:color w:val="auto"/>
        </w:rPr>
        <w:t>2</w:t>
      </w:r>
      <w:r>
        <w:rPr>
          <w:rFonts w:ascii="Arial" w:cs="Arial" w:eastAsia="Arial" w:hAnsi="Arial"/>
          <w:sz w:val="17"/>
          <w:szCs w:val="17"/>
          <w:color w:val="auto"/>
        </w:rPr>
        <w:t xml:space="preserve"> of 1% and</w:t>
      </w:r>
    </w:p>
    <w:p>
      <w:pPr>
        <w:ind w:left="720" w:hanging="240"/>
        <w:spacing w:after="0" w:line="201"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Adjusted LIBO Rate for a one-month Interest Period plus 1%. The adjusted LIBO rate is based on (a) the LIBO Rate multiplied by</w:t>
      </w:r>
    </w:p>
    <w:p>
      <w:pPr>
        <w:ind w:left="480" w:right="320"/>
        <w:spacing w:after="0" w:line="232" w:lineRule="auto"/>
        <w:tabs>
          <w:tab w:leader="none" w:pos="73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Statutory Reserve Rate. The applicable rate is based upon the Company’s liquidity as of the most recent consolidated financial information and ranges from 0.75% to 2.25%.</w:t>
      </w:r>
    </w:p>
    <w:p>
      <w:pPr>
        <w:spacing w:after="0" w:line="189" w:lineRule="exact"/>
        <w:rPr>
          <w:sz w:val="20"/>
          <w:szCs w:val="20"/>
          <w:color w:val="auto"/>
        </w:rPr>
      </w:pPr>
    </w:p>
    <w:p>
      <w:pPr>
        <w:ind w:left="480"/>
        <w:spacing w:after="0" w:line="251" w:lineRule="auto"/>
        <w:rPr>
          <w:sz w:val="20"/>
          <w:szCs w:val="20"/>
          <w:color w:val="auto"/>
        </w:rPr>
      </w:pPr>
      <w:r>
        <w:rPr>
          <w:rFonts w:ascii="Arial" w:cs="Arial" w:eastAsia="Arial" w:hAnsi="Arial"/>
          <w:sz w:val="16"/>
          <w:szCs w:val="16"/>
          <w:color w:val="auto"/>
        </w:rPr>
        <w:t>The credit agreement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credit agreement becoming immediately due and payable and termination of the commitments.</w:t>
      </w:r>
    </w:p>
    <w:p>
      <w:pPr>
        <w:spacing w:after="0" w:line="11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740"/>
          </w:cols>
          <w:pgMar w:left="320" w:top="464" w:right="8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7" w:lineRule="exact"/>
        <w:rPr>
          <w:sz w:val="20"/>
          <w:szCs w:val="20"/>
          <w:color w:val="auto"/>
        </w:rPr>
      </w:pPr>
    </w:p>
    <w:p>
      <w:pPr>
        <w:ind w:left="480" w:firstLine="411"/>
        <w:spacing w:after="0" w:line="23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final prospectus, filed with the Securities and Exchange Commission, or the SEC, on May 26, 2021 pursuant to Rule 424(b) under the Securities Act of 1933, as amended. Some of the information contained in this discussion and analysis or set forth elsewhere in this Quarterly Report on Form 10-Q,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Overview</w:t>
      </w:r>
    </w:p>
    <w:p>
      <w:pPr>
        <w:spacing w:after="0" w:line="115"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75" w:lineRule="exact"/>
        <w:rPr>
          <w:sz w:val="20"/>
          <w:szCs w:val="20"/>
          <w:color w:val="auto"/>
        </w:rPr>
      </w:pPr>
    </w:p>
    <w:p>
      <w:pPr>
        <w:ind w:left="480" w:right="220" w:firstLine="411"/>
        <w:spacing w:after="0" w:line="237"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Flywire Advantage</w:t>
      </w:r>
      <w:r>
        <w:rPr>
          <w:rFonts w:ascii="Arial" w:cs="Arial" w:eastAsia="Arial" w:hAnsi="Arial"/>
          <w:sz w:val="17"/>
          <w:szCs w:val="17"/>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7"/>
          <w:szCs w:val="17"/>
          <w:i w:val="1"/>
          <w:iCs w:val="1"/>
          <w:color w:val="auto"/>
        </w:rPr>
        <w:t>Flywire Advantage</w:t>
      </w:r>
      <w:r>
        <w:rPr>
          <w:rFonts w:ascii="Arial" w:cs="Arial" w:eastAsia="Arial" w:hAnsi="Arial"/>
          <w:sz w:val="17"/>
          <w:szCs w:val="17"/>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92" w:lineRule="exact"/>
        <w:rPr>
          <w:sz w:val="20"/>
          <w:szCs w:val="20"/>
          <w:color w:val="auto"/>
        </w:rPr>
      </w:pPr>
    </w:p>
    <w:p>
      <w:pPr>
        <w:ind w:left="480" w:right="200" w:firstLine="411"/>
        <w:spacing w:after="0" w:line="234" w:lineRule="auto"/>
        <w:rPr>
          <w:sz w:val="20"/>
          <w:szCs w:val="20"/>
          <w:color w:val="auto"/>
        </w:rPr>
      </w:pPr>
      <w:r>
        <w:rPr>
          <w:rFonts w:ascii="Arial" w:cs="Arial" w:eastAsia="Arial" w:hAnsi="Arial"/>
          <w:sz w:val="17"/>
          <w:szCs w:val="17"/>
          <w:color w:val="auto"/>
        </w:rPr>
        <w:t xml:space="preserve">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w:t>
      </w:r>
      <w:r>
        <w:rPr>
          <w:rFonts w:ascii="Arial" w:cs="Arial" w:eastAsia="Arial" w:hAnsi="Arial"/>
          <w:sz w:val="17"/>
          <w:szCs w:val="17"/>
          <w:i w:val="1"/>
          <w:iCs w:val="1"/>
          <w:color w:val="auto"/>
        </w:rPr>
        <w:t>Flywire Advantage</w:t>
      </w:r>
      <w:r>
        <w:rPr>
          <w:rFonts w:ascii="Arial" w:cs="Arial" w:eastAsia="Arial" w:hAnsi="Arial"/>
          <w:sz w:val="17"/>
          <w:szCs w:val="17"/>
          <w:color w:val="auto"/>
        </w:rPr>
        <w:t xml:space="preserve"> has been recognized, with global financial institutions and technology providers choosing to form channel partnerships with us. These partnerships promote organic referral and lead generation opportunities and enhance our indirect sales strategy.</w:t>
      </w:r>
    </w:p>
    <w:p>
      <w:pPr>
        <w:spacing w:after="0" w:line="13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760"/>
          </w:cols>
          <w:pgMar w:left="320" w:top="464" w:right="81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190500</wp:posOffset>
            </wp:positionV>
            <wp:extent cx="4667250" cy="3978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67250" cy="397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combination of our differentiated solution and efficient go-to-market strategy has resulted in strong and consistent client growth.</w:t>
      </w:r>
    </w:p>
    <w:p>
      <w:pPr>
        <w:spacing w:after="0" w:line="99" w:lineRule="exact"/>
        <w:rPr>
          <w:sz w:val="20"/>
          <w:szCs w:val="20"/>
          <w:color w:val="auto"/>
        </w:rPr>
      </w:pPr>
    </w:p>
    <w:p>
      <w:pPr>
        <w:jc w:val="both"/>
        <w:ind w:left="1380" w:right="40" w:hanging="497"/>
        <w:spacing w:after="0" w:line="248" w:lineRule="auto"/>
        <w:tabs>
          <w:tab w:leader="none" w:pos="138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Rapid domestic and international payments volume growth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grown our Total Payment Volume by approximately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75.7% period-over-period from approximately $2.7 billion during the six months ended June 30, 2020 to $4.8 billion during the six months ended June 30, 2021.</w:t>
      </w:r>
    </w:p>
    <w:p>
      <w:pPr>
        <w:spacing w:after="0" w:line="82" w:lineRule="exact"/>
        <w:rPr>
          <w:rFonts w:ascii="Arial" w:cs="Arial" w:eastAsia="Arial" w:hAnsi="Arial"/>
          <w:sz w:val="17"/>
          <w:szCs w:val="17"/>
          <w:color w:val="auto"/>
        </w:rPr>
      </w:pPr>
    </w:p>
    <w:p>
      <w:pPr>
        <w:ind w:left="1400" w:right="460"/>
        <w:spacing w:after="0"/>
        <w:rPr>
          <w:rFonts w:ascii="Arial" w:cs="Arial" w:eastAsia="Arial" w:hAnsi="Arial"/>
          <w:sz w:val="17"/>
          <w:szCs w:val="17"/>
          <w:color w:val="auto"/>
        </w:rPr>
      </w:pPr>
      <w:r>
        <w:rPr>
          <w:rFonts w:ascii="Arial" w:cs="Arial" w:eastAsia="Arial" w:hAnsi="Arial"/>
          <w:sz w:val="17"/>
          <w:szCs w:val="17"/>
          <w:color w:val="auto"/>
        </w:rPr>
        <w:t>We have grown our Total Payment Volume by approximately 84.7% period-over-period from $1.0 billion during the three months ended June 30, 2020 to $1.9 billion during the three months ended June 30, 2021.</w:t>
      </w:r>
    </w:p>
    <w:p>
      <w:pPr>
        <w:spacing w:after="0" w:line="80" w:lineRule="exact"/>
        <w:rPr>
          <w:rFonts w:ascii="Arial" w:cs="Arial" w:eastAsia="Arial" w:hAnsi="Arial"/>
          <w:sz w:val="17"/>
          <w:szCs w:val="17"/>
          <w:color w:val="auto"/>
        </w:rPr>
      </w:pPr>
    </w:p>
    <w:p>
      <w:pPr>
        <w:ind w:left="1380" w:hanging="497"/>
        <w:spacing w:after="0" w:line="248" w:lineRule="auto"/>
        <w:tabs>
          <w:tab w:leader="none" w:pos="138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Expanded global payments network</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year we have added to the capabilities of our payment network by means of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local bank accounts and payment partners, and have expanded our global reach to 243 countries and territories and 143 currencies.</w:t>
      </w:r>
    </w:p>
    <w:p>
      <w:pPr>
        <w:spacing w:after="0" w:line="74" w:lineRule="exact"/>
        <w:rPr>
          <w:rFonts w:ascii="Arial" w:cs="Arial" w:eastAsia="Arial" w:hAnsi="Arial"/>
          <w:sz w:val="17"/>
          <w:szCs w:val="17"/>
          <w:color w:val="auto"/>
        </w:rPr>
      </w:pPr>
    </w:p>
    <w:p>
      <w:pPr>
        <w:ind w:left="1380" w:right="540" w:hanging="497"/>
        <w:spacing w:after="0" w:line="264" w:lineRule="auto"/>
        <w:tabs>
          <w:tab w:leader="none" w:pos="138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Enjoyable and personalized user experience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NPS score of 64 in fiscal year 2020 demonstrates a strong affinity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among our clients for our platform.</w:t>
      </w:r>
    </w:p>
    <w:p>
      <w:pPr>
        <w:spacing w:after="0" w:line="61" w:lineRule="exact"/>
        <w:rPr>
          <w:rFonts w:ascii="Arial" w:cs="Arial" w:eastAsia="Arial" w:hAnsi="Arial"/>
          <w:sz w:val="17"/>
          <w:szCs w:val="17"/>
          <w:color w:val="auto"/>
        </w:rPr>
      </w:pPr>
    </w:p>
    <w:p>
      <w:pPr>
        <w:ind w:left="1380" w:right="20" w:hanging="497"/>
        <w:spacing w:after="0" w:line="253" w:lineRule="auto"/>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Strong dollar-based net retention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2018 and 2019, our net dollar-based retention rate was approximately 126%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128%, respectively. In 2020, despite the impact of the COVID-19 pandemic on our clients and the industries we serve, we had annual dollar-based net retention rate of 100%, added over 400 new clients, and maintained strong client retention of approximately 97%.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As of June 30, 2021, we serve over 2,400 clients around the world. In education, we serve more than 2,000 institutions and</w:t>
      </w:r>
    </w:p>
    <w:p>
      <w:pPr>
        <w:ind w:left="480" w:right="100"/>
        <w:spacing w:after="0" w:line="237" w:lineRule="auto"/>
        <w:rPr>
          <w:sz w:val="20"/>
          <w:szCs w:val="20"/>
          <w:color w:val="auto"/>
        </w:rPr>
      </w:pPr>
      <w:r>
        <w:rPr>
          <w:rFonts w:ascii="Arial" w:cs="Arial" w:eastAsia="Arial" w:hAnsi="Arial"/>
          <w:sz w:val="17"/>
          <w:szCs w:val="17"/>
          <w:color w:val="auto"/>
        </w:rPr>
        <w:t>1.8 million students globally as of June 30, 2021. In healthcare, we power more than 80 healthcare systems, including four of the top 10 healthcare systems in the United States ranked by hospital size as of December 31, 2020. In the industries we have more recently begun to address, travel and business to business payments, we have a growing portfolio of more than 300 clients as of June 30, 2021.</w:t>
      </w:r>
    </w:p>
    <w:p>
      <w:pPr>
        <w:spacing w:after="0" w:line="12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760"/>
          </w:cols>
          <w:pgMar w:left="320" w:top="464" w:right="81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right="20" w:firstLine="411"/>
        <w:spacing w:after="0" w:line="234" w:lineRule="auto"/>
        <w:rPr>
          <w:sz w:val="20"/>
          <w:szCs w:val="20"/>
          <w:color w:val="auto"/>
        </w:rPr>
      </w:pPr>
      <w:r>
        <w:rPr>
          <w:rFonts w:ascii="Arial" w:cs="Arial" w:eastAsia="Arial" w:hAnsi="Arial"/>
          <w:sz w:val="17"/>
          <w:szCs w:val="17"/>
          <w:color w:val="auto"/>
        </w:rPr>
        <w:t>Our success in building our client base around the world and expanding utilization by our clients’ customers has allowed us to achieve significant scale. We enabled more than $7.5 billion in TPV during the year ended December 31, 2020 and $4.8 billion in TPV during the six months ended June 30, 2021. We generated revenue of $131.8 million and $94.9 million for the years ended December 31, 2020 and 2019, respectively, and incurred net losses of $11.1 million and $20.1 million for those same years. We generated revenue of $82.0 million and $56.5 million for the six months ended June 30, 2021 and 2020, respectively and incurred net loss of $26.8 million and $12.3 million, respectively, for the same six-month periods.</w:t>
      </w:r>
    </w:p>
    <w:p>
      <w:pPr>
        <w:spacing w:after="0" w:line="193" w:lineRule="exact"/>
        <w:rPr>
          <w:sz w:val="20"/>
          <w:szCs w:val="20"/>
          <w:color w:val="auto"/>
        </w:rPr>
      </w:pPr>
    </w:p>
    <w:p>
      <w:pPr>
        <w:ind w:left="480" w:right="40" w:firstLine="411"/>
        <w:spacing w:after="0" w:line="254" w:lineRule="auto"/>
        <w:rPr>
          <w:sz w:val="20"/>
          <w:szCs w:val="20"/>
          <w:color w:val="auto"/>
        </w:rPr>
      </w:pPr>
      <w:r>
        <w:rPr>
          <w:rFonts w:ascii="Arial" w:cs="Arial" w:eastAsia="Arial" w:hAnsi="Arial"/>
          <w:sz w:val="16"/>
          <w:szCs w:val="16"/>
          <w:color w:val="auto"/>
        </w:rPr>
        <w:t>We believe that the growth of our business and our operating results will be dependent upon many factors, including our ability to add new clients, expand the usage of our solutions by our existing clients and their customers,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79"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While we have experienced significant growth and increased demand for our solutions over recent periods, we expect to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information technology and financial infrastructure, our operating and administrative systems and controls, and our ability to manage headcount, capital, and processes in an efficient manner. Additionally, we face intense competition in our market, and to succeed, we need to innovate and offer solutions that are differentiated from legacy payment solutions. We must also effectively hire, retain, train, and motivate qualified personnel and senior management. If we are unable to successfully address these challenges, our business, operating results, and prospects could be adversely affected.</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Our Revenue Model</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derive revenue from transactions and platform and usage-based fees.</w:t>
      </w:r>
    </w:p>
    <w:p>
      <w:pPr>
        <w:spacing w:after="0" w:line="177" w:lineRule="exact"/>
        <w:rPr>
          <w:sz w:val="20"/>
          <w:szCs w:val="20"/>
          <w:color w:val="auto"/>
        </w:rPr>
      </w:pPr>
    </w:p>
    <w:p>
      <w:pPr>
        <w:ind w:left="480" w:right="220" w:firstLine="411"/>
        <w:spacing w:after="0" w:line="239" w:lineRule="auto"/>
        <w:rPr>
          <w:sz w:val="20"/>
          <w:szCs w:val="20"/>
          <w:color w:val="auto"/>
        </w:rPr>
      </w:pPr>
      <w:r>
        <w:rPr>
          <w:rFonts w:ascii="Arial" w:cs="Arial" w:eastAsia="Arial" w:hAnsi="Arial"/>
          <w:sz w:val="17"/>
          <w:szCs w:val="17"/>
          <w:i w:val="1"/>
          <w:iCs w:val="1"/>
          <w:color w:val="auto"/>
        </w:rPr>
        <w:t xml:space="preserve">Transaction revenue </w:t>
      </w:r>
      <w:r>
        <w:rPr>
          <w:rFonts w:ascii="Arial" w:cs="Arial" w:eastAsia="Arial" w:hAnsi="Arial"/>
          <w:sz w:val="17"/>
          <w:szCs w:val="17"/>
          <w:color w:val="auto"/>
        </w:rPr>
        <w:t>is earned from payment processing services provided to our clients. The fee earned on each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consists of a rate applied to the total payment value of the transaction, which can vary based on the payment method currency pair conversion and the geographic region in which our client and the clients’ customer resides. We also earn revenue from marketing fees from credit card service providers for marketing arrangements in which we perform certain marketing activities which we consider to be ancillary to the solutions we provide to our clients.</w:t>
      </w:r>
    </w:p>
    <w:p>
      <w:pPr>
        <w:spacing w:after="0" w:line="174" w:lineRule="exact"/>
        <w:rPr>
          <w:sz w:val="20"/>
          <w:szCs w:val="20"/>
          <w:color w:val="auto"/>
        </w:rPr>
      </w:pPr>
    </w:p>
    <w:p>
      <w:pPr>
        <w:ind w:left="480" w:right="320" w:firstLine="411"/>
        <w:spacing w:after="0" w:line="247" w:lineRule="auto"/>
        <w:rPr>
          <w:sz w:val="20"/>
          <w:szCs w:val="20"/>
          <w:color w:val="auto"/>
        </w:rPr>
      </w:pPr>
      <w:r>
        <w:rPr>
          <w:rFonts w:ascii="Arial" w:cs="Arial" w:eastAsia="Arial" w:hAnsi="Arial"/>
          <w:sz w:val="17"/>
          <w:szCs w:val="17"/>
          <w:i w:val="1"/>
          <w:iCs w:val="1"/>
          <w:color w:val="auto"/>
        </w:rPr>
        <w:t xml:space="preserve">Platform and usage-based fee revenue </w:t>
      </w:r>
      <w:r>
        <w:rPr>
          <w:rFonts w:ascii="Arial" w:cs="Arial" w:eastAsia="Arial" w:hAnsi="Arial"/>
          <w:sz w:val="17"/>
          <w:szCs w:val="17"/>
          <w:color w:val="auto"/>
        </w:rPr>
        <w:t>includes (i) fees earned for the utilization of our payment platform to optimize cash</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collections, (ii) fees collected on payment plans established by our clients on our payment platform, (iii) subscription fees and (iv) fees related to printing and mailing services which we consider to be ancillary to the solutions we provide to our clients.</w:t>
      </w:r>
    </w:p>
    <w:p>
      <w:pPr>
        <w:spacing w:after="0" w:line="264"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15" w:lineRule="exact"/>
        <w:rPr>
          <w:sz w:val="20"/>
          <w:szCs w:val="20"/>
          <w:color w:val="auto"/>
        </w:rPr>
      </w:pPr>
    </w:p>
    <w:p>
      <w:pPr>
        <w:ind w:left="480" w:right="60" w:firstLine="411"/>
        <w:spacing w:after="0" w:line="236" w:lineRule="auto"/>
        <w:rPr>
          <w:sz w:val="20"/>
          <w:szCs w:val="20"/>
          <w:color w:val="auto"/>
        </w:rPr>
      </w:pPr>
      <w:r>
        <w:rPr>
          <w:rFonts w:ascii="Arial" w:cs="Arial" w:eastAsia="Arial" w:hAnsi="Arial"/>
          <w:sz w:val="17"/>
          <w:szCs w:val="17"/>
          <w:color w:val="auto"/>
        </w:rPr>
        <w:t>On May 28, 2021, we completed our initial public offering, or IPO, in which we issued and sold 12,006,000 shares of common stock at a public offering price of $ 24.00 per share, which included 1,566,000 shares of common stock issued pursuant to the exercise in full of the over-allotment option by the underwriters. We received $263.8 million in net proceeds from the IPO, after deducting underwriting discounts and commissions of $19.4 million and other offering costs of $4.9 million.</w:t>
      </w:r>
    </w:p>
    <w:p>
      <w:pPr>
        <w:spacing w:after="0" w:line="126"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700"/>
          </w:cols>
          <w:pgMar w:left="320" w:top="464" w:right="8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Key Operating Metrics and Non-GAAP Financial Measures</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sets forth our key operating metrics and non-GAAP measures for the periods presented:</w:t>
      </w:r>
    </w:p>
    <w:p>
      <w:pPr>
        <w:spacing w:after="0" w:line="210" w:lineRule="exact"/>
        <w:rPr>
          <w:sz w:val="20"/>
          <w:szCs w:val="20"/>
          <w:color w:val="auto"/>
        </w:rPr>
      </w:pPr>
    </w:p>
    <w:tbl>
      <w:tblPr>
        <w:tblLayout w:type="fixed"/>
        <w:tblInd w:w="900" w:type="dxa"/>
        <w:tblCellMar>
          <w:top w:w="0" w:type="dxa"/>
          <w:left w:w="0" w:type="dxa"/>
          <w:bottom w:w="0" w:type="dxa"/>
          <w:right w:w="0" w:type="dxa"/>
        </w:tblCellMar>
      </w:tblPr>
      <w:tr>
        <w:trPr>
          <w:trHeight w:val="151"/>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184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3"/>
        </w:trPr>
        <w:tc>
          <w:tcPr>
            <w:tcW w:w="392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Gross Margin and Adjusted Gross Margin)</w:t>
            </w: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20" w:type="dxa"/>
            <w:vAlign w:val="bottom"/>
            <w:tcBorders>
              <w:bottom w:val="single" w:sz="8" w:color="auto"/>
            </w:tcBorders>
            <w:vMerge w:val="continue"/>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21"/>
              <w:spacing w:after="0" w:line="119" w:lineRule="exact"/>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8"/>
              <w:spacing w:after="0" w:line="119" w:lineRule="exact"/>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21"/>
              <w:spacing w:after="0" w:line="119" w:lineRule="exact"/>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8"/>
              <w:spacing w:after="0" w:line="119"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9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Total Payment Volume</w:t>
            </w: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98"/>
              </w:rPr>
              <w:t>1,923.8</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98"/>
              </w:rPr>
              <w:t>1,041.6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98"/>
              </w:rPr>
              <w:t>4,786.5</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98"/>
              </w:rPr>
              <w:t>2,724.9</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line="189" w:lineRule="exact"/>
              <w:rPr>
                <w:sz w:val="20"/>
                <w:szCs w:val="20"/>
                <w:color w:val="auto"/>
              </w:rPr>
            </w:pPr>
            <w:r>
              <w:rPr>
                <w:rFonts w:ascii="Arial" w:cs="Arial" w:eastAsia="Arial" w:hAnsi="Arial"/>
                <w:sz w:val="17"/>
                <w:szCs w:val="17"/>
                <w:color w:val="auto"/>
              </w:rPr>
              <w:t>Revenue</w:t>
            </w:r>
          </w:p>
        </w:tc>
        <w:tc>
          <w:tcPr>
            <w:tcW w:w="15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37.0</w:t>
            </w:r>
          </w:p>
        </w:tc>
        <w:tc>
          <w:tcPr>
            <w:tcW w:w="26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23.8</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82.0</w:t>
            </w:r>
          </w:p>
        </w:tc>
        <w:tc>
          <w:tcPr>
            <w:tcW w:w="2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56.5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 Less Ancillary Services</w:t>
            </w:r>
          </w:p>
        </w:tc>
        <w:tc>
          <w:tcPr>
            <w:tcW w:w="15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33.0</w:t>
            </w:r>
          </w:p>
        </w:tc>
        <w:tc>
          <w:tcPr>
            <w:tcW w:w="2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18.6</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73.2</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48.0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line="189" w:lineRule="exact"/>
              <w:rPr>
                <w:sz w:val="20"/>
                <w:szCs w:val="20"/>
                <w:color w:val="auto"/>
              </w:rPr>
            </w:pPr>
            <w:r>
              <w:rPr>
                <w:rFonts w:ascii="Arial" w:cs="Arial" w:eastAsia="Arial" w:hAnsi="Arial"/>
                <w:sz w:val="17"/>
                <w:szCs w:val="17"/>
                <w:color w:val="auto"/>
              </w:rPr>
              <w:t>Gross Margin</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49.2%</w:t>
            </w:r>
          </w:p>
        </w:tc>
        <w:tc>
          <w:tcPr>
            <w:tcW w:w="100" w:type="dxa"/>
            <w:vAlign w:val="bottom"/>
          </w:tcPr>
          <w:p>
            <w:pPr>
              <w:spacing w:after="0"/>
              <w:rPr>
                <w:sz w:val="16"/>
                <w:szCs w:val="16"/>
                <w:color w:val="auto"/>
              </w:rPr>
            </w:pP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Adjusted Gross Margin</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62.9%</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66.3%</w:t>
            </w:r>
          </w:p>
        </w:tc>
        <w:tc>
          <w:tcPr>
            <w:tcW w:w="0" w:type="dxa"/>
            <w:vAlign w:val="bottom"/>
          </w:tcPr>
          <w:p>
            <w:pPr>
              <w:spacing w:after="0"/>
              <w:rPr>
                <w:sz w:val="1"/>
                <w:szCs w:val="1"/>
                <w:color w:val="auto"/>
              </w:rPr>
            </w:pPr>
          </w:p>
        </w:tc>
      </w:tr>
      <w:tr>
        <w:trPr>
          <w:trHeight w:val="189"/>
        </w:trPr>
        <w:tc>
          <w:tcPr>
            <w:tcW w:w="392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5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(18.1)</w:t>
            </w:r>
          </w:p>
        </w:tc>
        <w:tc>
          <w:tcPr>
            <w:tcW w:w="2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(16.0)</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(26.8)</w:t>
            </w:r>
          </w:p>
        </w:tc>
        <w:tc>
          <w:tcPr>
            <w:tcW w:w="2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Adjusted EBITDA</w:t>
            </w:r>
          </w:p>
        </w:tc>
        <w:tc>
          <w:tcPr>
            <w:tcW w:w="15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0.0</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7.0</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80" w:right="220" w:firstLine="411"/>
        <w:spacing w:after="0" w:line="237" w:lineRule="auto"/>
        <w:rPr>
          <w:sz w:val="20"/>
          <w:szCs w:val="20"/>
          <w:color w:val="auto"/>
        </w:rPr>
      </w:pPr>
      <w:r>
        <w:rPr>
          <w:rFonts w:ascii="Arial" w:cs="Arial" w:eastAsia="Arial" w:hAnsi="Arial"/>
          <w:sz w:val="17"/>
          <w:szCs w:val="17"/>
          <w:color w:val="auto"/>
        </w:rPr>
        <w:t>For the six months ended June 30, 2021, transaction revenue and platform and usage-based fee revenue represented 69.2% and 30.8% of our revenue, respectively. For the six months ended June 30, 2020, transaction revenue and platform and usage-based fee revenue represented 64.6% and 35.4% of our revenue less ancillary services, respectively.</w:t>
      </w:r>
    </w:p>
    <w:p>
      <w:pPr>
        <w:spacing w:after="0" w:line="190" w:lineRule="exact"/>
        <w:rPr>
          <w:sz w:val="20"/>
          <w:szCs w:val="20"/>
          <w:color w:val="auto"/>
        </w:rPr>
      </w:pPr>
    </w:p>
    <w:p>
      <w:pPr>
        <w:ind w:left="480" w:right="40" w:firstLine="411"/>
        <w:spacing w:after="0" w:line="237" w:lineRule="auto"/>
        <w:rPr>
          <w:sz w:val="20"/>
          <w:szCs w:val="20"/>
          <w:color w:val="auto"/>
        </w:rPr>
      </w:pPr>
      <w:r>
        <w:rPr>
          <w:rFonts w:ascii="Arial" w:cs="Arial" w:eastAsia="Arial" w:hAnsi="Arial"/>
          <w:sz w:val="17"/>
          <w:szCs w:val="17"/>
          <w:color w:val="auto"/>
        </w:rPr>
        <w:t>For the three months ended June 30, 2021, transaction revenue and platform and usage-based fee revenue represented 65.6% and 34.4% of our revenue, respectively. For the three months ended June 30, 2021, transaction revenue and platform and usage-based fee revenue represented 47.3% and 52.7% of our revenue less ancillary services, respectively.</w:t>
      </w:r>
    </w:p>
    <w:p>
      <w:pPr>
        <w:spacing w:after="0" w:line="190" w:lineRule="exact"/>
        <w:rPr>
          <w:sz w:val="20"/>
          <w:szCs w:val="20"/>
          <w:color w:val="auto"/>
        </w:rPr>
      </w:pPr>
    </w:p>
    <w:p>
      <w:pPr>
        <w:ind w:left="480" w:right="120" w:firstLine="411"/>
        <w:spacing w:after="0" w:line="232" w:lineRule="auto"/>
        <w:rPr>
          <w:sz w:val="20"/>
          <w:szCs w:val="20"/>
          <w:color w:val="auto"/>
        </w:rPr>
      </w:pPr>
      <w:r>
        <w:rPr>
          <w:rFonts w:ascii="Arial" w:cs="Arial" w:eastAsia="Arial" w:hAnsi="Arial"/>
          <w:sz w:val="17"/>
          <w:szCs w:val="17"/>
          <w:color w:val="auto"/>
        </w:rPr>
        <w:t>For six months ended June 30, 2021, our total payment volume was approximately $ 4.8 billion, consisting of $2.9 billion of total payment volume from transactions included in transaction revenue and $1.9 billion of total payment volume from transactions included in platform and usage-based fee revenue. For the six months ended June 30, 2020, our total payment volume was approximately</w:t>
      </w:r>
    </w:p>
    <w:p>
      <w:pPr>
        <w:ind w:left="480" w:right="320"/>
        <w:spacing w:after="0"/>
        <w:rPr>
          <w:sz w:val="20"/>
          <w:szCs w:val="20"/>
          <w:color w:val="auto"/>
        </w:rPr>
      </w:pPr>
      <w:r>
        <w:rPr>
          <w:rFonts w:ascii="Arial" w:cs="Arial" w:eastAsia="Arial" w:hAnsi="Arial"/>
          <w:sz w:val="17"/>
          <w:szCs w:val="17"/>
          <w:color w:val="auto"/>
        </w:rPr>
        <w:t>$2.7 billion, consisting of $1.7 billion of total payment volume from transactions included in transaction revenue and $1.0 billion of total payment volume from transactions included in platform and usage-based fee revenue.</w:t>
      </w:r>
    </w:p>
    <w:p>
      <w:pPr>
        <w:spacing w:after="0" w:line="189" w:lineRule="exact"/>
        <w:rPr>
          <w:sz w:val="20"/>
          <w:szCs w:val="20"/>
          <w:color w:val="auto"/>
        </w:rPr>
      </w:pPr>
    </w:p>
    <w:p>
      <w:pPr>
        <w:ind w:left="480" w:right="340" w:firstLine="411"/>
        <w:spacing w:after="0" w:line="235" w:lineRule="auto"/>
        <w:rPr>
          <w:sz w:val="20"/>
          <w:szCs w:val="20"/>
          <w:color w:val="auto"/>
        </w:rPr>
      </w:pPr>
      <w:r>
        <w:rPr>
          <w:rFonts w:ascii="Arial" w:cs="Arial" w:eastAsia="Arial" w:hAnsi="Arial"/>
          <w:sz w:val="17"/>
          <w:szCs w:val="17"/>
          <w:color w:val="auto"/>
        </w:rPr>
        <w:t>For the three months ended June 30, 2021, our total payment volume was approximately $1.9 billion, consisting of $1.2 billion of total payment volume from transactions included in transaction revenue, and $0.7 billion of total payment volume from transactions included in platform and usage-based fee revenue. For the three months ended June 30, 2020, our total payment volume was approximately $1.0 billion, consisting of $0.5 billion of total payment volume from transactions included in transaction revenue, and $0.5 billion of total payment volume from transactions included in platform and usage-based fee revenue.</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Total Payment Volume</w:t>
      </w:r>
    </w:p>
    <w:p>
      <w:pPr>
        <w:spacing w:after="0" w:line="115" w:lineRule="exact"/>
        <w:rPr>
          <w:sz w:val="20"/>
          <w:szCs w:val="20"/>
          <w:color w:val="auto"/>
        </w:rPr>
      </w:pPr>
    </w:p>
    <w:p>
      <w:pPr>
        <w:ind w:left="480" w:right="140" w:firstLine="411"/>
        <w:spacing w:after="0" w:line="235" w:lineRule="auto"/>
        <w:rPr>
          <w:sz w:val="20"/>
          <w:szCs w:val="20"/>
          <w:color w:val="auto"/>
        </w:rPr>
      </w:pPr>
      <w:r>
        <w:rPr>
          <w:rFonts w:ascii="Arial" w:cs="Arial" w:eastAsia="Arial" w:hAnsi="Arial"/>
          <w:sz w:val="17"/>
          <w:szCs w:val="17"/>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 in a given period.</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Revenue Less Ancillary Services, Adjusted Gross Margin and Adjusted EBITDA</w:t>
      </w:r>
    </w:p>
    <w:p>
      <w:pPr>
        <w:spacing w:after="0" w:line="115"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3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740"/>
          </w:cols>
          <w:pgMar w:left="320" w:top="464" w:right="8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right="60" w:firstLine="411"/>
        <w:spacing w:after="0" w:line="237" w:lineRule="auto"/>
        <w:rPr>
          <w:sz w:val="20"/>
          <w:szCs w:val="20"/>
          <w:color w:val="auto"/>
        </w:rPr>
      </w:pPr>
      <w:r>
        <w:rPr>
          <w:rFonts w:ascii="Arial" w:cs="Arial" w:eastAsia="Arial" w:hAnsi="Arial"/>
          <w:sz w:val="17"/>
          <w:szCs w:val="17"/>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84" w:lineRule="exact"/>
        <w:rPr>
          <w:sz w:val="20"/>
          <w:szCs w:val="20"/>
          <w:color w:val="auto"/>
        </w:rPr>
      </w:pPr>
    </w:p>
    <w:p>
      <w:pPr>
        <w:ind w:left="1380" w:right="20" w:hanging="497"/>
        <w:spacing w:after="0" w:line="270" w:lineRule="auto"/>
        <w:tabs>
          <w:tab w:leader="none" w:pos="13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Revenue Less Ancillary Services </w:t>
      </w:r>
      <w:r>
        <w:rPr>
          <w:rFonts w:ascii="Arial" w:cs="Arial" w:eastAsia="Arial" w:hAnsi="Arial"/>
          <w:sz w:val="16"/>
          <w:szCs w:val="16"/>
          <w:color w:val="auto"/>
        </w:rPr>
        <w:t>represents our consolidated revenue in accordance with GAAP after excluding (i) pass-through cost for printing and mailing services and (ii) marketing fees. We exclude these amounts to arrive at this supplemental non-GAAP financial measure as we view these services as ancillary to the primary services we provide to our clients.</w:t>
      </w:r>
    </w:p>
    <w:p>
      <w:pPr>
        <w:spacing w:after="0" w:line="59" w:lineRule="exact"/>
        <w:rPr>
          <w:rFonts w:ascii="Arial" w:cs="Arial" w:eastAsia="Arial" w:hAnsi="Arial"/>
          <w:sz w:val="16"/>
          <w:szCs w:val="16"/>
          <w:color w:val="auto"/>
        </w:rPr>
      </w:pPr>
    </w:p>
    <w:p>
      <w:pPr>
        <w:ind w:left="1380" w:right="160" w:hanging="497"/>
        <w:spacing w:after="0" w:line="239" w:lineRule="auto"/>
        <w:tabs>
          <w:tab w:leader="none" w:pos="138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Adjusted Gross Margin</w:t>
      </w:r>
      <w:r>
        <w:rPr>
          <w:rFonts w:ascii="Arial" w:cs="Arial" w:eastAsia="Arial" w:hAnsi="Arial"/>
          <w:sz w:val="17"/>
          <w:szCs w:val="17"/>
          <w:color w:val="auto"/>
        </w:rPr>
        <w:t>. Adjusted gross margin represents adjusted gross profit divided by Revenue Less Ancillary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Adjusted gross profit represents Revenue Less Ancillary Services less cost of revenue adjusted to (i) exclude pass-through cost for printing services and (ii) offset marketing fees against costs incurred. Management believes this presentation supplements the GAAP presentation of gross margin with a useful measure of the gross margin of our payment-related services, which are the primary services we provide to our clients.</w:t>
      </w:r>
    </w:p>
    <w:p>
      <w:pPr>
        <w:spacing w:after="0" w:line="83" w:lineRule="exact"/>
        <w:rPr>
          <w:rFonts w:ascii="Arial" w:cs="Arial" w:eastAsia="Arial" w:hAnsi="Arial"/>
          <w:sz w:val="17"/>
          <w:szCs w:val="17"/>
          <w:color w:val="auto"/>
        </w:rPr>
      </w:pPr>
    </w:p>
    <w:p>
      <w:pPr>
        <w:ind w:left="1380" w:hanging="497"/>
        <w:spacing w:after="0"/>
        <w:tabs>
          <w:tab w:leader="none" w:pos="13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Adjusted EBITDA</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Adjusted EBITDA represents EBITDA further adjusted by excluding (i) stock-based compensation expense,</w:t>
      </w:r>
    </w:p>
    <w:p>
      <w:pPr>
        <w:spacing w:after="0" w:line="25" w:lineRule="exact"/>
        <w:rPr>
          <w:rFonts w:ascii="Arial" w:cs="Arial" w:eastAsia="Arial" w:hAnsi="Arial"/>
          <w:sz w:val="16"/>
          <w:szCs w:val="16"/>
          <w:color w:val="auto"/>
        </w:rPr>
      </w:pPr>
    </w:p>
    <w:p>
      <w:pPr>
        <w:ind w:left="1380" w:right="300" w:firstLine="8"/>
        <w:spacing w:after="0" w:line="232" w:lineRule="auto"/>
        <w:tabs>
          <w:tab w:leader="none" w:pos="1613"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impact from the change in fair value measurement for contingent consideration associated with acquisitions, (iii) the impact from the change in fair value measurement of our preferred stock warrants, (iv) other income (expense), net,</w:t>
      </w:r>
    </w:p>
    <w:p>
      <w:pPr>
        <w:ind w:left="1380" w:right="40" w:firstLine="8"/>
        <w:spacing w:after="0" w:line="237" w:lineRule="auto"/>
        <w:tabs>
          <w:tab w:leader="none" w:pos="1623" w:val="left"/>
        </w:tabs>
        <w:numPr>
          <w:ilvl w:val="1"/>
          <w:numId w:val="16"/>
        </w:numPr>
        <w:rPr>
          <w:rFonts w:ascii="Arial" w:cs="Arial" w:eastAsia="Arial" w:hAnsi="Arial"/>
          <w:sz w:val="17"/>
          <w:szCs w:val="17"/>
          <w:color w:val="auto"/>
        </w:rPr>
      </w:pPr>
      <w:r>
        <w:rPr>
          <w:rFonts w:ascii="Arial" w:cs="Arial" w:eastAsia="Arial" w:hAnsi="Arial"/>
          <w:sz w:val="17"/>
          <w:szCs w:val="17"/>
          <w:color w:val="auto"/>
        </w:rPr>
        <w:t>acquisition related transaction costs, and (vi)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190" w:lineRule="exact"/>
        <w:rPr>
          <w:sz w:val="20"/>
          <w:szCs w:val="20"/>
          <w:color w:val="auto"/>
        </w:rPr>
      </w:pPr>
    </w:p>
    <w:p>
      <w:pPr>
        <w:ind w:left="480" w:right="20" w:firstLine="411"/>
        <w:spacing w:after="0" w:line="234" w:lineRule="auto"/>
        <w:rPr>
          <w:sz w:val="20"/>
          <w:szCs w:val="20"/>
          <w:color w:val="auto"/>
        </w:rPr>
      </w:pPr>
      <w:r>
        <w:rPr>
          <w:rFonts w:ascii="Arial" w:cs="Arial" w:eastAsia="Arial" w:hAnsi="Arial"/>
          <w:sz w:val="17"/>
          <w:szCs w:val="17"/>
          <w:color w:val="auto"/>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Adjusted Gross Margin and Adjusted EBITDA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Reconciliations of Non-GAAP Financial Measures</w:t>
      </w:r>
    </w:p>
    <w:p>
      <w:pPr>
        <w:spacing w:after="0" w:line="115" w:lineRule="exact"/>
        <w:rPr>
          <w:sz w:val="20"/>
          <w:szCs w:val="20"/>
          <w:color w:val="auto"/>
        </w:rPr>
      </w:pPr>
    </w:p>
    <w:p>
      <w:pPr>
        <w:ind w:left="480" w:right="360" w:firstLine="411"/>
        <w:spacing w:after="0"/>
        <w:rPr>
          <w:sz w:val="20"/>
          <w:szCs w:val="20"/>
          <w:color w:val="auto"/>
        </w:rPr>
      </w:pPr>
      <w:r>
        <w:rPr>
          <w:rFonts w:ascii="Arial" w:cs="Arial" w:eastAsia="Arial" w:hAnsi="Arial"/>
          <w:sz w:val="17"/>
          <w:szCs w:val="17"/>
          <w:color w:val="auto"/>
        </w:rPr>
        <w:t>The tables below provide reconciliations of Revenue Less Ancillary Services, Adjusted Gross Margin and Adjusted EBITDA on a consolidated basis for the periods presented.</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Revenue Less Ancillary Services and Adjusted Gross Margin:</w:t>
      </w:r>
    </w:p>
    <w:p>
      <w:pPr>
        <w:spacing w:after="0" w:line="228" w:lineRule="exact"/>
        <w:rPr>
          <w:sz w:val="20"/>
          <w:szCs w:val="20"/>
          <w:color w:val="auto"/>
        </w:rPr>
      </w:pPr>
    </w:p>
    <w:tbl>
      <w:tblPr>
        <w:tblLayout w:type="fixed"/>
        <w:tblInd w:w="90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5"/>
          </w:tcPr>
          <w:p>
            <w:pPr>
              <w:jc w:val="right"/>
              <w:ind w:right="540"/>
              <w:spacing w:after="0"/>
              <w:rPr>
                <w:sz w:val="20"/>
                <w:szCs w:val="20"/>
                <w:color w:val="auto"/>
              </w:rPr>
            </w:pPr>
            <w:r>
              <w:rPr>
                <w:rFonts w:ascii="Arial" w:cs="Arial" w:eastAsia="Arial" w:hAnsi="Arial"/>
                <w:sz w:val="13"/>
                <w:szCs w:val="13"/>
                <w:b w:val="1"/>
                <w:bCs w:val="1"/>
                <w:color w:val="auto"/>
              </w:rPr>
              <w:t>Three Months Ended</w:t>
            </w:r>
          </w:p>
        </w:tc>
        <w:tc>
          <w:tcPr>
            <w:tcW w:w="158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3"/>
        </w:trPr>
        <w:tc>
          <w:tcPr>
            <w:tcW w:w="59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Millions, Except for Gross Margin and Adjusted Gross Margin)</w:t>
            </w:r>
          </w:p>
        </w:tc>
        <w:tc>
          <w:tcPr>
            <w:tcW w:w="1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4"/>
          </w:tcPr>
          <w:p>
            <w:pPr>
              <w:jc w:val="right"/>
              <w:ind w:right="6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31"/>
        </w:trPr>
        <w:tc>
          <w:tcPr>
            <w:tcW w:w="592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19"/>
              <w:spacing w:after="0" w:line="119" w:lineRule="exact"/>
              <w:rPr>
                <w:sz w:val="20"/>
                <w:szCs w:val="20"/>
                <w:color w:val="auto"/>
              </w:rPr>
            </w:pPr>
            <w:r>
              <w:rPr>
                <w:rFonts w:ascii="Arial" w:cs="Arial" w:eastAsia="Arial" w:hAnsi="Arial"/>
                <w:sz w:val="13"/>
                <w:szCs w:val="13"/>
                <w:b w:val="1"/>
                <w:bCs w:val="1"/>
                <w:color w:val="auto"/>
                <w:w w:val="96"/>
              </w:rPr>
              <w:t>2021</w:t>
            </w: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7"/>
              <w:spacing w:after="0" w:line="119" w:lineRule="exact"/>
              <w:rPr>
                <w:sz w:val="20"/>
                <w:szCs w:val="20"/>
                <w:color w:val="auto"/>
              </w:rPr>
            </w:pPr>
            <w:r>
              <w:rPr>
                <w:rFonts w:ascii="Arial" w:cs="Arial" w:eastAsia="Arial" w:hAnsi="Arial"/>
                <w:sz w:val="13"/>
                <w:szCs w:val="13"/>
                <w:b w:val="1"/>
                <w:bCs w:val="1"/>
                <w:color w:val="auto"/>
                <w:w w:val="96"/>
              </w:rPr>
              <w:t>2020</w:t>
            </w:r>
          </w:p>
        </w:tc>
        <w:tc>
          <w:tcPr>
            <w:tcW w:w="440" w:type="dxa"/>
            <w:vAlign w:val="bottom"/>
          </w:tcPr>
          <w:p>
            <w:pPr>
              <w:spacing w:after="0"/>
              <w:rPr>
                <w:sz w:val="11"/>
                <w:szCs w:val="11"/>
                <w:color w:val="auto"/>
              </w:rPr>
            </w:pPr>
          </w:p>
        </w:tc>
        <w:tc>
          <w:tcPr>
            <w:tcW w:w="4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2021</w:t>
            </w:r>
          </w:p>
        </w:tc>
        <w:tc>
          <w:tcPr>
            <w:tcW w:w="4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7"/>
              <w:spacing w:after="0" w:line="119"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auto"/>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590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37.0</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23.8</w:t>
            </w: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8"/>
              </w:rPr>
              <w:t>$ 82.0</w:t>
            </w: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97"/>
              </w:rPr>
              <w:t>$ 56.5</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gridSpan w:val="2"/>
          </w:tcPr>
          <w:p>
            <w:pPr>
              <w:spacing w:after="0" w:line="189" w:lineRule="exact"/>
              <w:rPr>
                <w:sz w:val="20"/>
                <w:szCs w:val="20"/>
                <w:color w:val="auto"/>
              </w:rPr>
            </w:pPr>
            <w:r>
              <w:rPr>
                <w:rFonts w:ascii="Arial" w:cs="Arial" w:eastAsia="Arial" w:hAnsi="Arial"/>
                <w:sz w:val="17"/>
                <w:szCs w:val="17"/>
                <w:color w:val="auto"/>
              </w:rPr>
              <w:t>Adjusted to exclude gross up for:</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7"/>
                <w:szCs w:val="17"/>
                <w:color w:val="auto"/>
              </w:rPr>
              <w:t>Pass-through cost for printing and mailing</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(5.2)</w:t>
            </w:r>
          </w:p>
        </w:tc>
        <w:tc>
          <w:tcPr>
            <w:tcW w:w="90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(8.4)</w:t>
            </w:r>
          </w:p>
        </w:tc>
        <w:tc>
          <w:tcPr>
            <w:tcW w:w="6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gridSpan w:val="2"/>
          </w:tcPr>
          <w:p>
            <w:pPr>
              <w:ind w:left="320"/>
              <w:spacing w:after="0" w:line="189" w:lineRule="exact"/>
              <w:rPr>
                <w:sz w:val="20"/>
                <w:szCs w:val="20"/>
                <w:color w:val="auto"/>
              </w:rPr>
            </w:pPr>
            <w:r>
              <w:rPr>
                <w:rFonts w:ascii="Arial" w:cs="Arial" w:eastAsia="Arial" w:hAnsi="Arial"/>
                <w:sz w:val="17"/>
                <w:szCs w:val="17"/>
                <w:color w:val="auto"/>
              </w:rPr>
              <w:t>Marketing fees</w:t>
            </w:r>
          </w:p>
        </w:tc>
        <w:tc>
          <w:tcPr>
            <w:tcW w:w="100" w:type="dxa"/>
            <w:vAlign w:val="bottom"/>
          </w:tcPr>
          <w:p>
            <w:pPr>
              <w:spacing w:after="0"/>
              <w:rPr>
                <w:sz w:val="16"/>
                <w:szCs w:val="16"/>
                <w:color w:val="auto"/>
              </w:rPr>
            </w:pPr>
          </w:p>
        </w:tc>
        <w:tc>
          <w:tcPr>
            <w:tcW w:w="88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(0.1)</w:t>
            </w:r>
          </w:p>
        </w:tc>
        <w:tc>
          <w:tcPr>
            <w:tcW w:w="120" w:type="dxa"/>
            <w:vAlign w:val="bottom"/>
          </w:tcPr>
          <w:p>
            <w:pPr>
              <w:spacing w:after="0"/>
              <w:rPr>
                <w:sz w:val="16"/>
                <w:szCs w:val="16"/>
                <w:color w:val="auto"/>
              </w:rPr>
            </w:pPr>
          </w:p>
        </w:tc>
        <w:tc>
          <w:tcPr>
            <w:tcW w:w="86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(0.4)</w:t>
            </w:r>
          </w:p>
        </w:tc>
        <w:tc>
          <w:tcPr>
            <w:tcW w:w="6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Revenue Less Ancillary Services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33.0</w:t>
            </w: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18.6</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73.2</w:t>
            </w: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$ 48.0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2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920" w:type="dxa"/>
            <w:vAlign w:val="bottom"/>
            <w:gridSpan w:val="3"/>
          </w:tcPr>
          <w:p>
            <w:pPr>
              <w:spacing w:after="0" w:line="180" w:lineRule="exact"/>
              <w:rPr>
                <w:sz w:val="20"/>
                <w:szCs w:val="20"/>
                <w:color w:val="auto"/>
              </w:rPr>
            </w:pPr>
            <w:r>
              <w:rPr>
                <w:rFonts w:ascii="Arial" w:cs="Arial" w:eastAsia="Arial" w:hAnsi="Arial"/>
                <w:sz w:val="17"/>
                <w:szCs w:val="17"/>
                <w:color w:val="auto"/>
              </w:rPr>
              <w:t>Payment processing services costs</w:t>
            </w:r>
          </w:p>
        </w:tc>
        <w:tc>
          <w:tcPr>
            <w:tcW w:w="10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Arial" w:cs="Arial" w:eastAsia="Arial" w:hAnsi="Arial"/>
                <w:sz w:val="17"/>
                <w:szCs w:val="17"/>
                <w:color w:val="auto"/>
              </w:rPr>
              <w:t>13.1</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40"/>
              <w:spacing w:after="0" w:line="180" w:lineRule="exact"/>
              <w:rPr>
                <w:sz w:val="20"/>
                <w:szCs w:val="20"/>
                <w:color w:val="auto"/>
              </w:rPr>
            </w:pPr>
            <w:r>
              <w:rPr>
                <w:rFonts w:ascii="Arial" w:cs="Arial" w:eastAsia="Arial" w:hAnsi="Arial"/>
                <w:sz w:val="17"/>
                <w:szCs w:val="17"/>
                <w:color w:val="auto"/>
              </w:rPr>
              <w:t>10.9</w:t>
            </w:r>
          </w:p>
        </w:tc>
        <w:tc>
          <w:tcPr>
            <w:tcW w:w="440" w:type="dxa"/>
            <w:vAlign w:val="bottom"/>
          </w:tcPr>
          <w:p>
            <w:pPr>
              <w:jc w:val="right"/>
              <w:spacing w:after="0" w:line="180" w:lineRule="exact"/>
              <w:rPr>
                <w:sz w:val="20"/>
                <w:szCs w:val="20"/>
                <w:color w:val="auto"/>
              </w:rPr>
            </w:pPr>
            <w:r>
              <w:rPr>
                <w:rFonts w:ascii="Arial" w:cs="Arial" w:eastAsia="Arial" w:hAnsi="Arial"/>
                <w:sz w:val="17"/>
                <w:szCs w:val="17"/>
                <w:color w:val="auto"/>
              </w:rPr>
              <w:t>29.2</w:t>
            </w:r>
          </w:p>
        </w:tc>
        <w:tc>
          <w:tcPr>
            <w:tcW w:w="46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Arial" w:cs="Arial" w:eastAsia="Arial" w:hAnsi="Arial"/>
                <w:sz w:val="17"/>
                <w:szCs w:val="17"/>
                <w:color w:val="auto"/>
              </w:rPr>
              <w:t>22.5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Hosting and amortization costs within technology and development</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00" w:type="dxa"/>
            <w:vAlign w:val="bottom"/>
            <w:gridSpan w:val="2"/>
            <w:shd w:val="clear" w:color="auto" w:fill="CCEEFF"/>
          </w:tcPr>
          <w:p>
            <w:pPr>
              <w:ind w:left="140"/>
              <w:spacing w:after="0" w:line="190" w:lineRule="exact"/>
              <w:rPr>
                <w:sz w:val="20"/>
                <w:szCs w:val="20"/>
                <w:color w:val="auto"/>
              </w:rPr>
            </w:pPr>
            <w:r>
              <w:rPr>
                <w:rFonts w:ascii="Arial" w:cs="Arial" w:eastAsia="Arial" w:hAnsi="Arial"/>
                <w:sz w:val="17"/>
                <w:szCs w:val="17"/>
                <w:color w:val="auto"/>
              </w:rPr>
              <w:t>expenses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80"/>
              <w:spacing w:after="0" w:line="190" w:lineRule="exact"/>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40"/>
              <w:spacing w:after="0" w:line="190" w:lineRule="exact"/>
              <w:rPr>
                <w:sz w:val="20"/>
                <w:szCs w:val="20"/>
                <w:color w:val="auto"/>
              </w:rPr>
            </w:pPr>
            <w:r>
              <w:rPr>
                <w:rFonts w:ascii="Arial" w:cs="Arial" w:eastAsia="Arial" w:hAnsi="Arial"/>
                <w:sz w:val="17"/>
                <w:szCs w:val="17"/>
                <w:color w:val="auto"/>
              </w:rPr>
              <w:t>1.2</w:t>
            </w:r>
          </w:p>
        </w:tc>
        <w:tc>
          <w:tcPr>
            <w:tcW w:w="900" w:type="dxa"/>
            <w:vAlign w:val="bottom"/>
            <w:gridSpan w:val="2"/>
            <w:shd w:val="clear" w:color="auto" w:fill="CCEEFF"/>
          </w:tcPr>
          <w:p>
            <w:pPr>
              <w:jc w:val="right"/>
              <w:ind w:right="440"/>
              <w:spacing w:after="0" w:line="190" w:lineRule="exact"/>
              <w:rPr>
                <w:sz w:val="20"/>
                <w:szCs w:val="20"/>
                <w:color w:val="auto"/>
              </w:rPr>
            </w:pPr>
            <w:r>
              <w:rPr>
                <w:rFonts w:ascii="Arial" w:cs="Arial" w:eastAsia="Arial" w:hAnsi="Arial"/>
                <w:sz w:val="17"/>
                <w:szCs w:val="17"/>
                <w:color w:val="auto"/>
              </w:rPr>
              <w:t>2.7</w:t>
            </w:r>
          </w:p>
        </w:tc>
        <w:tc>
          <w:tcPr>
            <w:tcW w:w="680" w:type="dxa"/>
            <w:vAlign w:val="bottom"/>
            <w:gridSpan w:val="2"/>
            <w:shd w:val="clear" w:color="auto" w:fill="CCEEFF"/>
          </w:tcPr>
          <w:p>
            <w:pPr>
              <w:jc w:val="right"/>
              <w:ind w:right="200"/>
              <w:spacing w:after="0" w:line="190"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gridSpan w:val="2"/>
          </w:tcPr>
          <w:p>
            <w:pPr>
              <w:spacing w:after="0" w:line="189" w:lineRule="exact"/>
              <w:rPr>
                <w:sz w:val="20"/>
                <w:szCs w:val="20"/>
                <w:color w:val="auto"/>
              </w:rPr>
            </w:pPr>
            <w:r>
              <w:rPr>
                <w:rFonts w:ascii="Arial" w:cs="Arial" w:eastAsia="Arial" w:hAnsi="Arial"/>
                <w:sz w:val="17"/>
                <w:szCs w:val="17"/>
                <w:color w:val="auto"/>
              </w:rPr>
              <w:t>Adjusted to:</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7"/>
                <w:szCs w:val="17"/>
                <w:color w:val="auto"/>
              </w:rPr>
              <w:t>Exclude printing and mailing costs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(5.2)</w:t>
            </w:r>
          </w:p>
        </w:tc>
        <w:tc>
          <w:tcPr>
            <w:tcW w:w="90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(8.4)</w:t>
            </w:r>
          </w:p>
        </w:tc>
        <w:tc>
          <w:tcPr>
            <w:tcW w:w="6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gridSpan w:val="2"/>
          </w:tcPr>
          <w:p>
            <w:pPr>
              <w:ind w:left="320"/>
              <w:spacing w:after="0" w:line="189" w:lineRule="exact"/>
              <w:rPr>
                <w:sz w:val="20"/>
                <w:szCs w:val="20"/>
                <w:color w:val="auto"/>
              </w:rPr>
            </w:pPr>
            <w:r>
              <w:rPr>
                <w:rFonts w:ascii="Arial" w:cs="Arial" w:eastAsia="Arial" w:hAnsi="Arial"/>
                <w:sz w:val="17"/>
                <w:szCs w:val="17"/>
                <w:color w:val="auto"/>
              </w:rPr>
              <w:t>Offset marketing fees against related costs</w:t>
            </w:r>
          </w:p>
        </w:tc>
        <w:tc>
          <w:tcPr>
            <w:tcW w:w="100" w:type="dxa"/>
            <w:vAlign w:val="bottom"/>
          </w:tcPr>
          <w:p>
            <w:pPr>
              <w:spacing w:after="0"/>
              <w:rPr>
                <w:sz w:val="16"/>
                <w:szCs w:val="16"/>
                <w:color w:val="auto"/>
              </w:rPr>
            </w:pPr>
          </w:p>
        </w:tc>
        <w:tc>
          <w:tcPr>
            <w:tcW w:w="88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(0.1)</w:t>
            </w:r>
          </w:p>
        </w:tc>
        <w:tc>
          <w:tcPr>
            <w:tcW w:w="120" w:type="dxa"/>
            <w:vAlign w:val="bottom"/>
          </w:tcPr>
          <w:p>
            <w:pPr>
              <w:spacing w:after="0"/>
              <w:rPr>
                <w:sz w:val="16"/>
                <w:szCs w:val="16"/>
                <w:color w:val="auto"/>
              </w:rPr>
            </w:pPr>
          </w:p>
        </w:tc>
        <w:tc>
          <w:tcPr>
            <w:tcW w:w="86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(0.4)</w:t>
            </w:r>
          </w:p>
        </w:tc>
        <w:tc>
          <w:tcPr>
            <w:tcW w:w="6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Costs of revenue less ancillary services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10.5</w:t>
            </w: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6.9</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8"/>
              </w:rPr>
              <w:t>$ 23.1</w:t>
            </w: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$ 16.2</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gridSpan w:val="2"/>
          </w:tcPr>
          <w:p>
            <w:pPr>
              <w:spacing w:after="0" w:line="189" w:lineRule="exact"/>
              <w:rPr>
                <w:sz w:val="20"/>
                <w:szCs w:val="20"/>
                <w:color w:val="auto"/>
              </w:rPr>
            </w:pPr>
            <w:r>
              <w:rPr>
                <w:rFonts w:ascii="Arial" w:cs="Arial" w:eastAsia="Arial" w:hAnsi="Arial"/>
                <w:sz w:val="17"/>
                <w:szCs w:val="17"/>
                <w:color w:val="auto"/>
              </w:rPr>
              <w:t>Gross Profit</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22.5</w:t>
            </w:r>
          </w:p>
        </w:tc>
        <w:tc>
          <w:tcPr>
            <w:tcW w:w="48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11.7</w:t>
            </w: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w w:val="88"/>
              </w:rPr>
              <w:t>$ 50.1</w:t>
            </w:r>
          </w:p>
        </w:tc>
        <w:tc>
          <w:tcPr>
            <w:tcW w:w="460" w:type="dxa"/>
            <w:vAlign w:val="bottom"/>
          </w:tcPr>
          <w:p>
            <w:pPr>
              <w:spacing w:after="0"/>
              <w:rPr>
                <w:sz w:val="16"/>
                <w:szCs w:val="16"/>
                <w:color w:val="auto"/>
              </w:rPr>
            </w:pPr>
          </w:p>
        </w:tc>
        <w:tc>
          <w:tcPr>
            <w:tcW w:w="480" w:type="dxa"/>
            <w:vAlign w:val="bottom"/>
          </w:tcPr>
          <w:p>
            <w:pPr>
              <w:jc w:val="right"/>
              <w:spacing w:after="0" w:line="189" w:lineRule="exact"/>
              <w:rPr>
                <w:sz w:val="20"/>
                <w:szCs w:val="20"/>
                <w:color w:val="auto"/>
              </w:rPr>
            </w:pPr>
            <w:r>
              <w:rPr>
                <w:rFonts w:ascii="Arial" w:cs="Arial" w:eastAsia="Arial" w:hAnsi="Arial"/>
                <w:sz w:val="17"/>
                <w:szCs w:val="17"/>
                <w:color w:val="auto"/>
                <w:w w:val="97"/>
              </w:rPr>
              <w:t>$ 31.8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Gross Margin</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60.8%</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49.2%</w:t>
            </w:r>
          </w:p>
        </w:tc>
        <w:tc>
          <w:tcPr>
            <w:tcW w:w="9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61.1%</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0"/>
        </w:trPr>
        <w:tc>
          <w:tcPr>
            <w:tcW w:w="592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920" w:type="dxa"/>
            <w:vAlign w:val="bottom"/>
            <w:gridSpan w:val="3"/>
          </w:tcPr>
          <w:p>
            <w:pPr>
              <w:spacing w:after="0" w:line="180" w:lineRule="exact"/>
              <w:rPr>
                <w:sz w:val="20"/>
                <w:szCs w:val="20"/>
                <w:color w:val="auto"/>
              </w:rPr>
            </w:pPr>
            <w:r>
              <w:rPr>
                <w:rFonts w:ascii="Arial" w:cs="Arial" w:eastAsia="Arial" w:hAnsi="Arial"/>
                <w:sz w:val="17"/>
                <w:szCs w:val="17"/>
                <w:color w:val="auto"/>
              </w:rPr>
              <w:t>Adjusted Gross Profit</w:t>
            </w:r>
          </w:p>
        </w:tc>
        <w:tc>
          <w:tcPr>
            <w:tcW w:w="100" w:type="dxa"/>
            <w:vAlign w:val="bottom"/>
          </w:tcPr>
          <w:p>
            <w:pPr>
              <w:jc w:val="right"/>
              <w:spacing w:after="0" w:line="180" w:lineRule="exact"/>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line="180" w:lineRule="exact"/>
              <w:rPr>
                <w:sz w:val="20"/>
                <w:szCs w:val="20"/>
                <w:color w:val="auto"/>
              </w:rPr>
            </w:pPr>
            <w:r>
              <w:rPr>
                <w:rFonts w:ascii="Arial" w:cs="Arial" w:eastAsia="Arial" w:hAnsi="Arial"/>
                <w:sz w:val="17"/>
                <w:szCs w:val="17"/>
                <w:color w:val="auto"/>
              </w:rPr>
              <w:t>22.5</w:t>
            </w:r>
          </w:p>
        </w:tc>
        <w:tc>
          <w:tcPr>
            <w:tcW w:w="48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440"/>
              <w:spacing w:after="0" w:line="180" w:lineRule="exact"/>
              <w:rPr>
                <w:sz w:val="20"/>
                <w:szCs w:val="20"/>
                <w:color w:val="auto"/>
              </w:rPr>
            </w:pPr>
            <w:r>
              <w:rPr>
                <w:rFonts w:ascii="Arial" w:cs="Arial" w:eastAsia="Arial" w:hAnsi="Arial"/>
                <w:sz w:val="17"/>
                <w:szCs w:val="17"/>
                <w:color w:val="auto"/>
              </w:rPr>
              <w:t>11.7</w:t>
            </w:r>
          </w:p>
        </w:tc>
        <w:tc>
          <w:tcPr>
            <w:tcW w:w="440" w:type="dxa"/>
            <w:vAlign w:val="bottom"/>
          </w:tcPr>
          <w:p>
            <w:pPr>
              <w:jc w:val="right"/>
              <w:spacing w:after="0" w:line="180" w:lineRule="exact"/>
              <w:rPr>
                <w:sz w:val="20"/>
                <w:szCs w:val="20"/>
                <w:color w:val="auto"/>
              </w:rPr>
            </w:pPr>
            <w:r>
              <w:rPr>
                <w:rFonts w:ascii="Arial" w:cs="Arial" w:eastAsia="Arial" w:hAnsi="Arial"/>
                <w:sz w:val="17"/>
                <w:szCs w:val="17"/>
                <w:color w:val="auto"/>
                <w:w w:val="88"/>
              </w:rPr>
              <w:t>$ 50.1</w:t>
            </w:r>
          </w:p>
        </w:tc>
        <w:tc>
          <w:tcPr>
            <w:tcW w:w="46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Arial" w:cs="Arial" w:eastAsia="Arial" w:hAnsi="Arial"/>
                <w:sz w:val="17"/>
                <w:szCs w:val="17"/>
                <w:color w:val="auto"/>
                <w:w w:val="97"/>
              </w:rPr>
              <w:t>$ 31.8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Adjusted Gross Margin</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68.2%</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62.9%</w:t>
            </w:r>
          </w:p>
        </w:tc>
        <w:tc>
          <w:tcPr>
            <w:tcW w:w="9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68.4%</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66.3%</w:t>
            </w: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jc w:val="right"/>
              <w:ind w:right="1100"/>
              <w:spacing w:after="0"/>
              <w:rPr>
                <w:sz w:val="20"/>
                <w:szCs w:val="20"/>
                <w:color w:val="auto"/>
              </w:rPr>
            </w:pPr>
            <w:r>
              <w:rPr>
                <w:rFonts w:ascii="Arial" w:cs="Arial" w:eastAsia="Arial" w:hAnsi="Arial"/>
                <w:sz w:val="17"/>
                <w:szCs w:val="17"/>
                <w:color w:val="auto"/>
              </w:rPr>
              <w:t>32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9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64" w:right="81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tbl>
      <w:tblPr>
        <w:tblLayout w:type="fixed"/>
        <w:tblInd w:w="480" w:type="dxa"/>
        <w:tblCellMar>
          <w:top w:w="0" w:type="dxa"/>
          <w:left w:w="0" w:type="dxa"/>
          <w:bottom w:w="0" w:type="dxa"/>
          <w:right w:w="0" w:type="dxa"/>
        </w:tblCellMar>
      </w:tblPr>
      <w:tr>
        <w:trPr>
          <w:trHeight w:val="151"/>
        </w:trPr>
        <w:tc>
          <w:tcPr>
            <w:tcW w:w="7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gridSpan w:val="6"/>
          </w:tcPr>
          <w:p>
            <w:pPr>
              <w:jc w:val="center"/>
              <w:ind w:left="217"/>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gridSpan w:val="6"/>
          </w:tcPr>
          <w:p>
            <w:pPr>
              <w:jc w:val="center"/>
              <w:ind w:left="237"/>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3"/>
                <w:szCs w:val="13"/>
                <w:b w:val="1"/>
                <w:bCs w:val="1"/>
                <w:color w:val="auto"/>
              </w:rPr>
              <w:t>June 30, 2021</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3"/>
                <w:szCs w:val="13"/>
                <w:b w:val="1"/>
                <w:bCs w:val="1"/>
                <w:color w:val="auto"/>
              </w:rPr>
              <w:t>June 30, 2020</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3"/>
          </w:tcPr>
          <w:p>
            <w:pPr>
              <w:spacing w:after="0" w:line="133" w:lineRule="exact"/>
              <w:rPr>
                <w:sz w:val="20"/>
                <w:szCs w:val="20"/>
                <w:color w:val="auto"/>
              </w:rPr>
            </w:pPr>
            <w:r>
              <w:rPr>
                <w:rFonts w:ascii="Arial" w:cs="Arial" w:eastAsia="Arial" w:hAnsi="Arial"/>
                <w:sz w:val="13"/>
                <w:szCs w:val="13"/>
                <w:b w:val="1"/>
                <w:bCs w:val="1"/>
                <w:color w:val="auto"/>
              </w:rPr>
              <w:t>Platform</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Platform</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rPr>
              <w:t>and</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rPr>
              <w:t>and</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rPr>
              <w:t>Usage-</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rPr>
              <w:t>Usage-</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9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rPr>
              <w:t>Based</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rPr>
              <w:t>Based</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Transaction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520"/>
              <w:spacing w:after="0" w:line="118" w:lineRule="exact"/>
              <w:rPr>
                <w:sz w:val="20"/>
                <w:szCs w:val="20"/>
                <w:color w:val="auto"/>
              </w:rPr>
            </w:pPr>
            <w:r>
              <w:rPr>
                <w:rFonts w:ascii="Arial" w:cs="Arial" w:eastAsia="Arial" w:hAnsi="Arial"/>
                <w:sz w:val="13"/>
                <w:szCs w:val="13"/>
                <w:b w:val="1"/>
                <w:bCs w:val="1"/>
                <w:color w:val="auto"/>
              </w:rPr>
              <w:t>Fee</w:t>
            </w:r>
          </w:p>
        </w:tc>
        <w:tc>
          <w:tcPr>
            <w:tcW w:w="84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Revenue</w:t>
            </w:r>
          </w:p>
        </w:tc>
        <w:tc>
          <w:tcPr>
            <w:tcW w:w="120" w:type="dxa"/>
            <w:vAlign w:val="bottom"/>
          </w:tcPr>
          <w:p>
            <w:pPr>
              <w:spacing w:after="0"/>
              <w:rPr>
                <w:sz w:val="11"/>
                <w:szCs w:val="11"/>
                <w:color w:val="auto"/>
              </w:rPr>
            </w:pPr>
          </w:p>
        </w:tc>
        <w:tc>
          <w:tcPr>
            <w:tcW w:w="92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Transaction</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560"/>
              <w:spacing w:after="0" w:line="118" w:lineRule="exact"/>
              <w:rPr>
                <w:sz w:val="20"/>
                <w:szCs w:val="20"/>
                <w:color w:val="auto"/>
              </w:rPr>
            </w:pPr>
            <w:r>
              <w:rPr>
                <w:rFonts w:ascii="Arial" w:cs="Arial" w:eastAsia="Arial" w:hAnsi="Arial"/>
                <w:sz w:val="13"/>
                <w:szCs w:val="13"/>
                <w:b w:val="1"/>
                <w:bCs w:val="1"/>
                <w:color w:val="auto"/>
              </w:rPr>
              <w:t>Fee</w:t>
            </w:r>
          </w:p>
        </w:tc>
        <w:tc>
          <w:tcPr>
            <w:tcW w:w="76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Revenue</w:t>
            </w: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90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Revenue</w:t>
            </w: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24.3</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12.7</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37.0</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11.2</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12.6</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23.8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00" w:type="dxa"/>
            <w:vAlign w:val="bottom"/>
            <w:gridSpan w:val="2"/>
          </w:tcPr>
          <w:p>
            <w:pPr>
              <w:spacing w:after="0" w:line="189" w:lineRule="exact"/>
              <w:rPr>
                <w:sz w:val="20"/>
                <w:szCs w:val="20"/>
                <w:color w:val="auto"/>
              </w:rPr>
            </w:pPr>
            <w:r>
              <w:rPr>
                <w:rFonts w:ascii="Arial" w:cs="Arial" w:eastAsia="Arial" w:hAnsi="Arial"/>
                <w:sz w:val="17"/>
                <w:szCs w:val="17"/>
                <w:color w:val="auto"/>
              </w:rPr>
              <w:t>Adjusted to exclude gross up for:</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Pass-through cost for printing and mailing</w:t>
            </w: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73"/>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73"/>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(5.2)</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189"/>
        </w:trPr>
        <w:tc>
          <w:tcPr>
            <w:tcW w:w="390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Marketing fees</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13"/>
              <w:spacing w:after="0" w:line="189" w:lineRule="exact"/>
              <w:rPr>
                <w:sz w:val="20"/>
                <w:szCs w:val="20"/>
                <w:color w:val="auto"/>
              </w:rPr>
            </w:pPr>
            <w:r>
              <w:rPr>
                <w:rFonts w:ascii="Arial" w:cs="Arial" w:eastAsia="Arial" w:hAnsi="Arial"/>
                <w:sz w:val="17"/>
                <w:szCs w:val="17"/>
                <w:color w:val="auto"/>
              </w:rPr>
              <w:t>(0.1)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6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2"/>
          </w:tcPr>
          <w:p>
            <w:pPr>
              <w:jc w:val="right"/>
              <w:ind w:right="173"/>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Revenue Less Ancillary Services</w:t>
            </w:r>
          </w:p>
        </w:tc>
        <w:tc>
          <w:tcPr>
            <w:tcW w:w="660" w:type="dxa"/>
            <w:vAlign w:val="bottom"/>
            <w:gridSpan w:val="2"/>
            <w:shd w:val="clear" w:color="auto" w:fill="CCEEFF"/>
          </w:tcPr>
          <w:p>
            <w:pPr>
              <w:ind w:left="400"/>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73"/>
              <w:spacing w:after="0" w:line="189" w:lineRule="exact"/>
              <w:rPr>
                <w:sz w:val="20"/>
                <w:szCs w:val="20"/>
                <w:color w:val="auto"/>
              </w:rPr>
            </w:pPr>
            <w:r>
              <w:rPr>
                <w:rFonts w:ascii="Arial" w:cs="Arial" w:eastAsia="Arial" w:hAnsi="Arial"/>
                <w:sz w:val="17"/>
                <w:szCs w:val="17"/>
                <w:color w:val="auto"/>
              </w:rPr>
              <w:t>24.2</w:t>
            </w:r>
          </w:p>
        </w:tc>
        <w:tc>
          <w:tcPr>
            <w:tcW w:w="38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8.8</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33.0</w:t>
            </w:r>
          </w:p>
        </w:tc>
        <w:tc>
          <w:tcPr>
            <w:tcW w:w="3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93"/>
              <w:spacing w:after="0" w:line="189" w:lineRule="exact"/>
              <w:rPr>
                <w:sz w:val="20"/>
                <w:szCs w:val="20"/>
                <w:color w:val="auto"/>
              </w:rPr>
            </w:pPr>
            <w:r>
              <w:rPr>
                <w:rFonts w:ascii="Arial" w:cs="Arial" w:eastAsia="Arial" w:hAnsi="Arial"/>
                <w:sz w:val="17"/>
                <w:szCs w:val="17"/>
                <w:color w:val="auto"/>
              </w:rPr>
              <w:t>11.2</w:t>
            </w:r>
          </w:p>
        </w:tc>
        <w:tc>
          <w:tcPr>
            <w:tcW w:w="38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7.4</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00" w:type="dxa"/>
            <w:vAlign w:val="bottom"/>
            <w:gridSpan w:val="2"/>
          </w:tcPr>
          <w:p>
            <w:pPr>
              <w:spacing w:after="0" w:line="180" w:lineRule="exact"/>
              <w:rPr>
                <w:sz w:val="20"/>
                <w:szCs w:val="20"/>
                <w:color w:val="auto"/>
              </w:rPr>
            </w:pPr>
            <w:r>
              <w:rPr>
                <w:rFonts w:ascii="Arial" w:cs="Arial" w:eastAsia="Arial" w:hAnsi="Arial"/>
                <w:sz w:val="17"/>
                <w:szCs w:val="17"/>
                <w:color w:val="auto"/>
              </w:rPr>
              <w:t>Percentage of Revenue</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right"/>
              <w:spacing w:after="0" w:line="180" w:lineRule="exact"/>
              <w:rPr>
                <w:sz w:val="20"/>
                <w:szCs w:val="20"/>
                <w:color w:val="auto"/>
              </w:rPr>
            </w:pPr>
            <w:r>
              <w:rPr>
                <w:rFonts w:ascii="Arial" w:cs="Arial" w:eastAsia="Arial" w:hAnsi="Arial"/>
                <w:sz w:val="17"/>
                <w:szCs w:val="17"/>
                <w:color w:val="auto"/>
              </w:rPr>
              <w:t>65.6%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60"/>
              <w:spacing w:after="0" w:line="180" w:lineRule="exact"/>
              <w:rPr>
                <w:sz w:val="20"/>
                <w:szCs w:val="20"/>
                <w:color w:val="auto"/>
              </w:rPr>
            </w:pPr>
            <w:r>
              <w:rPr>
                <w:rFonts w:ascii="Arial" w:cs="Arial" w:eastAsia="Arial" w:hAnsi="Arial"/>
                <w:sz w:val="17"/>
                <w:szCs w:val="17"/>
                <w:color w:val="auto"/>
              </w:rPr>
              <w:t>34.4%</w:t>
            </w:r>
          </w:p>
        </w:tc>
        <w:tc>
          <w:tcPr>
            <w:tcW w:w="160" w:type="dxa"/>
            <w:vAlign w:val="bottom"/>
          </w:tcPr>
          <w:p>
            <w:pPr>
              <w:spacing w:after="0"/>
              <w:rPr>
                <w:sz w:val="15"/>
                <w:szCs w:val="15"/>
                <w:color w:val="auto"/>
              </w:rPr>
            </w:pPr>
          </w:p>
        </w:tc>
        <w:tc>
          <w:tcPr>
            <w:tcW w:w="680" w:type="dxa"/>
            <w:vAlign w:val="bottom"/>
            <w:gridSpan w:val="2"/>
          </w:tcPr>
          <w:p>
            <w:pPr>
              <w:jc w:val="right"/>
              <w:ind w:right="120"/>
              <w:spacing w:after="0" w:line="180" w:lineRule="exact"/>
              <w:rPr>
                <w:sz w:val="20"/>
                <w:szCs w:val="20"/>
                <w:color w:val="auto"/>
              </w:rPr>
            </w:pPr>
            <w:r>
              <w:rPr>
                <w:rFonts w:ascii="Arial" w:cs="Arial" w:eastAsia="Arial" w:hAnsi="Arial"/>
                <w:sz w:val="17"/>
                <w:szCs w:val="17"/>
                <w:color w:val="auto"/>
              </w:rPr>
              <w:t>100%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jc w:val="right"/>
              <w:spacing w:after="0" w:line="180" w:lineRule="exact"/>
              <w:rPr>
                <w:sz w:val="20"/>
                <w:szCs w:val="20"/>
                <w:color w:val="auto"/>
              </w:rPr>
            </w:pPr>
            <w:r>
              <w:rPr>
                <w:rFonts w:ascii="Arial" w:cs="Arial" w:eastAsia="Arial" w:hAnsi="Arial"/>
                <w:sz w:val="17"/>
                <w:szCs w:val="17"/>
                <w:color w:val="auto"/>
              </w:rPr>
              <w:t>47.2%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60"/>
              <w:spacing w:after="0" w:line="180" w:lineRule="exact"/>
              <w:rPr>
                <w:sz w:val="20"/>
                <w:szCs w:val="20"/>
                <w:color w:val="auto"/>
              </w:rPr>
            </w:pPr>
            <w:r>
              <w:rPr>
                <w:rFonts w:ascii="Arial" w:cs="Arial" w:eastAsia="Arial" w:hAnsi="Arial"/>
                <w:sz w:val="17"/>
                <w:szCs w:val="17"/>
                <w:color w:val="auto"/>
              </w:rPr>
              <w:t>52.8%</w:t>
            </w:r>
          </w:p>
        </w:tc>
        <w:tc>
          <w:tcPr>
            <w:tcW w:w="160" w:type="dxa"/>
            <w:vAlign w:val="bottom"/>
          </w:tcPr>
          <w:p>
            <w:pPr>
              <w:spacing w:after="0"/>
              <w:rPr>
                <w:sz w:val="15"/>
                <w:szCs w:val="15"/>
                <w:color w:val="auto"/>
              </w:rPr>
            </w:pPr>
          </w:p>
        </w:tc>
        <w:tc>
          <w:tcPr>
            <w:tcW w:w="600" w:type="dxa"/>
            <w:vAlign w:val="bottom"/>
            <w:gridSpan w:val="2"/>
          </w:tcPr>
          <w:p>
            <w:pPr>
              <w:jc w:val="right"/>
              <w:ind w:right="40"/>
              <w:spacing w:after="0" w:line="180"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89"/>
        </w:trPr>
        <w:tc>
          <w:tcPr>
            <w:tcW w:w="3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Percentage of Revenue less Ancillary Services</w:t>
            </w: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73.3%</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26.7%</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60.2%</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39.8%</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341"/>
        </w:trPr>
        <w:tc>
          <w:tcPr>
            <w:tcW w:w="7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rPr>
              <w:t>Six Months Ended</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rPr>
              <w:t>Six Months Ended</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3"/>
                <w:szCs w:val="13"/>
                <w:b w:val="1"/>
                <w:bCs w:val="1"/>
                <w:color w:val="auto"/>
              </w:rPr>
              <w:t>June 30, 2021</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3"/>
                <w:szCs w:val="13"/>
                <w:b w:val="1"/>
                <w:bCs w:val="1"/>
                <w:color w:val="auto"/>
              </w:rPr>
              <w:t>June 30, 2020</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3"/>
          </w:tcPr>
          <w:p>
            <w:pPr>
              <w:jc w:val="center"/>
              <w:ind w:right="420"/>
              <w:spacing w:after="0" w:line="133" w:lineRule="exact"/>
              <w:rPr>
                <w:sz w:val="20"/>
                <w:szCs w:val="20"/>
                <w:color w:val="auto"/>
              </w:rPr>
            </w:pPr>
            <w:r>
              <w:rPr>
                <w:rFonts w:ascii="Arial" w:cs="Arial" w:eastAsia="Arial" w:hAnsi="Arial"/>
                <w:sz w:val="13"/>
                <w:szCs w:val="13"/>
                <w:b w:val="1"/>
                <w:bCs w:val="1"/>
                <w:color w:val="auto"/>
              </w:rPr>
              <w:t>Platform</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3"/>
          </w:tcPr>
          <w:p>
            <w:pPr>
              <w:jc w:val="center"/>
              <w:ind w:right="400"/>
              <w:spacing w:after="0" w:line="133" w:lineRule="exact"/>
              <w:rPr>
                <w:sz w:val="20"/>
                <w:szCs w:val="20"/>
                <w:color w:val="auto"/>
              </w:rPr>
            </w:pPr>
            <w:r>
              <w:rPr>
                <w:rFonts w:ascii="Arial" w:cs="Arial" w:eastAsia="Arial" w:hAnsi="Arial"/>
                <w:sz w:val="13"/>
                <w:szCs w:val="13"/>
                <w:b w:val="1"/>
                <w:bCs w:val="1"/>
                <w:color w:val="auto"/>
              </w:rPr>
              <w:t>Platform</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rPr>
              <w:t>and</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rPr>
              <w:t>and</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rPr>
              <w:t>Usage-</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rPr>
              <w:t>Usage-</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9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rPr>
              <w:t>Based</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rPr>
              <w:t>Based</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Transaction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520"/>
              <w:spacing w:after="0" w:line="118" w:lineRule="exact"/>
              <w:rPr>
                <w:sz w:val="20"/>
                <w:szCs w:val="20"/>
                <w:color w:val="auto"/>
              </w:rPr>
            </w:pPr>
            <w:r>
              <w:rPr>
                <w:rFonts w:ascii="Arial" w:cs="Arial" w:eastAsia="Arial" w:hAnsi="Arial"/>
                <w:sz w:val="13"/>
                <w:szCs w:val="13"/>
                <w:b w:val="1"/>
                <w:bCs w:val="1"/>
                <w:color w:val="auto"/>
              </w:rPr>
              <w:t>Fee</w:t>
            </w:r>
          </w:p>
        </w:tc>
        <w:tc>
          <w:tcPr>
            <w:tcW w:w="84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Revenue</w:t>
            </w:r>
          </w:p>
        </w:tc>
        <w:tc>
          <w:tcPr>
            <w:tcW w:w="120" w:type="dxa"/>
            <w:vAlign w:val="bottom"/>
          </w:tcPr>
          <w:p>
            <w:pPr>
              <w:spacing w:after="0"/>
              <w:rPr>
                <w:sz w:val="11"/>
                <w:szCs w:val="11"/>
                <w:color w:val="auto"/>
              </w:rPr>
            </w:pPr>
          </w:p>
        </w:tc>
        <w:tc>
          <w:tcPr>
            <w:tcW w:w="92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Transaction</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560"/>
              <w:spacing w:after="0" w:line="118" w:lineRule="exact"/>
              <w:rPr>
                <w:sz w:val="20"/>
                <w:szCs w:val="20"/>
                <w:color w:val="auto"/>
              </w:rPr>
            </w:pPr>
            <w:r>
              <w:rPr>
                <w:rFonts w:ascii="Arial" w:cs="Arial" w:eastAsia="Arial" w:hAnsi="Arial"/>
                <w:sz w:val="13"/>
                <w:szCs w:val="13"/>
                <w:b w:val="1"/>
                <w:bCs w:val="1"/>
                <w:color w:val="auto"/>
              </w:rPr>
              <w:t>Fee</w:t>
            </w:r>
          </w:p>
        </w:tc>
        <w:tc>
          <w:tcPr>
            <w:tcW w:w="76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Revenue</w:t>
            </w: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90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Revenue</w:t>
            </w: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56.7</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25.3</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82.0</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36.5</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20.0</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56.5</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00" w:type="dxa"/>
            <w:vAlign w:val="bottom"/>
            <w:gridSpan w:val="2"/>
          </w:tcPr>
          <w:p>
            <w:pPr>
              <w:spacing w:after="0" w:line="189" w:lineRule="exact"/>
              <w:rPr>
                <w:sz w:val="20"/>
                <w:szCs w:val="20"/>
                <w:color w:val="auto"/>
              </w:rPr>
            </w:pPr>
            <w:r>
              <w:rPr>
                <w:rFonts w:ascii="Arial" w:cs="Arial" w:eastAsia="Arial" w:hAnsi="Arial"/>
                <w:sz w:val="17"/>
                <w:szCs w:val="17"/>
                <w:color w:val="auto"/>
              </w:rPr>
              <w:t>Adjusted to exclude gross up for:</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Pass-through cost for printing and mailing</w:t>
            </w: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73"/>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(8.4)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73"/>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(8.1)</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89"/>
        </w:trPr>
        <w:tc>
          <w:tcPr>
            <w:tcW w:w="390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Marketing fees</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13"/>
              <w:spacing w:after="0" w:line="189" w:lineRule="exact"/>
              <w:rPr>
                <w:sz w:val="20"/>
                <w:szCs w:val="20"/>
                <w:color w:val="auto"/>
              </w:rPr>
            </w:pPr>
            <w:r>
              <w:rPr>
                <w:rFonts w:ascii="Arial" w:cs="Arial" w:eastAsia="Arial" w:hAnsi="Arial"/>
                <w:sz w:val="17"/>
                <w:szCs w:val="17"/>
                <w:color w:val="auto"/>
              </w:rPr>
              <w:t>(0.4)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6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2"/>
          </w:tcPr>
          <w:p>
            <w:pPr>
              <w:jc w:val="right"/>
              <w:ind w:right="33"/>
              <w:spacing w:after="0" w:line="189" w:lineRule="exact"/>
              <w:rPr>
                <w:sz w:val="20"/>
                <w:szCs w:val="20"/>
                <w:color w:val="auto"/>
              </w:rPr>
            </w:pPr>
            <w:r>
              <w:rPr>
                <w:rFonts w:ascii="Arial" w:cs="Arial" w:eastAsia="Arial" w:hAnsi="Arial"/>
                <w:sz w:val="17"/>
                <w:szCs w:val="17"/>
                <w:color w:val="auto"/>
              </w:rPr>
              <w:t>(0.4)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Revenue Less Ancillary Services</w:t>
            </w:r>
          </w:p>
        </w:tc>
        <w:tc>
          <w:tcPr>
            <w:tcW w:w="660" w:type="dxa"/>
            <w:vAlign w:val="bottom"/>
            <w:gridSpan w:val="2"/>
            <w:shd w:val="clear" w:color="auto" w:fill="CCEEFF"/>
          </w:tcPr>
          <w:p>
            <w:pPr>
              <w:ind w:left="400"/>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73"/>
              <w:spacing w:after="0" w:line="189" w:lineRule="exact"/>
              <w:rPr>
                <w:sz w:val="20"/>
                <w:szCs w:val="20"/>
                <w:color w:val="auto"/>
              </w:rPr>
            </w:pPr>
            <w:r>
              <w:rPr>
                <w:rFonts w:ascii="Arial" w:cs="Arial" w:eastAsia="Arial" w:hAnsi="Arial"/>
                <w:sz w:val="17"/>
                <w:szCs w:val="17"/>
                <w:color w:val="auto"/>
              </w:rPr>
              <w:t>56.3</w:t>
            </w:r>
          </w:p>
        </w:tc>
        <w:tc>
          <w:tcPr>
            <w:tcW w:w="38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16.9</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73.2</w:t>
            </w:r>
          </w:p>
        </w:tc>
        <w:tc>
          <w:tcPr>
            <w:tcW w:w="3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93"/>
              <w:spacing w:after="0" w:line="189" w:lineRule="exact"/>
              <w:rPr>
                <w:sz w:val="20"/>
                <w:szCs w:val="20"/>
                <w:color w:val="auto"/>
              </w:rPr>
            </w:pPr>
            <w:r>
              <w:rPr>
                <w:rFonts w:ascii="Arial" w:cs="Arial" w:eastAsia="Arial" w:hAnsi="Arial"/>
                <w:sz w:val="17"/>
                <w:szCs w:val="17"/>
                <w:color w:val="auto"/>
              </w:rPr>
              <w:t>36.1</w:t>
            </w:r>
          </w:p>
        </w:tc>
        <w:tc>
          <w:tcPr>
            <w:tcW w:w="38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11.9</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48.</w:t>
            </w:r>
            <w:r>
              <w:rPr>
                <w:rFonts w:ascii="Arial" w:cs="Arial" w:eastAsia="Arial" w:hAnsi="Arial"/>
                <w:sz w:val="17"/>
                <w:szCs w:val="17"/>
                <w:u w:val="single" w:color="auto"/>
                <w:color w:val="auto"/>
              </w:rPr>
              <w:t>0</w:t>
            </w: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00" w:type="dxa"/>
            <w:vAlign w:val="bottom"/>
            <w:gridSpan w:val="2"/>
          </w:tcPr>
          <w:p>
            <w:pPr>
              <w:spacing w:after="0" w:line="180" w:lineRule="exact"/>
              <w:rPr>
                <w:sz w:val="20"/>
                <w:szCs w:val="20"/>
                <w:color w:val="auto"/>
              </w:rPr>
            </w:pPr>
            <w:r>
              <w:rPr>
                <w:rFonts w:ascii="Arial" w:cs="Arial" w:eastAsia="Arial" w:hAnsi="Arial"/>
                <w:sz w:val="17"/>
                <w:szCs w:val="17"/>
                <w:color w:val="auto"/>
              </w:rPr>
              <w:t>Percentage of Revenue</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right"/>
              <w:spacing w:after="0" w:line="180" w:lineRule="exact"/>
              <w:rPr>
                <w:sz w:val="20"/>
                <w:szCs w:val="20"/>
                <w:color w:val="auto"/>
              </w:rPr>
            </w:pPr>
            <w:r>
              <w:rPr>
                <w:rFonts w:ascii="Arial" w:cs="Arial" w:eastAsia="Arial" w:hAnsi="Arial"/>
                <w:sz w:val="17"/>
                <w:szCs w:val="17"/>
                <w:color w:val="auto"/>
              </w:rPr>
              <w:t>69.2%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60"/>
              <w:spacing w:after="0" w:line="180" w:lineRule="exact"/>
              <w:rPr>
                <w:sz w:val="20"/>
                <w:szCs w:val="20"/>
                <w:color w:val="auto"/>
              </w:rPr>
            </w:pPr>
            <w:r>
              <w:rPr>
                <w:rFonts w:ascii="Arial" w:cs="Arial" w:eastAsia="Arial" w:hAnsi="Arial"/>
                <w:sz w:val="17"/>
                <w:szCs w:val="17"/>
                <w:color w:val="auto"/>
              </w:rPr>
              <w:t>30.8%</w:t>
            </w:r>
          </w:p>
        </w:tc>
        <w:tc>
          <w:tcPr>
            <w:tcW w:w="160" w:type="dxa"/>
            <w:vAlign w:val="bottom"/>
          </w:tcPr>
          <w:p>
            <w:pPr>
              <w:spacing w:after="0"/>
              <w:rPr>
                <w:sz w:val="15"/>
                <w:szCs w:val="15"/>
                <w:color w:val="auto"/>
              </w:rPr>
            </w:pPr>
          </w:p>
        </w:tc>
        <w:tc>
          <w:tcPr>
            <w:tcW w:w="680" w:type="dxa"/>
            <w:vAlign w:val="bottom"/>
            <w:gridSpan w:val="2"/>
          </w:tcPr>
          <w:p>
            <w:pPr>
              <w:jc w:val="right"/>
              <w:ind w:right="120"/>
              <w:spacing w:after="0" w:line="180" w:lineRule="exact"/>
              <w:rPr>
                <w:sz w:val="20"/>
                <w:szCs w:val="20"/>
                <w:color w:val="auto"/>
              </w:rPr>
            </w:pPr>
            <w:r>
              <w:rPr>
                <w:rFonts w:ascii="Arial" w:cs="Arial" w:eastAsia="Arial" w:hAnsi="Arial"/>
                <w:sz w:val="17"/>
                <w:szCs w:val="17"/>
                <w:color w:val="auto"/>
              </w:rPr>
              <w:t>100%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jc w:val="right"/>
              <w:spacing w:after="0" w:line="180" w:lineRule="exact"/>
              <w:rPr>
                <w:sz w:val="20"/>
                <w:szCs w:val="20"/>
                <w:color w:val="auto"/>
              </w:rPr>
            </w:pPr>
            <w:r>
              <w:rPr>
                <w:rFonts w:ascii="Arial" w:cs="Arial" w:eastAsia="Arial" w:hAnsi="Arial"/>
                <w:sz w:val="17"/>
                <w:szCs w:val="17"/>
                <w:color w:val="auto"/>
              </w:rPr>
              <w:t>64.5%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60"/>
              <w:spacing w:after="0" w:line="180" w:lineRule="exact"/>
              <w:rPr>
                <w:sz w:val="20"/>
                <w:szCs w:val="20"/>
                <w:color w:val="auto"/>
              </w:rPr>
            </w:pPr>
            <w:r>
              <w:rPr>
                <w:rFonts w:ascii="Arial" w:cs="Arial" w:eastAsia="Arial" w:hAnsi="Arial"/>
                <w:sz w:val="17"/>
                <w:szCs w:val="17"/>
                <w:color w:val="auto"/>
              </w:rPr>
              <w:t>35.5%</w:t>
            </w:r>
          </w:p>
        </w:tc>
        <w:tc>
          <w:tcPr>
            <w:tcW w:w="160" w:type="dxa"/>
            <w:vAlign w:val="bottom"/>
          </w:tcPr>
          <w:p>
            <w:pPr>
              <w:spacing w:after="0"/>
              <w:rPr>
                <w:sz w:val="15"/>
                <w:szCs w:val="15"/>
                <w:color w:val="auto"/>
              </w:rPr>
            </w:pPr>
          </w:p>
        </w:tc>
        <w:tc>
          <w:tcPr>
            <w:tcW w:w="600" w:type="dxa"/>
            <w:vAlign w:val="bottom"/>
            <w:gridSpan w:val="2"/>
          </w:tcPr>
          <w:p>
            <w:pPr>
              <w:jc w:val="right"/>
              <w:ind w:right="40"/>
              <w:spacing w:after="0" w:line="180"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89"/>
        </w:trPr>
        <w:tc>
          <w:tcPr>
            <w:tcW w:w="3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Percentage of Revenue less Ancillary Services</w:t>
            </w: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76.9%</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23.1%</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75.2%</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24.8%</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EBITDA and Adjusted EBITDA:</w:t>
      </w:r>
    </w:p>
    <w:p>
      <w:pPr>
        <w:spacing w:after="0" w:line="228" w:lineRule="exact"/>
        <w:rPr>
          <w:sz w:val="20"/>
          <w:szCs w:val="20"/>
          <w:color w:val="auto"/>
        </w:rPr>
      </w:pPr>
    </w:p>
    <w:tbl>
      <w:tblPr>
        <w:tblLayout w:type="fixed"/>
        <w:tblInd w:w="90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rPr>
              <w:t>Three Months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rPr>
              <w:t>Six Months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4"/>
          </w:tcPr>
          <w:p>
            <w:pPr>
              <w:jc w:val="center"/>
              <w:ind w:left="220"/>
              <w:spacing w:after="0"/>
              <w:rPr>
                <w:sz w:val="20"/>
                <w:szCs w:val="20"/>
                <w:color w:val="auto"/>
              </w:rPr>
            </w:pPr>
            <w:r>
              <w:rPr>
                <w:rFonts w:ascii="Arial" w:cs="Arial" w:eastAsia="Arial" w:hAnsi="Arial"/>
                <w:sz w:val="13"/>
                <w:szCs w:val="13"/>
                <w:b w:val="1"/>
                <w:bCs w:val="1"/>
                <w:color w:val="auto"/>
              </w:rPr>
              <w:t>Ended</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center"/>
              <w:ind w:left="240"/>
              <w:spacing w:after="0"/>
              <w:rPr>
                <w:sz w:val="20"/>
                <w:szCs w:val="20"/>
                <w:color w:val="auto"/>
              </w:rPr>
            </w:pPr>
            <w:r>
              <w:rPr>
                <w:rFonts w:ascii="Arial" w:cs="Arial" w:eastAsia="Arial" w:hAnsi="Arial"/>
                <w:sz w:val="13"/>
                <w:szCs w:val="13"/>
                <w:b w:val="1"/>
                <w:bCs w:val="1"/>
                <w:color w:val="auto"/>
              </w:rPr>
              <w:t>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4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6"/>
          </w:tcPr>
          <w:p>
            <w:pPr>
              <w:jc w:val="center"/>
              <w:ind w:right="260"/>
              <w:spacing w:after="0"/>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31"/>
        </w:trPr>
        <w:tc>
          <w:tcPr>
            <w:tcW w:w="64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w w:val="96"/>
              </w:rPr>
              <w:t>2021</w:t>
            </w: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2020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w w:val="96"/>
              </w:rPr>
              <w:t>2021</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17"/>
              <w:spacing w:after="0" w:line="119" w:lineRule="exact"/>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44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Net loss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5"/>
              </w:rPr>
              <w:t>(18.1)</w:t>
            </w:r>
          </w:p>
        </w:tc>
        <w:tc>
          <w:tcPr>
            <w:tcW w:w="30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0"/>
              </w:rPr>
              <w:t>(16.0)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5"/>
              </w:rPr>
              <w:t>(26.8)</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5"/>
              </w:rPr>
              <w:t>(12.3)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gridSpan w:val="2"/>
          </w:tcPr>
          <w:p>
            <w:pPr>
              <w:spacing w:after="0" w:line="189" w:lineRule="exact"/>
              <w:rPr>
                <w:sz w:val="20"/>
                <w:szCs w:val="20"/>
                <w:color w:val="auto"/>
              </w:rPr>
            </w:pPr>
            <w:r>
              <w:rPr>
                <w:rFonts w:ascii="Arial" w:cs="Arial" w:eastAsia="Arial" w:hAnsi="Arial"/>
                <w:sz w:val="17"/>
                <w:szCs w:val="17"/>
                <w:color w:val="auto"/>
              </w:rPr>
              <w:t>Interest expense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ind w:right="300"/>
              <w:spacing w:after="0" w:line="189" w:lineRule="exact"/>
              <w:rPr>
                <w:sz w:val="20"/>
                <w:szCs w:val="20"/>
                <w:color w:val="auto"/>
              </w:rPr>
            </w:pPr>
            <w:r>
              <w:rPr>
                <w:rFonts w:ascii="Arial" w:cs="Arial" w:eastAsia="Arial" w:hAnsi="Arial"/>
                <w:sz w:val="17"/>
                <w:szCs w:val="17"/>
                <w:color w:val="auto"/>
              </w:rPr>
              <w:t>0.7</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0.7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1.3</w:t>
            </w:r>
          </w:p>
        </w:tc>
        <w:tc>
          <w:tcPr>
            <w:tcW w:w="100" w:type="dxa"/>
            <w:vAlign w:val="bottom"/>
          </w:tcPr>
          <w:p>
            <w:pPr>
              <w:spacing w:after="0"/>
              <w:rPr>
                <w:sz w:val="16"/>
                <w:szCs w:val="16"/>
                <w:color w:val="auto"/>
              </w:rPr>
            </w:pPr>
          </w:p>
        </w:tc>
        <w:tc>
          <w:tcPr>
            <w:tcW w:w="5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Provision for (benefit from) income taxes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gridSpan w:val="2"/>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2.2</w:t>
            </w:r>
          </w:p>
        </w:tc>
        <w:tc>
          <w:tcPr>
            <w:tcW w:w="3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4.3</w:t>
            </w:r>
          </w:p>
        </w:tc>
        <w:tc>
          <w:tcPr>
            <w:tcW w:w="100" w:type="dxa"/>
            <w:vAlign w:val="bottom"/>
          </w:tcPr>
          <w:p>
            <w:pPr>
              <w:spacing w:after="0"/>
              <w:rPr>
                <w:sz w:val="16"/>
                <w:szCs w:val="16"/>
                <w:color w:val="auto"/>
              </w:rPr>
            </w:pPr>
          </w:p>
        </w:tc>
        <w:tc>
          <w:tcPr>
            <w:tcW w:w="5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EBITDA</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w w:val="98"/>
              </w:rPr>
              <w:t>(14.9)</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w w:val="94"/>
              </w:rPr>
              <w:t>(13.3)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w w:val="98"/>
              </w:rPr>
              <w:t>(20.7)</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8"/>
              </w:rPr>
              <w:t>(15.2)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gridSpan w:val="2"/>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ind w:right="300"/>
              <w:spacing w:after="0" w:line="189" w:lineRule="exact"/>
              <w:rPr>
                <w:sz w:val="20"/>
                <w:szCs w:val="20"/>
                <w:color w:val="auto"/>
              </w:rPr>
            </w:pPr>
            <w:r>
              <w:rPr>
                <w:rFonts w:ascii="Arial" w:cs="Arial" w:eastAsia="Arial" w:hAnsi="Arial"/>
                <w:sz w:val="17"/>
                <w:szCs w:val="17"/>
                <w:color w:val="auto"/>
              </w:rPr>
              <w:t>2.4</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12.8</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Change in fair value of contingent consideration</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gridSpan w:val="2"/>
          </w:tcPr>
          <w:p>
            <w:pPr>
              <w:spacing w:after="0" w:line="189" w:lineRule="exact"/>
              <w:rPr>
                <w:sz w:val="20"/>
                <w:szCs w:val="20"/>
                <w:color w:val="auto"/>
              </w:rPr>
            </w:pPr>
            <w:r>
              <w:rPr>
                <w:rFonts w:ascii="Arial" w:cs="Arial" w:eastAsia="Arial" w:hAnsi="Arial"/>
                <w:sz w:val="17"/>
                <w:szCs w:val="17"/>
                <w:color w:val="auto"/>
              </w:rPr>
              <w:t>Change in fair value of preferred stock warrant liability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ind w:right="300"/>
              <w:spacing w:after="0" w:line="189" w:lineRule="exact"/>
              <w:rPr>
                <w:sz w:val="20"/>
                <w:szCs w:val="20"/>
                <w:color w:val="auto"/>
              </w:rPr>
            </w:pPr>
            <w:r>
              <w:rPr>
                <w:rFonts w:ascii="Arial" w:cs="Arial" w:eastAsia="Arial" w:hAnsi="Arial"/>
                <w:sz w:val="17"/>
                <w:szCs w:val="17"/>
                <w:color w:val="auto"/>
              </w:rPr>
              <w:t>9.8</w:t>
            </w:r>
          </w:p>
        </w:tc>
        <w:tc>
          <w:tcPr>
            <w:tcW w:w="100" w:type="dxa"/>
            <w:vAlign w:val="bottom"/>
          </w:tcPr>
          <w:p>
            <w:pPr>
              <w:spacing w:after="0"/>
              <w:rPr>
                <w:sz w:val="16"/>
                <w:szCs w:val="16"/>
                <w:color w:val="auto"/>
              </w:rPr>
            </w:pPr>
          </w:p>
        </w:tc>
        <w:tc>
          <w:tcPr>
            <w:tcW w:w="5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10.8</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Other (income) expense, net </w:t>
            </w:r>
            <w:r>
              <w:rPr>
                <w:rFonts w:ascii="Arial" w:cs="Arial" w:eastAsia="Arial" w:hAnsi="Arial"/>
                <w:sz w:val="11"/>
                <w:szCs w:val="11"/>
                <w:color w:val="auto"/>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Acquisition related transaction costs </w:t>
            </w:r>
            <w:r>
              <w:rPr>
                <w:rFonts w:ascii="Arial" w:cs="Arial" w:eastAsia="Arial" w:hAnsi="Arial"/>
                <w:sz w:val="11"/>
                <w:szCs w:val="11"/>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Acquisition related employee retention costs </w:t>
            </w:r>
            <w:r>
              <w:rPr>
                <w:rFonts w:ascii="Arial" w:cs="Arial" w:eastAsia="Arial" w:hAnsi="Arial"/>
                <w:sz w:val="11"/>
                <w:szCs w:val="11"/>
                <w:color w:val="auto"/>
              </w:rPr>
              <w:t>(3)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w:t>
            </w:r>
          </w:p>
        </w:tc>
        <w:tc>
          <w:tcPr>
            <w:tcW w:w="300" w:type="dxa"/>
            <w:vAlign w:val="bottom"/>
            <w:gridSpan w:val="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6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460" w:type="dxa"/>
            <w:vAlign w:val="bottom"/>
            <w:gridSpan w:val="3"/>
          </w:tcPr>
          <w:p>
            <w:pPr>
              <w:spacing w:after="0" w:line="194" w:lineRule="exact"/>
              <w:rPr>
                <w:sz w:val="20"/>
                <w:szCs w:val="20"/>
                <w:color w:val="auto"/>
              </w:rPr>
            </w:pPr>
            <w:r>
              <w:rPr>
                <w:rFonts w:ascii="Arial" w:cs="Arial" w:eastAsia="Arial" w:hAnsi="Arial"/>
                <w:sz w:val="17"/>
                <w:szCs w:val="17"/>
                <w:color w:val="auto"/>
              </w:rPr>
              <w:t>Adjusted EBITDA</w:t>
            </w:r>
          </w:p>
        </w:tc>
        <w:tc>
          <w:tcPr>
            <w:tcW w:w="100" w:type="dxa"/>
            <w:vAlign w:val="bottom"/>
            <w:gridSpan w:val="2"/>
          </w:tcPr>
          <w:p>
            <w:pPr>
              <w:jc w:val="right"/>
              <w:spacing w:after="0" w:line="194" w:lineRule="exact"/>
              <w:rPr>
                <w:sz w:val="20"/>
                <w:szCs w:val="20"/>
                <w:color w:val="auto"/>
              </w:rPr>
            </w:pPr>
            <w:r>
              <w:rPr>
                <w:rFonts w:ascii="Arial" w:cs="Arial" w:eastAsia="Arial" w:hAnsi="Arial"/>
                <w:sz w:val="17"/>
                <w:szCs w:val="17"/>
                <w:color w:val="auto"/>
                <w:w w:val="84"/>
              </w:rPr>
              <w:t>$</w:t>
            </w:r>
          </w:p>
        </w:tc>
        <w:tc>
          <w:tcPr>
            <w:tcW w:w="700" w:type="dxa"/>
            <w:vAlign w:val="bottom"/>
            <w:gridSpan w:val="3"/>
          </w:tcPr>
          <w:p>
            <w:pPr>
              <w:jc w:val="right"/>
              <w:ind w:right="240"/>
              <w:spacing w:after="0" w:line="194" w:lineRule="exact"/>
              <w:rPr>
                <w:sz w:val="20"/>
                <w:szCs w:val="20"/>
                <w:color w:val="auto"/>
              </w:rPr>
            </w:pPr>
            <w:r>
              <w:rPr>
                <w:rFonts w:ascii="Arial" w:cs="Arial" w:eastAsia="Arial" w:hAnsi="Arial"/>
                <w:sz w:val="17"/>
                <w:szCs w:val="17"/>
                <w:color w:val="auto"/>
              </w:rPr>
              <w:t>(0.1)</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(7.0)</w:t>
            </w:r>
          </w:p>
        </w:tc>
        <w:tc>
          <w:tcPr>
            <w:tcW w:w="2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300"/>
              <w:spacing w:after="0" w:line="194" w:lineRule="exact"/>
              <w:rPr>
                <w:sz w:val="20"/>
                <w:szCs w:val="20"/>
                <w:color w:val="auto"/>
              </w:rPr>
            </w:pPr>
            <w:r>
              <w:rPr>
                <w:rFonts w:ascii="Arial" w:cs="Arial" w:eastAsia="Arial" w:hAnsi="Arial"/>
                <w:sz w:val="17"/>
                <w:szCs w:val="17"/>
                <w:color w:val="auto"/>
              </w:rPr>
              <w:t>6.9</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88265</wp:posOffset>
            </wp:positionV>
            <wp:extent cx="720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8" w:lineRule="exact"/>
        <w:rPr>
          <w:sz w:val="20"/>
          <w:szCs w:val="20"/>
          <w:color w:val="auto"/>
        </w:rPr>
      </w:pPr>
    </w:p>
    <w:p>
      <w:pPr>
        <w:ind w:left="880" w:right="300" w:hanging="400"/>
        <w:spacing w:after="0" w:line="232"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the three months ended June 30, 2021 and 2020, other (income) expense consisted ($0.1) million and ($0.1) million due to losses from remeasurement of foreign currency transactions into their functional currency, respectively. For the six months ended June 30, 2021 and 2020, other (income) expense consisted of gains (losses) from the remeasurement of foreign currency transactions into their functional currency of $0.3 million and ($0.1) million, respectively.</w:t>
      </w:r>
    </w:p>
    <w:p>
      <w:pPr>
        <w:ind w:left="880" w:hanging="400"/>
        <w:spacing w:after="0" w:line="232"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Acquisition related costs consisted of legal and advisory fees incurred in connection with the Simplee acquisition.</w:t>
      </w:r>
    </w:p>
    <w:p>
      <w:pPr>
        <w:ind w:left="880" w:right="800" w:hanging="400"/>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Acquisition related employee retention costs consisted of costs incurred to retain and compensate Simplee’s employees in connection with integration of the business.</w:t>
      </w:r>
    </w:p>
    <w:p>
      <w:pPr>
        <w:spacing w:after="0" w:line="12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760"/>
          </w:cols>
          <w:pgMar w:left="320" w:top="464" w:right="81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9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Increased Utilization by Our Clients and Their Customers</w:t>
      </w:r>
    </w:p>
    <w:p>
      <w:pPr>
        <w:spacing w:after="0" w:line="115" w:lineRule="exact"/>
        <w:rPr>
          <w:sz w:val="20"/>
          <w:szCs w:val="20"/>
          <w:color w:val="auto"/>
        </w:rPr>
      </w:pPr>
    </w:p>
    <w:p>
      <w:pPr>
        <w:ind w:left="480" w:right="140" w:firstLine="411"/>
        <w:spacing w:after="0" w:line="235" w:lineRule="auto"/>
        <w:rPr>
          <w:sz w:val="20"/>
          <w:szCs w:val="20"/>
          <w:color w:val="auto"/>
        </w:rPr>
      </w:pPr>
      <w:r>
        <w:rPr>
          <w:rFonts w:ascii="Arial" w:cs="Arial" w:eastAsia="Arial" w:hAnsi="Arial"/>
          <w:sz w:val="17"/>
          <w:szCs w:val="17"/>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190" w:lineRule="exact"/>
        <w:rPr>
          <w:sz w:val="20"/>
          <w:szCs w:val="20"/>
          <w:color w:val="auto"/>
        </w:rPr>
      </w:pPr>
    </w:p>
    <w:p>
      <w:pPr>
        <w:ind w:left="480" w:right="100" w:firstLine="411"/>
        <w:spacing w:after="0" w:line="236" w:lineRule="auto"/>
        <w:rPr>
          <w:sz w:val="20"/>
          <w:szCs w:val="20"/>
          <w:color w:val="auto"/>
        </w:rPr>
      </w:pPr>
      <w:r>
        <w:rPr>
          <w:rFonts w:ascii="Arial" w:cs="Arial" w:eastAsia="Arial" w:hAnsi="Arial"/>
          <w:sz w:val="17"/>
          <w:szCs w:val="17"/>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Mix of Business on Our Platform</w:t>
      </w:r>
    </w:p>
    <w:p>
      <w:pPr>
        <w:spacing w:after="0" w:line="115"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Our revenue is affected by several factors, including the amount of payment volume processed by us on behalf of our clients, the industry in which our clients operate, the currency in which payments are made and received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usage-based fee revenue) depending on the nature of the activity of our clients and our clients’ customers on our platform.</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Investment in Technology and Development and Sales and Marketing</w:t>
      </w:r>
    </w:p>
    <w:p>
      <w:pPr>
        <w:spacing w:after="0" w:line="115" w:lineRule="exact"/>
        <w:rPr>
          <w:sz w:val="20"/>
          <w:szCs w:val="20"/>
          <w:color w:val="auto"/>
        </w:rPr>
      </w:pPr>
    </w:p>
    <w:p>
      <w:pPr>
        <w:ind w:left="480" w:right="40" w:firstLine="411"/>
        <w:spacing w:after="0" w:line="236" w:lineRule="auto"/>
        <w:rPr>
          <w:sz w:val="20"/>
          <w:szCs w:val="20"/>
          <w:color w:val="auto"/>
        </w:rPr>
      </w:pPr>
      <w:r>
        <w:rPr>
          <w:rFonts w:ascii="Arial" w:cs="Arial" w:eastAsia="Arial" w:hAnsi="Arial"/>
          <w:sz w:val="17"/>
          <w:szCs w:val="17"/>
          <w:color w:val="auto"/>
        </w:rPr>
        <w:t>We make significant investments in both new solutions and existing solution enhancement. New solution features and functionality are brought to market through a variety of distribution and promotional activities. We will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spacing w:after="0" w:line="189" w:lineRule="exact"/>
        <w:rPr>
          <w:sz w:val="20"/>
          <w:szCs w:val="20"/>
          <w:color w:val="auto"/>
        </w:rPr>
      </w:pPr>
    </w:p>
    <w:p>
      <w:pPr>
        <w:ind w:left="480" w:right="20" w:firstLine="411"/>
        <w:spacing w:after="0" w:line="236" w:lineRule="auto"/>
        <w:rPr>
          <w:sz w:val="20"/>
          <w:szCs w:val="20"/>
          <w:color w:val="auto"/>
        </w:rPr>
      </w:pPr>
      <w:r>
        <w:rPr>
          <w:rFonts w:ascii="Arial" w:cs="Arial" w:eastAsia="Arial" w:hAnsi="Arial"/>
          <w:sz w:val="17"/>
          <w:szCs w:val="17"/>
          <w:color w:val="auto"/>
        </w:rPr>
        <w:t>Additionally, we will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including adjusting spending levels as needed in response to changes in the economic environment.</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Seasonality</w:t>
      </w:r>
    </w:p>
    <w:p>
      <w:pPr>
        <w:spacing w:after="0" w:line="115" w:lineRule="exact"/>
        <w:rPr>
          <w:sz w:val="20"/>
          <w:szCs w:val="20"/>
          <w:color w:val="auto"/>
        </w:rPr>
      </w:pPr>
    </w:p>
    <w:p>
      <w:pPr>
        <w:ind w:left="480" w:right="60" w:firstLine="411"/>
        <w:spacing w:after="0" w:line="251" w:lineRule="auto"/>
        <w:rPr>
          <w:sz w:val="20"/>
          <w:szCs w:val="20"/>
          <w:color w:val="auto"/>
        </w:rPr>
      </w:pPr>
      <w:r>
        <w:rPr>
          <w:rFonts w:ascii="Arial" w:cs="Arial" w:eastAsia="Arial" w:hAnsi="Arial"/>
          <w:sz w:val="16"/>
          <w:szCs w:val="16"/>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and total payment volume.</w:t>
      </w:r>
    </w:p>
    <w:p>
      <w:pPr>
        <w:spacing w:after="0" w:line="26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Economic Conditions and Resulting Consumer Spending Trends</w:t>
      </w:r>
    </w:p>
    <w:p>
      <w:pPr>
        <w:spacing w:after="0" w:line="115" w:lineRule="exact"/>
        <w:rPr>
          <w:sz w:val="20"/>
          <w:szCs w:val="20"/>
          <w:color w:val="auto"/>
        </w:rPr>
      </w:pPr>
    </w:p>
    <w:p>
      <w:pPr>
        <w:ind w:left="480" w:right="320" w:firstLine="411"/>
        <w:spacing w:after="0"/>
        <w:rPr>
          <w:sz w:val="20"/>
          <w:szCs w:val="20"/>
          <w:color w:val="auto"/>
        </w:rPr>
      </w:pPr>
      <w:r>
        <w:rPr>
          <w:rFonts w:ascii="Arial" w:cs="Arial" w:eastAsia="Arial" w:hAnsi="Arial"/>
          <w:sz w:val="17"/>
          <w:szCs w:val="17"/>
          <w:color w:val="auto"/>
        </w:rPr>
        <w:t>Changes in macro-level consumer spending for education, healthcare and travel trends, including as a result of COVID-19, could affect the amounts of volumes processed on our platform, thus resulting in fluctuations to our revenue streams.</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Impact of the COVID-19 Pandemic</w:t>
      </w:r>
    </w:p>
    <w:p>
      <w:pPr>
        <w:spacing w:after="0" w:line="115" w:lineRule="exact"/>
        <w:rPr>
          <w:sz w:val="20"/>
          <w:szCs w:val="20"/>
          <w:color w:val="auto"/>
        </w:rPr>
      </w:pPr>
    </w:p>
    <w:p>
      <w:pPr>
        <w:ind w:left="480" w:right="60" w:firstLine="411"/>
        <w:spacing w:after="0" w:line="233" w:lineRule="auto"/>
        <w:rPr>
          <w:sz w:val="20"/>
          <w:szCs w:val="20"/>
          <w:color w:val="auto"/>
        </w:rPr>
      </w:pPr>
      <w:r>
        <w:rPr>
          <w:rFonts w:ascii="Arial" w:cs="Arial" w:eastAsia="Arial" w:hAnsi="Arial"/>
          <w:sz w:val="17"/>
          <w:szCs w:val="17"/>
          <w:color w:val="auto"/>
        </w:rPr>
        <w:t>The unprecedented and rapid spread of COVID-19 as well as the shelter-in-place orders, promotion of social distancing measures, restrictions to businesses deemed non-essential, and travel restrictions implemented throughout the United States and globally have significantly impacted the verticals in which we have been predominantly focused over the last decade, including payment volumes, sales cycles and time to implementation in those verticals. However, we have not experienced any significant client attrition and our net dollar-based retention rate remained strong. In 2018 and 2019, our net dollar-based retention rate was 126% and 128%, respectively. In 2020, despite the impact of the COVID-19 pandemic on our clients and the industries we serve, we had annual dollar-based net retention rate of 100%, added over 400 new clients, and maintained strong client retention of approximately 97%. During the six months ended June 30, 2021, we have added an additional 400 clients and have increased hiring plans to focus on growth and continuity. As variants of COVID-19 emerge we will continue to evaluate the nature and extent of these potential impacts to our business, consolidated financial statements, and liquidity.</w:t>
      </w:r>
    </w:p>
    <w:p>
      <w:pPr>
        <w:spacing w:after="0" w:line="13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760"/>
          </w:cols>
          <w:pgMar w:left="320" w:top="464" w:right="81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right="140" w:firstLine="411"/>
        <w:spacing w:after="0" w:line="236" w:lineRule="auto"/>
        <w:rPr>
          <w:sz w:val="20"/>
          <w:szCs w:val="20"/>
          <w:color w:val="auto"/>
        </w:rPr>
      </w:pPr>
      <w:r>
        <w:rPr>
          <w:rFonts w:ascii="Arial" w:cs="Arial" w:eastAsia="Arial" w:hAnsi="Arial"/>
          <w:sz w:val="17"/>
          <w:szCs w:val="17"/>
          <w:color w:val="auto"/>
        </w:rPr>
        <w:t>On March 27, 2020, the Coronavirus Aid, Relief, and Economic Security Act (CARES Act) was signed into law. The CARES Act did not have a material impact on our consolidated financial statements for the year ended December 31, 2020 or the three or six months ended June 30, 2021. We continue to monitor any effects that may result from the CARES Act or other government relief programs that are made available.</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Diversified Mix of Clients</w:t>
      </w:r>
    </w:p>
    <w:p>
      <w:pPr>
        <w:spacing w:after="0" w:line="115" w:lineRule="exact"/>
        <w:rPr>
          <w:sz w:val="20"/>
          <w:szCs w:val="20"/>
          <w:color w:val="auto"/>
        </w:rPr>
      </w:pPr>
    </w:p>
    <w:p>
      <w:pPr>
        <w:ind w:left="480" w:right="20" w:firstLine="411"/>
        <w:spacing w:after="0" w:line="236" w:lineRule="auto"/>
        <w:rPr>
          <w:sz w:val="20"/>
          <w:szCs w:val="20"/>
          <w:color w:val="auto"/>
        </w:rPr>
      </w:pPr>
      <w:r>
        <w:rPr>
          <w:rFonts w:ascii="Arial" w:cs="Arial" w:eastAsia="Arial" w:hAnsi="Arial"/>
          <w:sz w:val="17"/>
          <w:szCs w:val="17"/>
          <w:color w:val="auto"/>
        </w:rPr>
        <w:t>Following the onset of the COVID-19 pandemic, payment volumes and revenue from education clients relying on international enrollments declined significantly, but we saw significant strength in revenue from healthcare clients, particularly as out-of-pocket costs for our clients’ customers continued to remain high. There can be no assurance that such trends or that the levels of revenue that we generate from our healthcare clients will continue.</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Dynamic Changes to Client Communication and Product Solutions</w:t>
      </w:r>
    </w:p>
    <w:p>
      <w:pPr>
        <w:spacing w:after="0" w:line="115"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In response to the macroeconomic impact of the COVID-19 pandemic, we initiated a series of refinements to our technology and personalization engine to optimize our clients’ ability to offer payment plans and communicate effectively and digitally with their customers. For example, we developed streamlined versions of our solution that allowed healthcare clients to rapidly deploy secure payment capabilities in support of newly emergent telehealth services that were deployed in the early phases of the COVID-19 to enable remote healthcare services.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during the COVID-19 pandemic as the lack of affordability drives the need for more financial flexibility.</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Business Continuity</w:t>
      </w:r>
    </w:p>
    <w:p>
      <w:pPr>
        <w:spacing w:after="0" w:line="115" w:lineRule="exact"/>
        <w:rPr>
          <w:sz w:val="20"/>
          <w:szCs w:val="20"/>
          <w:color w:val="auto"/>
        </w:rPr>
      </w:pPr>
    </w:p>
    <w:p>
      <w:pPr>
        <w:ind w:left="480" w:right="20" w:firstLine="411"/>
        <w:spacing w:after="0" w:line="235" w:lineRule="auto"/>
        <w:rPr>
          <w:sz w:val="20"/>
          <w:szCs w:val="20"/>
          <w:color w:val="auto"/>
        </w:rPr>
      </w:pPr>
      <w:r>
        <w:rPr>
          <w:rFonts w:ascii="Arial" w:cs="Arial" w:eastAsia="Arial" w:hAnsi="Arial"/>
          <w:sz w:val="17"/>
          <w:szCs w:val="17"/>
          <w:color w:val="auto"/>
        </w:rPr>
        <w:t>In response to COVID-19 developments, we implemented measures to focus on the safety of our employees and support of our clients, while at the same time seeking to mitigate the impact on our financial position and operations. We have implemented remote working capabilities for our entire organization and to date, there has been minimal disruption to our operations. As vaccination rates have increased, our offices have reopened in limited capacity. We have also increased our hiring plan to address key roles with the goal of ensuring continuity and growth.</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Components of Results of Operations</w:t>
      </w:r>
    </w:p>
    <w:p>
      <w:pPr>
        <w:spacing w:after="0" w:line="9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Revenue</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generate revenue from transactions and platform and usage-based fees as described below.</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Transaction Revenue</w:t>
      </w:r>
    </w:p>
    <w:p>
      <w:pPr>
        <w:spacing w:after="0" w:line="113" w:lineRule="exact"/>
        <w:rPr>
          <w:sz w:val="20"/>
          <w:szCs w:val="20"/>
          <w:color w:val="auto"/>
        </w:rPr>
      </w:pPr>
    </w:p>
    <w:p>
      <w:pPr>
        <w:ind w:left="480" w:right="280" w:firstLine="411"/>
        <w:spacing w:after="0" w:line="236" w:lineRule="auto"/>
        <w:rPr>
          <w:sz w:val="20"/>
          <w:szCs w:val="20"/>
          <w:color w:val="auto"/>
        </w:rPr>
      </w:pPr>
      <w:r>
        <w:rPr>
          <w:rFonts w:ascii="Arial" w:cs="Arial" w:eastAsia="Arial" w:hAnsi="Arial"/>
          <w:sz w:val="17"/>
          <w:szCs w:val="17"/>
          <w:color w:val="auto"/>
        </w:rPr>
        <w:t>Transaction revenue consists of a fee based on the total payment volume processed through our payment platform and global payment network. The fee can vary depending on the geographic region in which our client and client’s customer resides, the payment method selected by our clients’ customer and the currencies in which the transaction is completed on our solution. Fees received are reported as revenue upon the completion of payment processing transaction.</w:t>
      </w:r>
    </w:p>
    <w:p>
      <w:pPr>
        <w:spacing w:after="0" w:line="189" w:lineRule="exact"/>
        <w:rPr>
          <w:sz w:val="20"/>
          <w:szCs w:val="20"/>
          <w:color w:val="auto"/>
        </w:rPr>
      </w:pPr>
    </w:p>
    <w:p>
      <w:pPr>
        <w:jc w:val="both"/>
        <w:ind w:left="480" w:right="120" w:firstLine="411"/>
        <w:spacing w:after="0" w:line="236" w:lineRule="auto"/>
        <w:rPr>
          <w:sz w:val="20"/>
          <w:szCs w:val="20"/>
          <w:color w:val="auto"/>
        </w:rPr>
      </w:pPr>
      <w:r>
        <w:rPr>
          <w:rFonts w:ascii="Arial" w:cs="Arial" w:eastAsia="Arial" w:hAnsi="Arial"/>
          <w:sz w:val="17"/>
          <w:szCs w:val="17"/>
          <w:color w:val="auto"/>
        </w:rPr>
        <w:t>We also earn marketing fees from credit card service providers for marketing arrangements in which we perform certain marketing activities to increase the awareness of the credit card provider and promote certain methods of payments on our payment platform. Fees from these marketing services are recognized as revenue when we complete our obligations under the marketing arrangements. We do not expect our marketing services revenue to be material in future periods.</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Platform and Usage-Based Fee Revenue</w:t>
      </w:r>
    </w:p>
    <w:p>
      <w:pPr>
        <w:spacing w:after="0" w:line="113" w:lineRule="exact"/>
        <w:rPr>
          <w:sz w:val="20"/>
          <w:szCs w:val="20"/>
          <w:color w:val="auto"/>
        </w:rPr>
      </w:pPr>
    </w:p>
    <w:p>
      <w:pPr>
        <w:ind w:left="480" w:right="120" w:firstLine="411"/>
        <w:spacing w:after="0" w:line="235" w:lineRule="auto"/>
        <w:rPr>
          <w:sz w:val="20"/>
          <w:szCs w:val="20"/>
          <w:color w:val="auto"/>
        </w:rPr>
      </w:pPr>
      <w:r>
        <w:rPr>
          <w:rFonts w:ascii="Arial" w:cs="Arial" w:eastAsia="Arial" w:hAnsi="Arial"/>
          <w:sz w:val="17"/>
          <w:szCs w:val="17"/>
          <w:color w:val="auto"/>
        </w:rPr>
        <w:t>We earn revenue from many of our clients based on the amount of accounts receivable they collect through our platform. For these services, we are paid a platform and usage-based fee based on the total payment volume that our clients collect. We also earn revenue from clients’ customers when they enter into a payment plan and make actual payments against a payment plan in satisfying their obligation to our client. Additionally, we earn a subscription fee from some of our clients for their use of our payment platform. Finally, we earn fees from providing other ancillary services to our clients including printing and mailing services.</w:t>
      </w:r>
    </w:p>
    <w:p>
      <w:pPr>
        <w:spacing w:after="0" w:line="12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740"/>
          </w:cols>
          <w:pgMar w:left="320" w:top="464" w:right="8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Payment Processing Services Costs</w:t>
      </w:r>
    </w:p>
    <w:p>
      <w:pPr>
        <w:spacing w:after="0" w:line="115" w:lineRule="exact"/>
        <w:rPr>
          <w:sz w:val="20"/>
          <w:szCs w:val="20"/>
          <w:color w:val="auto"/>
        </w:rPr>
      </w:pPr>
    </w:p>
    <w:p>
      <w:pPr>
        <w:ind w:left="480" w:right="20" w:firstLine="411"/>
        <w:spacing w:after="0" w:line="235" w:lineRule="auto"/>
        <w:rPr>
          <w:sz w:val="20"/>
          <w:szCs w:val="20"/>
          <w:color w:val="auto"/>
        </w:rPr>
      </w:pPr>
      <w:r>
        <w:rPr>
          <w:rFonts w:ascii="Arial" w:cs="Arial" w:eastAsia="Arial" w:hAnsi="Arial"/>
          <w:sz w:val="17"/>
          <w:szCs w:val="17"/>
          <w:color w:val="auto"/>
        </w:rPr>
        <w:t>Payment processing services costs consist of costs incurred to process payment transactions which include banking and credit card processing fees, foreign currency translation costs, partner fees personnel-related expenses for our employees who facilitate these payments and personnel related expenses for our employees who provide implementation services to our clients. We expect that payment processing services costs will increase in absolute dollars but may fluctuate as a percentage of revenue from period to period, as we continue to invest in scaling our processing operations and grow our revenue base.</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Technology and Development</w:t>
      </w:r>
    </w:p>
    <w:p>
      <w:pPr>
        <w:spacing w:after="0" w:line="115" w:lineRule="exact"/>
        <w:rPr>
          <w:sz w:val="20"/>
          <w:szCs w:val="20"/>
          <w:color w:val="auto"/>
        </w:rPr>
      </w:pPr>
    </w:p>
    <w:p>
      <w:pPr>
        <w:ind w:left="480" w:right="80" w:firstLine="411"/>
        <w:spacing w:after="0" w:line="246" w:lineRule="auto"/>
        <w:rPr>
          <w:sz w:val="20"/>
          <w:szCs w:val="20"/>
          <w:color w:val="auto"/>
        </w:rPr>
      </w:pPr>
      <w:r>
        <w:rPr>
          <w:rFonts w:ascii="Arial" w:cs="Arial" w:eastAsia="Arial" w:hAnsi="Arial"/>
          <w:sz w:val="16"/>
          <w:szCs w:val="16"/>
          <w:color w:val="auto"/>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w:t>
      </w:r>
    </w:p>
    <w:p>
      <w:pPr>
        <w:ind w:left="740" w:hanging="260"/>
        <w:spacing w:after="0" w:line="234" w:lineRule="auto"/>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hardware and software engineering, consultant services and other costs associated with our technology platform and products,</w:t>
      </w:r>
    </w:p>
    <w:p>
      <w:pPr>
        <w:ind w:left="680" w:hanging="200"/>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research materials and facilities, and (g) depreciation and maintenance expense.</w:t>
      </w:r>
    </w:p>
    <w:p>
      <w:pPr>
        <w:spacing w:after="0" w:line="195" w:lineRule="exact"/>
        <w:rPr>
          <w:sz w:val="20"/>
          <w:szCs w:val="20"/>
          <w:color w:val="auto"/>
        </w:rPr>
      </w:pPr>
    </w:p>
    <w:p>
      <w:pPr>
        <w:ind w:left="480" w:right="40" w:firstLine="411"/>
        <w:spacing w:after="0" w:line="235" w:lineRule="auto"/>
        <w:rPr>
          <w:sz w:val="20"/>
          <w:szCs w:val="20"/>
          <w:color w:val="auto"/>
        </w:rPr>
      </w:pPr>
      <w:r>
        <w:rPr>
          <w:rFonts w:ascii="Arial" w:cs="Arial" w:eastAsia="Arial" w:hAnsi="Arial"/>
          <w:sz w:val="17"/>
          <w:szCs w:val="17"/>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revenue from period to period as we expand our technology and development team to develop new solutions and enhancements to existing solutions.</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Selling and Marketing</w:t>
      </w:r>
    </w:p>
    <w:p>
      <w:pPr>
        <w:spacing w:after="0" w:line="115" w:lineRule="exact"/>
        <w:rPr>
          <w:sz w:val="20"/>
          <w:szCs w:val="20"/>
          <w:color w:val="auto"/>
        </w:rPr>
      </w:pPr>
    </w:p>
    <w:p>
      <w:pPr>
        <w:ind w:left="480" w:right="340" w:firstLine="411"/>
        <w:spacing w:after="0" w:line="236" w:lineRule="auto"/>
        <w:rPr>
          <w:sz w:val="20"/>
          <w:szCs w:val="20"/>
          <w:color w:val="auto"/>
        </w:rPr>
      </w:pPr>
      <w:r>
        <w:rPr>
          <w:rFonts w:ascii="Arial" w:cs="Arial" w:eastAsia="Arial" w:hAnsi="Arial"/>
          <w:sz w:val="17"/>
          <w:szCs w:val="17"/>
          <w:color w:val="auto"/>
        </w:rPr>
        <w:t>Selling and marketing expenses consist of personnel-related expenses, including stock-based compensation expense, sales commissions, amortization of acquired client relationship intangible assets, marketing program expenses, travel-related expenses and costs to market and promote our solutions through advertisements, marketing events, partnership arrangements, and direct client acquisition.</w:t>
      </w:r>
    </w:p>
    <w:p>
      <w:pPr>
        <w:spacing w:after="0" w:line="189" w:lineRule="exact"/>
        <w:rPr>
          <w:sz w:val="20"/>
          <w:szCs w:val="20"/>
          <w:color w:val="auto"/>
        </w:rPr>
      </w:pPr>
    </w:p>
    <w:p>
      <w:pPr>
        <w:ind w:left="480" w:right="280" w:firstLine="411"/>
        <w:spacing w:after="0" w:line="236" w:lineRule="auto"/>
        <w:rPr>
          <w:sz w:val="20"/>
          <w:szCs w:val="20"/>
          <w:color w:val="auto"/>
        </w:rPr>
      </w:pPr>
      <w:r>
        <w:rPr>
          <w:rFonts w:ascii="Arial" w:cs="Arial" w:eastAsia="Arial" w:hAnsi="Arial"/>
          <w:sz w:val="17"/>
          <w:szCs w:val="17"/>
          <w:color w:val="auto"/>
        </w:rPr>
        <w:t>We focus our sales and marketing efforts on generating awareness of our company,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15" w:lineRule="exact"/>
        <w:rPr>
          <w:sz w:val="20"/>
          <w:szCs w:val="20"/>
          <w:color w:val="auto"/>
        </w:rPr>
      </w:pPr>
    </w:p>
    <w:p>
      <w:pPr>
        <w:ind w:left="480" w:right="80" w:firstLine="411"/>
        <w:spacing w:after="0" w:line="251" w:lineRule="auto"/>
        <w:rPr>
          <w:sz w:val="20"/>
          <w:szCs w:val="20"/>
          <w:color w:val="auto"/>
        </w:rPr>
      </w:pPr>
      <w:r>
        <w:rPr>
          <w:rFonts w:ascii="Arial" w:cs="Arial" w:eastAsia="Arial" w:hAnsi="Arial"/>
          <w:sz w:val="16"/>
          <w:szCs w:val="16"/>
          <w:color w:val="auto"/>
        </w:rPr>
        <w:t>General and administrative expenses consist of personnel-related expenses, including stock-based compensation expense, for finance, risk management, legal and compliance, human resources and information technology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revenue from period to period.</w:t>
      </w:r>
    </w:p>
    <w:p>
      <w:pPr>
        <w:spacing w:after="0" w:line="26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0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Interest expense consists of interest incurred on our Loan and Security Agreement (LSA) with a lender. During 2018, we borrowed</w:t>
      </w:r>
    </w:p>
    <w:p>
      <w:pPr>
        <w:ind w:left="480"/>
        <w:spacing w:after="0"/>
        <w:rPr>
          <w:sz w:val="20"/>
          <w:szCs w:val="20"/>
          <w:color w:val="auto"/>
        </w:rPr>
      </w:pPr>
      <w:r>
        <w:rPr>
          <w:rFonts w:ascii="Arial" w:cs="Arial" w:eastAsia="Arial" w:hAnsi="Arial"/>
          <w:sz w:val="16"/>
          <w:szCs w:val="16"/>
          <w:color w:val="auto"/>
        </w:rPr>
        <w:t>$25.0 million under the LSA to complete our acquisition of OnPlan Holdings LLC. On April 25, 2020, we entered into a Joinder and Second</w:t>
      </w:r>
    </w:p>
    <w:p>
      <w:pPr>
        <w:ind w:left="480"/>
        <w:spacing w:after="0" w:line="238" w:lineRule="auto"/>
        <w:rPr>
          <w:sz w:val="20"/>
          <w:szCs w:val="20"/>
          <w:color w:val="auto"/>
        </w:rPr>
      </w:pPr>
      <w:r>
        <w:rPr>
          <w:rFonts w:ascii="Arial" w:cs="Arial" w:eastAsia="Arial" w:hAnsi="Arial"/>
          <w:sz w:val="17"/>
          <w:szCs w:val="17"/>
          <w:color w:val="auto"/>
        </w:rPr>
        <w:t>Amendment to the LSA to refinance the LSA. As part of the refinancing, the lender re-advanced $4.2 million of principal paid on the loan</w:t>
      </w:r>
    </w:p>
    <w:p>
      <w:pPr>
        <w:ind w:left="480"/>
        <w:spacing w:after="0" w:line="232" w:lineRule="auto"/>
        <w:rPr>
          <w:sz w:val="20"/>
          <w:szCs w:val="20"/>
          <w:color w:val="auto"/>
        </w:rPr>
      </w:pPr>
      <w:r>
        <w:rPr>
          <w:rFonts w:ascii="Arial" w:cs="Arial" w:eastAsia="Arial" w:hAnsi="Arial"/>
          <w:sz w:val="17"/>
          <w:szCs w:val="17"/>
          <w:color w:val="auto"/>
        </w:rPr>
        <w:t>through May 1, 2020. The LSA is interest only until May 2023 and bears annual interest at a rate equal to the greater of (i) 5.25% above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prime rate or (ii) 8.50%. Previously, our interest rate was at an annual fixed rate of 8.5%. In July 2021, we refinanced our existing debt</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giving us access to $50 million in revolving debt. This credit facility has an adjustable rate of interest, at our option, either at an annual rate</w:t>
      </w:r>
    </w:p>
    <w:p>
      <w:pPr>
        <w:ind w:left="480"/>
        <w:spacing w:after="0" w:line="238" w:lineRule="auto"/>
        <w:rPr>
          <w:sz w:val="20"/>
          <w:szCs w:val="20"/>
          <w:color w:val="auto"/>
        </w:rPr>
      </w:pPr>
      <w:r>
        <w:rPr>
          <w:rFonts w:ascii="Arial" w:cs="Arial" w:eastAsia="Arial" w:hAnsi="Arial"/>
          <w:sz w:val="17"/>
          <w:szCs w:val="17"/>
          <w:color w:val="auto"/>
        </w:rPr>
        <w:t>based on Alternate Base Rate (“ABR”), which references the prime rate, plus an applicable margin or LIBOR plus an applicable margin.</w:t>
      </w:r>
    </w:p>
    <w:p>
      <w:pPr>
        <w:ind w:left="480"/>
        <w:spacing w:after="0" w:line="232" w:lineRule="auto"/>
        <w:rPr>
          <w:sz w:val="20"/>
          <w:szCs w:val="20"/>
          <w:color w:val="auto"/>
        </w:rPr>
      </w:pPr>
      <w:r>
        <w:rPr>
          <w:rFonts w:ascii="Arial" w:cs="Arial" w:eastAsia="Arial" w:hAnsi="Arial"/>
          <w:sz w:val="17"/>
          <w:szCs w:val="17"/>
          <w:color w:val="auto"/>
        </w:rPr>
        <w:t>Loans based on ABR shall bear interest at a rate between ABR plus 0.75% and ABR plus 1.25%, and loans based on LIBOR shall bear</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interest at a rate between LIBOR plus 1.75% and LIBOR plus 2.25%, depending on our liquidity.</w:t>
      </w:r>
    </w:p>
    <w:p>
      <w:pPr>
        <w:spacing w:after="0" w:line="13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760"/>
          </w:cols>
          <w:pgMar w:left="320" w:top="464" w:right="81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Change in Fair Value of Preferred Stock Warrant Liability</w:t>
      </w:r>
    </w:p>
    <w:p>
      <w:pPr>
        <w:spacing w:after="0" w:line="115" w:lineRule="exact"/>
        <w:rPr>
          <w:sz w:val="20"/>
          <w:szCs w:val="20"/>
          <w:color w:val="auto"/>
        </w:rPr>
      </w:pPr>
    </w:p>
    <w:p>
      <w:pPr>
        <w:ind w:left="480" w:firstLine="411"/>
        <w:spacing w:after="0" w:line="250" w:lineRule="auto"/>
        <w:rPr>
          <w:sz w:val="20"/>
          <w:szCs w:val="20"/>
          <w:color w:val="auto"/>
        </w:rPr>
      </w:pPr>
      <w:r>
        <w:rPr>
          <w:rFonts w:ascii="Arial" w:cs="Arial" w:eastAsia="Arial" w:hAnsi="Arial"/>
          <w:sz w:val="16"/>
          <w:szCs w:val="16"/>
          <w:color w:val="auto"/>
        </w:rPr>
        <w:t>In connection with our financing arrangements, we issued warrants to purchase convertible preferred stock to a lender. The warrants to purchase preferred stock provide for net share settlement under which the maximum number of shares that could be issued represents the total amount of shares under the warrant agreements. These warrants are classified as liabilities on our consolidated balance sheets as these are free standing instruments that may require us to transfer an asset upon exercise. The warrant liability associated with these warrants was recorded at fair value on the issuance date of the warrants and was marked to market each reporting period based on changes in the warrants’ fair value calculated using the Black-Scholes model. Following our IPO, we no longer have to measure the change in fair value of preferred stock warrant liability in our consolidated statements of operations and comprehensive loss due to the preferred stock warrants either being fully exercised or converted to warrants to purchase common stock.</w:t>
      </w:r>
    </w:p>
    <w:p>
      <w:pPr>
        <w:spacing w:after="0" w:line="26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115" w:lineRule="exact"/>
        <w:rPr>
          <w:sz w:val="20"/>
          <w:szCs w:val="20"/>
          <w:color w:val="auto"/>
        </w:rPr>
      </w:pPr>
    </w:p>
    <w:p>
      <w:pPr>
        <w:ind w:left="480" w:right="720" w:firstLine="411"/>
        <w:spacing w:after="0"/>
        <w:rPr>
          <w:sz w:val="20"/>
          <w:szCs w:val="20"/>
          <w:color w:val="auto"/>
        </w:rPr>
      </w:pPr>
      <w:r>
        <w:rPr>
          <w:rFonts w:ascii="Arial" w:cs="Arial" w:eastAsia="Arial" w:hAnsi="Arial"/>
          <w:sz w:val="17"/>
          <w:szCs w:val="17"/>
          <w:color w:val="auto"/>
        </w:rPr>
        <w:t>Other income (expense), net consists of interest income and gains and losses from the remeasurement of foreign currency transactions into its functional currency.</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Provision for (Benefit From) Income Tax</w:t>
      </w:r>
    </w:p>
    <w:p>
      <w:pPr>
        <w:spacing w:after="0" w:line="115" w:lineRule="exact"/>
        <w:rPr>
          <w:sz w:val="20"/>
          <w:szCs w:val="20"/>
          <w:color w:val="auto"/>
        </w:rPr>
      </w:pPr>
    </w:p>
    <w:p>
      <w:pPr>
        <w:jc w:val="both"/>
        <w:ind w:left="480" w:right="120" w:firstLine="411"/>
        <w:spacing w:after="0" w:line="237" w:lineRule="auto"/>
        <w:rPr>
          <w:sz w:val="20"/>
          <w:szCs w:val="20"/>
          <w:color w:val="auto"/>
        </w:rPr>
      </w:pPr>
      <w:r>
        <w:rPr>
          <w:rFonts w:ascii="Arial" w:cs="Arial" w:eastAsia="Arial" w:hAnsi="Arial"/>
          <w:sz w:val="17"/>
          <w:szCs w:val="17"/>
          <w:color w:val="auto"/>
        </w:rPr>
        <w:t>Provision for (benefit from) income taxes consists of foreign and state income taxes. We have generated net operating loss (NOL) carryforwards for U.S. Federal tax purposes as we expand the scale of our international business activities. Any changes in the U.S. and foreign taxation of such activities may increase our overall provision for income taxes in the future.</w:t>
      </w:r>
    </w:p>
    <w:p>
      <w:pPr>
        <w:spacing w:after="0" w:line="190" w:lineRule="exact"/>
        <w:rPr>
          <w:sz w:val="20"/>
          <w:szCs w:val="20"/>
          <w:color w:val="auto"/>
        </w:rPr>
      </w:pPr>
    </w:p>
    <w:p>
      <w:pPr>
        <w:jc w:val="both"/>
        <w:ind w:left="480" w:right="500" w:firstLine="411"/>
        <w:spacing w:after="0" w:line="237" w:lineRule="auto"/>
        <w:rPr>
          <w:sz w:val="20"/>
          <w:szCs w:val="20"/>
          <w:color w:val="auto"/>
        </w:rPr>
      </w:pPr>
      <w:r>
        <w:rPr>
          <w:rFonts w:ascii="Arial" w:cs="Arial" w:eastAsia="Arial" w:hAnsi="Arial"/>
          <w:sz w:val="17"/>
          <w:szCs w:val="17"/>
          <w:color w:val="auto"/>
        </w:rPr>
        <w:t>We have a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generated in the United States.</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Results of Operations</w:t>
      </w:r>
    </w:p>
    <w:p>
      <w:pPr>
        <w:spacing w:after="0" w:line="9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Comparison of results for the Six Months Ended June 30, 2021 and 2020</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sets forth our consolidated results of operations for periods presented:</w:t>
      </w:r>
    </w:p>
    <w:p>
      <w:pPr>
        <w:spacing w:after="0" w:line="222" w:lineRule="exact"/>
        <w:rPr>
          <w:sz w:val="20"/>
          <w:szCs w:val="20"/>
          <w:color w:val="auto"/>
        </w:rPr>
      </w:pPr>
    </w:p>
    <w:tbl>
      <w:tblPr>
        <w:tblLayout w:type="fixed"/>
        <w:tblInd w:w="900" w:type="dxa"/>
        <w:tblCellMar>
          <w:top w:w="0" w:type="dxa"/>
          <w:left w:w="0" w:type="dxa"/>
          <w:bottom w:w="0" w:type="dxa"/>
          <w:right w:w="0" w:type="dxa"/>
        </w:tblCellMar>
      </w:tblPr>
      <w:tr>
        <w:trPr>
          <w:trHeight w:val="163"/>
        </w:trPr>
        <w:tc>
          <w:tcPr>
            <w:tcW w:w="4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120" w:type="dxa"/>
            <w:vAlign w:val="bottom"/>
          </w:tcPr>
          <w:p>
            <w:pPr>
              <w:spacing w:after="0"/>
              <w:rPr>
                <w:sz w:val="14"/>
                <w:szCs w:val="14"/>
                <w:color w:val="auto"/>
              </w:rPr>
            </w:pPr>
          </w:p>
        </w:tc>
        <w:tc>
          <w:tcPr>
            <w:tcW w:w="2060" w:type="dxa"/>
            <w:vAlign w:val="bottom"/>
            <w:gridSpan w:val="6"/>
          </w:tcPr>
          <w:p>
            <w:pPr>
              <w:jc w:val="right"/>
              <w:ind w:right="260"/>
              <w:spacing w:after="0"/>
              <w:rPr>
                <w:sz w:val="20"/>
                <w:szCs w:val="20"/>
                <w:color w:val="auto"/>
              </w:rPr>
            </w:pPr>
            <w:r>
              <w:rPr>
                <w:rFonts w:ascii="Arial" w:cs="Arial" w:eastAsia="Arial" w:hAnsi="Arial"/>
                <w:sz w:val="13"/>
                <w:szCs w:val="13"/>
                <w:b w:val="1"/>
                <w:bCs w:val="1"/>
                <w:color w:val="auto"/>
              </w:rPr>
              <w:t>Six Months Ended June 30,</w:t>
            </w:r>
          </w:p>
        </w:tc>
        <w:tc>
          <w:tcPr>
            <w:tcW w:w="2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Change</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8"/>
              </w:rPr>
              <w:t>% Change</w:t>
            </w:r>
          </w:p>
        </w:tc>
        <w:tc>
          <w:tcPr>
            <w:tcW w:w="0" w:type="dxa"/>
            <w:vAlign w:val="bottom"/>
          </w:tcPr>
          <w:p>
            <w:pPr>
              <w:spacing w:after="0"/>
              <w:rPr>
                <w:sz w:val="1"/>
                <w:szCs w:val="1"/>
                <w:color w:val="auto"/>
              </w:rPr>
            </w:pPr>
          </w:p>
        </w:tc>
      </w:tr>
      <w:tr>
        <w:trPr>
          <w:trHeight w:val="131"/>
        </w:trPr>
        <w:tc>
          <w:tcPr>
            <w:tcW w:w="43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17"/>
              <w:spacing w:after="0" w:line="119" w:lineRule="exact"/>
              <w:rPr>
                <w:sz w:val="20"/>
                <w:szCs w:val="20"/>
                <w:color w:val="auto"/>
              </w:rPr>
            </w:pPr>
            <w:r>
              <w:rPr>
                <w:rFonts w:ascii="Arial" w:cs="Arial" w:eastAsia="Arial" w:hAnsi="Arial"/>
                <w:sz w:val="13"/>
                <w:szCs w:val="13"/>
                <w:b w:val="1"/>
                <w:bCs w:val="1"/>
                <w:color w:val="auto"/>
              </w:rPr>
              <w:t>2021</w:t>
            </w:r>
          </w:p>
        </w:tc>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7"/>
              <w:spacing w:after="0" w:line="119"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32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Revenue</w:t>
            </w: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82.0</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56.5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25.5</w:t>
            </w:r>
          </w:p>
        </w:tc>
        <w:tc>
          <w:tcPr>
            <w:tcW w:w="3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7" w:lineRule="exact"/>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r>
        <w:trPr>
          <w:trHeight w:val="189"/>
        </w:trPr>
        <w:tc>
          <w:tcPr>
            <w:tcW w:w="4320" w:type="dxa"/>
            <w:vAlign w:val="bottom"/>
            <w:gridSpan w:val="2"/>
          </w:tcPr>
          <w:p>
            <w:pPr>
              <w:spacing w:after="0" w:line="189" w:lineRule="exact"/>
              <w:rPr>
                <w:sz w:val="20"/>
                <w:szCs w:val="20"/>
                <w:color w:val="auto"/>
              </w:rPr>
            </w:pPr>
            <w:r>
              <w:rPr>
                <w:rFonts w:ascii="Arial" w:cs="Arial" w:eastAsia="Arial" w:hAnsi="Arial"/>
                <w:sz w:val="17"/>
                <w:szCs w:val="17"/>
                <w:color w:val="auto"/>
              </w:rPr>
              <w:t>Payment processing and service costs</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29.2</w:t>
            </w:r>
          </w:p>
        </w:tc>
        <w:tc>
          <w:tcPr>
            <w:tcW w:w="16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22.5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6.7</w:t>
            </w: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29.8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Technology and development</w:t>
            </w: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14.5</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2.8</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gridSpan w:val="2"/>
          </w:tcPr>
          <w:p>
            <w:pPr>
              <w:spacing w:after="0" w:line="189" w:lineRule="exact"/>
              <w:rPr>
                <w:sz w:val="20"/>
                <w:szCs w:val="20"/>
                <w:color w:val="auto"/>
              </w:rPr>
            </w:pPr>
            <w:r>
              <w:rPr>
                <w:rFonts w:ascii="Arial" w:cs="Arial" w:eastAsia="Arial" w:hAnsi="Arial"/>
                <w:sz w:val="17"/>
                <w:szCs w:val="17"/>
                <w:color w:val="auto"/>
              </w:rPr>
              <w:t>Selling and marketing</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22.8</w:t>
            </w:r>
          </w:p>
        </w:tc>
        <w:tc>
          <w:tcPr>
            <w:tcW w:w="16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16.7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6.1</w:t>
            </w: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36.5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General and administrative</w:t>
            </w: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29.5</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5.7</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Total costs and operating expense</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96.0</w:t>
            </w:r>
          </w:p>
        </w:tc>
        <w:tc>
          <w:tcPr>
            <w:tcW w:w="16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74.7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21.3</w:t>
            </w:r>
          </w:p>
        </w:tc>
        <w:tc>
          <w:tcPr>
            <w:tcW w:w="3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28.5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Loss from operations</w:t>
            </w: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(14.0)</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(18.2)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4.2</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189"/>
        </w:trPr>
        <w:tc>
          <w:tcPr>
            <w:tcW w:w="4320" w:type="dxa"/>
            <w:vAlign w:val="bottom"/>
            <w:gridSpan w:val="2"/>
          </w:tcPr>
          <w:p>
            <w:pPr>
              <w:spacing w:after="0" w:line="189" w:lineRule="exact"/>
              <w:rPr>
                <w:sz w:val="20"/>
                <w:szCs w:val="20"/>
                <w:color w:val="auto"/>
              </w:rPr>
            </w:pPr>
            <w:r>
              <w:rPr>
                <w:rFonts w:ascii="Arial" w:cs="Arial" w:eastAsia="Arial" w:hAnsi="Arial"/>
                <w:sz w:val="17"/>
                <w:szCs w:val="17"/>
                <w:color w:val="auto"/>
              </w:rPr>
              <w:t>Interest expense</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(1.2)</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0.1</w:t>
            </w:r>
          </w:p>
        </w:tc>
        <w:tc>
          <w:tcPr>
            <w:tcW w:w="86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189"/>
        </w:trPr>
        <w:tc>
          <w:tcPr>
            <w:tcW w:w="43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Change in fair value of preferred stock warrant liability</w:t>
            </w: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(10.8)</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(10.5)</w:t>
            </w:r>
          </w:p>
        </w:tc>
        <w:tc>
          <w:tcPr>
            <w:tcW w:w="8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3500.0</w:t>
            </w:r>
          </w:p>
        </w:tc>
        <w:tc>
          <w:tcPr>
            <w:tcW w:w="0" w:type="dxa"/>
            <w:vAlign w:val="bottom"/>
          </w:tcPr>
          <w:p>
            <w:pPr>
              <w:spacing w:after="0"/>
              <w:rPr>
                <w:sz w:val="1"/>
                <w:szCs w:val="1"/>
                <w:color w:val="auto"/>
              </w:rPr>
            </w:pPr>
          </w:p>
        </w:tc>
      </w:tr>
      <w:tr>
        <w:trPr>
          <w:trHeight w:val="189"/>
        </w:trPr>
        <w:tc>
          <w:tcPr>
            <w:tcW w:w="4320" w:type="dxa"/>
            <w:vAlign w:val="bottom"/>
            <w:gridSpan w:val="2"/>
          </w:tcPr>
          <w:p>
            <w:pPr>
              <w:spacing w:after="0" w:line="189" w:lineRule="exact"/>
              <w:rPr>
                <w:sz w:val="20"/>
                <w:szCs w:val="20"/>
                <w:color w:val="auto"/>
              </w:rPr>
            </w:pPr>
            <w:r>
              <w:rPr>
                <w:rFonts w:ascii="Arial" w:cs="Arial" w:eastAsia="Arial" w:hAnsi="Arial"/>
                <w:sz w:val="17"/>
                <w:szCs w:val="17"/>
                <w:color w:val="auto"/>
              </w:rPr>
              <w:t>Other income (expense), net</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(0.3)</w:t>
            </w:r>
          </w:p>
        </w:tc>
        <w:tc>
          <w:tcPr>
            <w:tcW w:w="160" w:type="dxa"/>
            <w:vAlign w:val="bottom"/>
          </w:tcPr>
          <w:p>
            <w:pPr>
              <w:spacing w:after="0"/>
              <w:rPr>
                <w:sz w:val="16"/>
                <w:szCs w:val="16"/>
                <w:color w:val="auto"/>
              </w:rPr>
            </w:pPr>
          </w:p>
        </w:tc>
        <w:tc>
          <w:tcPr>
            <w:tcW w:w="7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(0.4)</w:t>
            </w:r>
          </w:p>
        </w:tc>
        <w:tc>
          <w:tcPr>
            <w:tcW w:w="86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(400.0)</w:t>
            </w:r>
          </w:p>
        </w:tc>
        <w:tc>
          <w:tcPr>
            <w:tcW w:w="0" w:type="dxa"/>
            <w:vAlign w:val="bottom"/>
          </w:tcPr>
          <w:p>
            <w:pPr>
              <w:spacing w:after="0"/>
              <w:rPr>
                <w:sz w:val="1"/>
                <w:szCs w:val="1"/>
                <w:color w:val="auto"/>
              </w:rPr>
            </w:pPr>
          </w:p>
        </w:tc>
      </w:tr>
      <w:tr>
        <w:trPr>
          <w:trHeight w:val="189"/>
        </w:trPr>
        <w:tc>
          <w:tcPr>
            <w:tcW w:w="432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Total other expenses, net</w:t>
            </w: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(12.3)</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(10.8)</w:t>
            </w:r>
          </w:p>
        </w:tc>
        <w:tc>
          <w:tcPr>
            <w:tcW w:w="8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720.0</w:t>
            </w:r>
          </w:p>
        </w:tc>
        <w:tc>
          <w:tcPr>
            <w:tcW w:w="0" w:type="dxa"/>
            <w:vAlign w:val="bottom"/>
          </w:tcPr>
          <w:p>
            <w:pPr>
              <w:spacing w:after="0"/>
              <w:rPr>
                <w:sz w:val="1"/>
                <w:szCs w:val="1"/>
                <w:color w:val="auto"/>
              </w:rPr>
            </w:pPr>
          </w:p>
        </w:tc>
      </w:tr>
      <w:tr>
        <w:trPr>
          <w:trHeight w:val="189"/>
        </w:trPr>
        <w:tc>
          <w:tcPr>
            <w:tcW w:w="432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Loss before income taxes</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(26.3)</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(19.7)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(6.6)</w:t>
            </w: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33.5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Provision for (Benefit from) income taxes</w:t>
            </w: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0.5</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(7.4)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7.9</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(106.8)</w:t>
            </w:r>
          </w:p>
        </w:tc>
        <w:tc>
          <w:tcPr>
            <w:tcW w:w="0" w:type="dxa"/>
            <w:vAlign w:val="bottom"/>
          </w:tcPr>
          <w:p>
            <w:pPr>
              <w:spacing w:after="0"/>
              <w:rPr>
                <w:sz w:val="1"/>
                <w:szCs w:val="1"/>
                <w:color w:val="auto"/>
              </w:rPr>
            </w:pPr>
          </w:p>
        </w:tc>
      </w:tr>
      <w:tr>
        <w:trPr>
          <w:trHeight w:val="189"/>
        </w:trPr>
        <w:tc>
          <w:tcPr>
            <w:tcW w:w="432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Net income (loss)</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(26.8)</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(12.3)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(14.5)</w:t>
            </w:r>
          </w:p>
        </w:tc>
        <w:tc>
          <w:tcPr>
            <w:tcW w:w="8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117.9</w:t>
            </w:r>
          </w:p>
        </w:tc>
        <w:tc>
          <w:tcPr>
            <w:tcW w:w="0" w:type="dxa"/>
            <w:vAlign w:val="bottom"/>
          </w:tcPr>
          <w:p>
            <w:pPr>
              <w:spacing w:after="0"/>
              <w:rPr>
                <w:sz w:val="1"/>
                <w:szCs w:val="1"/>
                <w:color w:val="auto"/>
              </w:rPr>
            </w:pPr>
          </w:p>
        </w:tc>
      </w:tr>
      <w:tr>
        <w:trPr>
          <w:trHeight w:val="189"/>
        </w:trPr>
        <w:tc>
          <w:tcPr>
            <w:tcW w:w="43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Foreign currency translation adjustment</w:t>
            </w: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0.3</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0.6</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0"/>
        </w:trPr>
        <w:tc>
          <w:tcPr>
            <w:tcW w:w="4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320" w:type="dxa"/>
            <w:vAlign w:val="bottom"/>
            <w:gridSpan w:val="2"/>
          </w:tcPr>
          <w:p>
            <w:pPr>
              <w:spacing w:after="0" w:line="194" w:lineRule="exact"/>
              <w:rPr>
                <w:sz w:val="20"/>
                <w:szCs w:val="20"/>
                <w:color w:val="auto"/>
              </w:rPr>
            </w:pPr>
            <w:r>
              <w:rPr>
                <w:rFonts w:ascii="Arial" w:cs="Arial" w:eastAsia="Arial" w:hAnsi="Arial"/>
                <w:sz w:val="17"/>
                <w:szCs w:val="17"/>
                <w:color w:val="auto"/>
              </w:rPr>
              <w:t>Comprehensive income (loss)</w:t>
            </w:r>
          </w:p>
        </w:tc>
        <w:tc>
          <w:tcPr>
            <w:tcW w:w="112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360"/>
              <w:spacing w:after="0" w:line="194" w:lineRule="exact"/>
              <w:rPr>
                <w:sz w:val="20"/>
                <w:szCs w:val="20"/>
                <w:color w:val="auto"/>
              </w:rPr>
            </w:pPr>
            <w:r>
              <w:rPr>
                <w:rFonts w:ascii="Arial" w:cs="Arial" w:eastAsia="Arial" w:hAnsi="Arial"/>
                <w:sz w:val="17"/>
                <w:szCs w:val="17"/>
                <w:color w:val="auto"/>
              </w:rPr>
              <w:t>(26.5)</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(12.6)</w:t>
            </w:r>
          </w:p>
        </w:tc>
        <w:tc>
          <w:tcPr>
            <w:tcW w:w="260" w:type="dxa"/>
            <w:vAlign w:val="bottom"/>
            <w:gridSpan w:val="2"/>
          </w:tcPr>
          <w:p>
            <w:pPr>
              <w:ind w:left="140"/>
              <w:spacing w:after="0" w:line="194"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80"/>
              <w:spacing w:after="0" w:line="194" w:lineRule="exact"/>
              <w:rPr>
                <w:sz w:val="20"/>
                <w:szCs w:val="20"/>
                <w:color w:val="auto"/>
              </w:rPr>
            </w:pPr>
            <w:r>
              <w:rPr>
                <w:rFonts w:ascii="Arial" w:cs="Arial" w:eastAsia="Arial" w:hAnsi="Arial"/>
                <w:sz w:val="17"/>
                <w:szCs w:val="17"/>
                <w:color w:val="auto"/>
              </w:rPr>
              <w:t>(13.9)</w:t>
            </w: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110.3%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20" w:type="dxa"/>
            <w:vAlign w:val="bottom"/>
            <w:vMerge w:val="restart"/>
          </w:tcPr>
          <w:p>
            <w:pPr>
              <w:jc w:val="right"/>
              <w:ind w:right="536"/>
              <w:spacing w:after="0"/>
              <w:rPr>
                <w:sz w:val="20"/>
                <w:szCs w:val="20"/>
                <w:color w:val="auto"/>
              </w:rPr>
            </w:pPr>
            <w:r>
              <w:rPr>
                <w:rFonts w:ascii="Arial" w:cs="Arial" w:eastAsia="Arial" w:hAnsi="Arial"/>
                <w:sz w:val="17"/>
                <w:szCs w:val="17"/>
                <w:color w:val="auto"/>
              </w:rPr>
              <w:t>37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320" w:top="464" w:right="85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Revenue</w:t>
      </w:r>
    </w:p>
    <w:p>
      <w:pPr>
        <w:spacing w:after="0" w:line="113" w:lineRule="exact"/>
        <w:rPr>
          <w:sz w:val="20"/>
          <w:szCs w:val="20"/>
          <w:color w:val="auto"/>
        </w:rPr>
      </w:pPr>
    </w:p>
    <w:p>
      <w:pPr>
        <w:ind w:left="480" w:right="240" w:firstLine="411"/>
        <w:spacing w:after="0"/>
        <w:rPr>
          <w:sz w:val="20"/>
          <w:szCs w:val="20"/>
          <w:color w:val="auto"/>
        </w:rPr>
      </w:pPr>
      <w:r>
        <w:rPr>
          <w:rFonts w:ascii="Arial" w:cs="Arial" w:eastAsia="Arial" w:hAnsi="Arial"/>
          <w:sz w:val="17"/>
          <w:szCs w:val="17"/>
          <w:color w:val="auto"/>
        </w:rPr>
        <w:t>Revenue was $82.0 million for the six months ended June 30, 2021, compared to $56.5 million for the six months ended June 30, 2020, an increase of $25.5 million or 45.1%.</w:t>
      </w:r>
    </w:p>
    <w:p>
      <w:pPr>
        <w:spacing w:after="0" w:line="216" w:lineRule="exact"/>
        <w:rPr>
          <w:sz w:val="20"/>
          <w:szCs w:val="20"/>
          <w:color w:val="auto"/>
        </w:rPr>
      </w:pPr>
    </w:p>
    <w:tbl>
      <w:tblPr>
        <w:tblLayout w:type="fixed"/>
        <w:tblInd w:w="900" w:type="dxa"/>
        <w:tblCellMar>
          <w:top w:w="0" w:type="dxa"/>
          <w:left w:w="0" w:type="dxa"/>
          <w:bottom w:w="0" w:type="dxa"/>
          <w:right w:w="0" w:type="dxa"/>
        </w:tblCellMar>
      </w:tblPr>
      <w:tr>
        <w:trPr>
          <w:trHeight w:val="163"/>
        </w:trPr>
        <w:tc>
          <w:tcPr>
            <w:tcW w:w="5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00" w:type="dxa"/>
            <w:vAlign w:val="bottom"/>
          </w:tcPr>
          <w:p>
            <w:pPr>
              <w:spacing w:after="0"/>
              <w:rPr>
                <w:sz w:val="14"/>
                <w:szCs w:val="14"/>
                <w:color w:val="auto"/>
              </w:rPr>
            </w:pPr>
          </w:p>
        </w:tc>
        <w:tc>
          <w:tcPr>
            <w:tcW w:w="2060" w:type="dxa"/>
            <w:vAlign w:val="bottom"/>
            <w:gridSpan w:val="6"/>
          </w:tcPr>
          <w:p>
            <w:pPr>
              <w:spacing w:after="0"/>
              <w:rPr>
                <w:sz w:val="20"/>
                <w:szCs w:val="20"/>
                <w:color w:val="auto"/>
              </w:rPr>
            </w:pPr>
            <w:r>
              <w:rPr>
                <w:rFonts w:ascii="Arial" w:cs="Arial" w:eastAsia="Arial" w:hAnsi="Arial"/>
                <w:sz w:val="13"/>
                <w:szCs w:val="13"/>
                <w:b w:val="1"/>
                <w:bCs w:val="1"/>
                <w:color w:val="auto"/>
              </w:rPr>
              <w:t>Six Months Ended June 30,</w:t>
            </w:r>
          </w:p>
        </w:tc>
        <w:tc>
          <w:tcPr>
            <w:tcW w:w="32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Change</w:t>
            </w: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1"/>
        </w:trPr>
        <w:tc>
          <w:tcPr>
            <w:tcW w:w="52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43"/>
              <w:spacing w:after="0" w:line="119" w:lineRule="exact"/>
              <w:rPr>
                <w:sz w:val="20"/>
                <w:szCs w:val="20"/>
                <w:color w:val="auto"/>
              </w:rPr>
            </w:pPr>
            <w:r>
              <w:rPr>
                <w:rFonts w:ascii="Arial" w:cs="Arial" w:eastAsia="Arial" w:hAnsi="Arial"/>
                <w:sz w:val="13"/>
                <w:szCs w:val="13"/>
                <w:b w:val="1"/>
                <w:bCs w:val="1"/>
                <w:color w:val="auto"/>
              </w:rPr>
              <w:t>2021</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60"/>
              <w:spacing w:after="0" w:line="119"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24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Transaction revenue</w:t>
            </w: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56.7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36.5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20.2</w:t>
            </w:r>
          </w:p>
        </w:tc>
        <w:tc>
          <w:tcPr>
            <w:tcW w:w="3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320"/>
              <w:spacing w:after="0" w:line="167" w:lineRule="exact"/>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line="189" w:lineRule="exact"/>
              <w:rPr>
                <w:sz w:val="20"/>
                <w:szCs w:val="20"/>
                <w:color w:val="auto"/>
              </w:rPr>
            </w:pPr>
            <w:r>
              <w:rPr>
                <w:rFonts w:ascii="Arial" w:cs="Arial" w:eastAsia="Arial" w:hAnsi="Arial"/>
                <w:sz w:val="17"/>
                <w:szCs w:val="17"/>
                <w:color w:val="auto"/>
              </w:rPr>
              <w:t>Platform and usage-based fee revenue</w:t>
            </w: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25.3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20.0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5.3</w:t>
            </w:r>
          </w:p>
        </w:tc>
        <w:tc>
          <w:tcPr>
            <w:tcW w:w="660" w:type="dxa"/>
            <w:vAlign w:val="bottom"/>
          </w:tcPr>
          <w:p>
            <w:pPr>
              <w:ind w:left="320"/>
              <w:spacing w:after="0" w:line="189" w:lineRule="exact"/>
              <w:rPr>
                <w:sz w:val="20"/>
                <w:szCs w:val="20"/>
                <w:color w:val="auto"/>
              </w:rPr>
            </w:pPr>
            <w:r>
              <w:rPr>
                <w:rFonts w:ascii="Arial" w:cs="Arial" w:eastAsia="Arial" w:hAnsi="Arial"/>
                <w:sz w:val="17"/>
                <w:szCs w:val="17"/>
                <w:color w:val="auto"/>
                <w:w w:val="96"/>
              </w:rPr>
              <w:t>26.5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4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82.0</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56.5</w:t>
            </w:r>
          </w:p>
        </w:tc>
        <w:tc>
          <w:tcPr>
            <w:tcW w:w="3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25.5</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480" w:right="40" w:firstLine="411"/>
        <w:spacing w:after="0" w:line="235" w:lineRule="auto"/>
        <w:rPr>
          <w:sz w:val="20"/>
          <w:szCs w:val="20"/>
          <w:color w:val="auto"/>
        </w:rPr>
      </w:pPr>
      <w:r>
        <w:rPr>
          <w:rFonts w:ascii="Arial" w:cs="Arial" w:eastAsia="Arial" w:hAnsi="Arial"/>
          <w:sz w:val="17"/>
          <w:szCs w:val="17"/>
          <w:color w:val="auto"/>
        </w:rPr>
        <w:t>Transaction revenue was $56.7 million for the six months ended June 30, 2021, compared to $36.5 million for the six months ended June 30, 2020, an increase of $20.2 million or 55.3%. The increase in transaction revenue was primarily driven by transactions originating in regions where we generate more transaction volume. Total payment volume increased 68.3% during the six months ended June 30, 2021 to $2.9 billion. Our marketing services revenue remained consistent in the six months ended June 30, 2021 compared to the six months ended June 30, 2020.</w:t>
      </w:r>
    </w:p>
    <w:p>
      <w:pPr>
        <w:spacing w:after="0" w:line="190" w:lineRule="exact"/>
        <w:rPr>
          <w:sz w:val="20"/>
          <w:szCs w:val="20"/>
          <w:color w:val="auto"/>
        </w:rPr>
      </w:pPr>
    </w:p>
    <w:p>
      <w:pPr>
        <w:jc w:val="both"/>
        <w:ind w:left="480" w:right="40" w:firstLine="411"/>
        <w:spacing w:after="0" w:line="237" w:lineRule="auto"/>
        <w:rPr>
          <w:sz w:val="20"/>
          <w:szCs w:val="20"/>
          <w:color w:val="auto"/>
        </w:rPr>
      </w:pPr>
      <w:r>
        <w:rPr>
          <w:rFonts w:ascii="Arial" w:cs="Arial" w:eastAsia="Arial" w:hAnsi="Arial"/>
          <w:sz w:val="17"/>
          <w:szCs w:val="17"/>
          <w:color w:val="auto"/>
        </w:rPr>
        <w:t>Platform and usage-based fee revenue was $25.3 million for the six months ended June 30, 2021, compared to $20.0 million for the six months ended June 30, 2020, an increase of $5.3 million or 26.5%. The increase in platform and usage-based fee revenue was driven by the full six months of revenue from Simplee and increased usage by our clients.</w:t>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Payment Processing Services Costs</w:t>
      </w:r>
    </w:p>
    <w:p>
      <w:pPr>
        <w:spacing w:after="0" w:line="113" w:lineRule="exact"/>
        <w:rPr>
          <w:sz w:val="20"/>
          <w:szCs w:val="20"/>
          <w:color w:val="auto"/>
        </w:rPr>
      </w:pPr>
    </w:p>
    <w:p>
      <w:pPr>
        <w:ind w:left="480" w:firstLine="411"/>
        <w:spacing w:after="0" w:line="236" w:lineRule="auto"/>
        <w:rPr>
          <w:sz w:val="20"/>
          <w:szCs w:val="20"/>
          <w:color w:val="auto"/>
        </w:rPr>
      </w:pPr>
      <w:r>
        <w:rPr>
          <w:rFonts w:ascii="Arial" w:cs="Arial" w:eastAsia="Arial" w:hAnsi="Arial"/>
          <w:sz w:val="17"/>
          <w:szCs w:val="17"/>
          <w:color w:val="auto"/>
        </w:rPr>
        <w:t>Payment processing services costs were $29.2 million for the six months ended June 30, 2021, compared to $22.5 million for the six months ended June 30, 2020, an increase of $ 6.7 million or 29.8%. The increase in payment processing services costs is correlated with the increase in total payment volume of 75.7% over the same period, and was offset by lower processing costs related to bank, credit card and alternative payment transactions.</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Technology and Development</w:t>
      </w:r>
    </w:p>
    <w:p>
      <w:pPr>
        <w:spacing w:after="0" w:line="113"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Technology and development expenses were $14.5 million for the six months ended June 30, 2021, compared to $ 11.7 million for the six months ended June 30, 2020, an increase of $2.8 million or 23.9%. The increase in technology and development cost was primarily driven by an increase in stock-based compensation expense, personnel costs, and an increase in amortization expense. Personnel costs were $8.3 million for the six months ended June 30, 2021, compared to $7.8 million for the six months ended June 30, 2020 an increase of $0.5 million or 6.4%. Stock-based compensation expense was $1.5 million for the six months ended June 30, 2021, compared to $0.4 million for the six months ended June 30, 2020, an increase of $1.1 million. The increase in personnel costs was primarily driven by an increase in headcount within our technology and development teams partially offset by the capitalization of internally developed software costs during the period of $ 3.5 million. Amortization of intangible assets was $2.0 million for the six months ended June 30, 2021, compared to $ 1.5 million for the six months ended June 30, 2020, an increase of $0.5 million or 33.3%. The increase in amortization expense was the result of the acquisition of Simplee.</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Selling and Marketing</w:t>
      </w:r>
    </w:p>
    <w:p>
      <w:pPr>
        <w:spacing w:after="0" w:line="113" w:lineRule="exact"/>
        <w:rPr>
          <w:sz w:val="20"/>
          <w:szCs w:val="20"/>
          <w:color w:val="auto"/>
        </w:rPr>
      </w:pPr>
    </w:p>
    <w:p>
      <w:pPr>
        <w:ind w:left="480" w:right="20" w:firstLine="411"/>
        <w:spacing w:after="0" w:line="233" w:lineRule="auto"/>
        <w:rPr>
          <w:sz w:val="20"/>
          <w:szCs w:val="20"/>
          <w:color w:val="auto"/>
        </w:rPr>
      </w:pPr>
      <w:r>
        <w:rPr>
          <w:rFonts w:ascii="Arial" w:cs="Arial" w:eastAsia="Arial" w:hAnsi="Arial"/>
          <w:sz w:val="17"/>
          <w:szCs w:val="17"/>
          <w:color w:val="auto"/>
        </w:rPr>
        <w:t>Selling and marketing expenses were $ 22.8 million for the six months ended June 30, 2021, compared to $16.7 million for the six months ended June 30, 2020, an increase of $6.1 million or 36.5%. The increase in selling and marketing expenses was primarily driven by an increase in personnel costs, stock-based compensation and an increase in professional fee expenses, partially offset by a decrease in travel related expenses. Stock-based compensation was $ 3.4 million for the six months ended June 30, 2021, compared to $ 0.6 million for the six months ended June 30, 2020, an increase of $2.8 million. Personnel costs increased by $2.5 million. The increase in personnel costs was primarily driven by an increase in headcount within our selling and marketing teams and commissions earned on sales during the period. Amortization of intangibles was $1.2 million for the six months ended June 30, 2021, compared to $ 0.9 million for the six months ended June 30, 2020, an increase of $0.3 million or 33.3%. The increase in amortization expense was the result of the acquisition of Simplee which added $48.3 million of acquired client relationships, which have a weighted-average amortization period of 12 years. Professional fees were $1.6 million for the six months ended June 30, 2021, compared to $0.7 million for the six months ended June 30, 2020, an increase of $0.3 million or 33.3%. Travel related costs during the six months ended June 30, 2021 decreased by $0.3 million compared to the same period in 2020.</w:t>
      </w:r>
    </w:p>
    <w:p>
      <w:pPr>
        <w:spacing w:after="0" w:line="13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740"/>
          </w:cols>
          <w:pgMar w:left="320" w:top="464" w:right="8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3"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General and administrative expenses were $29.5 million for the six months ended June 30, 2021, compared to $23.8 million for the six months ended June 30, 2020, an increase of $5.7 million or 23.9%. The increase in general and administrative expenses was primarily driven by the increase in stock-based compensation, professional fees and personnel offset by the change in the fair value of contingent consideration and acquisition related expenses. Stock-based compensation was $7.9 million for the six months ended June 30, 2021, compared to $0.8 million for the six months ended June 30, 2020, an increase of $7.1 million. The increase in compensation is directly attributable to incremental compensation charges taken in relation to a secondary sale during the period that involved stockholders who were also our employees. Professional fees were $3.2 million for the six months ended June 30, 2021, compared to $2.1 million for the six months ended June 30, 2020, an increase of $1.1 million. Personnel costs were $11.5 million for the six months ended June 30, 2021, compared to $10.6 million for the six months ended June 30, 2020, an increase of $ 0.9 million primarily due to increased headcount. The change in the fair value of contingent consideration related to acquisitions was $ 1.6 million for the six months ended June 30, 2021, compared to $ 3.7 million for the six months ended June 30, 2020, a decrease of $2.1 million. Acquisition costs were $0.0 million for the six months ended June 30, 2021, compared to $1.3 million for the six months ended June 30, 2020.</w:t>
      </w:r>
    </w:p>
    <w:p>
      <w:pPr>
        <w:spacing w:after="0" w:line="277"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Interest Expense</w:t>
      </w:r>
    </w:p>
    <w:p>
      <w:pPr>
        <w:spacing w:after="0" w:line="10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Interest expense were $1.2 million for the six months ended June 30, 2021, compared to $1.3 million for the six months ended</w:t>
      </w:r>
    </w:p>
    <w:p>
      <w:pPr>
        <w:ind w:left="480"/>
        <w:spacing w:after="0"/>
        <w:rPr>
          <w:sz w:val="20"/>
          <w:szCs w:val="20"/>
          <w:color w:val="auto"/>
        </w:rPr>
      </w:pPr>
      <w:r>
        <w:rPr>
          <w:rFonts w:ascii="Arial" w:cs="Arial" w:eastAsia="Arial" w:hAnsi="Arial"/>
          <w:sz w:val="16"/>
          <w:szCs w:val="16"/>
          <w:color w:val="auto"/>
        </w:rPr>
        <w:t>June 30, 2020, a decrease of $0.1 million. The decrease is attributable to non-cash interest expense being amortized over a longer period</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of time after the 2020 loan refinancing.</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Change in Fair Value of Preferred Stock Warrant Liability</w:t>
      </w:r>
    </w:p>
    <w:p>
      <w:pPr>
        <w:spacing w:after="0" w:line="113" w:lineRule="exact"/>
        <w:rPr>
          <w:sz w:val="20"/>
          <w:szCs w:val="20"/>
          <w:color w:val="auto"/>
        </w:rPr>
      </w:pPr>
    </w:p>
    <w:p>
      <w:pPr>
        <w:jc w:val="both"/>
        <w:ind w:left="480" w:right="380" w:firstLine="411"/>
        <w:spacing w:after="0" w:line="237" w:lineRule="auto"/>
        <w:rPr>
          <w:sz w:val="20"/>
          <w:szCs w:val="20"/>
          <w:color w:val="auto"/>
        </w:rPr>
      </w:pPr>
      <w:r>
        <w:rPr>
          <w:rFonts w:ascii="Arial" w:cs="Arial" w:eastAsia="Arial" w:hAnsi="Arial"/>
          <w:sz w:val="17"/>
          <w:szCs w:val="17"/>
          <w:color w:val="auto"/>
        </w:rPr>
        <w:t>The change in fair value of preferred stock warrant liability was $10.8 million for the six months ended June, 2021, compared to $0.3 million for the six months ended June 30, 2020, an increase of $10.5 million. The increase in the fair value of the preferred stock warrant liability was due to the increase in the value of our preferred stock.</w:t>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Other Income (Expense), net</w:t>
      </w:r>
    </w:p>
    <w:p>
      <w:pPr>
        <w:spacing w:after="0" w:line="113" w:lineRule="exact"/>
        <w:rPr>
          <w:sz w:val="20"/>
          <w:szCs w:val="20"/>
          <w:color w:val="auto"/>
        </w:rPr>
      </w:pPr>
    </w:p>
    <w:p>
      <w:pPr>
        <w:jc w:val="both"/>
        <w:ind w:left="480" w:right="160" w:firstLine="411"/>
        <w:spacing w:after="0" w:line="237" w:lineRule="auto"/>
        <w:rPr>
          <w:sz w:val="20"/>
          <w:szCs w:val="20"/>
          <w:color w:val="auto"/>
        </w:rPr>
      </w:pPr>
      <w:r>
        <w:rPr>
          <w:rFonts w:ascii="Arial" w:cs="Arial" w:eastAsia="Arial" w:hAnsi="Arial"/>
          <w:sz w:val="17"/>
          <w:szCs w:val="17"/>
          <w:color w:val="auto"/>
        </w:rPr>
        <w:t>Other income (expense), net, was ($0.3) million for the six months ended June 30, 2021, compared to less than $ 0.1 million for the six months ended June 30, 2020. Losses from the remeasurement of foreign currency transactions into their functional currencies were $0.3 million for the six months ended June 30, 2021, compared to less than $0.1 million for the six months ended June 30, 2020.</w:t>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Provision for (Benefit From) Income Taxes</w:t>
      </w:r>
    </w:p>
    <w:p>
      <w:pPr>
        <w:spacing w:after="0" w:line="10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expense from income taxes was $0.5 million during the six months ended June 30, 2021, compared to a tax benefit of</w:t>
      </w:r>
    </w:p>
    <w:p>
      <w:pPr>
        <w:ind w:left="480"/>
        <w:spacing w:after="0" w:line="234" w:lineRule="auto"/>
        <w:rPr>
          <w:sz w:val="20"/>
          <w:szCs w:val="20"/>
          <w:color w:val="auto"/>
        </w:rPr>
      </w:pPr>
      <w:r>
        <w:rPr>
          <w:rFonts w:ascii="Arial" w:cs="Arial" w:eastAsia="Arial" w:hAnsi="Arial"/>
          <w:sz w:val="17"/>
          <w:szCs w:val="17"/>
          <w:color w:val="auto"/>
        </w:rPr>
        <w:t>$7.4 million for the six months ended June 30, 2020, an increase of $7.9 million. During the six months ended June 30, 2021, we recorded an income tax expense of $ 0.5 million, which was primarily attributable to foreign taxes, compared to the six months ended June 30, 2020, we recorded an income tax benefit of $7.4 million, which was primarily attributable to a non-recurring benefit of $8.4 million relating to the release of a portion of our valuation allowance. This release was due to taxable temporary differences recorded as part of the Simplee acquisition which are a source of income to realize certain pre-existing federal and state deferred tax assets. Our effective tax rate was 1.8% for the six months ended June 30, 2021 compared to 37.4% for the six months ended June 30, 2020.</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Comparison of results for the Three Months Ended June 30, 2021 and 2020</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sets forth our consolidated results of operations for periods presented:</w:t>
      </w:r>
    </w:p>
    <w:p>
      <w:pPr>
        <w:spacing w:after="0" w:line="222" w:lineRule="exact"/>
        <w:rPr>
          <w:sz w:val="20"/>
          <w:szCs w:val="20"/>
          <w:color w:val="auto"/>
        </w:rPr>
      </w:pPr>
    </w:p>
    <w:tbl>
      <w:tblPr>
        <w:tblLayout w:type="fixed"/>
        <w:tblInd w:w="900" w:type="dxa"/>
        <w:tblCellMar>
          <w:top w:w="0" w:type="dxa"/>
          <w:left w:w="0" w:type="dxa"/>
          <w:bottom w:w="0" w:type="dxa"/>
          <w:right w:w="0" w:type="dxa"/>
        </w:tblCellMar>
      </w:tblPr>
      <w:tr>
        <w:trPr>
          <w:trHeight w:val="163"/>
        </w:trPr>
        <w:tc>
          <w:tcPr>
            <w:tcW w:w="4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Three Months Ended June 30,</w:t>
            </w:r>
          </w:p>
        </w:tc>
        <w:tc>
          <w:tcPr>
            <w:tcW w:w="10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Change</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8"/>
              </w:rPr>
              <w:t>% Change</w:t>
            </w:r>
          </w:p>
        </w:tc>
        <w:tc>
          <w:tcPr>
            <w:tcW w:w="0" w:type="dxa"/>
            <w:vAlign w:val="bottom"/>
          </w:tcPr>
          <w:p>
            <w:pPr>
              <w:spacing w:after="0"/>
              <w:rPr>
                <w:sz w:val="1"/>
                <w:szCs w:val="1"/>
                <w:color w:val="auto"/>
              </w:rPr>
            </w:pPr>
          </w:p>
        </w:tc>
      </w:tr>
      <w:tr>
        <w:trPr>
          <w:trHeight w:val="131"/>
        </w:trPr>
        <w:tc>
          <w:tcPr>
            <w:tcW w:w="432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19"/>
              <w:spacing w:after="0" w:line="119" w:lineRule="exact"/>
              <w:rPr>
                <w:sz w:val="20"/>
                <w:szCs w:val="20"/>
                <w:color w:val="auto"/>
              </w:rPr>
            </w:pPr>
            <w:r>
              <w:rPr>
                <w:rFonts w:ascii="Arial" w:cs="Arial" w:eastAsia="Arial" w:hAnsi="Arial"/>
                <w:sz w:val="13"/>
                <w:szCs w:val="13"/>
                <w:b w:val="1"/>
                <w:bCs w:val="1"/>
                <w:color w:val="auto"/>
              </w:rPr>
              <w:t>2021</w:t>
            </w: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97"/>
              <w:spacing w:after="0" w:line="119" w:lineRule="exact"/>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32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Revenue</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37.0</w:t>
            </w: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6"/>
              <w:spacing w:after="0" w:line="167"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23.8</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13.2</w:t>
            </w:r>
          </w:p>
        </w:tc>
        <w:tc>
          <w:tcPr>
            <w:tcW w:w="4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7" w:lineRule="exact"/>
              <w:rPr>
                <w:sz w:val="20"/>
                <w:szCs w:val="20"/>
                <w:color w:val="auto"/>
              </w:rPr>
            </w:pPr>
            <w:r>
              <w:rPr>
                <w:rFonts w:ascii="Arial" w:cs="Arial" w:eastAsia="Arial" w:hAnsi="Arial"/>
                <w:sz w:val="17"/>
                <w:szCs w:val="17"/>
                <w:color w:val="auto"/>
              </w:rPr>
              <w:t>55.5%</w:t>
            </w:r>
          </w:p>
        </w:tc>
        <w:tc>
          <w:tcPr>
            <w:tcW w:w="0" w:type="dxa"/>
            <w:vAlign w:val="bottom"/>
          </w:tcPr>
          <w:p>
            <w:pPr>
              <w:spacing w:after="0"/>
              <w:rPr>
                <w:sz w:val="1"/>
                <w:szCs w:val="1"/>
                <w:color w:val="auto"/>
              </w:rPr>
            </w:pPr>
          </w:p>
        </w:tc>
      </w:tr>
      <w:tr>
        <w:trPr>
          <w:trHeight w:val="189"/>
        </w:trPr>
        <w:tc>
          <w:tcPr>
            <w:tcW w:w="4320" w:type="dxa"/>
            <w:vAlign w:val="bottom"/>
            <w:gridSpan w:val="2"/>
          </w:tcPr>
          <w:p>
            <w:pPr>
              <w:spacing w:after="0" w:line="189" w:lineRule="exact"/>
              <w:rPr>
                <w:sz w:val="20"/>
                <w:szCs w:val="20"/>
                <w:color w:val="auto"/>
              </w:rPr>
            </w:pPr>
            <w:r>
              <w:rPr>
                <w:rFonts w:ascii="Arial" w:cs="Arial" w:eastAsia="Arial" w:hAnsi="Arial"/>
                <w:sz w:val="17"/>
                <w:szCs w:val="17"/>
                <w:color w:val="auto"/>
              </w:rPr>
              <w:t>Payment processing and service costs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13.1</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10.9</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2.2</w:t>
            </w: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20.2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Technology and development</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6.9</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0.5</w:t>
            </w:r>
          </w:p>
        </w:tc>
        <w:tc>
          <w:tcPr>
            <w:tcW w:w="8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189"/>
        </w:trPr>
        <w:tc>
          <w:tcPr>
            <w:tcW w:w="4320" w:type="dxa"/>
            <w:vAlign w:val="bottom"/>
            <w:gridSpan w:val="2"/>
          </w:tcPr>
          <w:p>
            <w:pPr>
              <w:spacing w:after="0" w:line="189" w:lineRule="exact"/>
              <w:rPr>
                <w:sz w:val="20"/>
                <w:szCs w:val="20"/>
                <w:color w:val="auto"/>
              </w:rPr>
            </w:pPr>
            <w:r>
              <w:rPr>
                <w:rFonts w:ascii="Arial" w:cs="Arial" w:eastAsia="Arial" w:hAnsi="Arial"/>
                <w:sz w:val="17"/>
                <w:szCs w:val="17"/>
                <w:color w:val="auto"/>
              </w:rPr>
              <w:t>Selling and marketing</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10.9</w:t>
            </w:r>
          </w:p>
        </w:tc>
        <w:tc>
          <w:tcPr>
            <w:tcW w:w="180" w:type="dxa"/>
            <w:vAlign w:val="bottom"/>
          </w:tcPr>
          <w:p>
            <w:pPr>
              <w:spacing w:after="0"/>
              <w:rPr>
                <w:sz w:val="16"/>
                <w:szCs w:val="16"/>
                <w:color w:val="auto"/>
              </w:rPr>
            </w:pPr>
          </w:p>
        </w:tc>
        <w:tc>
          <w:tcPr>
            <w:tcW w:w="114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8.1</w:t>
            </w:r>
          </w:p>
        </w:tc>
        <w:tc>
          <w:tcPr>
            <w:tcW w:w="100" w:type="dxa"/>
            <w:vAlign w:val="bottom"/>
          </w:tcPr>
          <w:p>
            <w:pPr>
              <w:spacing w:after="0"/>
              <w:rPr>
                <w:sz w:val="16"/>
                <w:szCs w:val="16"/>
                <w:color w:val="auto"/>
              </w:rPr>
            </w:pPr>
          </w:p>
        </w:tc>
        <w:tc>
          <w:tcPr>
            <w:tcW w:w="96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2.8</w:t>
            </w: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34.6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General and administrative</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13.6</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13.5</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0.1</w:t>
            </w:r>
          </w:p>
        </w:tc>
        <w:tc>
          <w:tcPr>
            <w:tcW w:w="8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189"/>
        </w:trPr>
        <w:tc>
          <w:tcPr>
            <w:tcW w:w="432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Total costs and operating expense</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44.5</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38.9</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5.6</w:t>
            </w: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14.4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Loss from operations</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(7.5)</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(15.1)</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7.6</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189"/>
        </w:trPr>
        <w:tc>
          <w:tcPr>
            <w:tcW w:w="4320" w:type="dxa"/>
            <w:vAlign w:val="bottom"/>
            <w:gridSpan w:val="2"/>
          </w:tcPr>
          <w:p>
            <w:pPr>
              <w:spacing w:after="0" w:line="189" w:lineRule="exact"/>
              <w:rPr>
                <w:sz w:val="20"/>
                <w:szCs w:val="20"/>
                <w:color w:val="auto"/>
              </w:rPr>
            </w:pPr>
            <w:r>
              <w:rPr>
                <w:rFonts w:ascii="Arial" w:cs="Arial" w:eastAsia="Arial" w:hAnsi="Arial"/>
                <w:sz w:val="17"/>
                <w:szCs w:val="17"/>
                <w:color w:val="auto"/>
              </w:rPr>
              <w:t>Interest expense</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(0.6)</w:t>
            </w:r>
          </w:p>
        </w:tc>
        <w:tc>
          <w:tcPr>
            <w:tcW w:w="180" w:type="dxa"/>
            <w:vAlign w:val="bottom"/>
          </w:tcPr>
          <w:p>
            <w:pPr>
              <w:spacing w:after="0"/>
              <w:rPr>
                <w:sz w:val="16"/>
                <w:szCs w:val="16"/>
                <w:color w:val="auto"/>
              </w:rPr>
            </w:pPr>
          </w:p>
        </w:tc>
        <w:tc>
          <w:tcPr>
            <w:tcW w:w="11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(0.7)</w:t>
            </w:r>
          </w:p>
        </w:tc>
        <w:tc>
          <w:tcPr>
            <w:tcW w:w="100" w:type="dxa"/>
            <w:vAlign w:val="bottom"/>
          </w:tcPr>
          <w:p>
            <w:pPr>
              <w:spacing w:after="0"/>
              <w:rPr>
                <w:sz w:val="16"/>
                <w:szCs w:val="16"/>
                <w:color w:val="auto"/>
              </w:rPr>
            </w:pPr>
          </w:p>
        </w:tc>
        <w:tc>
          <w:tcPr>
            <w:tcW w:w="96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0.1</w:t>
            </w:r>
          </w:p>
        </w:tc>
        <w:tc>
          <w:tcPr>
            <w:tcW w:w="86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189"/>
        </w:trPr>
        <w:tc>
          <w:tcPr>
            <w:tcW w:w="43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Change in fair value of preferred stock warrant liability</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(9.8)</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(9.8)</w:t>
            </w:r>
          </w:p>
        </w:tc>
        <w:tc>
          <w:tcPr>
            <w:tcW w:w="8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2"/>
        </w:trPr>
        <w:tc>
          <w:tcPr>
            <w:tcW w:w="4320" w:type="dxa"/>
            <w:vAlign w:val="bottom"/>
            <w:gridSpan w:val="2"/>
          </w:tcPr>
          <w:p>
            <w:pPr>
              <w:spacing w:after="0"/>
              <w:rPr>
                <w:sz w:val="20"/>
                <w:szCs w:val="20"/>
                <w:color w:val="auto"/>
              </w:rPr>
            </w:pPr>
            <w:r>
              <w:rPr>
                <w:rFonts w:ascii="Arial" w:cs="Arial" w:eastAsia="Arial" w:hAnsi="Arial"/>
                <w:sz w:val="17"/>
                <w:szCs w:val="17"/>
                <w:color w:val="auto"/>
              </w:rPr>
              <w:t>Other income (expense), net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7"/>
                <w:szCs w:val="17"/>
                <w:color w:val="auto"/>
              </w:rPr>
              <w:t>0.0</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327"/>
        </w:trPr>
        <w:tc>
          <w:tcPr>
            <w:tcW w:w="1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320" w:top="464" w:right="8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tbl>
      <w:tblPr>
        <w:tblLayout w:type="fixed"/>
        <w:tblInd w:w="900" w:type="dxa"/>
        <w:tblCellMar>
          <w:top w:w="0" w:type="dxa"/>
          <w:left w:w="0" w:type="dxa"/>
          <w:bottom w:w="0" w:type="dxa"/>
          <w:right w:w="0" w:type="dxa"/>
        </w:tblCellMar>
      </w:tblPr>
      <w:tr>
        <w:trPr>
          <w:trHeight w:val="163"/>
        </w:trPr>
        <w:tc>
          <w:tcPr>
            <w:tcW w:w="5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2480" w:type="dxa"/>
            <w:vAlign w:val="bottom"/>
            <w:gridSpan w:val="8"/>
          </w:tcPr>
          <w:p>
            <w:pPr>
              <w:jc w:val="right"/>
              <w:ind w:right="500"/>
              <w:spacing w:after="0"/>
              <w:rPr>
                <w:sz w:val="20"/>
                <w:szCs w:val="20"/>
                <w:color w:val="auto"/>
              </w:rPr>
            </w:pPr>
            <w:r>
              <w:rPr>
                <w:rFonts w:ascii="Arial" w:cs="Arial" w:eastAsia="Arial" w:hAnsi="Arial"/>
                <w:sz w:val="13"/>
                <w:szCs w:val="13"/>
                <w:b w:val="1"/>
                <w:bCs w:val="1"/>
                <w:color w:val="auto"/>
              </w:rPr>
              <w:t>Three Months Ended June 30,</w:t>
            </w:r>
          </w:p>
        </w:tc>
        <w:tc>
          <w:tcPr>
            <w:tcW w:w="10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Change</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8"/>
              </w:rPr>
              <w:t>% Change</w:t>
            </w:r>
          </w:p>
        </w:tc>
        <w:tc>
          <w:tcPr>
            <w:tcW w:w="0" w:type="dxa"/>
            <w:vAlign w:val="bottom"/>
          </w:tcPr>
          <w:p>
            <w:pPr>
              <w:spacing w:after="0"/>
              <w:rPr>
                <w:sz w:val="1"/>
                <w:szCs w:val="1"/>
                <w:color w:val="auto"/>
              </w:rPr>
            </w:pPr>
          </w:p>
        </w:tc>
      </w:tr>
      <w:tr>
        <w:trPr>
          <w:trHeight w:val="131"/>
        </w:trPr>
        <w:tc>
          <w:tcPr>
            <w:tcW w:w="510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58"/>
              <w:spacing w:after="0" w:line="119" w:lineRule="exact"/>
              <w:rPr>
                <w:sz w:val="20"/>
                <w:szCs w:val="20"/>
                <w:color w:val="auto"/>
              </w:rPr>
            </w:pPr>
            <w:r>
              <w:rPr>
                <w:rFonts w:ascii="Arial" w:cs="Arial" w:eastAsia="Arial" w:hAnsi="Arial"/>
                <w:sz w:val="13"/>
                <w:szCs w:val="13"/>
                <w:b w:val="1"/>
                <w:bCs w:val="1"/>
                <w:color w:val="auto"/>
              </w:rPr>
              <w:t>2021</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58"/>
              <w:spacing w:after="0" w:line="119" w:lineRule="exact"/>
              <w:rPr>
                <w:sz w:val="20"/>
                <w:szCs w:val="20"/>
                <w:color w:val="auto"/>
              </w:rPr>
            </w:pPr>
            <w:r>
              <w:rPr>
                <w:rFonts w:ascii="Arial" w:cs="Arial" w:eastAsia="Arial" w:hAnsi="Arial"/>
                <w:sz w:val="13"/>
                <w:szCs w:val="13"/>
                <w:b w:val="1"/>
                <w:bCs w:val="1"/>
                <w:color w:val="auto"/>
              </w:rPr>
              <w:t>2020</w:t>
            </w:r>
          </w:p>
        </w:tc>
        <w:tc>
          <w:tcPr>
            <w:tcW w:w="4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100" w:type="dxa"/>
            <w:vAlign w:val="bottom"/>
            <w:gridSpan w:val="2"/>
            <w:shd w:val="clear" w:color="auto" w:fill="CCEEFF"/>
          </w:tcPr>
          <w:p>
            <w:pPr>
              <w:ind w:left="340"/>
              <w:spacing w:after="0" w:line="167" w:lineRule="exact"/>
              <w:rPr>
                <w:sz w:val="20"/>
                <w:szCs w:val="20"/>
                <w:color w:val="auto"/>
              </w:rPr>
            </w:pPr>
            <w:r>
              <w:rPr>
                <w:rFonts w:ascii="Arial" w:cs="Arial" w:eastAsia="Arial" w:hAnsi="Arial"/>
                <w:sz w:val="17"/>
                <w:szCs w:val="17"/>
                <w:color w:val="auto"/>
              </w:rPr>
              <w:t>Total other expenses, net</w:t>
            </w:r>
          </w:p>
        </w:tc>
        <w:tc>
          <w:tcPr>
            <w:tcW w:w="1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20"/>
              <w:spacing w:after="0" w:line="167" w:lineRule="exact"/>
              <w:rPr>
                <w:sz w:val="20"/>
                <w:szCs w:val="20"/>
                <w:color w:val="auto"/>
              </w:rPr>
            </w:pPr>
            <w:r>
              <w:rPr>
                <w:rFonts w:ascii="Arial" w:cs="Arial" w:eastAsia="Arial" w:hAnsi="Arial"/>
                <w:sz w:val="17"/>
                <w:szCs w:val="17"/>
                <w:color w:val="auto"/>
              </w:rPr>
              <w:t>(10.3)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60"/>
              <w:spacing w:after="0" w:line="167" w:lineRule="exact"/>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line="167" w:lineRule="exact"/>
              <w:rPr>
                <w:sz w:val="20"/>
                <w:szCs w:val="20"/>
                <w:color w:val="auto"/>
              </w:rPr>
            </w:pPr>
            <w:r>
              <w:rPr>
                <w:rFonts w:ascii="Arial" w:cs="Arial" w:eastAsia="Arial" w:hAnsi="Arial"/>
                <w:sz w:val="17"/>
                <w:szCs w:val="17"/>
                <w:color w:val="auto"/>
              </w:rPr>
              <w:t>(9.7)</w:t>
            </w:r>
          </w:p>
        </w:tc>
        <w:tc>
          <w:tcPr>
            <w:tcW w:w="6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1616.7</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0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Loss before income taxes</w:t>
            </w:r>
          </w:p>
        </w:tc>
        <w:tc>
          <w:tcPr>
            <w:tcW w:w="160" w:type="dxa"/>
            <w:vAlign w:val="bottom"/>
          </w:tcPr>
          <w:p>
            <w:pPr>
              <w:spacing w:after="0"/>
              <w:rPr>
                <w:sz w:val="16"/>
                <w:szCs w:val="16"/>
                <w:color w:val="auto"/>
              </w:rPr>
            </w:pPr>
          </w:p>
        </w:tc>
        <w:tc>
          <w:tcPr>
            <w:tcW w:w="88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(17.8)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(15.7)</w:t>
            </w:r>
          </w:p>
        </w:tc>
        <w:tc>
          <w:tcPr>
            <w:tcW w:w="100" w:type="dxa"/>
            <w:vAlign w:val="bottom"/>
          </w:tcPr>
          <w:p>
            <w:pPr>
              <w:spacing w:after="0"/>
              <w:rPr>
                <w:sz w:val="16"/>
                <w:szCs w:val="16"/>
                <w:color w:val="auto"/>
              </w:rPr>
            </w:pPr>
          </w:p>
        </w:tc>
        <w:tc>
          <w:tcPr>
            <w:tcW w:w="92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(2.1)</w:t>
            </w: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13.4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Provision for (Benefit from) income taxes</w:t>
            </w:r>
          </w:p>
        </w:tc>
        <w:tc>
          <w:tcPr>
            <w:tcW w:w="1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0.3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0.0</w:t>
            </w:r>
          </w:p>
        </w:tc>
        <w:tc>
          <w:tcPr>
            <w:tcW w:w="8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189"/>
        </w:trPr>
        <w:tc>
          <w:tcPr>
            <w:tcW w:w="510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Net income (loss)</w:t>
            </w:r>
          </w:p>
        </w:tc>
        <w:tc>
          <w:tcPr>
            <w:tcW w:w="160" w:type="dxa"/>
            <w:vAlign w:val="bottom"/>
          </w:tcPr>
          <w:p>
            <w:pPr>
              <w:spacing w:after="0"/>
              <w:rPr>
                <w:sz w:val="16"/>
                <w:szCs w:val="16"/>
                <w:color w:val="auto"/>
              </w:rPr>
            </w:pPr>
          </w:p>
        </w:tc>
        <w:tc>
          <w:tcPr>
            <w:tcW w:w="88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(18.1)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(16.0)</w:t>
            </w:r>
          </w:p>
        </w:tc>
        <w:tc>
          <w:tcPr>
            <w:tcW w:w="100" w:type="dxa"/>
            <w:vAlign w:val="bottom"/>
          </w:tcPr>
          <w:p>
            <w:pPr>
              <w:spacing w:after="0"/>
              <w:rPr>
                <w:sz w:val="16"/>
                <w:szCs w:val="16"/>
                <w:color w:val="auto"/>
              </w:rPr>
            </w:pPr>
          </w:p>
        </w:tc>
        <w:tc>
          <w:tcPr>
            <w:tcW w:w="92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2.1</w:t>
            </w: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13.1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Foreign currency translation adjustment</w:t>
            </w:r>
          </w:p>
        </w:tc>
        <w:tc>
          <w:tcPr>
            <w:tcW w:w="1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(0.1)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0.1</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00" w:type="dxa"/>
            <w:vAlign w:val="bottom"/>
            <w:gridSpan w:val="2"/>
          </w:tcPr>
          <w:p>
            <w:pPr>
              <w:spacing w:after="0" w:line="194" w:lineRule="exact"/>
              <w:rPr>
                <w:sz w:val="20"/>
                <w:szCs w:val="20"/>
                <w:color w:val="auto"/>
              </w:rPr>
            </w:pPr>
            <w:r>
              <w:rPr>
                <w:rFonts w:ascii="Arial" w:cs="Arial" w:eastAsia="Arial" w:hAnsi="Arial"/>
                <w:sz w:val="17"/>
                <w:szCs w:val="17"/>
                <w:color w:val="auto"/>
              </w:rPr>
              <w:t>Comprehensive income (loss)</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gridSpan w:val="3"/>
          </w:tcPr>
          <w:p>
            <w:pPr>
              <w:jc w:val="right"/>
              <w:ind w:right="220"/>
              <w:spacing w:after="0" w:line="194" w:lineRule="exact"/>
              <w:rPr>
                <w:sz w:val="20"/>
                <w:szCs w:val="20"/>
                <w:color w:val="auto"/>
              </w:rPr>
            </w:pPr>
            <w:r>
              <w:rPr>
                <w:rFonts w:ascii="Arial" w:cs="Arial" w:eastAsia="Arial" w:hAnsi="Arial"/>
                <w:sz w:val="17"/>
                <w:szCs w:val="17"/>
                <w:color w:val="auto"/>
              </w:rPr>
              <w:t>(18.2)</w:t>
            </w:r>
          </w:p>
        </w:tc>
        <w:tc>
          <w:tcPr>
            <w:tcW w:w="4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360"/>
              <w:spacing w:after="0" w:line="194" w:lineRule="exact"/>
              <w:rPr>
                <w:sz w:val="20"/>
                <w:szCs w:val="20"/>
                <w:color w:val="auto"/>
              </w:rPr>
            </w:pPr>
            <w:r>
              <w:rPr>
                <w:rFonts w:ascii="Arial" w:cs="Arial" w:eastAsia="Arial" w:hAnsi="Arial"/>
                <w:sz w:val="17"/>
                <w:szCs w:val="17"/>
                <w:color w:val="auto"/>
              </w:rPr>
              <w:t>(16.2)</w:t>
            </w:r>
          </w:p>
        </w:tc>
        <w:tc>
          <w:tcPr>
            <w:tcW w:w="100" w:type="dxa"/>
            <w:vAlign w:val="bottom"/>
          </w:tcPr>
          <w:p>
            <w:pPr>
              <w:spacing w:after="0" w:line="194" w:lineRule="exact"/>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360"/>
              <w:spacing w:after="0" w:line="194" w:lineRule="exact"/>
              <w:rPr>
                <w:sz w:val="20"/>
                <w:szCs w:val="20"/>
                <w:color w:val="auto"/>
              </w:rPr>
            </w:pPr>
            <w:r>
              <w:rPr>
                <w:rFonts w:ascii="Arial" w:cs="Arial" w:eastAsia="Arial" w:hAnsi="Arial"/>
                <w:sz w:val="17"/>
                <w:szCs w:val="17"/>
                <w:color w:val="auto"/>
              </w:rPr>
              <w:t>(2.0)</w:t>
            </w: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Revenue</w:t>
      </w:r>
    </w:p>
    <w:p>
      <w:pPr>
        <w:spacing w:after="0" w:line="113" w:lineRule="exact"/>
        <w:rPr>
          <w:sz w:val="20"/>
          <w:szCs w:val="20"/>
          <w:color w:val="auto"/>
        </w:rPr>
      </w:pPr>
    </w:p>
    <w:p>
      <w:pPr>
        <w:ind w:left="480" w:right="560" w:firstLine="411"/>
        <w:spacing w:after="0"/>
        <w:rPr>
          <w:sz w:val="20"/>
          <w:szCs w:val="20"/>
          <w:color w:val="auto"/>
        </w:rPr>
      </w:pPr>
      <w:r>
        <w:rPr>
          <w:rFonts w:ascii="Arial" w:cs="Arial" w:eastAsia="Arial" w:hAnsi="Arial"/>
          <w:sz w:val="17"/>
          <w:szCs w:val="17"/>
          <w:color w:val="auto"/>
        </w:rPr>
        <w:t>Revenue was $37.0 million for the three months ended June 30, 2021, compared to $23.8 million for the three months ended June 30, 2020, an increase of $13.2 million or 55.5%.</w:t>
      </w:r>
    </w:p>
    <w:p>
      <w:pPr>
        <w:spacing w:after="0" w:line="216" w:lineRule="exact"/>
        <w:rPr>
          <w:sz w:val="20"/>
          <w:szCs w:val="20"/>
          <w:color w:val="auto"/>
        </w:rPr>
      </w:pPr>
    </w:p>
    <w:tbl>
      <w:tblPr>
        <w:tblLayout w:type="fixed"/>
        <w:tblInd w:w="900" w:type="dxa"/>
        <w:tblCellMar>
          <w:top w:w="0" w:type="dxa"/>
          <w:left w:w="0" w:type="dxa"/>
          <w:bottom w:w="0" w:type="dxa"/>
          <w:right w:w="0" w:type="dxa"/>
        </w:tblCellMar>
      </w:tblPr>
      <w:tr>
        <w:trPr>
          <w:trHeight w:val="163"/>
        </w:trPr>
        <w:tc>
          <w:tcPr>
            <w:tcW w:w="4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300"/>
              <w:spacing w:after="0"/>
              <w:rPr>
                <w:sz w:val="20"/>
                <w:szCs w:val="20"/>
                <w:color w:val="auto"/>
              </w:rPr>
            </w:pPr>
            <w:r>
              <w:rPr>
                <w:rFonts w:ascii="Arial" w:cs="Arial" w:eastAsia="Arial" w:hAnsi="Arial"/>
                <w:sz w:val="13"/>
                <w:szCs w:val="13"/>
                <w:b w:val="1"/>
                <w:bCs w:val="1"/>
                <w:color w:val="auto"/>
              </w:rPr>
              <w:t>Three Months Ended June 30,</w:t>
            </w:r>
          </w:p>
        </w:tc>
        <w:tc>
          <w:tcPr>
            <w:tcW w:w="32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Change</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8"/>
              </w:rPr>
              <w:t>% Change</w:t>
            </w:r>
          </w:p>
        </w:tc>
        <w:tc>
          <w:tcPr>
            <w:tcW w:w="0" w:type="dxa"/>
            <w:vAlign w:val="bottom"/>
          </w:tcPr>
          <w:p>
            <w:pPr>
              <w:spacing w:after="0"/>
              <w:rPr>
                <w:sz w:val="1"/>
                <w:szCs w:val="1"/>
                <w:color w:val="auto"/>
              </w:rPr>
            </w:pPr>
          </w:p>
        </w:tc>
      </w:tr>
      <w:tr>
        <w:trPr>
          <w:trHeight w:val="131"/>
        </w:trPr>
        <w:tc>
          <w:tcPr>
            <w:tcW w:w="400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83"/>
              <w:spacing w:after="0" w:line="119" w:lineRule="exact"/>
              <w:rPr>
                <w:sz w:val="20"/>
                <w:szCs w:val="20"/>
                <w:color w:val="auto"/>
              </w:rPr>
            </w:pPr>
            <w:r>
              <w:rPr>
                <w:rFonts w:ascii="Arial" w:cs="Arial" w:eastAsia="Arial" w:hAnsi="Arial"/>
                <w:sz w:val="13"/>
                <w:szCs w:val="13"/>
                <w:b w:val="1"/>
                <w:bCs w:val="1"/>
                <w:color w:val="auto"/>
              </w:rPr>
              <w:t>2021</w:t>
            </w: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80"/>
              <w:spacing w:after="0" w:line="119"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00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Transaction revenue</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24.3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11.2</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13.1</w:t>
            </w:r>
          </w:p>
        </w:tc>
        <w:tc>
          <w:tcPr>
            <w:tcW w:w="3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7" w:lineRule="exact"/>
              <w:rPr>
                <w:sz w:val="20"/>
                <w:szCs w:val="20"/>
                <w:color w:val="auto"/>
              </w:rPr>
            </w:pPr>
            <w:r>
              <w:rPr>
                <w:rFonts w:ascii="Arial" w:cs="Arial" w:eastAsia="Arial" w:hAnsi="Arial"/>
                <w:sz w:val="17"/>
                <w:szCs w:val="17"/>
                <w:color w:val="auto"/>
              </w:rPr>
              <w:t>117.0%</w:t>
            </w:r>
          </w:p>
        </w:tc>
        <w:tc>
          <w:tcPr>
            <w:tcW w:w="0" w:type="dxa"/>
            <w:vAlign w:val="bottom"/>
          </w:tcPr>
          <w:p>
            <w:pPr>
              <w:spacing w:after="0"/>
              <w:rPr>
                <w:sz w:val="1"/>
                <w:szCs w:val="1"/>
                <w:color w:val="auto"/>
              </w:rPr>
            </w:pPr>
          </w:p>
        </w:tc>
      </w:tr>
      <w:tr>
        <w:trPr>
          <w:trHeight w:val="189"/>
        </w:trPr>
        <w:tc>
          <w:tcPr>
            <w:tcW w:w="4000" w:type="dxa"/>
            <w:vAlign w:val="bottom"/>
            <w:gridSpan w:val="2"/>
          </w:tcPr>
          <w:p>
            <w:pPr>
              <w:spacing w:after="0" w:line="189" w:lineRule="exact"/>
              <w:rPr>
                <w:sz w:val="20"/>
                <w:szCs w:val="20"/>
                <w:color w:val="auto"/>
              </w:rPr>
            </w:pPr>
            <w:r>
              <w:rPr>
                <w:rFonts w:ascii="Arial" w:cs="Arial" w:eastAsia="Arial" w:hAnsi="Arial"/>
                <w:sz w:val="17"/>
                <w:szCs w:val="17"/>
                <w:color w:val="auto"/>
              </w:rPr>
              <w:t>Platform and usage-based fee revenue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12.7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12.6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0.1</w:t>
            </w:r>
          </w:p>
        </w:tc>
        <w:tc>
          <w:tcPr>
            <w:tcW w:w="8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Revenue</w:t>
            </w:r>
          </w:p>
        </w:tc>
        <w:tc>
          <w:tcPr>
            <w:tcW w:w="1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37.0</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23.8</w:t>
            </w:r>
          </w:p>
        </w:tc>
        <w:tc>
          <w:tcPr>
            <w:tcW w:w="3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13.2</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55.5%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480" w:right="40" w:firstLine="411"/>
        <w:spacing w:after="0" w:line="234" w:lineRule="auto"/>
        <w:rPr>
          <w:sz w:val="20"/>
          <w:szCs w:val="20"/>
          <w:color w:val="auto"/>
        </w:rPr>
      </w:pPr>
      <w:r>
        <w:rPr>
          <w:rFonts w:ascii="Arial" w:cs="Arial" w:eastAsia="Arial" w:hAnsi="Arial"/>
          <w:sz w:val="17"/>
          <w:szCs w:val="17"/>
          <w:color w:val="auto"/>
        </w:rPr>
        <w:t>Transaction revenue was $24.3 million for the three months ended June 30, 2021, compared to $11.2 million for the three months ended June 30, 2020, an increase of $13.1 million or 117.0%. The increase in transaction revenue was primarily driven by transactions originating in regions where we generate more transaction volume. Total payment volume increased 126.5% during the six months ended June 30, 2021 to $1.2 billion. This increase was partially offset by a $0.1 million decrease in marketing services revenue. Our marketing services revenue declined as a result of our payment partners using fewer of our marketing services in the six months ended June 30, 2021 compared to the six months ended June 30, 2020.</w:t>
      </w:r>
    </w:p>
    <w:p>
      <w:pPr>
        <w:spacing w:after="0" w:line="193" w:lineRule="exact"/>
        <w:rPr>
          <w:sz w:val="20"/>
          <w:szCs w:val="20"/>
          <w:color w:val="auto"/>
        </w:rPr>
      </w:pPr>
    </w:p>
    <w:p>
      <w:pPr>
        <w:jc w:val="both"/>
        <w:ind w:left="480" w:right="160" w:firstLine="411"/>
        <w:spacing w:after="0" w:line="237" w:lineRule="auto"/>
        <w:rPr>
          <w:sz w:val="20"/>
          <w:szCs w:val="20"/>
          <w:color w:val="auto"/>
        </w:rPr>
      </w:pPr>
      <w:r>
        <w:rPr>
          <w:rFonts w:ascii="Arial" w:cs="Arial" w:eastAsia="Arial" w:hAnsi="Arial"/>
          <w:sz w:val="17"/>
          <w:szCs w:val="17"/>
          <w:color w:val="auto"/>
        </w:rPr>
        <w:t>Platform and usage-based fee revenue was $12.7 million for the three months ended June 30, 2021, compared to $12.6 million for the three months ended June 30, 2020, an increase of $0.1 million or 0.8%. The increase in platform and usage-based fee revenue was driven by increased usage by our clients.</w:t>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Payment Processing Services Costs</w:t>
      </w:r>
    </w:p>
    <w:p>
      <w:pPr>
        <w:spacing w:after="0" w:line="113" w:lineRule="exact"/>
        <w:rPr>
          <w:sz w:val="20"/>
          <w:szCs w:val="20"/>
          <w:color w:val="auto"/>
        </w:rPr>
      </w:pPr>
    </w:p>
    <w:p>
      <w:pPr>
        <w:jc w:val="both"/>
        <w:ind w:left="480" w:right="20" w:firstLine="411"/>
        <w:spacing w:after="0" w:line="236" w:lineRule="auto"/>
        <w:rPr>
          <w:sz w:val="20"/>
          <w:szCs w:val="20"/>
          <w:color w:val="auto"/>
        </w:rPr>
      </w:pPr>
      <w:r>
        <w:rPr>
          <w:rFonts w:ascii="Arial" w:cs="Arial" w:eastAsia="Arial" w:hAnsi="Arial"/>
          <w:sz w:val="17"/>
          <w:szCs w:val="17"/>
          <w:color w:val="auto"/>
        </w:rPr>
        <w:t>Payment processing services costs were $ 13.1 million for the three months ended June 30, 2021, compared to $10.9 million for the three months ended June 30, 2020, an increase of $2.2 million or 20.2%. The increase in payment processing services costs is correlated with the increase in total payment volume of 84.7% over the same period, and was offset by lower processing costs related to bank, credit card and alternative payment transactions.</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Technology and Development</w:t>
      </w:r>
    </w:p>
    <w:p>
      <w:pPr>
        <w:spacing w:after="0" w:line="113" w:lineRule="exact"/>
        <w:rPr>
          <w:sz w:val="20"/>
          <w:szCs w:val="20"/>
          <w:color w:val="auto"/>
        </w:rPr>
      </w:pPr>
    </w:p>
    <w:p>
      <w:pPr>
        <w:ind w:left="480" w:right="100" w:firstLine="411"/>
        <w:spacing w:after="0" w:line="234" w:lineRule="auto"/>
        <w:rPr>
          <w:sz w:val="20"/>
          <w:szCs w:val="20"/>
          <w:color w:val="auto"/>
        </w:rPr>
      </w:pPr>
      <w:r>
        <w:rPr>
          <w:rFonts w:ascii="Arial" w:cs="Arial" w:eastAsia="Arial" w:hAnsi="Arial"/>
          <w:sz w:val="17"/>
          <w:szCs w:val="17"/>
          <w:color w:val="auto"/>
        </w:rPr>
        <w:t>Technology and development expenses were $6.9 million for the three months ended June 30, 2021, compared to $ 6.4 million for the three months ended June 30, 2020, an increase of $0.5 million or 7.8%. The increase in technology and development cost was primarily driven by an increase in stock-based compensation expense and an increase in amortization expense. Stock-based compensation expense was $0.4 million for the three months ended June 30, 2021, compared to $0.2 million for the three months ended June 30, 2020, an increase of $ 0.2 million. Amortization of intangible assets was $1.2 million for the three months ended June 30, 2021, compared to $0.9 million for the three months ended June 30, 2020, an increase of $0.3 million or 33.3%. The increase in amortization expense was the result of the acquisition of Simplee.</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Selling and Marketing</w:t>
      </w:r>
    </w:p>
    <w:p>
      <w:pPr>
        <w:spacing w:after="0" w:line="113"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Selling and marketing expenses were $ 10.9 million for the three months ended June 30, 2021, compared to $8.1 million for the three months ended June 30, 2020, an increase of $2.8 million or 34.6%. The increase in selling and marketing expenses was primarily driven by an increase in personnel costs, professional fees and marketing. Personnel costs increased by $1.7 million. The increase in personnel costs was primarily driven by an increase in headcount within our selling and marketing teams and commissions earned on sales during the period. Professional fees were $0.7 million for the three months ended June 30, 2021, compared to $0.2 million for the three months ended June 30, 2020 an increase of $ 0.5 million due to increase in third party commissions and IPO related services. Marketing costs were $0.8 million for the three months ended June 30, 2021, compared to $0.4 million for the three months ended June 30, 2020, an increase of $0.4 million due to IPO related marketing expenses.</w:t>
      </w:r>
    </w:p>
    <w:p>
      <w:pPr>
        <w:spacing w:after="0" w:line="12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720"/>
          </w:cols>
          <w:pgMar w:left="320" w:top="464" w:right="85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3" w:lineRule="exact"/>
        <w:rPr>
          <w:sz w:val="20"/>
          <w:szCs w:val="20"/>
          <w:color w:val="auto"/>
        </w:rPr>
      </w:pPr>
    </w:p>
    <w:p>
      <w:pPr>
        <w:ind w:left="480" w:firstLine="411"/>
        <w:spacing w:after="0" w:line="249" w:lineRule="auto"/>
        <w:rPr>
          <w:sz w:val="20"/>
          <w:szCs w:val="20"/>
          <w:color w:val="auto"/>
        </w:rPr>
      </w:pPr>
      <w:r>
        <w:rPr>
          <w:rFonts w:ascii="Arial" w:cs="Arial" w:eastAsia="Arial" w:hAnsi="Arial"/>
          <w:sz w:val="16"/>
          <w:szCs w:val="16"/>
          <w:color w:val="auto"/>
        </w:rPr>
        <w:t>General and administrative expenses were $ 13.6 million for the three months ended June 30, 2021 and $ 13.5 million for the three months ended June 30, 2020, an increase of $0.1 million or 0.7%. The increases in general and administrative expenses primarily driven by the increase in stock-based compensation, personnel, professional fees, other costs. These increases were offset by decreases in the fair value of contingent consideration expense. Stock-based compensation was $1.2 million for the three months ended June 30, 2021, compared to $0.4 million for the three months ended June 30, 2020, an increase of $0.8 million. The increase in compensation is directly attributable to incremental compensation charges taken in relation to a secondary sale during the period that involved stockholders who were also our employees. Personnel costs were $6.0 million for the three months ended June 30, 2021, compared to $5.2 million for the three months ended June 30, 2020, an increase of $0.8 million due to increase in headcount. Professional fees were $1.9 million for the three months ended June 30, 2021, compared to $1.2 million for the three months ended June 30, 2020, an increase of $0.7 million due to costs related to IPO. The change in the fair value of contingent consideration related to acquisitions was $1.6 million for the three months ended June 30, 2021, compared to $4.0 million for the three months ended June 30, 2020, a decrease of $2.4 million.</w:t>
      </w:r>
    </w:p>
    <w:p>
      <w:pPr>
        <w:spacing w:after="0" w:line="265"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Interest Expense</w:t>
      </w:r>
    </w:p>
    <w:p>
      <w:pPr>
        <w:spacing w:after="0" w:line="113" w:lineRule="exact"/>
        <w:rPr>
          <w:sz w:val="20"/>
          <w:szCs w:val="20"/>
          <w:color w:val="auto"/>
        </w:rPr>
      </w:pPr>
    </w:p>
    <w:p>
      <w:pPr>
        <w:jc w:val="both"/>
        <w:ind w:left="480" w:right="200" w:firstLine="411"/>
        <w:spacing w:after="0" w:line="237" w:lineRule="auto"/>
        <w:rPr>
          <w:sz w:val="20"/>
          <w:szCs w:val="20"/>
          <w:color w:val="auto"/>
        </w:rPr>
      </w:pPr>
      <w:r>
        <w:rPr>
          <w:rFonts w:ascii="Arial" w:cs="Arial" w:eastAsia="Arial" w:hAnsi="Arial"/>
          <w:sz w:val="17"/>
          <w:szCs w:val="17"/>
          <w:color w:val="auto"/>
        </w:rPr>
        <w:t>Interest expense was $0.6 million for the three months ended June 30, 2021, compared to $0.7 million for the three months ended June 30, 2020, a decrease of ($ 0.1) or (14.3%). The decrease in interest expense was driven by the loan refinancing that allowed debt issuance costs to be taken over a longer period of time.</w:t>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Change in Fair Value of Preferred Stock Warrant Liability</w:t>
      </w:r>
    </w:p>
    <w:p>
      <w:pPr>
        <w:spacing w:after="0" w:line="113" w:lineRule="exact"/>
        <w:rPr>
          <w:sz w:val="20"/>
          <w:szCs w:val="20"/>
          <w:color w:val="auto"/>
        </w:rPr>
      </w:pPr>
    </w:p>
    <w:p>
      <w:pPr>
        <w:ind w:left="480" w:right="100" w:firstLine="411"/>
        <w:spacing w:after="0" w:line="236" w:lineRule="auto"/>
        <w:rPr>
          <w:sz w:val="20"/>
          <w:szCs w:val="20"/>
          <w:color w:val="auto"/>
        </w:rPr>
      </w:pPr>
      <w:r>
        <w:rPr>
          <w:rFonts w:ascii="Arial" w:cs="Arial" w:eastAsia="Arial" w:hAnsi="Arial"/>
          <w:sz w:val="17"/>
          <w:szCs w:val="17"/>
          <w:color w:val="auto"/>
        </w:rPr>
        <w:t>The change in fair value of preferred stock warrant liability was $ 9.8 million for the three months ended June 30, 2021, compared to $0.0 million for the three months ended June 30, 2020, an increase of $ 9.8 million. The increase in the fair value of the preferred stock warrant liability was due to the increase in the fair value of our common stock on the date of the IPO versus the exercise price of the warrants.</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Other Income (Expense), net</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Other income (expense), net, was consistent at $0.1 million for the three months ended June 30, 2021 and June 30, 2020.</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Provision for (Benefit From) Income Taxes</w:t>
      </w:r>
    </w:p>
    <w:p>
      <w:pPr>
        <w:spacing w:after="0" w:line="113" w:lineRule="exact"/>
        <w:rPr>
          <w:sz w:val="20"/>
          <w:szCs w:val="20"/>
          <w:color w:val="auto"/>
        </w:rPr>
      </w:pPr>
    </w:p>
    <w:p>
      <w:pPr>
        <w:jc w:val="both"/>
        <w:ind w:left="480" w:firstLine="411"/>
        <w:spacing w:after="0" w:line="236" w:lineRule="auto"/>
        <w:rPr>
          <w:sz w:val="20"/>
          <w:szCs w:val="20"/>
          <w:color w:val="auto"/>
        </w:rPr>
      </w:pPr>
      <w:r>
        <w:rPr>
          <w:rFonts w:ascii="Arial" w:cs="Arial" w:eastAsia="Arial" w:hAnsi="Arial"/>
          <w:sz w:val="17"/>
          <w:szCs w:val="17"/>
          <w:color w:val="auto"/>
        </w:rPr>
        <w:t>The expense from income taxes was $0.3 million during the three months ended June 30, 2021, compared to a provision for income taxes of $0.3 million for the three months ended June 30, 2020. The tax expense for the three months ended June 30, 2021 and 2020 was primarily attributable to foreign taxes. Our effective tax rate was 1.6% for the three months ended June 30, 2021 compared to 1.7% for the three months ended June 30, 2020.</w:t>
      </w:r>
    </w:p>
    <w:p>
      <w:pPr>
        <w:spacing w:after="0" w:line="12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740"/>
          </w:cols>
          <w:pgMar w:left="320" w:top="464" w:right="8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Liquidity and Capital Resources</w:t>
      </w:r>
    </w:p>
    <w:p>
      <w:pPr>
        <w:spacing w:after="0" w:line="113" w:lineRule="exact"/>
        <w:rPr>
          <w:sz w:val="20"/>
          <w:szCs w:val="20"/>
          <w:color w:val="auto"/>
        </w:rPr>
      </w:pPr>
    </w:p>
    <w:p>
      <w:pPr>
        <w:ind w:left="480" w:right="400" w:firstLine="411"/>
        <w:spacing w:after="0"/>
        <w:rPr>
          <w:sz w:val="20"/>
          <w:szCs w:val="20"/>
          <w:color w:val="auto"/>
        </w:rPr>
      </w:pPr>
      <w:r>
        <w:rPr>
          <w:rFonts w:ascii="Arial" w:cs="Arial" w:eastAsia="Arial" w:hAnsi="Arial"/>
          <w:sz w:val="17"/>
          <w:szCs w:val="17"/>
          <w:color w:val="auto"/>
        </w:rPr>
        <w:t>Since inception, we have financed operations primarily through proceeds received from sales of equity securities and payments received from our clients as further detailed below.</w:t>
      </w:r>
    </w:p>
    <w:p>
      <w:pPr>
        <w:spacing w:after="0" w:line="189" w:lineRule="exact"/>
        <w:rPr>
          <w:sz w:val="20"/>
          <w:szCs w:val="20"/>
          <w:color w:val="auto"/>
        </w:rPr>
      </w:pPr>
    </w:p>
    <w:p>
      <w:pPr>
        <w:ind w:left="480" w:right="440" w:firstLine="411"/>
        <w:spacing w:after="0"/>
        <w:rPr>
          <w:sz w:val="20"/>
          <w:szCs w:val="20"/>
          <w:color w:val="auto"/>
        </w:rPr>
      </w:pPr>
      <w:r>
        <w:rPr>
          <w:rFonts w:ascii="Arial" w:cs="Arial" w:eastAsia="Arial" w:hAnsi="Arial"/>
          <w:sz w:val="17"/>
          <w:szCs w:val="17"/>
          <w:color w:val="auto"/>
        </w:rPr>
        <w:t>In May 2021, we completed our IPO which resulted in aggregate net proceeds of $263.8 million, after underwriting discounts of $19.4 million and issuance costs of $4.9 million. As of June 30, 2021, our principal source of liquidity is cash of $417.0 million.</w:t>
      </w:r>
    </w:p>
    <w:p>
      <w:pPr>
        <w:spacing w:after="0" w:line="189"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We believe that our existing cash will be sufficient to support our working capital and capital expenditure requirements for at least the next 12 months.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13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740"/>
          </w:cols>
          <w:pgMar w:left="320" w:top="464" w:right="8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sets forth summary cash flow information for the periods presented.</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51"/>
        </w:trPr>
        <w:tc>
          <w:tcPr>
            <w:tcW w:w="76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rPr>
              <w:t>Six Months</w:t>
            </w: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gridSpan w:val="3"/>
          </w:tcPr>
          <w:p>
            <w:pPr>
              <w:jc w:val="center"/>
              <w:ind w:left="549"/>
              <w:spacing w:after="0"/>
              <w:rPr>
                <w:sz w:val="20"/>
                <w:szCs w:val="20"/>
                <w:color w:val="auto"/>
              </w:rPr>
            </w:pPr>
            <w:r>
              <w:rPr>
                <w:rFonts w:ascii="Arial" w:cs="Arial" w:eastAsia="Arial" w:hAnsi="Arial"/>
                <w:sz w:val="13"/>
                <w:szCs w:val="13"/>
                <w:b w:val="1"/>
                <w:bCs w:val="1"/>
                <w:color w:val="auto"/>
              </w:rPr>
              <w:t>Ended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4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left="529"/>
              <w:spacing w:after="0"/>
              <w:rPr>
                <w:sz w:val="20"/>
                <w:szCs w:val="20"/>
                <w:color w:val="auto"/>
              </w:rPr>
            </w:pPr>
            <w:r>
              <w:rPr>
                <w:rFonts w:ascii="Arial" w:cs="Arial" w:eastAsia="Arial" w:hAnsi="Arial"/>
                <w:sz w:val="13"/>
                <w:szCs w:val="13"/>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480" w:type="dxa"/>
            <w:vAlign w:val="bottom"/>
            <w:gridSpan w:val="2"/>
            <w:vMerge w:val="continue"/>
          </w:tcPr>
          <w:p>
            <w:pPr>
              <w:spacing w:after="0"/>
              <w:rPr>
                <w:sz w:val="11"/>
                <w:szCs w:val="11"/>
                <w:color w:val="auto"/>
              </w:rPr>
            </w:pPr>
          </w:p>
        </w:tc>
        <w:tc>
          <w:tcPr>
            <w:tcW w:w="1100" w:type="dxa"/>
            <w:vAlign w:val="bottom"/>
            <w:gridSpan w:val="2"/>
          </w:tcPr>
          <w:p>
            <w:pPr>
              <w:jc w:val="right"/>
              <w:ind w:right="149"/>
              <w:spacing w:after="0" w:line="119" w:lineRule="exact"/>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39"/>
              <w:spacing w:after="0" w:line="119"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4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Net cash provided by (used in) operating activities</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90"/>
              </w:rPr>
              <w:t>$ (13,553)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(40,609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80" w:type="dxa"/>
            <w:vAlign w:val="bottom"/>
            <w:gridSpan w:val="2"/>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1500" w:type="dxa"/>
            <w:vAlign w:val="bottom"/>
            <w:gridSpan w:val="3"/>
          </w:tcPr>
          <w:p>
            <w:pPr>
              <w:jc w:val="right"/>
              <w:ind w:right="340"/>
              <w:spacing w:after="0" w:line="189" w:lineRule="exact"/>
              <w:rPr>
                <w:sz w:val="20"/>
                <w:szCs w:val="20"/>
                <w:color w:val="auto"/>
              </w:rPr>
            </w:pPr>
            <w:r>
              <w:rPr>
                <w:rFonts w:ascii="Arial" w:cs="Arial" w:eastAsia="Arial" w:hAnsi="Arial"/>
                <w:sz w:val="17"/>
                <w:szCs w:val="17"/>
                <w:color w:val="auto"/>
              </w:rPr>
              <w:t>(3,582)</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(80,662)</w:t>
            </w:r>
          </w:p>
        </w:tc>
        <w:tc>
          <w:tcPr>
            <w:tcW w:w="0" w:type="dxa"/>
            <w:vAlign w:val="bottom"/>
          </w:tcPr>
          <w:p>
            <w:pPr>
              <w:spacing w:after="0"/>
              <w:rPr>
                <w:sz w:val="1"/>
                <w:szCs w:val="1"/>
                <w:color w:val="auto"/>
              </w:rPr>
            </w:pPr>
          </w:p>
        </w:tc>
      </w:tr>
      <w:tr>
        <w:trPr>
          <w:trHeight w:val="189"/>
        </w:trPr>
        <w:tc>
          <w:tcPr>
            <w:tcW w:w="5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Net cash (used in) provided by financing activities</w:t>
            </w:r>
          </w:p>
        </w:tc>
        <w:tc>
          <w:tcPr>
            <w:tcW w:w="1500" w:type="dxa"/>
            <w:vAlign w:val="bottom"/>
            <w:gridSpan w:val="3"/>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324,870</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w w:val="97"/>
              </w:rPr>
              <w:t>118,796</w:t>
            </w:r>
          </w:p>
        </w:tc>
        <w:tc>
          <w:tcPr>
            <w:tcW w:w="0" w:type="dxa"/>
            <w:vAlign w:val="bottom"/>
          </w:tcPr>
          <w:p>
            <w:pPr>
              <w:spacing w:after="0"/>
              <w:rPr>
                <w:sz w:val="1"/>
                <w:szCs w:val="1"/>
                <w:color w:val="auto"/>
              </w:rPr>
            </w:pPr>
          </w:p>
        </w:tc>
      </w:tr>
      <w:tr>
        <w:trPr>
          <w:trHeight w:val="194"/>
        </w:trPr>
        <w:tc>
          <w:tcPr>
            <w:tcW w:w="5480" w:type="dxa"/>
            <w:vAlign w:val="bottom"/>
            <w:gridSpan w:val="2"/>
          </w:tcPr>
          <w:p>
            <w:pPr>
              <w:spacing w:after="0" w:line="189" w:lineRule="exact"/>
              <w:rPr>
                <w:sz w:val="20"/>
                <w:szCs w:val="20"/>
                <w:color w:val="auto"/>
              </w:rPr>
            </w:pPr>
            <w:r>
              <w:rPr>
                <w:rFonts w:ascii="Arial" w:cs="Arial" w:eastAsia="Arial" w:hAnsi="Arial"/>
                <w:sz w:val="17"/>
                <w:szCs w:val="17"/>
                <w:color w:val="auto"/>
              </w:rPr>
              <w:t>Effect of exchange rate changes on cash and cash equivalents</w:t>
            </w:r>
          </w:p>
        </w:tc>
        <w:tc>
          <w:tcPr>
            <w:tcW w:w="1500" w:type="dxa"/>
            <w:vAlign w:val="bottom"/>
            <w:gridSpan w:val="3"/>
          </w:tcPr>
          <w:p>
            <w:pPr>
              <w:jc w:val="right"/>
              <w:ind w:right="400"/>
              <w:spacing w:after="0" w:line="189" w:lineRule="exact"/>
              <w:rPr>
                <w:sz w:val="20"/>
                <w:szCs w:val="20"/>
                <w:color w:val="auto"/>
              </w:rPr>
            </w:pPr>
            <w:r>
              <w:rPr>
                <w:rFonts w:ascii="Arial" w:cs="Arial" w:eastAsia="Arial" w:hAnsi="Arial"/>
                <w:sz w:val="17"/>
                <w:szCs w:val="17"/>
                <w:color w:val="auto"/>
              </w:rPr>
              <w:t>239</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188"/>
        </w:trPr>
        <w:tc>
          <w:tcPr>
            <w:tcW w:w="548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Net (decrease) increase in cash, cash equivalents and restricted</w:t>
            </w:r>
          </w:p>
        </w:tc>
        <w:tc>
          <w:tcPr>
            <w:tcW w:w="38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80" w:type="dxa"/>
            <w:vAlign w:val="bottom"/>
            <w:gridSpan w:val="2"/>
            <w:shd w:val="clear" w:color="auto" w:fill="CCEEFF"/>
          </w:tcPr>
          <w:p>
            <w:pPr>
              <w:ind w:left="500"/>
              <w:spacing w:after="0" w:line="190" w:lineRule="exact"/>
              <w:rPr>
                <w:sz w:val="20"/>
                <w:szCs w:val="20"/>
                <w:color w:val="auto"/>
              </w:rPr>
            </w:pPr>
            <w:r>
              <w:rPr>
                <w:rFonts w:ascii="Arial" w:cs="Arial" w:eastAsia="Arial" w:hAnsi="Arial"/>
                <w:sz w:val="17"/>
                <w:szCs w:val="17"/>
                <w:color w:val="auto"/>
              </w:rPr>
              <w:t>cash.</w:t>
            </w:r>
          </w:p>
        </w:tc>
        <w:tc>
          <w:tcPr>
            <w:tcW w:w="1500" w:type="dxa"/>
            <w:vAlign w:val="bottom"/>
            <w:gridSpan w:val="3"/>
            <w:shd w:val="clear" w:color="auto" w:fill="CCEEFF"/>
          </w:tcPr>
          <w:p>
            <w:pPr>
              <w:jc w:val="right"/>
              <w:ind w:right="400"/>
              <w:spacing w:after="0" w:line="190"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307,974</w:t>
            </w:r>
          </w:p>
        </w:tc>
        <w:tc>
          <w:tcPr>
            <w:tcW w:w="1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60"/>
              <w:spacing w:after="0" w:line="190" w:lineRule="exact"/>
              <w:rPr>
                <w:sz w:val="20"/>
                <w:szCs w:val="20"/>
                <w:color w:val="auto"/>
              </w:rPr>
            </w:pPr>
            <w:r>
              <w:rPr>
                <w:rFonts w:ascii="Arial" w:cs="Arial" w:eastAsia="Arial" w:hAnsi="Arial"/>
                <w:sz w:val="17"/>
                <w:szCs w:val="17"/>
                <w:color w:val="auto"/>
              </w:rPr>
              <w:t>(2,903)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Operating Activities</w:t>
      </w:r>
    </w:p>
    <w:p>
      <w:pPr>
        <w:spacing w:after="0" w:line="113" w:lineRule="exact"/>
        <w:rPr>
          <w:sz w:val="20"/>
          <w:szCs w:val="20"/>
          <w:color w:val="auto"/>
        </w:rPr>
      </w:pPr>
    </w:p>
    <w:p>
      <w:pPr>
        <w:ind w:left="480" w:right="580" w:firstLine="411"/>
        <w:spacing w:after="0"/>
        <w:rPr>
          <w:sz w:val="20"/>
          <w:szCs w:val="20"/>
          <w:color w:val="auto"/>
        </w:rPr>
      </w:pPr>
      <w:r>
        <w:rPr>
          <w:rFonts w:ascii="Arial" w:cs="Arial" w:eastAsia="Arial" w:hAnsi="Arial"/>
          <w:sz w:val="17"/>
          <w:szCs w:val="17"/>
          <w:color w:val="auto"/>
        </w:rPr>
        <w:t>Net cash used in operating activities consists of net loss adjusted for certain non-cash items and changes in other assets and liabilities.</w:t>
      </w:r>
    </w:p>
    <w:p>
      <w:pPr>
        <w:spacing w:after="0" w:line="189" w:lineRule="exact"/>
        <w:rPr>
          <w:sz w:val="20"/>
          <w:szCs w:val="20"/>
          <w:color w:val="auto"/>
        </w:rPr>
      </w:pPr>
    </w:p>
    <w:p>
      <w:pPr>
        <w:ind w:left="480" w:right="60" w:firstLine="411"/>
        <w:spacing w:after="0" w:line="234" w:lineRule="auto"/>
        <w:rPr>
          <w:sz w:val="20"/>
          <w:szCs w:val="20"/>
          <w:color w:val="auto"/>
        </w:rPr>
      </w:pPr>
      <w:r>
        <w:rPr>
          <w:rFonts w:ascii="Arial" w:cs="Arial" w:eastAsia="Arial" w:hAnsi="Arial"/>
          <w:sz w:val="17"/>
          <w:szCs w:val="17"/>
          <w:color w:val="auto"/>
        </w:rPr>
        <w:t>During the six months ended June 30, 2021, cash used in operating activities of $13.6 million was primarily the result of net loss of $26.8 million adjusted for non-cash expenses of $30.0 million, which primarily include depreciation and amortization of $4.3 million, stock-based compensation expenses of $ 12.8 million, and the change in fair value of preferred stock warrant liability of $10.8 million, offset by $16.7 million related to changes in our operating assets and liabilities. Net cash used by changes in operating assets and liabilities consisted primarily of a $14.5 million decrease in funds payable to clients due to the timing of when we settle the amounts we owe to our clients, a $3.2 million decrease in contingent consideration, and a $7.7 million decrease in prepaid expenses and other assets, offset by a $5.5 million decrease in funds receivables from payment partners due to the timing of when our payment partners settle the amounts they owe to us, and a $3.1 million decrease in accounts payable, accrued expenses and other current liabilities.</w:t>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Investing Activities</w:t>
      </w:r>
    </w:p>
    <w:p>
      <w:pPr>
        <w:spacing w:after="0" w:line="113" w:lineRule="exact"/>
        <w:rPr>
          <w:sz w:val="20"/>
          <w:szCs w:val="20"/>
          <w:color w:val="auto"/>
        </w:rPr>
      </w:pPr>
    </w:p>
    <w:p>
      <w:pPr>
        <w:ind w:left="480" w:right="860" w:firstLine="411"/>
        <w:spacing w:after="0"/>
        <w:rPr>
          <w:sz w:val="20"/>
          <w:szCs w:val="20"/>
          <w:color w:val="auto"/>
        </w:rPr>
      </w:pPr>
      <w:r>
        <w:rPr>
          <w:rFonts w:ascii="Arial" w:cs="Arial" w:eastAsia="Arial" w:hAnsi="Arial"/>
          <w:sz w:val="17"/>
          <w:szCs w:val="17"/>
          <w:color w:val="auto"/>
        </w:rPr>
        <w:t>During the six months ended June 30, 2021, cash used in investing activities of $3.6 million was primarily the result of the capitalization of internally-developed software costs of $3.5 million and an acquisition of an asset of $0.1 million.</w:t>
      </w:r>
    </w:p>
    <w:p>
      <w:pPr>
        <w:spacing w:after="0" w:line="189" w:lineRule="exact"/>
        <w:rPr>
          <w:sz w:val="20"/>
          <w:szCs w:val="20"/>
          <w:color w:val="auto"/>
        </w:rPr>
      </w:pPr>
    </w:p>
    <w:p>
      <w:pPr>
        <w:ind w:left="480" w:right="360" w:firstLine="411"/>
        <w:spacing w:after="0" w:line="237" w:lineRule="auto"/>
        <w:rPr>
          <w:sz w:val="20"/>
          <w:szCs w:val="20"/>
          <w:color w:val="auto"/>
        </w:rPr>
      </w:pPr>
      <w:r>
        <w:rPr>
          <w:rFonts w:ascii="Arial" w:cs="Arial" w:eastAsia="Arial" w:hAnsi="Arial"/>
          <w:sz w:val="17"/>
          <w:szCs w:val="17"/>
          <w:color w:val="auto"/>
        </w:rPr>
        <w:t>During the six months ended June 30, 2020, cash used in investing activities of $80.7 million was primarily the result of our acquisition of Simplee for a purchase price of $79.4 million in cash and $1.3 million related to the capitalization of internally-developed software costs.</w:t>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Financing Activities</w:t>
      </w:r>
    </w:p>
    <w:p>
      <w:pPr>
        <w:spacing w:after="0" w:line="113" w:lineRule="exact"/>
        <w:rPr>
          <w:sz w:val="20"/>
          <w:szCs w:val="20"/>
          <w:color w:val="auto"/>
        </w:rPr>
      </w:pPr>
    </w:p>
    <w:p>
      <w:pPr>
        <w:ind w:left="480" w:right="260" w:firstLine="411"/>
        <w:spacing w:after="0" w:line="254" w:lineRule="auto"/>
        <w:rPr>
          <w:sz w:val="20"/>
          <w:szCs w:val="20"/>
          <w:color w:val="auto"/>
        </w:rPr>
      </w:pPr>
      <w:r>
        <w:rPr>
          <w:rFonts w:ascii="Arial" w:cs="Arial" w:eastAsia="Arial" w:hAnsi="Arial"/>
          <w:sz w:val="16"/>
          <w:szCs w:val="16"/>
          <w:color w:val="auto"/>
        </w:rPr>
        <w:t>During the six months ended June 30, 2021, cash provided by financing activities of $324.9 million was primarily driven by the net proceeds received from our IPO of $ 264.8 million, net proceeds received from our sale of preferred stock for aggregate proceeds of $59.7 million and proceeds from the exercise of stock options and warrants of $4.1 million, partially offset by payments for contingent consideration of $3.8 million related to our acquisition of Simplee and $3.8 million related to offering costs associated with our IPO.</w:t>
      </w:r>
    </w:p>
    <w:p>
      <w:pPr>
        <w:spacing w:after="0" w:line="179" w:lineRule="exact"/>
        <w:rPr>
          <w:sz w:val="20"/>
          <w:szCs w:val="20"/>
          <w:color w:val="auto"/>
        </w:rPr>
      </w:pPr>
    </w:p>
    <w:p>
      <w:pPr>
        <w:ind w:left="480" w:right="60" w:firstLine="411"/>
        <w:spacing w:after="0" w:line="237" w:lineRule="auto"/>
        <w:rPr>
          <w:sz w:val="20"/>
          <w:szCs w:val="20"/>
          <w:color w:val="auto"/>
        </w:rPr>
      </w:pPr>
      <w:r>
        <w:rPr>
          <w:rFonts w:ascii="Arial" w:cs="Arial" w:eastAsia="Arial" w:hAnsi="Arial"/>
          <w:sz w:val="17"/>
          <w:szCs w:val="17"/>
          <w:color w:val="auto"/>
        </w:rPr>
        <w:t>During the six months ended June 30, 2020, cash provided by financing activities of $118.8 million was the result of our sale of preferred stock for aggregate proceeds of $119.8 million and $0.5 million from the proceeds of the exercise of stock options. The increase was offset by $1.3 million related to contingent consideration paid during the period.</w:t>
      </w:r>
    </w:p>
    <w:p>
      <w:pPr>
        <w:spacing w:after="0" w:line="190"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As of June 30, 2021, we had $25.0 million of outstanding indebtedness under the LSA. The proceeds of the Term Loan were used to purchase OnPlan Holdings, LLC. On April 25, 2020, we entered into a Joinder and Second Amendment to the LSA to refinance the LSA. As part of the refinancing, the lender institution re-advanced $4.2 million of principal paid on the loan through May 1, 2020. The LSA is interest only until May 2023 and bears annual interest at a rate equal to the greater of (i) 5.25% above the prime rate of (ii) 8.50%. Beginning on June 1, 2023, we will make 24 equal principal payments. Refer to Note 10 in our unaudited condensed consolidated financial statements included elsewhere in this Form 10-Q for additional details related to our LSA.</w:t>
      </w:r>
    </w:p>
    <w:p>
      <w:pPr>
        <w:spacing w:after="0" w:line="13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760"/>
          </w:cols>
          <w:pgMar w:left="320" w:top="464" w:right="81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Contractual Obligations</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summarizes our contractual obligations as of June 30, 2021:</w:t>
      </w:r>
    </w:p>
    <w:p>
      <w:pPr>
        <w:spacing w:after="0" w:line="222" w:lineRule="exact"/>
        <w:rPr>
          <w:sz w:val="20"/>
          <w:szCs w:val="20"/>
          <w:color w:val="auto"/>
        </w:rPr>
      </w:pPr>
    </w:p>
    <w:tbl>
      <w:tblPr>
        <w:tblLayout w:type="fixed"/>
        <w:tblInd w:w="480" w:type="dxa"/>
        <w:tblCellMar>
          <w:top w:w="0" w:type="dxa"/>
          <w:left w:w="0" w:type="dxa"/>
          <w:bottom w:w="0" w:type="dxa"/>
          <w:right w:w="0" w:type="dxa"/>
        </w:tblCellMar>
      </w:tblPr>
      <w:tr>
        <w:trPr>
          <w:trHeight w:val="163"/>
        </w:trPr>
        <w:tc>
          <w:tcPr>
            <w:tcW w:w="9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10"/>
          </w:tcPr>
          <w:p>
            <w:pPr>
              <w:ind w:left="400"/>
              <w:spacing w:after="0"/>
              <w:rPr>
                <w:sz w:val="20"/>
                <w:szCs w:val="20"/>
                <w:color w:val="auto"/>
              </w:rPr>
            </w:pPr>
            <w:r>
              <w:rPr>
                <w:rFonts w:ascii="Arial" w:cs="Arial" w:eastAsia="Arial" w:hAnsi="Arial"/>
                <w:sz w:val="13"/>
                <w:szCs w:val="13"/>
                <w:b w:val="1"/>
                <w:bCs w:val="1"/>
                <w:color w:val="auto"/>
              </w:rPr>
              <w:t>Payments Due by Year</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0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3"/>
                <w:szCs w:val="13"/>
                <w:b w:val="1"/>
                <w:bCs w:val="1"/>
                <w:color w:val="auto"/>
              </w:rPr>
              <w:t>Less Than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40"/>
              <w:spacing w:after="0" w:line="133" w:lineRule="exact"/>
              <w:rPr>
                <w:sz w:val="20"/>
                <w:szCs w:val="20"/>
                <w:color w:val="auto"/>
              </w:rPr>
            </w:pPr>
            <w:r>
              <w:rPr>
                <w:rFonts w:ascii="Arial" w:cs="Arial" w:eastAsia="Arial" w:hAnsi="Arial"/>
                <w:sz w:val="13"/>
                <w:szCs w:val="13"/>
                <w:b w:val="1"/>
                <w:bCs w:val="1"/>
                <w:color w:val="auto"/>
              </w:rPr>
              <w:t>1 to 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380"/>
              <w:spacing w:after="0" w:line="133" w:lineRule="exact"/>
              <w:rPr>
                <w:sz w:val="20"/>
                <w:szCs w:val="20"/>
                <w:color w:val="auto"/>
              </w:rPr>
            </w:pPr>
            <w:r>
              <w:rPr>
                <w:rFonts w:ascii="Arial" w:cs="Arial" w:eastAsia="Arial" w:hAnsi="Arial"/>
                <w:sz w:val="13"/>
                <w:szCs w:val="13"/>
                <w:b w:val="1"/>
                <w:bCs w:val="1"/>
                <w:color w:val="auto"/>
              </w:rPr>
              <w:t>4 to 5</w:t>
            </w:r>
          </w:p>
        </w:tc>
        <w:tc>
          <w:tcPr>
            <w:tcW w:w="68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More Than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400"/>
              <w:spacing w:after="0" w:line="118"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66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1 Year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40"/>
              <w:spacing w:after="0" w:line="118" w:lineRule="exact"/>
              <w:rPr>
                <w:sz w:val="20"/>
                <w:szCs w:val="20"/>
                <w:color w:val="auto"/>
              </w:rPr>
            </w:pPr>
            <w:r>
              <w:rPr>
                <w:rFonts w:ascii="Arial" w:cs="Arial" w:eastAsia="Arial" w:hAnsi="Arial"/>
                <w:sz w:val="13"/>
                <w:szCs w:val="13"/>
                <w:b w:val="1"/>
                <w:bCs w:val="1"/>
                <w:color w:val="auto"/>
              </w:rPr>
              <w:t>Years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380"/>
              <w:spacing w:after="0" w:line="118" w:lineRule="exact"/>
              <w:rPr>
                <w:sz w:val="20"/>
                <w:szCs w:val="20"/>
                <w:color w:val="auto"/>
              </w:rPr>
            </w:pPr>
            <w:r>
              <w:rPr>
                <w:rFonts w:ascii="Arial" w:cs="Arial" w:eastAsia="Arial" w:hAnsi="Arial"/>
                <w:sz w:val="13"/>
                <w:szCs w:val="13"/>
                <w:b w:val="1"/>
                <w:bCs w:val="1"/>
                <w:color w:val="auto"/>
              </w:rPr>
              <w:t>Years</w:t>
            </w:r>
          </w:p>
        </w:tc>
        <w:tc>
          <w:tcPr>
            <w:tcW w:w="720" w:type="dxa"/>
            <w:vAlign w:val="bottom"/>
            <w:gridSpan w:val="2"/>
          </w:tcPr>
          <w:p>
            <w:pPr>
              <w:jc w:val="center"/>
              <w:ind w:right="40"/>
              <w:spacing w:after="0" w:line="118" w:lineRule="exact"/>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20"/>
        </w:trPr>
        <w:tc>
          <w:tcPr>
            <w:tcW w:w="98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06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Operating lease obligations</w:t>
            </w: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5,273</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120"/>
              <w:spacing w:after="0" w:line="167" w:lineRule="exact"/>
              <w:rPr>
                <w:sz w:val="20"/>
                <w:szCs w:val="20"/>
                <w:color w:val="auto"/>
              </w:rPr>
            </w:pPr>
            <w:r>
              <w:rPr>
                <w:rFonts w:ascii="Arial" w:cs="Arial" w:eastAsia="Arial" w:hAnsi="Arial"/>
                <w:sz w:val="17"/>
                <w:szCs w:val="17"/>
                <w:color w:val="auto"/>
                <w:w w:val="93"/>
              </w:rPr>
              <w:t>1,582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3,673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18</w:t>
            </w: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ind w:left="420"/>
              <w:spacing w:after="0" w:line="167"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60" w:type="dxa"/>
            <w:vAlign w:val="bottom"/>
            <w:gridSpan w:val="2"/>
          </w:tcPr>
          <w:p>
            <w:pPr>
              <w:spacing w:after="0" w:line="189" w:lineRule="exact"/>
              <w:rPr>
                <w:sz w:val="20"/>
                <w:szCs w:val="20"/>
                <w:color w:val="auto"/>
              </w:rPr>
            </w:pPr>
            <w:r>
              <w:rPr>
                <w:rFonts w:ascii="Arial" w:cs="Arial" w:eastAsia="Arial" w:hAnsi="Arial"/>
                <w:sz w:val="17"/>
                <w:szCs w:val="17"/>
                <w:color w:val="auto"/>
              </w:rPr>
              <w:t>Debt obligations</w:t>
            </w:r>
          </w:p>
        </w:tc>
        <w:tc>
          <w:tcPr>
            <w:tcW w:w="100" w:type="dxa"/>
            <w:vAlign w:val="bottom"/>
          </w:tcPr>
          <w:p>
            <w:pPr>
              <w:spacing w:after="0"/>
              <w:rPr>
                <w:sz w:val="16"/>
                <w:szCs w:val="16"/>
                <w:color w:val="auto"/>
              </w:rPr>
            </w:pPr>
          </w:p>
        </w:tc>
        <w:tc>
          <w:tcPr>
            <w:tcW w:w="7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w w:val="96"/>
              </w:rPr>
              <w:t>25,000</w:t>
            </w:r>
          </w:p>
        </w:tc>
        <w:tc>
          <w:tcPr>
            <w:tcW w:w="120" w:type="dxa"/>
            <w:vAlign w:val="bottom"/>
          </w:tcPr>
          <w:p>
            <w:pPr>
              <w:spacing w:after="0"/>
              <w:rPr>
                <w:sz w:val="16"/>
                <w:szCs w:val="16"/>
                <w:color w:val="auto"/>
              </w:rPr>
            </w:pPr>
          </w:p>
        </w:tc>
        <w:tc>
          <w:tcPr>
            <w:tcW w:w="66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7,292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w w:val="96"/>
              </w:rPr>
              <w:t>17,708</w:t>
            </w:r>
          </w:p>
        </w:tc>
        <w:tc>
          <w:tcPr>
            <w:tcW w:w="72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9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0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w w:val="84"/>
              </w:rPr>
              <w:t>$</w:t>
            </w:r>
          </w:p>
        </w:tc>
        <w:tc>
          <w:tcPr>
            <w:tcW w:w="7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w w:val="96"/>
              </w:rPr>
              <w:t>30,273</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1,582</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w w:val="96"/>
              </w:rPr>
              <w:t>10,965</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w w:val="96"/>
              </w:rPr>
              <w:t>17,726</w:t>
            </w:r>
          </w:p>
        </w:tc>
        <w:tc>
          <w:tcPr>
            <w:tcW w:w="72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Critical Accounting Policies</w:t>
      </w:r>
    </w:p>
    <w:p>
      <w:pPr>
        <w:spacing w:after="0" w:line="115" w:lineRule="exact"/>
        <w:rPr>
          <w:sz w:val="20"/>
          <w:szCs w:val="20"/>
          <w:color w:val="auto"/>
        </w:rPr>
      </w:pPr>
    </w:p>
    <w:p>
      <w:pPr>
        <w:ind w:left="480" w:right="20" w:firstLine="411"/>
        <w:spacing w:after="0" w:line="234" w:lineRule="auto"/>
        <w:rPr>
          <w:sz w:val="20"/>
          <w:szCs w:val="20"/>
          <w:color w:val="auto"/>
        </w:rPr>
      </w:pPr>
      <w:r>
        <w:rPr>
          <w:rFonts w:ascii="Arial" w:cs="Arial" w:eastAsia="Arial" w:hAnsi="Arial"/>
          <w:sz w:val="17"/>
          <w:szCs w:val="17"/>
          <w:color w:val="auto"/>
        </w:rPr>
        <w:t>Our condensed consolidated financial statements and the related notes thereto included elsewhere in this Quarterly Report on Form 10-Q are prepared in accordance with GAAP. The preparation of our condensed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91" w:lineRule="exact"/>
        <w:rPr>
          <w:sz w:val="20"/>
          <w:szCs w:val="20"/>
          <w:color w:val="auto"/>
        </w:rPr>
      </w:pPr>
    </w:p>
    <w:p>
      <w:pPr>
        <w:ind w:left="480" w:right="860" w:firstLine="411"/>
        <w:spacing w:after="0" w:line="270" w:lineRule="auto"/>
        <w:rPr>
          <w:sz w:val="20"/>
          <w:szCs w:val="20"/>
          <w:color w:val="auto"/>
        </w:rPr>
      </w:pPr>
      <w:r>
        <w:rPr>
          <w:rFonts w:ascii="Arial" w:cs="Arial" w:eastAsia="Arial" w:hAnsi="Arial"/>
          <w:sz w:val="16"/>
          <w:szCs w:val="16"/>
          <w:color w:val="auto"/>
        </w:rPr>
        <w:t>There have been no material changes to our critical accounting policies and estimates as compared to those described in “Management’s Discussion and Analysis of Financial Condition and Results of Operations” set forth in our Final Prospectus.</w:t>
      </w:r>
    </w:p>
    <w:p>
      <w:pPr>
        <w:spacing w:after="0" w:line="24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Emerging Growth Company Status</w:t>
      </w:r>
    </w:p>
    <w:p>
      <w:pPr>
        <w:spacing w:after="0" w:line="115"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The JOBS Act permits an “emerging growth company” such as us to take advantage of an extended transition period to comply with new or revised accounting standards applicable to public companies until those standards would otherwise apply to nonpublic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nonpublic companies.</w:t>
      </w:r>
    </w:p>
    <w:p>
      <w:pPr>
        <w:spacing w:after="0" w:line="196" w:lineRule="exact"/>
        <w:rPr>
          <w:sz w:val="20"/>
          <w:szCs w:val="20"/>
          <w:color w:val="auto"/>
        </w:rPr>
      </w:pPr>
    </w:p>
    <w:p>
      <w:pPr>
        <w:ind w:left="480" w:right="20" w:firstLine="411"/>
        <w:spacing w:after="0" w:line="236" w:lineRule="auto"/>
        <w:rPr>
          <w:sz w:val="20"/>
          <w:szCs w:val="20"/>
          <w:color w:val="auto"/>
        </w:rPr>
      </w:pPr>
      <w:r>
        <w:rPr>
          <w:rFonts w:ascii="Arial" w:cs="Arial" w:eastAsia="Arial" w:hAnsi="Arial"/>
          <w:sz w:val="17"/>
          <w:szCs w:val="17"/>
          <w:color w:val="auto"/>
        </w:rPr>
        <w:t>We will cease to be an emerging growth company on the date that is the earliest of (i) the last day of the fiscal year in which we have total annual gross revenues of $1.07 billion or more, (ii) December 31, 2026, (iii) the date on which we have issued more than $1.0 billion in nonconvertible debt during the previous three years or (iv) the date on which we are deemed to be a large accelerated filer under the rules of the SEC.</w:t>
      </w:r>
    </w:p>
    <w:p>
      <w:pPr>
        <w:spacing w:after="0" w:line="189" w:lineRule="exact"/>
        <w:rPr>
          <w:sz w:val="20"/>
          <w:szCs w:val="20"/>
          <w:color w:val="auto"/>
        </w:rPr>
      </w:pPr>
    </w:p>
    <w:p>
      <w:pPr>
        <w:ind w:left="480" w:right="100" w:firstLine="411"/>
        <w:spacing w:after="0" w:line="235" w:lineRule="auto"/>
        <w:rPr>
          <w:sz w:val="20"/>
          <w:szCs w:val="20"/>
          <w:color w:val="auto"/>
        </w:rPr>
      </w:pPr>
      <w:r>
        <w:rPr>
          <w:rFonts w:ascii="Arial" w:cs="Arial" w:eastAsia="Arial" w:hAnsi="Arial"/>
          <w:sz w:val="17"/>
          <w:szCs w:val="17"/>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See “Risk Factors—Risks Related to Ownership of Our Common Stock—We are an emerging growth company,” and we cannot be certain if the reduced disclosure requirements applicable to emerging growth companies will make our common stock less attractive to investors.</w:t>
      </w:r>
    </w:p>
    <w:p>
      <w:pPr>
        <w:spacing w:after="0" w:line="12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760"/>
          </w:cols>
          <w:pgMar w:left="320" w:top="464" w:right="81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Recent Accounting Pronouncements</w:t>
      </w:r>
    </w:p>
    <w:p>
      <w:pPr>
        <w:spacing w:after="0" w:line="115" w:lineRule="exact"/>
        <w:rPr>
          <w:sz w:val="20"/>
          <w:szCs w:val="20"/>
          <w:color w:val="auto"/>
        </w:rPr>
      </w:pPr>
    </w:p>
    <w:p>
      <w:pPr>
        <w:ind w:left="480" w:right="120" w:firstLine="411"/>
        <w:spacing w:after="0" w:line="237" w:lineRule="auto"/>
        <w:rPr>
          <w:sz w:val="20"/>
          <w:szCs w:val="20"/>
          <w:color w:val="auto"/>
        </w:rPr>
      </w:pPr>
      <w:r>
        <w:rPr>
          <w:rFonts w:ascii="Arial" w:cs="Arial" w:eastAsia="Arial" w:hAnsi="Arial"/>
          <w:sz w:val="17"/>
          <w:szCs w:val="17"/>
          <w:color w:val="auto"/>
        </w:rPr>
        <w:t>We have reviewed all recently issued standards and have determined that, other than as disclosed in Note 1 to our unaudited condensed consolidated financial statements appearing elsewhere in this Quarterly Report on Form 10-Q, such standards will not have a material impact on our consolidated financial statements or do not otherwise apply to our operations.</w:t>
      </w:r>
    </w:p>
    <w:p>
      <w:pPr>
        <w:spacing w:after="0" w:line="309"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5" w:lineRule="exact"/>
        <w:rPr>
          <w:sz w:val="20"/>
          <w:szCs w:val="20"/>
          <w:color w:val="auto"/>
        </w:rPr>
      </w:pPr>
    </w:p>
    <w:p>
      <w:pPr>
        <w:ind w:left="480" w:firstLine="411"/>
        <w:spacing w:after="0" w:line="237" w:lineRule="auto"/>
        <w:rPr>
          <w:sz w:val="20"/>
          <w:szCs w:val="20"/>
          <w:color w:val="auto"/>
        </w:rPr>
      </w:pPr>
      <w:r>
        <w:rPr>
          <w:rFonts w:ascii="Arial" w:cs="Arial" w:eastAsia="Arial" w:hAnsi="Arial"/>
          <w:sz w:val="17"/>
          <w:szCs w:val="17"/>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Interest Rate Risk</w:t>
      </w:r>
    </w:p>
    <w:p>
      <w:pPr>
        <w:spacing w:after="0" w:line="115" w:lineRule="exact"/>
        <w:rPr>
          <w:sz w:val="20"/>
          <w:szCs w:val="20"/>
          <w:color w:val="auto"/>
        </w:rPr>
      </w:pPr>
    </w:p>
    <w:p>
      <w:pPr>
        <w:ind w:left="480" w:right="200" w:firstLine="411"/>
        <w:spacing w:after="0" w:line="237" w:lineRule="auto"/>
        <w:rPr>
          <w:sz w:val="20"/>
          <w:szCs w:val="20"/>
          <w:color w:val="auto"/>
        </w:rPr>
      </w:pPr>
      <w:r>
        <w:rPr>
          <w:rFonts w:ascii="Arial" w:cs="Arial" w:eastAsia="Arial" w:hAnsi="Arial"/>
          <w:sz w:val="17"/>
          <w:szCs w:val="17"/>
          <w:color w:val="auto"/>
        </w:rPr>
        <w:t>Borrowings incurred under our credit facility accrue interest at a floating per annum rate equal to the greater of (i) 5.25% above the prime rate; or (ii) 8.50%. As of June 30, 2021, $25.0 million was outstanding under our credit facility. An immediate 10% increase or decrease in interest rates would not have a material effect on our financial position, results of operations or cash flows.</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Foreign Currency Exchange Risk</w:t>
      </w:r>
    </w:p>
    <w:p>
      <w:pPr>
        <w:spacing w:after="0" w:line="115" w:lineRule="exact"/>
        <w:rPr>
          <w:sz w:val="20"/>
          <w:szCs w:val="20"/>
          <w:color w:val="auto"/>
        </w:rPr>
      </w:pPr>
    </w:p>
    <w:p>
      <w:pPr>
        <w:ind w:left="480"/>
        <w:spacing w:after="0" w:line="232" w:lineRule="auto"/>
        <w:rPr>
          <w:sz w:val="20"/>
          <w:szCs w:val="20"/>
          <w:color w:val="auto"/>
        </w:rPr>
      </w:pPr>
      <w:r>
        <w:rPr>
          <w:rFonts w:ascii="Arial" w:cs="Arial" w:eastAsia="Arial" w:hAnsi="Arial"/>
          <w:sz w:val="17"/>
          <w:szCs w:val="17"/>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payment—one to four days—that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 As a result, to date foreign currency fluctuations with respect to our cross-border payments have not resulted in a materially unfavorable effect on our operating results, financial position or cash flows. In addition, our reporting currency is the U.S. Dollar. The financial statements of our foreign subsidiaries are translated from local currency into U.S. Dollars using the exchange rate at the balance sheet date for assets and liabilities, and the average exchange rate in effect during the period for revenue and expenses. Our functional currency and the functional currency of our subsidiaries, with the exception of our UK subsidiary, is the U.S. Dollar. The functional currency for our UK subsidiary is considered to be the local currency and, accordingly, translation adjustments for this entity are included as a component of accumulated other comprehensive loss in our consolidated balance sheets. Gains and losses from the remeasurement of foreign currency transactions into the functional currency are recognized as other income (expense), net in the consolidated statements of operations and comprehensive loss. We do not believe a 10% increase or decrease in current exchange rates would have a material impact on our operating results, financial position or cash flows.</w:t>
      </w:r>
    </w:p>
    <w:p>
      <w:pPr>
        <w:spacing w:after="0" w:line="324"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5"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15" w:lineRule="exact"/>
        <w:rPr>
          <w:sz w:val="20"/>
          <w:szCs w:val="20"/>
          <w:color w:val="auto"/>
        </w:rPr>
      </w:pPr>
    </w:p>
    <w:p>
      <w:pPr>
        <w:ind w:left="480" w:right="60" w:firstLine="411"/>
        <w:spacing w:after="0" w:line="249"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the end of the period covered by this Quarterly Report on Form 10-Q, our disclosure controls and procedures were effective at the reasonable assurance level.</w:t>
      </w:r>
    </w:p>
    <w:p>
      <w:pPr>
        <w:spacing w:after="0" w:line="11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760"/>
          </w:cols>
          <w:pgMar w:left="320" w:top="464" w:right="81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5" w:lineRule="exact"/>
        <w:rPr>
          <w:sz w:val="20"/>
          <w:szCs w:val="20"/>
          <w:color w:val="auto"/>
        </w:rPr>
      </w:pPr>
    </w:p>
    <w:p>
      <w:pPr>
        <w:jc w:val="both"/>
        <w:ind w:left="480" w:right="260" w:firstLine="411"/>
        <w:spacing w:after="0" w:line="237"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Inherent Limitations on Effectiveness of Controls</w:t>
      </w:r>
    </w:p>
    <w:p>
      <w:pPr>
        <w:spacing w:after="0" w:line="115"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75"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PART II—OTHER INFORMATION</w:t>
      </w:r>
    </w:p>
    <w:p>
      <w:pPr>
        <w:spacing w:after="0" w:line="107"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15"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to our business or financial condition. The results of any future litigation cannot be predicted with certainty, and regardless of the outcome, litigation can have an adverse impact on us because of defense and settlement costs, diversion of management resources, and other factors.</w:t>
      </w:r>
    </w:p>
    <w:p>
      <w:pPr>
        <w:spacing w:after="0" w:line="312"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7" w:lineRule="exact"/>
        <w:rPr>
          <w:sz w:val="20"/>
          <w:szCs w:val="20"/>
          <w:color w:val="auto"/>
        </w:rPr>
      </w:pPr>
    </w:p>
    <w:p>
      <w:pPr>
        <w:ind w:left="480" w:right="80" w:firstLine="411"/>
        <w:spacing w:after="0" w:line="236"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Form 10-Q, including “Management’s Discussion and Analysis of Financial Condition and Results of Operations” and our consolidated financial statements and the accompanying notes included elsewhere in this Form 10-Q and in our Final Prospectus before deciding whether to invest in shares of our common stock.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Risk Factors Summary</w:t>
      </w:r>
    </w:p>
    <w:p>
      <w:pPr>
        <w:spacing w:after="0" w:line="115" w:lineRule="exact"/>
        <w:rPr>
          <w:sz w:val="20"/>
          <w:szCs w:val="20"/>
          <w:color w:val="auto"/>
        </w:rPr>
      </w:pPr>
    </w:p>
    <w:p>
      <w:pPr>
        <w:ind w:left="480" w:right="40" w:firstLine="411"/>
        <w:spacing w:after="0"/>
        <w:rPr>
          <w:sz w:val="20"/>
          <w:szCs w:val="20"/>
          <w:color w:val="auto"/>
        </w:rPr>
      </w:pPr>
      <w:r>
        <w:rPr>
          <w:rFonts w:ascii="Arial" w:cs="Arial" w:eastAsia="Arial" w:hAnsi="Arial"/>
          <w:sz w:val="17"/>
          <w:szCs w:val="17"/>
          <w:color w:val="auto"/>
        </w:rPr>
        <w:t>Our business operations are subject to numerous risks and uncertainties, including those outside of our control, that could cause our actual results to be harmed, including risks regarding the following:</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Risks Related to Our Business and Industry</w:t>
      </w:r>
    </w:p>
    <w:p>
      <w:pPr>
        <w:spacing w:after="0" w:line="127" w:lineRule="exact"/>
        <w:rPr>
          <w:sz w:val="20"/>
          <w:szCs w:val="20"/>
          <w:color w:val="auto"/>
        </w:rPr>
      </w:pPr>
    </w:p>
    <w:p>
      <w:pPr>
        <w:ind w:left="1380" w:hanging="497"/>
        <w:spacing w:after="0"/>
        <w:tabs>
          <w:tab w:leader="none" w:pos="1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have a history of operating losses and may not achieve or sustain profitability in the future.</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have a short operating history at our current scale in a rapidly evolving industry.</w:t>
      </w:r>
    </w:p>
    <w:p>
      <w:pPr>
        <w:spacing w:after="0" w:line="107" w:lineRule="exact"/>
        <w:rPr>
          <w:rFonts w:ascii="Arial" w:cs="Arial" w:eastAsia="Arial" w:hAnsi="Arial"/>
          <w:sz w:val="17"/>
          <w:szCs w:val="17"/>
          <w:color w:val="auto"/>
        </w:rPr>
      </w:pPr>
    </w:p>
    <w:p>
      <w:pPr>
        <w:ind w:left="1380" w:right="40" w:hanging="497"/>
        <w:spacing w:after="0"/>
        <w:tabs>
          <w:tab w:leader="none" w:pos="1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unable to retain our current clients, attract new clients, and increase the number of our clients’ customers that use our solutions or sell additional functionality to our clients.</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adversely affected by the COVID-19 global pandemic and related responsive actions.</w:t>
      </w:r>
    </w:p>
    <w:p>
      <w:pPr>
        <w:spacing w:after="0" w:line="13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760"/>
          </w:cols>
          <w:pgMar w:left="320" w:top="464" w:right="81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1380" w:hanging="497"/>
        <w:spacing w:after="0"/>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expect our revenue mix to vary over time, which could affect our gross margin and results of operations.</w:t>
      </w:r>
    </w:p>
    <w:p>
      <w:pPr>
        <w:spacing w:after="0" w:line="107" w:lineRule="exact"/>
        <w:rPr>
          <w:rFonts w:ascii="Arial" w:cs="Arial" w:eastAsia="Arial" w:hAnsi="Arial"/>
          <w:sz w:val="17"/>
          <w:szCs w:val="17"/>
          <w:color w:val="auto"/>
        </w:rPr>
      </w:pPr>
    </w:p>
    <w:p>
      <w:pPr>
        <w:ind w:left="1380" w:right="480" w:hanging="497"/>
        <w:spacing w:after="0"/>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business could be adversely affected if our clients and their customers are not satisfied with the timing or quality of implementation services provided by us or our partners.</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financial and operating results are subject to seasonality and cyclicality.</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Certain of our key performance indicators are subject to inherent challenges in measurement.</w:t>
      </w:r>
    </w:p>
    <w:p>
      <w:pPr>
        <w:spacing w:after="0" w:line="107" w:lineRule="exact"/>
        <w:rPr>
          <w:rFonts w:ascii="Arial" w:cs="Arial" w:eastAsia="Arial" w:hAnsi="Arial"/>
          <w:sz w:val="17"/>
          <w:szCs w:val="17"/>
          <w:color w:val="auto"/>
        </w:rPr>
      </w:pPr>
    </w:p>
    <w:p>
      <w:pPr>
        <w:ind w:left="1380" w:right="640" w:hanging="497"/>
        <w:spacing w:after="0"/>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unable to expand our direct and channel sales capabilities, grow our marketing reach and increase sales productivity.</w:t>
      </w:r>
    </w:p>
    <w:p>
      <w:pPr>
        <w:spacing w:after="0" w:line="100" w:lineRule="exact"/>
        <w:rPr>
          <w:rFonts w:ascii="Arial" w:cs="Arial" w:eastAsia="Arial" w:hAnsi="Arial"/>
          <w:sz w:val="17"/>
          <w:szCs w:val="17"/>
          <w:color w:val="auto"/>
        </w:rPr>
      </w:pPr>
    </w:p>
    <w:p>
      <w:pPr>
        <w:ind w:left="1380" w:right="520" w:hanging="497"/>
        <w:spacing w:after="0"/>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business depends, in large part, on our proprietary network of global, regional, and local banking partners and our relationships with other third parties.</w:t>
      </w:r>
    </w:p>
    <w:p>
      <w:pPr>
        <w:spacing w:after="0" w:line="100" w:lineRule="exact"/>
        <w:rPr>
          <w:rFonts w:ascii="Arial" w:cs="Arial" w:eastAsia="Arial" w:hAnsi="Arial"/>
          <w:sz w:val="17"/>
          <w:szCs w:val="17"/>
          <w:color w:val="auto"/>
        </w:rPr>
      </w:pPr>
    </w:p>
    <w:p>
      <w:pPr>
        <w:ind w:left="1380" w:right="220" w:hanging="497"/>
        <w:spacing w:after="0"/>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estimates of market opportunity and our ability to capture a meaningful share of this payment volume may prove to be inaccurate.</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education business may be adversely affected by decreases in enrollment or tuition, or increased operating expenses for our clients.</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healthcare industry is rapidly evolving.</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travel business may be sensitive to events affecting the travel industry in general.</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unable to enter or expand into new verticals, including our relatively new B2B vertical.</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There could be consolidation in the payment processing or enablement industry.</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Risks Related to Our Operations</w:t>
      </w:r>
    </w:p>
    <w:p>
      <w:pPr>
        <w:spacing w:after="0" w:line="127" w:lineRule="exact"/>
        <w:rPr>
          <w:sz w:val="20"/>
          <w:szCs w:val="20"/>
          <w:color w:val="auto"/>
        </w:rPr>
      </w:pPr>
    </w:p>
    <w:p>
      <w:pPr>
        <w:ind w:left="1380" w:hanging="497"/>
        <w:spacing w:after="0"/>
        <w:tabs>
          <w:tab w:leader="none" w:pos="1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not be able to scale our business quickly enough to meet our growing client base.</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enable the transfer of large sums of funds to our clients daily, and are subject to the risk of errors.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unable to maintain or expand our ability to offer a variety of local and international payments.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Improper or unauthorized use of, disclosure of, or access to personal or sensitive data could harm our reputation.</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are exposed to fluctuations in foreign currency exchange rates.</w:t>
      </w:r>
    </w:p>
    <w:p>
      <w:pPr>
        <w:spacing w:after="0" w:line="107" w:lineRule="exact"/>
        <w:rPr>
          <w:rFonts w:ascii="Arial" w:cs="Arial" w:eastAsia="Arial" w:hAnsi="Arial"/>
          <w:sz w:val="17"/>
          <w:szCs w:val="17"/>
          <w:color w:val="auto"/>
        </w:rPr>
      </w:pPr>
    </w:p>
    <w:p>
      <w:pPr>
        <w:ind w:left="1380" w:right="780" w:hanging="497"/>
        <w:spacing w:after="0"/>
        <w:tabs>
          <w:tab w:leader="none" w:pos="1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fail to adapt and respond effectively to rapidly changing technology, evolving industry standards, changing regulations, and changing business needs, requirements, or preferences.</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to payment card networks fees or rules could harm our business.</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Risks Related to Our Legal, Regulatory and Compliance Landscape</w:t>
      </w:r>
    </w:p>
    <w:p>
      <w:pPr>
        <w:spacing w:after="0" w:line="127" w:lineRule="exact"/>
        <w:rPr>
          <w:sz w:val="20"/>
          <w:szCs w:val="20"/>
          <w:color w:val="auto"/>
        </w:rPr>
      </w:pPr>
    </w:p>
    <w:p>
      <w:pPr>
        <w:ind w:left="1380" w:hanging="497"/>
        <w:spacing w:after="0"/>
        <w:tabs>
          <w:tab w:leader="none" w:pos="1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Payments and other financial services-related regulations and oversight are material to our business.</w:t>
      </w:r>
    </w:p>
    <w:p>
      <w:pPr>
        <w:spacing w:after="0" w:line="107" w:lineRule="exact"/>
        <w:rPr>
          <w:rFonts w:ascii="Arial" w:cs="Arial" w:eastAsia="Arial" w:hAnsi="Arial"/>
          <w:sz w:val="17"/>
          <w:szCs w:val="17"/>
          <w:color w:val="auto"/>
        </w:rPr>
      </w:pPr>
    </w:p>
    <w:p>
      <w:pPr>
        <w:ind w:left="1380" w:right="20" w:hanging="497"/>
        <w:spacing w:after="0"/>
        <w:tabs>
          <w:tab w:leader="none" w:pos="1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are subject to governmental laws and requirements regarding economic and trade sanctions, anti-money laundering, and counter-terror financing.</w:t>
      </w:r>
    </w:p>
    <w:p>
      <w:pPr>
        <w:spacing w:after="0" w:line="100" w:lineRule="exact"/>
        <w:rPr>
          <w:rFonts w:ascii="Arial" w:cs="Arial" w:eastAsia="Arial" w:hAnsi="Arial"/>
          <w:sz w:val="17"/>
          <w:szCs w:val="17"/>
          <w:color w:val="auto"/>
        </w:rPr>
      </w:pPr>
    </w:p>
    <w:p>
      <w:pPr>
        <w:ind w:left="1380" w:right="200" w:hanging="497"/>
        <w:spacing w:after="0"/>
        <w:tabs>
          <w:tab w:leader="none" w:pos="1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are subject to governmental regulation and other legal obligations, particularly those related to privacy, data protection, information security, anti-corruption, anti-bribery, and similar laws.</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Risks Related to Being a Public Company</w:t>
      </w:r>
    </w:p>
    <w:p>
      <w:pPr>
        <w:spacing w:after="0" w:line="127" w:lineRule="exact"/>
        <w:rPr>
          <w:sz w:val="20"/>
          <w:szCs w:val="20"/>
          <w:color w:val="auto"/>
        </w:rPr>
      </w:pPr>
    </w:p>
    <w:p>
      <w:pPr>
        <w:ind w:left="1380" w:hanging="497"/>
        <w:spacing w:after="0"/>
        <w:tabs>
          <w:tab w:leader="none" w:pos="1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fail to develop and maintain proper effective controls over financial reporting.</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Estimates relating to our critical accounting policies may prove to be incorrect.</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will incur increased costs as a public company.</w:t>
      </w:r>
    </w:p>
    <w:p>
      <w:pPr>
        <w:spacing w:after="0" w:line="13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680"/>
          </w:cols>
          <w:pgMar w:left="320" w:top="464" w:right="89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Risks Related to Ownership of Our Common Stock</w:t>
      </w:r>
    </w:p>
    <w:p>
      <w:pPr>
        <w:spacing w:after="0" w:line="127" w:lineRule="exact"/>
        <w:rPr>
          <w:sz w:val="20"/>
          <w:szCs w:val="20"/>
          <w:color w:val="auto"/>
        </w:rPr>
      </w:pPr>
    </w:p>
    <w:p>
      <w:pPr>
        <w:ind w:left="1380" w:right="280" w:hanging="497"/>
        <w:spacing w:after="0"/>
        <w:tabs>
          <w:tab w:leader="none" w:pos="1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Raising additional capital may cause dilution to our existing stockholders, restrict our operations, or require us to relinquish rights to our intellectual property on unfavorable terms.</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Securities and industry analysts may not publish or publish inaccurate or unfavorable research about our business.</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9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We have a history of operating losses and may not achieve or sustain profitability in the future.</w:t>
      </w:r>
    </w:p>
    <w:p>
      <w:pPr>
        <w:spacing w:after="0" w:line="10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were incorporated in 2009 and have experienced net losses from our operations since inception. We generated net losses of</w:t>
      </w:r>
    </w:p>
    <w:p>
      <w:pPr>
        <w:ind w:left="480"/>
        <w:spacing w:after="0"/>
        <w:rPr>
          <w:sz w:val="20"/>
          <w:szCs w:val="20"/>
          <w:color w:val="auto"/>
        </w:rPr>
      </w:pPr>
      <w:r>
        <w:rPr>
          <w:rFonts w:ascii="Arial" w:cs="Arial" w:eastAsia="Arial" w:hAnsi="Arial"/>
          <w:sz w:val="16"/>
          <w:szCs w:val="16"/>
          <w:color w:val="auto"/>
        </w:rPr>
        <w:t>$20.1 million and $11.1 million for 2019 and 2020, respectively, and $26.8 million during the six months ended June 30, 2021. In addition,</w:t>
      </w:r>
    </w:p>
    <w:p>
      <w:pPr>
        <w:ind w:left="480"/>
        <w:spacing w:after="0" w:line="238" w:lineRule="auto"/>
        <w:rPr>
          <w:sz w:val="20"/>
          <w:szCs w:val="20"/>
          <w:color w:val="auto"/>
        </w:rPr>
      </w:pPr>
      <w:r>
        <w:rPr>
          <w:rFonts w:ascii="Arial" w:cs="Arial" w:eastAsia="Arial" w:hAnsi="Arial"/>
          <w:sz w:val="17"/>
          <w:szCs w:val="17"/>
          <w:color w:val="auto"/>
        </w:rPr>
        <w:t>as of June 30, 2021, we had an accumulated deficit of $124.6 million. We have experienced significant revenue growth in recent periods</w:t>
      </w:r>
    </w:p>
    <w:p>
      <w:pPr>
        <w:ind w:left="480"/>
        <w:spacing w:after="0" w:line="232" w:lineRule="auto"/>
        <w:rPr>
          <w:sz w:val="20"/>
          <w:szCs w:val="20"/>
          <w:color w:val="auto"/>
        </w:rPr>
      </w:pPr>
      <w:r>
        <w:rPr>
          <w:rFonts w:ascii="Arial" w:cs="Arial" w:eastAsia="Arial" w:hAnsi="Arial"/>
          <w:sz w:val="17"/>
          <w:szCs w:val="17"/>
          <w:color w:val="auto"/>
        </w:rPr>
        <w:t>and we are not certain whether or when we will obtain a high enough volume of revenue to sustain or increase our growth or achieve or</w:t>
      </w:r>
    </w:p>
    <w:p>
      <w:pPr>
        <w:ind w:left="480"/>
        <w:spacing w:after="0" w:line="232" w:lineRule="auto"/>
        <w:rPr>
          <w:sz w:val="20"/>
          <w:szCs w:val="20"/>
          <w:color w:val="auto"/>
        </w:rPr>
      </w:pPr>
      <w:r>
        <w:rPr>
          <w:rFonts w:ascii="Arial" w:cs="Arial" w:eastAsia="Arial" w:hAnsi="Arial"/>
          <w:sz w:val="17"/>
          <w:szCs w:val="17"/>
          <w:color w:val="auto"/>
        </w:rPr>
        <w:t>maintain profitability in the future. We also expect our costs and expenses to increase in future periods, which could negatively affect our</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future operating results if our revenue does not increase. In particular, we intend to continue to expend significant funds to further develop</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solutions, including introducing new functionality, and to expand our marketing programs and sales teams to drive new client adoption,</w:t>
      </w:r>
    </w:p>
    <w:p>
      <w:pPr>
        <w:ind w:left="480"/>
        <w:spacing w:after="0" w:line="238" w:lineRule="auto"/>
        <w:rPr>
          <w:sz w:val="20"/>
          <w:szCs w:val="20"/>
          <w:color w:val="auto"/>
        </w:rPr>
      </w:pPr>
      <w:r>
        <w:rPr>
          <w:rFonts w:ascii="Arial" w:cs="Arial" w:eastAsia="Arial" w:hAnsi="Arial"/>
          <w:sz w:val="17"/>
          <w:szCs w:val="17"/>
          <w:color w:val="auto"/>
        </w:rPr>
        <w:t>expand strategic partner integrations, and support international and industry expansion. Our operating results are also impacted by the</w:t>
      </w:r>
    </w:p>
    <w:p>
      <w:pPr>
        <w:ind w:left="480"/>
        <w:spacing w:after="0" w:line="232" w:lineRule="auto"/>
        <w:rPr>
          <w:sz w:val="20"/>
          <w:szCs w:val="20"/>
          <w:color w:val="auto"/>
        </w:rPr>
      </w:pPr>
      <w:r>
        <w:rPr>
          <w:rFonts w:ascii="Arial" w:cs="Arial" w:eastAsia="Arial" w:hAnsi="Arial"/>
          <w:sz w:val="17"/>
          <w:szCs w:val="17"/>
          <w:color w:val="auto"/>
        </w:rPr>
        <w:t>mix of our revenue generated from our different revenue sources, which include transaction revenue and platform and usage-based fee</w:t>
      </w:r>
    </w:p>
    <w:p>
      <w:pPr>
        <w:ind w:left="480"/>
        <w:spacing w:after="0" w:line="232" w:lineRule="auto"/>
        <w:rPr>
          <w:sz w:val="20"/>
          <w:szCs w:val="20"/>
          <w:color w:val="auto"/>
        </w:rPr>
      </w:pPr>
      <w:r>
        <w:rPr>
          <w:rFonts w:ascii="Arial" w:cs="Arial" w:eastAsia="Arial" w:hAnsi="Arial"/>
          <w:sz w:val="17"/>
          <w:szCs w:val="17"/>
          <w:color w:val="auto"/>
        </w:rPr>
        <w:t>revenue. Changes in our revenue mix from quarter to quarter, including those derived from cross-border or domestic currency</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transactions, will impact our margins, and we may not be able to grow our revenue margin adequately to achieve or sustain profitability. In</w:t>
      </w:r>
    </w:p>
    <w:p>
      <w:pPr>
        <w:ind w:left="480"/>
        <w:spacing w:after="0" w:line="238" w:lineRule="auto"/>
        <w:rPr>
          <w:sz w:val="20"/>
          <w:szCs w:val="20"/>
          <w:color w:val="auto"/>
        </w:rPr>
      </w:pPr>
      <w:r>
        <w:rPr>
          <w:rFonts w:ascii="Arial" w:cs="Arial" w:eastAsia="Arial" w:hAnsi="Arial"/>
          <w:sz w:val="17"/>
          <w:szCs w:val="17"/>
          <w:color w:val="auto"/>
        </w:rPr>
        <w:t>addition, the mix of payment methods utilized by our clients’ customers may have an impact on our margins given that our costs</w:t>
      </w:r>
    </w:p>
    <w:p>
      <w:pPr>
        <w:ind w:left="480"/>
        <w:spacing w:after="0" w:line="232" w:lineRule="auto"/>
        <w:rPr>
          <w:sz w:val="20"/>
          <w:szCs w:val="20"/>
          <w:color w:val="auto"/>
        </w:rPr>
      </w:pPr>
      <w:r>
        <w:rPr>
          <w:rFonts w:ascii="Arial" w:cs="Arial" w:eastAsia="Arial" w:hAnsi="Arial"/>
          <w:sz w:val="17"/>
          <w:szCs w:val="17"/>
          <w:color w:val="auto"/>
        </w:rPr>
        <w:t>associated with certain payment methods, such as credit cards, are higher than other payment methods accepted by our solutions, such</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bank transfers. We will also face increased compliance and security costs associated with growth, the expansion of our client base, and</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being a public company. Our efforts to grow our business may be costlier than we expect, and we may not be able to increase our revenue</w:t>
      </w:r>
    </w:p>
    <w:p>
      <w:pPr>
        <w:ind w:left="480"/>
        <w:spacing w:after="0" w:line="238" w:lineRule="auto"/>
        <w:rPr>
          <w:sz w:val="20"/>
          <w:szCs w:val="20"/>
          <w:color w:val="auto"/>
        </w:rPr>
      </w:pPr>
      <w:r>
        <w:rPr>
          <w:rFonts w:ascii="Arial" w:cs="Arial" w:eastAsia="Arial" w:hAnsi="Arial"/>
          <w:sz w:val="17"/>
          <w:szCs w:val="17"/>
          <w:color w:val="auto"/>
        </w:rPr>
        <w:t>enough to offset our increased operating expenses. We may incur significant losses in the future for several reasons, including the other</w:t>
      </w:r>
    </w:p>
    <w:p>
      <w:pPr>
        <w:ind w:left="480"/>
        <w:spacing w:after="0" w:line="232" w:lineRule="auto"/>
        <w:rPr>
          <w:sz w:val="20"/>
          <w:szCs w:val="20"/>
          <w:color w:val="auto"/>
        </w:rPr>
      </w:pPr>
      <w:r>
        <w:rPr>
          <w:rFonts w:ascii="Arial" w:cs="Arial" w:eastAsia="Arial" w:hAnsi="Arial"/>
          <w:sz w:val="17"/>
          <w:szCs w:val="17"/>
          <w:color w:val="auto"/>
        </w:rPr>
        <w:t>risks described herein, and unforeseen expenses, difficulties, complications, delays, and other unknown events. If we are unable to</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achieve and sustain profitability, the value of our business and common stock may significantly decrease.</w:t>
      </w:r>
    </w:p>
    <w:p>
      <w:pPr>
        <w:spacing w:after="0" w:line="195" w:lineRule="exact"/>
        <w:rPr>
          <w:sz w:val="20"/>
          <w:szCs w:val="20"/>
          <w:color w:val="auto"/>
        </w:rPr>
      </w:pPr>
    </w:p>
    <w:p>
      <w:pPr>
        <w:ind w:left="480" w:right="140" w:firstLine="411"/>
        <w:spacing w:after="0" w:line="236" w:lineRule="auto"/>
        <w:rPr>
          <w:sz w:val="20"/>
          <w:szCs w:val="20"/>
          <w:color w:val="auto"/>
        </w:rPr>
      </w:pPr>
      <w:r>
        <w:rPr>
          <w:rFonts w:ascii="Arial" w:cs="Arial" w:eastAsia="Arial" w:hAnsi="Arial"/>
          <w:sz w:val="17"/>
          <w:szCs w:val="17"/>
          <w:color w:val="auto"/>
        </w:rPr>
        <w:t>If the assumptions we use to plan our business are incorrect or change in reaction to changes in our markets, or if we are unable to maintain consistent revenue or revenue growth, it may be difficult to achieve and maintain profitability. Our revenue from any prior quarterly or annual periods should not be relied upon as an indication of our future revenue or revenue growth or growth in its volume of payments processed.</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In addition, we expect to continue to expend substantial management time, financial and other resources on:</w:t>
      </w:r>
    </w:p>
    <w:p>
      <w:pPr>
        <w:spacing w:after="0" w:line="107" w:lineRule="exact"/>
        <w:rPr>
          <w:sz w:val="20"/>
          <w:szCs w:val="20"/>
          <w:color w:val="auto"/>
        </w:rPr>
      </w:pPr>
    </w:p>
    <w:p>
      <w:pPr>
        <w:ind w:left="1380" w:right="380" w:hanging="497"/>
        <w:spacing w:after="0"/>
        <w:tabs>
          <w:tab w:leader="none" w:pos="1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sales, marketing, relationship management and client support, including an expansion of our sales organization, and new client support and payer retention initiatives;</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technology infrastructure, including systems architecture, scalability, availability, performance, and security;</w:t>
      </w:r>
    </w:p>
    <w:p>
      <w:pPr>
        <w:spacing w:after="0" w:line="107" w:lineRule="exact"/>
        <w:rPr>
          <w:rFonts w:ascii="Arial" w:cs="Arial" w:eastAsia="Arial" w:hAnsi="Arial"/>
          <w:sz w:val="17"/>
          <w:szCs w:val="17"/>
          <w:color w:val="auto"/>
        </w:rPr>
      </w:pPr>
    </w:p>
    <w:p>
      <w:pPr>
        <w:ind w:left="1380" w:right="640" w:hanging="497"/>
        <w:spacing w:after="0"/>
        <w:tabs>
          <w:tab w:leader="none" w:pos="1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technology development, including investments in our technology development team and the development of new solutions and new functionality;</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expanding into more international markets;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attracting new clients and increasing the number of our clients’ customers that use our solutions;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acquisitions or strategic investments;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regulatory compliance and risk management; and</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general administration, including increased legal and accounting expenses associated with being a public company.</w:t>
      </w:r>
    </w:p>
    <w:p>
      <w:pPr>
        <w:spacing w:after="0" w:line="195" w:lineRule="exact"/>
        <w:rPr>
          <w:sz w:val="20"/>
          <w:szCs w:val="20"/>
          <w:color w:val="auto"/>
        </w:rPr>
      </w:pPr>
    </w:p>
    <w:p>
      <w:pPr>
        <w:jc w:val="both"/>
        <w:ind w:left="480" w:right="260" w:firstLine="411"/>
        <w:spacing w:after="0" w:line="237" w:lineRule="auto"/>
        <w:rPr>
          <w:sz w:val="20"/>
          <w:szCs w:val="20"/>
          <w:color w:val="auto"/>
        </w:rPr>
      </w:pPr>
      <w:r>
        <w:rPr>
          <w:rFonts w:ascii="Arial" w:cs="Arial" w:eastAsia="Arial" w:hAnsi="Arial"/>
          <w:sz w:val="17"/>
          <w:szCs w:val="17"/>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2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760"/>
          </w:cols>
          <w:pgMar w:left="320" w:top="464" w:right="81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right="20"/>
        <w:spacing w:after="0" w:line="264" w:lineRule="auto"/>
        <w:rPr>
          <w:sz w:val="20"/>
          <w:szCs w:val="20"/>
          <w:color w:val="auto"/>
        </w:rPr>
      </w:pPr>
      <w:r>
        <w:rPr>
          <w:rFonts w:ascii="Arial" w:cs="Arial" w:eastAsia="Arial" w:hAnsi="Arial"/>
          <w:sz w:val="17"/>
          <w:szCs w:val="17"/>
          <w:b w:val="1"/>
          <w:bCs w:val="1"/>
          <w:i w:val="1"/>
          <w:iCs w:val="1"/>
          <w:color w:val="auto"/>
        </w:rPr>
        <w:t>We have a short operating history at our current scale in a rapidly evolving industry and, as a result, our past results may not be indicative of future operating performance.</w:t>
      </w:r>
    </w:p>
    <w:p>
      <w:pPr>
        <w:spacing w:after="0" w:line="69" w:lineRule="exact"/>
        <w:rPr>
          <w:sz w:val="20"/>
          <w:szCs w:val="20"/>
          <w:color w:val="auto"/>
        </w:rPr>
      </w:pPr>
    </w:p>
    <w:p>
      <w:pPr>
        <w:ind w:left="480" w:right="120" w:firstLine="411"/>
        <w:spacing w:after="0" w:line="237" w:lineRule="auto"/>
        <w:rPr>
          <w:sz w:val="20"/>
          <w:szCs w:val="20"/>
          <w:color w:val="auto"/>
        </w:rPr>
      </w:pPr>
      <w:r>
        <w:rPr>
          <w:rFonts w:ascii="Arial" w:cs="Arial" w:eastAsia="Arial" w:hAnsi="Arial"/>
          <w:sz w:val="17"/>
          <w:szCs w:val="17"/>
          <w:color w:val="auto"/>
        </w:rPr>
        <w:t>We have a short history operating at our current scale in a rapidly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Our future success will depend in large part upon our ability to, among other things:</w:t>
      </w:r>
    </w:p>
    <w:p>
      <w:pPr>
        <w:spacing w:after="0" w:line="107" w:lineRule="exact"/>
        <w:rPr>
          <w:sz w:val="20"/>
          <w:szCs w:val="20"/>
          <w:color w:val="auto"/>
        </w:rPr>
      </w:pPr>
    </w:p>
    <w:p>
      <w:pPr>
        <w:ind w:left="138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cost-effectively acquire new clients and retain existing clients;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withstand the impacts of the COVID-19 pandemic;</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 our market share;</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avoid pricing pressure on our solutions which would compress our margins;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effectively market our solutions;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enhance our existing solutions and develop new solutions;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 awareness of our brand and maintain our reputation;</w:t>
      </w:r>
    </w:p>
    <w:p>
      <w:pPr>
        <w:spacing w:after="0" w:line="107" w:lineRule="exact"/>
        <w:rPr>
          <w:rFonts w:ascii="Arial" w:cs="Arial" w:eastAsia="Arial" w:hAnsi="Arial"/>
          <w:sz w:val="17"/>
          <w:szCs w:val="17"/>
          <w:color w:val="auto"/>
        </w:rPr>
      </w:pPr>
    </w:p>
    <w:p>
      <w:pPr>
        <w:ind w:left="1380" w:right="2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offer seamless experience for our clients and their customers, including all user facing attributes ranging from the user interface to client and customer support;</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anticipate and respond to macroeconomic changes;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expand our solutions and geographic reach, including with respect to B2B and travel payments;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anticipate and effectively respond to changing trends and the preferences of clients and their customers;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compete effectively;</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avoid interruptions in our business from information technology downtime, cybersecurity breaches, or labor stoppages;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effectively manage our growth;</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hire, integrate, and retain talented people at all levels of our organization;</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maintain the quality of our technology infrastructure;</w:t>
      </w:r>
    </w:p>
    <w:p>
      <w:pPr>
        <w:spacing w:after="0" w:line="107" w:lineRule="exact"/>
        <w:rPr>
          <w:rFonts w:ascii="Arial" w:cs="Arial" w:eastAsia="Arial" w:hAnsi="Arial"/>
          <w:sz w:val="17"/>
          <w:szCs w:val="17"/>
          <w:color w:val="auto"/>
        </w:rPr>
      </w:pPr>
    </w:p>
    <w:p>
      <w:pPr>
        <w:ind w:left="1380" w:right="2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retain our existing proprietary global network of banking and other payment partners and add new banking and other payment partners to scale our business; and</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retain our existing technology partners that allow us to provide alternative payment methods and add new technology partners to scale our business.</w:t>
      </w:r>
    </w:p>
    <w:p>
      <w:pPr>
        <w:spacing w:after="0" w:line="189" w:lineRule="exact"/>
        <w:rPr>
          <w:sz w:val="20"/>
          <w:szCs w:val="20"/>
          <w:color w:val="auto"/>
        </w:rPr>
      </w:pPr>
    </w:p>
    <w:p>
      <w:pPr>
        <w:ind w:left="480" w:right="400" w:firstLine="411"/>
        <w:spacing w:after="0"/>
        <w:rPr>
          <w:sz w:val="20"/>
          <w:szCs w:val="20"/>
          <w:color w:val="auto"/>
        </w:rPr>
      </w:pPr>
      <w:r>
        <w:rPr>
          <w:rFonts w:ascii="Arial" w:cs="Arial" w:eastAsia="Arial" w:hAnsi="Arial"/>
          <w:sz w:val="17"/>
          <w:szCs w:val="17"/>
          <w:color w:val="auto"/>
        </w:rPr>
        <w:t>If we fail to address the risks and difficulties that we face, including those associated with the challenges listed above as well as those described elsewhere in this “Risk Factors” section, our business and operating results will be adversely affected.</w:t>
      </w:r>
    </w:p>
    <w:p>
      <w:pPr>
        <w:spacing w:after="0" w:line="270" w:lineRule="exact"/>
        <w:rPr>
          <w:sz w:val="20"/>
          <w:szCs w:val="20"/>
          <w:color w:val="auto"/>
        </w:rPr>
      </w:pPr>
    </w:p>
    <w:p>
      <w:pPr>
        <w:ind w:left="480" w:right="120"/>
        <w:spacing w:after="0" w:line="296" w:lineRule="auto"/>
        <w:rPr>
          <w:sz w:val="20"/>
          <w:szCs w:val="20"/>
          <w:color w:val="auto"/>
        </w:rPr>
      </w:pPr>
      <w:r>
        <w:rPr>
          <w:rFonts w:ascii="Arial" w:cs="Arial" w:eastAsia="Arial" w:hAnsi="Arial"/>
          <w:sz w:val="16"/>
          <w:szCs w:val="16"/>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45" w:lineRule="exact"/>
        <w:rPr>
          <w:sz w:val="20"/>
          <w:szCs w:val="20"/>
          <w:color w:val="auto"/>
        </w:rPr>
      </w:pPr>
    </w:p>
    <w:p>
      <w:pPr>
        <w:ind w:left="480" w:right="60" w:firstLine="411"/>
        <w:spacing w:after="0" w:line="234" w:lineRule="auto"/>
        <w:rPr>
          <w:sz w:val="20"/>
          <w:szCs w:val="20"/>
          <w:color w:val="auto"/>
        </w:rPr>
      </w:pPr>
      <w:r>
        <w:rPr>
          <w:rFonts w:ascii="Arial" w:cs="Arial" w:eastAsia="Arial" w:hAnsi="Arial"/>
          <w:sz w:val="17"/>
          <w:szCs w:val="17"/>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renewal of existing clients’ contracts and sales of additional features and solutions to existing clients. As our market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margins, and other operating results, and accordingly, on the trading price of our common stock.</w:t>
      </w:r>
    </w:p>
    <w:p>
      <w:pPr>
        <w:spacing w:after="0" w:line="12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740"/>
          </w:cols>
          <w:pgMar w:left="320" w:top="464" w:right="8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As the market for our solutions mature,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margins. In particular, it has become more common in the education sector for competitors to offer very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profitability.</w:t>
      </w:r>
    </w:p>
    <w:p>
      <w:pPr>
        <w:spacing w:after="0" w:line="196" w:lineRule="exact"/>
        <w:rPr>
          <w:sz w:val="20"/>
          <w:szCs w:val="20"/>
          <w:color w:val="auto"/>
        </w:rPr>
      </w:pPr>
    </w:p>
    <w:p>
      <w:pPr>
        <w:ind w:left="480" w:right="100" w:firstLine="411"/>
        <w:spacing w:after="0" w:line="235" w:lineRule="auto"/>
        <w:rPr>
          <w:sz w:val="20"/>
          <w:szCs w:val="20"/>
          <w:color w:val="auto"/>
        </w:rPr>
      </w:pPr>
      <w:r>
        <w:rPr>
          <w:rFonts w:ascii="Arial" w:cs="Arial" w:eastAsia="Arial" w:hAnsi="Arial"/>
          <w:sz w:val="17"/>
          <w:szCs w:val="17"/>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the solution, and the pricing of additional functionality. If our efforts to sell additional functionality to our clients are not successful, our business and growth prospects would suffer.</w:t>
      </w:r>
    </w:p>
    <w:p>
      <w:pPr>
        <w:spacing w:after="0" w:line="190" w:lineRule="exact"/>
        <w:rPr>
          <w:sz w:val="20"/>
          <w:szCs w:val="20"/>
          <w:color w:val="auto"/>
        </w:rPr>
      </w:pPr>
    </w:p>
    <w:p>
      <w:pPr>
        <w:ind w:left="480" w:right="120" w:firstLine="411"/>
        <w:spacing w:after="0" w:line="234" w:lineRule="auto"/>
        <w:rPr>
          <w:sz w:val="20"/>
          <w:szCs w:val="20"/>
          <w:color w:val="auto"/>
        </w:rPr>
      </w:pPr>
      <w:r>
        <w:rPr>
          <w:rFonts w:ascii="Arial" w:cs="Arial" w:eastAsia="Arial" w:hAnsi="Arial"/>
          <w:sz w:val="17"/>
          <w:szCs w:val="17"/>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Should any of our clients terminate their relationship with us after implementation has begun, we would not only lose our time, effort and resources invested in that implementation, but we would also have lost the opportunity to leverage those resources to build a relationship with other clients over that same period of time.</w:t>
      </w:r>
    </w:p>
    <w:p>
      <w:pPr>
        <w:spacing w:after="0" w:line="272" w:lineRule="exact"/>
        <w:rPr>
          <w:sz w:val="20"/>
          <w:szCs w:val="20"/>
          <w:color w:val="auto"/>
        </w:rPr>
      </w:pPr>
    </w:p>
    <w:p>
      <w:pPr>
        <w:ind w:left="480" w:right="400"/>
        <w:spacing w:after="0" w:line="248" w:lineRule="auto"/>
        <w:rPr>
          <w:sz w:val="20"/>
          <w:szCs w:val="20"/>
          <w:color w:val="auto"/>
        </w:rPr>
      </w:pPr>
      <w:r>
        <w:rPr>
          <w:rFonts w:ascii="Arial" w:cs="Arial" w:eastAsia="Arial" w:hAnsi="Arial"/>
          <w:sz w:val="17"/>
          <w:szCs w:val="17"/>
          <w:b w:val="1"/>
          <w:bCs w:val="1"/>
          <w:i w:val="1"/>
          <w:iCs w:val="1"/>
          <w:color w:val="auto"/>
        </w:rPr>
        <w:t>The COVID-19 global pandemic and related government, private sector and individual consumer responsive actions may adversely impact our employees, strategic partners, and clients, which could adversely and materially impact our business, financial condition and results of operations.</w:t>
      </w:r>
    </w:p>
    <w:p>
      <w:pPr>
        <w:spacing w:after="0" w:line="82" w:lineRule="exact"/>
        <w:rPr>
          <w:sz w:val="20"/>
          <w:szCs w:val="20"/>
          <w:color w:val="auto"/>
        </w:rPr>
      </w:pPr>
    </w:p>
    <w:p>
      <w:pPr>
        <w:ind w:left="480" w:right="60" w:firstLine="411"/>
        <w:spacing w:after="0" w:line="236" w:lineRule="auto"/>
        <w:rPr>
          <w:sz w:val="20"/>
          <w:szCs w:val="20"/>
          <w:color w:val="auto"/>
        </w:rPr>
      </w:pPr>
      <w:r>
        <w:rPr>
          <w:rFonts w:ascii="Arial" w:cs="Arial" w:eastAsia="Arial" w:hAnsi="Arial"/>
          <w:sz w:val="17"/>
          <w:szCs w:val="17"/>
          <w:color w:val="auto"/>
        </w:rPr>
        <w:t>The global impacts of the COVID-19 outbreak and related government actions taken to reduce the spread of the virus, including the variants of the virus, have significantly increased economic uncertainty and reduced economic activity. The outbreak has resulted in authorities implementing numerous measures to try to contain the virus, such as travel bans and restrictions, quarantines, shelter-in-place or total lock-down orders and business limitations and shutdowns that began in the second quarter of fiscal year 2020.</w:t>
      </w:r>
    </w:p>
    <w:p>
      <w:pPr>
        <w:spacing w:after="0" w:line="189" w:lineRule="exact"/>
        <w:rPr>
          <w:sz w:val="20"/>
          <w:szCs w:val="20"/>
          <w:color w:val="auto"/>
        </w:rPr>
      </w:pPr>
    </w:p>
    <w:p>
      <w:pPr>
        <w:ind w:left="480" w:right="140" w:firstLine="411"/>
        <w:spacing w:after="0" w:line="235" w:lineRule="auto"/>
        <w:rPr>
          <w:sz w:val="20"/>
          <w:szCs w:val="20"/>
          <w:color w:val="auto"/>
        </w:rPr>
      </w:pPr>
      <w:r>
        <w:rPr>
          <w:rFonts w:ascii="Arial" w:cs="Arial" w:eastAsia="Arial" w:hAnsi="Arial"/>
          <w:sz w:val="17"/>
          <w:szCs w:val="17"/>
          <w:color w:val="auto"/>
        </w:rPr>
        <w:t>In addition, the spread of COVID-19 has caused us to modify our business practices, including restricting employee travel, implementing office closures, having our employees, who we call FlyMates, work remotely and cancelling physical participation in meetings, events and conferences. We may take further actions as may be required by government authorities or as we determine are in the best interests of our FlyMates, clients and business partners. This has caused us to make modifications to some of our planned activities and has impacted some of our business development and marketing initiatives.</w:t>
      </w:r>
    </w:p>
    <w:p>
      <w:pPr>
        <w:spacing w:after="0" w:line="190" w:lineRule="exact"/>
        <w:rPr>
          <w:sz w:val="20"/>
          <w:szCs w:val="20"/>
          <w:color w:val="auto"/>
        </w:rPr>
      </w:pPr>
    </w:p>
    <w:p>
      <w:pPr>
        <w:ind w:left="480" w:right="140" w:firstLine="411"/>
        <w:spacing w:after="0" w:line="235" w:lineRule="auto"/>
        <w:rPr>
          <w:sz w:val="20"/>
          <w:szCs w:val="20"/>
          <w:color w:val="auto"/>
        </w:rPr>
      </w:pPr>
      <w:r>
        <w:rPr>
          <w:rFonts w:ascii="Arial" w:cs="Arial" w:eastAsia="Arial" w:hAnsi="Arial"/>
          <w:sz w:val="17"/>
          <w:szCs w:val="17"/>
          <w:color w:val="auto"/>
        </w:rPr>
        <w:t>In 2020, we experienced periods of reduced payment volume in some of the industries we serve, including travel and education. Cross-border payment volume continues to be heavily impacted by the decline in travel as a result of the COVID-19 pandemic. International cross-border transaction revenue represent a significant part of our revenue; international regulations and restrictions that inhibit cross-border travel and relocation of international students have had and may continue to have a material impact on our business. In addition, we may experience financial losses due to a number of operational factors, including:</w:t>
      </w:r>
    </w:p>
    <w:p>
      <w:pPr>
        <w:spacing w:after="0" w:line="102" w:lineRule="exact"/>
        <w:rPr>
          <w:sz w:val="20"/>
          <w:szCs w:val="20"/>
          <w:color w:val="auto"/>
        </w:rPr>
      </w:pPr>
    </w:p>
    <w:p>
      <w:pPr>
        <w:ind w:left="1380" w:hanging="497"/>
        <w:spacing w:after="0"/>
        <w:tabs>
          <w:tab w:leader="none" w:pos="1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third party disruptions, including potential outages at network providers and other suppliers;</w:t>
      </w:r>
    </w:p>
    <w:p>
      <w:pPr>
        <w:spacing w:after="0" w:line="107" w:lineRule="exact"/>
        <w:rPr>
          <w:rFonts w:ascii="Arial" w:cs="Arial" w:eastAsia="Arial" w:hAnsi="Arial"/>
          <w:sz w:val="17"/>
          <w:szCs w:val="17"/>
          <w:color w:val="auto"/>
        </w:rPr>
      </w:pPr>
    </w:p>
    <w:p>
      <w:pPr>
        <w:ind w:left="1380" w:right="40" w:hanging="497"/>
        <w:spacing w:after="0" w:line="237" w:lineRule="auto"/>
        <w:tabs>
          <w:tab w:leader="none" w:pos="1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challenges to the availability and reliability of our network due to changes to normal operations, including the possibility of one or more clusters of COVID-19 cases occurring at our suppliers’ data centers, affecting our FlyMates, or affecting the systems or employees of our clients or business partners;</w:t>
      </w:r>
    </w:p>
    <w:p>
      <w:pPr>
        <w:spacing w:after="0" w:line="101" w:lineRule="exact"/>
        <w:rPr>
          <w:rFonts w:ascii="Arial" w:cs="Arial" w:eastAsia="Arial" w:hAnsi="Arial"/>
          <w:sz w:val="17"/>
          <w:szCs w:val="17"/>
          <w:color w:val="auto"/>
        </w:rPr>
      </w:pPr>
    </w:p>
    <w:p>
      <w:pPr>
        <w:ind w:left="1380" w:hanging="497"/>
        <w:spacing w:after="0" w:line="237" w:lineRule="auto"/>
        <w:tabs>
          <w:tab w:leader="none" w:pos="1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increased cyber and payment fraud risk related to the COVID-19 pandemic, as cybercriminals attempt DDoS related attacks, phishing scams and other disruptive actions, given the shift to online banking, e-commerce and other online activity, as well as more employees working remotely as a result of the outbreak; and</w:t>
      </w:r>
    </w:p>
    <w:p>
      <w:pPr>
        <w:spacing w:after="0" w:line="101" w:lineRule="exact"/>
        <w:rPr>
          <w:rFonts w:ascii="Arial" w:cs="Arial" w:eastAsia="Arial" w:hAnsi="Arial"/>
          <w:sz w:val="17"/>
          <w:szCs w:val="17"/>
          <w:color w:val="auto"/>
        </w:rPr>
      </w:pPr>
    </w:p>
    <w:p>
      <w:pPr>
        <w:ind w:left="1380" w:right="140" w:hanging="497"/>
        <w:spacing w:after="0"/>
        <w:tabs>
          <w:tab w:leader="none" w:pos="1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additional regulatory requirements, including, for example, government initiatives or requests to reduce or eliminate payment fees or other costs.</w:t>
      </w:r>
    </w:p>
    <w:p>
      <w:pPr>
        <w:spacing w:after="0" w:line="189" w:lineRule="exact"/>
        <w:rPr>
          <w:sz w:val="20"/>
          <w:szCs w:val="20"/>
          <w:color w:val="auto"/>
        </w:rPr>
      </w:pPr>
    </w:p>
    <w:p>
      <w:pPr>
        <w:ind w:left="480" w:right="200" w:firstLine="411"/>
        <w:spacing w:after="0"/>
        <w:rPr>
          <w:sz w:val="20"/>
          <w:szCs w:val="20"/>
          <w:color w:val="auto"/>
        </w:rPr>
      </w:pPr>
      <w:r>
        <w:rPr>
          <w:rFonts w:ascii="Arial" w:cs="Arial" w:eastAsia="Arial" w:hAnsi="Arial"/>
          <w:sz w:val="17"/>
          <w:szCs w:val="17"/>
          <w:color w:val="auto"/>
        </w:rPr>
        <w:t>We adopted measures to modify our business practices and reduce operating expenses during the first half of 2020 in response to the COVID-19 pandemic, including a reduction in our workforce, delaying hiring plans, restricting travel,</w:t>
      </w:r>
    </w:p>
    <w:p>
      <w:pPr>
        <w:spacing w:after="0" w:line="12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760"/>
          </w:cols>
          <w:pgMar w:left="320" w:top="464" w:right="81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right="100"/>
        <w:spacing w:after="0" w:line="237" w:lineRule="auto"/>
        <w:rPr>
          <w:sz w:val="20"/>
          <w:szCs w:val="20"/>
          <w:color w:val="auto"/>
        </w:rPr>
      </w:pPr>
      <w:r>
        <w:rPr>
          <w:rFonts w:ascii="Arial" w:cs="Arial" w:eastAsia="Arial" w:hAnsi="Arial"/>
          <w:sz w:val="17"/>
          <w:szCs w:val="17"/>
          <w:color w:val="auto"/>
        </w:rPr>
        <w:t>lowering marketing spend and the use of external resources. These measures may have slowed our growth while in effect. Although we began increasing our operating expense since such time, the impact from the COVID-19 pandemic on our business, results of operations and financial condition in the longer term remains difficult to predict.</w:t>
      </w:r>
    </w:p>
    <w:p>
      <w:pPr>
        <w:spacing w:after="0" w:line="190" w:lineRule="exact"/>
        <w:rPr>
          <w:sz w:val="20"/>
          <w:szCs w:val="20"/>
          <w:color w:val="auto"/>
        </w:rPr>
      </w:pPr>
    </w:p>
    <w:p>
      <w:pPr>
        <w:ind w:left="480" w:right="40" w:firstLine="411"/>
        <w:spacing w:after="0" w:line="236" w:lineRule="auto"/>
        <w:rPr>
          <w:sz w:val="20"/>
          <w:szCs w:val="20"/>
          <w:color w:val="auto"/>
        </w:rPr>
      </w:pPr>
      <w:r>
        <w:rPr>
          <w:rFonts w:ascii="Arial" w:cs="Arial" w:eastAsia="Arial" w:hAnsi="Arial"/>
          <w:sz w:val="17"/>
          <w:szCs w:val="17"/>
          <w:color w:val="auto"/>
        </w:rPr>
        <w:t>Our offices are currently open, at limited capacity, as allowed under state and local orders. While we have implemented what we believe to be a comprehensive protocol to ensure the safety and wellbeing of employees returning to the office, including daily health screenings, physical changes to our floor layout, and required proper personal protection equipment, these protocols may not be sufficient to mitigate the risks posed by the virus or otherwise be satisfactory to government authorities.</w:t>
      </w:r>
    </w:p>
    <w:p>
      <w:pPr>
        <w:spacing w:after="0" w:line="189" w:lineRule="exact"/>
        <w:rPr>
          <w:sz w:val="20"/>
          <w:szCs w:val="20"/>
          <w:color w:val="auto"/>
        </w:rPr>
      </w:pPr>
    </w:p>
    <w:p>
      <w:pPr>
        <w:ind w:left="480" w:right="20" w:firstLine="411"/>
        <w:spacing w:after="0" w:line="249" w:lineRule="auto"/>
        <w:rPr>
          <w:sz w:val="20"/>
          <w:szCs w:val="20"/>
          <w:color w:val="auto"/>
        </w:rPr>
      </w:pPr>
      <w:r>
        <w:rPr>
          <w:rFonts w:ascii="Arial" w:cs="Arial" w:eastAsia="Arial" w:hAnsi="Arial"/>
          <w:sz w:val="16"/>
          <w:szCs w:val="16"/>
          <w:color w:val="auto"/>
        </w:rPr>
        <w:t>Our clients and their customers who are affected by the ongoing COVID-19 pandemic may continue to demonstrate changed behavior even after the COVID-19 outbreak has subsided. For example, colleges and universities may continue to rely on virtual courses as students may be hesitant to return to full social interaction, and we may continue to see reduced payment volume as economic worries continue, all of which may have adverse implications for our business. In addition, many of our clients who have historically depended upon a steady flow of international students (e.g., language schools) may have curtailed or suspended operations, or permanently closed. In our business model,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that chargeback risk to our client, if the client has gone out of business, we may be unable to collect on the chargeback and will bear the economic loss, which will negatively impact our business.</w:t>
      </w:r>
    </w:p>
    <w:p>
      <w:pPr>
        <w:spacing w:after="0" w:line="186" w:lineRule="exact"/>
        <w:rPr>
          <w:sz w:val="20"/>
          <w:szCs w:val="20"/>
          <w:color w:val="auto"/>
        </w:rPr>
      </w:pPr>
    </w:p>
    <w:p>
      <w:pPr>
        <w:jc w:val="both"/>
        <w:ind w:left="480" w:right="120" w:firstLine="411"/>
        <w:spacing w:after="0" w:line="237" w:lineRule="auto"/>
        <w:rPr>
          <w:sz w:val="20"/>
          <w:szCs w:val="20"/>
          <w:color w:val="auto"/>
        </w:rPr>
      </w:pPr>
      <w:r>
        <w:rPr>
          <w:rFonts w:ascii="Arial" w:cs="Arial" w:eastAsia="Arial" w:hAnsi="Arial"/>
          <w:sz w:val="17"/>
          <w:szCs w:val="17"/>
          <w:color w:val="auto"/>
        </w:rPr>
        <w:t>As a result, we may continue to experience materially adverse impacts to our business as a result of the global economic impact of COVID-19, including lower domestic and cross border spending trends, the availability of credit, adverse impacts on our liquidity, and any recessionary conditions that persist, and exacerbate many of the other known risks described in this “Risk Factors” section.</w:t>
      </w:r>
    </w:p>
    <w:p>
      <w:pPr>
        <w:spacing w:after="0" w:line="271" w:lineRule="exact"/>
        <w:rPr>
          <w:sz w:val="20"/>
          <w:szCs w:val="20"/>
          <w:color w:val="auto"/>
        </w:rPr>
      </w:pPr>
    </w:p>
    <w:p>
      <w:pPr>
        <w:ind w:left="480" w:right="140"/>
        <w:spacing w:after="0" w:line="296" w:lineRule="auto"/>
        <w:rPr>
          <w:sz w:val="20"/>
          <w:szCs w:val="20"/>
          <w:color w:val="auto"/>
        </w:rPr>
      </w:pPr>
      <w:r>
        <w:rPr>
          <w:rFonts w:ascii="Arial" w:cs="Arial" w:eastAsia="Arial" w:hAnsi="Arial"/>
          <w:sz w:val="16"/>
          <w:szCs w:val="16"/>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45" w:lineRule="exact"/>
        <w:rPr>
          <w:sz w:val="20"/>
          <w:szCs w:val="20"/>
          <w:color w:val="auto"/>
        </w:rPr>
      </w:pPr>
    </w:p>
    <w:p>
      <w:pPr>
        <w:ind w:left="480" w:firstLine="411"/>
        <w:spacing w:after="0" w:line="236" w:lineRule="auto"/>
        <w:rPr>
          <w:sz w:val="20"/>
          <w:szCs w:val="20"/>
          <w:color w:val="auto"/>
        </w:rPr>
      </w:pPr>
      <w:r>
        <w:rPr>
          <w:rFonts w:ascii="Arial" w:cs="Arial" w:eastAsia="Arial" w:hAnsi="Arial"/>
          <w:sz w:val="17"/>
          <w:szCs w:val="17"/>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revenue or operating results fall below the expectations of investors or securities analysts or below any guidance we may provide to the market, the price of our common stock could decline substantially.</w:t>
      </w:r>
    </w:p>
    <w:p>
      <w:pPr>
        <w:spacing w:after="0" w:line="189" w:lineRule="exact"/>
        <w:rPr>
          <w:sz w:val="20"/>
          <w:szCs w:val="20"/>
          <w:color w:val="auto"/>
        </w:rPr>
      </w:pPr>
    </w:p>
    <w:p>
      <w:pPr>
        <w:jc w:val="both"/>
        <w:ind w:left="480" w:right="380" w:firstLine="411"/>
        <w:spacing w:after="0" w:line="237" w:lineRule="auto"/>
        <w:rPr>
          <w:sz w:val="20"/>
          <w:szCs w:val="20"/>
          <w:color w:val="auto"/>
        </w:rPr>
      </w:pPr>
      <w:r>
        <w:rPr>
          <w:rFonts w:ascii="Arial" w:cs="Arial" w:eastAsia="Arial" w:hAnsi="Arial"/>
          <w:sz w:val="17"/>
          <w:szCs w:val="17"/>
          <w:color w:val="auto"/>
        </w:rPr>
        <w:t>Our operating results have varied in the past and are expected to continue to do so in the future. In addition to other risk factors listed in this “Risk Factors” section, factors that may affect our quarterly operating results, business and financial condition include the following:</w:t>
      </w:r>
    </w:p>
    <w:p>
      <w:pPr>
        <w:spacing w:after="0" w:line="102" w:lineRule="exact"/>
        <w:rPr>
          <w:sz w:val="20"/>
          <w:szCs w:val="20"/>
          <w:color w:val="auto"/>
        </w:rPr>
      </w:pPr>
    </w:p>
    <w:p>
      <w:pPr>
        <w:ind w:left="1380" w:hanging="497"/>
        <w:spacing w:after="0"/>
        <w:tabs>
          <w:tab w:leader="none" w:pos="1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demand for our solutions and the number, volume and timing of payments processed;</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timing of tuition payments;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market acceptance of our current and future solutions;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revenue mix in a particular quarter;</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mix of payment methods and currencies utilized by our clients’ customers in a particular quarter;</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slowdown in spending on information technology (IT) and software by our current and/or prospective clients;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sales cycles and performance of our direct and indirect sales force;</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budgeting and implementation cycles of our current or potential clients;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foreign currency exchange rate fluctuations;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management, performance and expansion of our domestic and international operations;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rate of renewals of contracts with our clients;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the competitive dynamics of our markets;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control and predict costs, including our operating expenses;</w:t>
      </w:r>
    </w:p>
    <w:p>
      <w:pPr>
        <w:spacing w:after="0" w:line="13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760"/>
          </w:cols>
          <w:pgMar w:left="320" w:top="464" w:right="81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1380" w:right="640" w:hanging="497"/>
        <w:spacing w:after="0"/>
        <w:tabs>
          <w:tab w:leader="none" w:pos="1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clients delaying purchasing decisions, including in anticipation of new products or product enhancements by us or our competitors;</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seasonality of our business;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to successfully manage or integrate any acquisitions, including our recent acquisition of Simplee;</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outcome or publicity surrounding any pending or threatened lawsuits;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economic and political conditions in our domestic and international markets; and</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continuing effects of the COVID-19 pandemic and the responses thereto.</w:t>
      </w:r>
    </w:p>
    <w:p>
      <w:pPr>
        <w:spacing w:after="0" w:line="195" w:lineRule="exact"/>
        <w:rPr>
          <w:sz w:val="20"/>
          <w:szCs w:val="20"/>
          <w:color w:val="auto"/>
        </w:rPr>
      </w:pPr>
    </w:p>
    <w:p>
      <w:pPr>
        <w:ind w:left="480" w:right="300" w:firstLine="411"/>
        <w:spacing w:after="0" w:line="237" w:lineRule="auto"/>
        <w:rPr>
          <w:sz w:val="20"/>
          <w:szCs w:val="20"/>
          <w:color w:val="auto"/>
        </w:rPr>
      </w:pPr>
      <w:r>
        <w:rPr>
          <w:rFonts w:ascii="Arial" w:cs="Arial" w:eastAsia="Arial" w:hAnsi="Arial"/>
          <w:sz w:val="17"/>
          <w:szCs w:val="17"/>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90" w:lineRule="exact"/>
        <w:rPr>
          <w:sz w:val="20"/>
          <w:szCs w:val="20"/>
          <w:color w:val="auto"/>
        </w:rPr>
      </w:pPr>
    </w:p>
    <w:p>
      <w:pPr>
        <w:jc w:val="both"/>
        <w:ind w:left="480" w:right="40" w:firstLine="411"/>
        <w:spacing w:after="0" w:line="237" w:lineRule="auto"/>
        <w:rPr>
          <w:sz w:val="20"/>
          <w:szCs w:val="20"/>
          <w:color w:val="auto"/>
        </w:rPr>
      </w:pPr>
      <w:r>
        <w:rPr>
          <w:rFonts w:ascii="Arial" w:cs="Arial" w:eastAsia="Arial" w:hAnsi="Arial"/>
          <w:sz w:val="17"/>
          <w:szCs w:val="17"/>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We expect our revenue mix to vary over time, which could affect our gross margin and results of operations.</w:t>
      </w:r>
    </w:p>
    <w:p>
      <w:pPr>
        <w:spacing w:after="0" w:line="115" w:lineRule="exact"/>
        <w:rPr>
          <w:sz w:val="20"/>
          <w:szCs w:val="20"/>
          <w:color w:val="auto"/>
        </w:rPr>
      </w:pPr>
    </w:p>
    <w:p>
      <w:pPr>
        <w:ind w:left="480" w:right="60" w:firstLine="411"/>
        <w:spacing w:after="0" w:line="234" w:lineRule="auto"/>
        <w:rPr>
          <w:sz w:val="20"/>
          <w:szCs w:val="20"/>
          <w:color w:val="auto"/>
        </w:rPr>
      </w:pPr>
      <w:r>
        <w:rPr>
          <w:rFonts w:ascii="Arial" w:cs="Arial" w:eastAsia="Arial" w:hAnsi="Arial"/>
          <w:sz w:val="17"/>
          <w:szCs w:val="17"/>
          <w:color w:val="auto"/>
        </w:rPr>
        <w:t>We expect our revenue mix to vary over time due to a number of factors. Shifts in our business mix from quarter to quarter could produce substantial variation in revenue recognized. Further, our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271" w:lineRule="exact"/>
        <w:rPr>
          <w:sz w:val="20"/>
          <w:szCs w:val="20"/>
          <w:color w:val="auto"/>
        </w:rPr>
      </w:pPr>
    </w:p>
    <w:p>
      <w:pPr>
        <w:ind w:left="480" w:right="800"/>
        <w:spacing w:after="0" w:line="264" w:lineRule="auto"/>
        <w:rPr>
          <w:sz w:val="20"/>
          <w:szCs w:val="20"/>
          <w:color w:val="auto"/>
        </w:rPr>
      </w:pPr>
      <w:r>
        <w:rPr>
          <w:rFonts w:ascii="Arial" w:cs="Arial" w:eastAsia="Arial" w:hAnsi="Arial"/>
          <w:sz w:val="17"/>
          <w:szCs w:val="17"/>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69" w:lineRule="exact"/>
        <w:rPr>
          <w:sz w:val="20"/>
          <w:szCs w:val="20"/>
          <w:color w:val="auto"/>
        </w:rPr>
      </w:pPr>
    </w:p>
    <w:p>
      <w:pPr>
        <w:ind w:left="480" w:right="60" w:firstLine="411"/>
        <w:spacing w:after="0" w:line="234" w:lineRule="auto"/>
        <w:rPr>
          <w:sz w:val="20"/>
          <w:szCs w:val="20"/>
          <w:color w:val="auto"/>
        </w:rPr>
      </w:pPr>
      <w:r>
        <w:rPr>
          <w:rFonts w:ascii="Arial" w:cs="Arial" w:eastAsia="Arial" w:hAnsi="Arial"/>
          <w:sz w:val="17"/>
          <w:szCs w:val="17"/>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Flywire,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Our financial and operating results are subject to seasonality and cyclicality.</w:t>
      </w:r>
    </w:p>
    <w:p>
      <w:pPr>
        <w:spacing w:after="0" w:line="115"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Our financial and operational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entire academic year, or the spring semester, respectively. We expect this seasonality of education tuition processing to continue and expect it to impact the amount of processing fees that we earn in a particular fiscal quarter and the level of expenses we incur to generate tuition payment volume and process the higher volume activity. During the COVID-19 pandemic, we initially observed an increasing trend of education institutions delaying tuition invoicing or extending dates for payment due to uncertainties in the academic calendar, on-campus classes or remote learning planning, as well as relief being offered to families experiencing financial challenges. However, with the increase in availability of vaccines educational institutions are returning to their normal billing cycles and payment due dates. Many higher education institutions are mandating full vaccination to promote normal operations and allowing students from abroad to return to their facilities. Similarly, subsectors of our travel client portfolio will experience increased seasonality as many of our travel clients depend upon advance planning for vacation or holiday travel, which has been hampered by the ongoing COVID-19 pandemic and the regulatory responses to the pandemic.</w:t>
      </w:r>
    </w:p>
    <w:p>
      <w:pPr>
        <w:spacing w:after="0" w:line="13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740"/>
          </w:cols>
          <w:pgMar w:left="320" w:top="464" w:right="8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right="1060"/>
        <w:spacing w:after="0" w:line="264" w:lineRule="auto"/>
        <w:rPr>
          <w:sz w:val="20"/>
          <w:szCs w:val="20"/>
          <w:color w:val="auto"/>
        </w:rPr>
      </w:pPr>
      <w:r>
        <w:rPr>
          <w:rFonts w:ascii="Arial" w:cs="Arial" w:eastAsia="Arial" w:hAnsi="Arial"/>
          <w:sz w:val="17"/>
          <w:szCs w:val="17"/>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69" w:lineRule="exact"/>
        <w:rPr>
          <w:sz w:val="20"/>
          <w:szCs w:val="20"/>
          <w:color w:val="auto"/>
        </w:rPr>
      </w:pPr>
    </w:p>
    <w:p>
      <w:pPr>
        <w:ind w:left="480" w:right="20" w:firstLine="411"/>
        <w:spacing w:after="0" w:line="233" w:lineRule="auto"/>
        <w:rPr>
          <w:sz w:val="20"/>
          <w:szCs w:val="20"/>
          <w:color w:val="auto"/>
        </w:rPr>
      </w:pPr>
      <w:r>
        <w:rPr>
          <w:rFonts w:ascii="Arial" w:cs="Arial" w:eastAsia="Arial" w:hAnsi="Arial"/>
          <w:sz w:val="17"/>
          <w:szCs w:val="17"/>
          <w:color w:val="auto"/>
        </w:rPr>
        <w:t>We track certain key performance indicators, including metrics such as total payment volume, revenue less ancillary services,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275" w:lineRule="exact"/>
        <w:rPr>
          <w:sz w:val="20"/>
          <w:szCs w:val="20"/>
          <w:color w:val="auto"/>
        </w:rPr>
      </w:pPr>
    </w:p>
    <w:p>
      <w:pPr>
        <w:ind w:left="480" w:right="220"/>
        <w:spacing w:after="0" w:line="264" w:lineRule="auto"/>
        <w:rPr>
          <w:sz w:val="20"/>
          <w:szCs w:val="20"/>
          <w:color w:val="auto"/>
        </w:rPr>
      </w:pPr>
      <w:r>
        <w:rPr>
          <w:rFonts w:ascii="Arial" w:cs="Arial" w:eastAsia="Arial" w:hAnsi="Arial"/>
          <w:sz w:val="17"/>
          <w:szCs w:val="17"/>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69" w:lineRule="exact"/>
        <w:rPr>
          <w:sz w:val="20"/>
          <w:szCs w:val="20"/>
          <w:color w:val="auto"/>
        </w:rPr>
      </w:pPr>
    </w:p>
    <w:p>
      <w:pPr>
        <w:ind w:left="480" w:right="20" w:firstLine="411"/>
        <w:spacing w:after="0" w:line="233" w:lineRule="auto"/>
        <w:rPr>
          <w:sz w:val="20"/>
          <w:szCs w:val="20"/>
          <w:color w:val="auto"/>
        </w:rPr>
      </w:pPr>
      <w:r>
        <w:rPr>
          <w:rFonts w:ascii="Arial" w:cs="Arial" w:eastAsia="Arial" w:hAnsi="Arial"/>
          <w:sz w:val="17"/>
          <w:szCs w:val="17"/>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275" w:lineRule="exact"/>
        <w:rPr>
          <w:sz w:val="20"/>
          <w:szCs w:val="20"/>
          <w:color w:val="auto"/>
        </w:rPr>
      </w:pPr>
    </w:p>
    <w:p>
      <w:pPr>
        <w:ind w:left="480" w:right="160"/>
        <w:spacing w:after="0" w:line="264" w:lineRule="auto"/>
        <w:rPr>
          <w:sz w:val="20"/>
          <w:szCs w:val="20"/>
          <w:color w:val="auto"/>
        </w:rPr>
      </w:pPr>
      <w:r>
        <w:rPr>
          <w:rFonts w:ascii="Arial" w:cs="Arial" w:eastAsia="Arial" w:hAnsi="Arial"/>
          <w:sz w:val="17"/>
          <w:szCs w:val="17"/>
          <w:b w:val="1"/>
          <w:bCs w:val="1"/>
          <w:i w:val="1"/>
          <w:iCs w:val="1"/>
          <w:color w:val="auto"/>
        </w:rPr>
        <w:t>If we are unable to expand our direct and channel sales capabilities, grow our marketing reach and increase sales productivity, we may not be able to generate increased revenues.</w:t>
      </w:r>
    </w:p>
    <w:p>
      <w:pPr>
        <w:spacing w:after="0" w:line="69"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27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Our business depends, in large part, on our proprietary network of global, regional and local banking partners.</w:t>
      </w:r>
    </w:p>
    <w:p>
      <w:pPr>
        <w:spacing w:after="0" w:line="115" w:lineRule="exact"/>
        <w:rPr>
          <w:sz w:val="20"/>
          <w:szCs w:val="20"/>
          <w:color w:val="auto"/>
        </w:rPr>
      </w:pPr>
    </w:p>
    <w:p>
      <w:pPr>
        <w:ind w:left="480" w:right="20" w:firstLine="411"/>
        <w:spacing w:after="0" w:line="233" w:lineRule="auto"/>
        <w:rPr>
          <w:sz w:val="20"/>
          <w:szCs w:val="20"/>
          <w:color w:val="auto"/>
        </w:rPr>
      </w:pPr>
      <w:r>
        <w:rPr>
          <w:rFonts w:ascii="Arial" w:cs="Arial" w:eastAsia="Arial" w:hAnsi="Arial"/>
          <w:sz w:val="17"/>
          <w:szCs w:val="17"/>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anti-money laundering (AML) policies and “know your customer”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3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760"/>
          </w:cols>
          <w:pgMar w:left="320" w:top="464" w:right="81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right="20" w:firstLine="411"/>
        <w:spacing w:after="0" w:line="234" w:lineRule="auto"/>
        <w:rPr>
          <w:sz w:val="20"/>
          <w:szCs w:val="20"/>
          <w:color w:val="auto"/>
        </w:rPr>
      </w:pPr>
      <w:r>
        <w:rPr>
          <w:rFonts w:ascii="Arial" w:cs="Arial" w:eastAsia="Arial" w:hAnsi="Arial"/>
          <w:sz w:val="17"/>
          <w:szCs w:val="17"/>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Our growth depends in part on the success of our relationships with other (non-banking) third parties.</w:t>
      </w:r>
    </w:p>
    <w:p>
      <w:pPr>
        <w:spacing w:after="0" w:line="115"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We have established relationships with a number of other companies, including financial institutions, processors, other financial services suppliers, channel sales partners,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we are successful in our strategic relationships, we cannot assure you that these relationships will result in increased client usage of our solutions or increased revenues.</w:t>
      </w:r>
    </w:p>
    <w:p>
      <w:pPr>
        <w:spacing w:after="0" w:line="271" w:lineRule="exact"/>
        <w:rPr>
          <w:sz w:val="20"/>
          <w:szCs w:val="20"/>
          <w:color w:val="auto"/>
        </w:rPr>
      </w:pPr>
    </w:p>
    <w:p>
      <w:pPr>
        <w:ind w:left="480" w:right="640"/>
        <w:spacing w:after="0" w:line="264" w:lineRule="auto"/>
        <w:rPr>
          <w:sz w:val="20"/>
          <w:szCs w:val="20"/>
          <w:color w:val="auto"/>
        </w:rPr>
      </w:pPr>
      <w:r>
        <w:rPr>
          <w:rFonts w:ascii="Arial" w:cs="Arial" w:eastAsia="Arial" w:hAnsi="Arial"/>
          <w:sz w:val="17"/>
          <w:szCs w:val="17"/>
          <w:b w:val="1"/>
          <w:bCs w:val="1"/>
          <w:i w:val="1"/>
          <w:iCs w:val="1"/>
          <w:color w:val="auto"/>
        </w:rPr>
        <w:t>The markets in which we participate are competitive, and if we do not compete effectively, our operating results could be harmed.</w:t>
      </w:r>
    </w:p>
    <w:p>
      <w:pPr>
        <w:spacing w:after="0" w:line="69"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92" w:lineRule="exact"/>
        <w:rPr>
          <w:sz w:val="20"/>
          <w:szCs w:val="20"/>
          <w:color w:val="auto"/>
        </w:rPr>
      </w:pPr>
    </w:p>
    <w:p>
      <w:pPr>
        <w:ind w:left="480" w:right="60" w:firstLine="411"/>
        <w:spacing w:after="0" w:line="237" w:lineRule="auto"/>
        <w:rPr>
          <w:sz w:val="20"/>
          <w:szCs w:val="20"/>
          <w:color w:val="auto"/>
        </w:rPr>
      </w:pPr>
      <w:r>
        <w:rPr>
          <w:rFonts w:ascii="Arial" w:cs="Arial" w:eastAsia="Arial" w:hAnsi="Arial"/>
          <w:sz w:val="17"/>
          <w:szCs w:val="17"/>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271" w:lineRule="exact"/>
        <w:rPr>
          <w:sz w:val="20"/>
          <w:szCs w:val="20"/>
          <w:color w:val="auto"/>
        </w:rPr>
      </w:pPr>
    </w:p>
    <w:p>
      <w:pPr>
        <w:jc w:val="both"/>
        <w:ind w:left="480" w:right="480"/>
        <w:spacing w:after="0" w:line="248" w:lineRule="auto"/>
        <w:rPr>
          <w:sz w:val="20"/>
          <w:szCs w:val="20"/>
          <w:color w:val="auto"/>
        </w:rPr>
      </w:pPr>
      <w:r>
        <w:rPr>
          <w:rFonts w:ascii="Arial" w:cs="Arial" w:eastAsia="Arial" w:hAnsi="Arial"/>
          <w:sz w:val="17"/>
          <w:szCs w:val="17"/>
          <w:b w:val="1"/>
          <w:bCs w:val="1"/>
          <w:i w:val="1"/>
          <w:iCs w:val="1"/>
          <w:color w:val="auto"/>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spacing w:after="0" w:line="82"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spacing w:after="0" w:line="12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760"/>
          </w:cols>
          <w:pgMar w:left="320" w:top="464" w:right="81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right="800"/>
        <w:spacing w:after="0" w:line="264" w:lineRule="auto"/>
        <w:rPr>
          <w:sz w:val="20"/>
          <w:szCs w:val="20"/>
          <w:color w:val="auto"/>
        </w:rPr>
      </w:pPr>
      <w:r>
        <w:rPr>
          <w:rFonts w:ascii="Arial" w:cs="Arial" w:eastAsia="Arial" w:hAnsi="Arial"/>
          <w:sz w:val="17"/>
          <w:szCs w:val="17"/>
          <w:b w:val="1"/>
          <w:bCs w:val="1"/>
          <w:i w:val="1"/>
          <w:iCs w:val="1"/>
          <w:color w:val="auto"/>
        </w:rPr>
        <w:t>Our clients in the education sector may be adversely affected by decreases in enrollment, pressure on tuition costs, or increased operating expenses, which may reduce demand for our solutions.</w:t>
      </w:r>
    </w:p>
    <w:p>
      <w:pPr>
        <w:spacing w:after="0" w:line="69" w:lineRule="exact"/>
        <w:rPr>
          <w:sz w:val="20"/>
          <w:szCs w:val="20"/>
          <w:color w:val="auto"/>
        </w:rPr>
      </w:pPr>
    </w:p>
    <w:p>
      <w:pPr>
        <w:ind w:left="480" w:right="20" w:firstLine="411"/>
        <w:spacing w:after="0" w:line="237" w:lineRule="auto"/>
        <w:rPr>
          <w:sz w:val="20"/>
          <w:szCs w:val="20"/>
          <w:color w:val="auto"/>
        </w:rPr>
      </w:pPr>
      <w:r>
        <w:rPr>
          <w:rFonts w:ascii="Arial" w:cs="Arial" w:eastAsia="Arial" w:hAnsi="Arial"/>
          <w:sz w:val="17"/>
          <w:szCs w:val="17"/>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102" w:lineRule="exact"/>
        <w:rPr>
          <w:sz w:val="20"/>
          <w:szCs w:val="20"/>
          <w:color w:val="auto"/>
        </w:rPr>
      </w:pPr>
    </w:p>
    <w:p>
      <w:pPr>
        <w:ind w:left="1380" w:right="320" w:hanging="497"/>
        <w:spacing w:after="0"/>
        <w:tabs>
          <w:tab w:leader="none" w:pos="1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Reduced enrollment in higher education due to lack of funding. Significant reductions in student funding, through grants or loans, may reduce enrollments and decrease the payment volume we process.</w:t>
      </w:r>
    </w:p>
    <w:p>
      <w:pPr>
        <w:spacing w:after="0" w:line="100" w:lineRule="exact"/>
        <w:rPr>
          <w:rFonts w:ascii="Arial" w:cs="Arial" w:eastAsia="Arial" w:hAnsi="Arial"/>
          <w:sz w:val="17"/>
          <w:szCs w:val="17"/>
          <w:color w:val="auto"/>
        </w:rPr>
      </w:pPr>
    </w:p>
    <w:p>
      <w:pPr>
        <w:ind w:left="1380" w:right="60" w:hanging="497"/>
        <w:spacing w:after="0"/>
        <w:tabs>
          <w:tab w:leader="none" w:pos="1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Government supported institutions may experience losses or reduction in public funding. Many of our clients rely considerably upon public funding or support, which may not always be available due to budget constraints.</w:t>
      </w:r>
    </w:p>
    <w:p>
      <w:pPr>
        <w:spacing w:after="0" w:line="100" w:lineRule="exact"/>
        <w:rPr>
          <w:rFonts w:ascii="Arial" w:cs="Arial" w:eastAsia="Arial" w:hAnsi="Arial"/>
          <w:sz w:val="17"/>
          <w:szCs w:val="17"/>
          <w:color w:val="auto"/>
        </w:rPr>
      </w:pPr>
    </w:p>
    <w:p>
      <w:pPr>
        <w:jc w:val="both"/>
        <w:ind w:left="1380" w:right="180" w:hanging="497"/>
        <w:spacing w:after="0" w:line="270" w:lineRule="auto"/>
        <w:tabs>
          <w:tab w:leader="none" w:pos="1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Negative perceptions about in-person classes. Students may reject the opportunity to attend courses in person, when online or virtual classes are offered as an option, due to the ongoing COVID-19 pandemic or a lower price point for online classes.</w:t>
      </w:r>
    </w:p>
    <w:p>
      <w:pPr>
        <w:spacing w:after="0" w:line="77" w:lineRule="exact"/>
        <w:rPr>
          <w:rFonts w:ascii="Arial" w:cs="Arial" w:eastAsia="Arial" w:hAnsi="Arial"/>
          <w:sz w:val="16"/>
          <w:szCs w:val="16"/>
          <w:color w:val="auto"/>
        </w:rPr>
      </w:pPr>
    </w:p>
    <w:p>
      <w:pPr>
        <w:ind w:left="1380" w:right="540" w:hanging="497"/>
        <w:spacing w:after="0"/>
        <w:tabs>
          <w:tab w:leader="none" w:pos="1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00" w:lineRule="exact"/>
        <w:rPr>
          <w:rFonts w:ascii="Arial" w:cs="Arial" w:eastAsia="Arial" w:hAnsi="Arial"/>
          <w:sz w:val="17"/>
          <w:szCs w:val="17"/>
          <w:color w:val="auto"/>
        </w:rPr>
      </w:pPr>
    </w:p>
    <w:p>
      <w:pPr>
        <w:ind w:left="1380" w:right="80" w:hanging="497"/>
        <w:spacing w:after="0" w:line="237" w:lineRule="auto"/>
        <w:tabs>
          <w:tab w:leader="none" w:pos="1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Declines in international student enrollment. The COVID-19 pandemic and restrictions on immigration or the award of student visas can negatively impact the cross-border education industry and schools that rely on foreign student populations will be negatively affected or may cease operations.</w:t>
      </w:r>
    </w:p>
    <w:p>
      <w:pPr>
        <w:spacing w:after="0" w:line="101" w:lineRule="exact"/>
        <w:rPr>
          <w:rFonts w:ascii="Arial" w:cs="Arial" w:eastAsia="Arial" w:hAnsi="Arial"/>
          <w:sz w:val="17"/>
          <w:szCs w:val="17"/>
          <w:color w:val="auto"/>
        </w:rPr>
      </w:pPr>
    </w:p>
    <w:p>
      <w:pPr>
        <w:jc w:val="both"/>
        <w:ind w:left="1380" w:right="240" w:hanging="497"/>
        <w:spacing w:after="0" w:line="237" w:lineRule="auto"/>
        <w:tabs>
          <w:tab w:leader="none" w:pos="1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90" w:lineRule="exact"/>
        <w:rPr>
          <w:sz w:val="20"/>
          <w:szCs w:val="20"/>
          <w:color w:val="auto"/>
        </w:rPr>
      </w:pPr>
    </w:p>
    <w:p>
      <w:pPr>
        <w:ind w:left="480" w:right="100" w:firstLine="411"/>
        <w:spacing w:after="0" w:line="234" w:lineRule="auto"/>
        <w:rPr>
          <w:sz w:val="20"/>
          <w:szCs w:val="20"/>
          <w:color w:val="auto"/>
        </w:rPr>
      </w:pPr>
      <w:r>
        <w:rPr>
          <w:rFonts w:ascii="Arial" w:cs="Arial" w:eastAsia="Arial" w:hAnsi="Arial"/>
          <w:sz w:val="17"/>
          <w:szCs w:val="17"/>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which represents, and is expected to continue to represent for the foreseeable future, a majority of our total payment volume and revenue, would have an adverse effect on our business, operating results and financial condition.</w:t>
      </w:r>
    </w:p>
    <w:p>
      <w:pPr>
        <w:spacing w:after="0" w:line="274" w:lineRule="exact"/>
        <w:rPr>
          <w:sz w:val="20"/>
          <w:szCs w:val="20"/>
          <w:color w:val="auto"/>
        </w:rPr>
      </w:pPr>
    </w:p>
    <w:p>
      <w:pPr>
        <w:ind w:left="480" w:right="240"/>
        <w:spacing w:after="0" w:line="248" w:lineRule="auto"/>
        <w:rPr>
          <w:sz w:val="20"/>
          <w:szCs w:val="20"/>
          <w:color w:val="auto"/>
        </w:rPr>
      </w:pPr>
      <w:r>
        <w:rPr>
          <w:rFonts w:ascii="Arial" w:cs="Arial" w:eastAsia="Arial" w:hAnsi="Arial"/>
          <w:sz w:val="17"/>
          <w:szCs w:val="17"/>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82" w:lineRule="exact"/>
        <w:rPr>
          <w:sz w:val="20"/>
          <w:szCs w:val="20"/>
          <w:color w:val="auto"/>
        </w:rPr>
      </w:pPr>
    </w:p>
    <w:p>
      <w:pPr>
        <w:ind w:left="480"/>
        <w:spacing w:after="0" w:line="234" w:lineRule="auto"/>
        <w:rPr>
          <w:sz w:val="20"/>
          <w:szCs w:val="20"/>
          <w:color w:val="auto"/>
        </w:rPr>
      </w:pPr>
      <w:r>
        <w:rPr>
          <w:rFonts w:ascii="Arial" w:cs="Arial" w:eastAsia="Arial" w:hAnsi="Arial"/>
          <w:sz w:val="17"/>
          <w:szCs w:val="17"/>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90" w:lineRule="exact"/>
        <w:rPr>
          <w:sz w:val="20"/>
          <w:szCs w:val="20"/>
          <w:color w:val="auto"/>
        </w:rPr>
      </w:pPr>
    </w:p>
    <w:p>
      <w:pPr>
        <w:ind w:left="480" w:right="320" w:firstLine="411"/>
        <w:spacing w:after="0" w:line="235" w:lineRule="auto"/>
        <w:rPr>
          <w:sz w:val="20"/>
          <w:szCs w:val="20"/>
          <w:color w:val="auto"/>
        </w:rPr>
      </w:pPr>
      <w:r>
        <w:rPr>
          <w:rFonts w:ascii="Arial" w:cs="Arial" w:eastAsia="Arial" w:hAnsi="Arial"/>
          <w:sz w:val="17"/>
          <w:szCs w:val="17"/>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w:t>
      </w:r>
    </w:p>
    <w:p>
      <w:pPr>
        <w:spacing w:after="0" w:line="190" w:lineRule="exact"/>
        <w:rPr>
          <w:sz w:val="20"/>
          <w:szCs w:val="20"/>
          <w:color w:val="auto"/>
        </w:rPr>
      </w:pPr>
    </w:p>
    <w:p>
      <w:pPr>
        <w:ind w:left="480" w:right="40" w:firstLine="411"/>
        <w:spacing w:after="0" w:line="233" w:lineRule="auto"/>
        <w:rPr>
          <w:sz w:val="20"/>
          <w:szCs w:val="20"/>
          <w:color w:val="auto"/>
        </w:rPr>
      </w:pPr>
      <w:r>
        <w:rPr>
          <w:rFonts w:ascii="Arial" w:cs="Arial" w:eastAsia="Arial" w:hAnsi="Arial"/>
          <w:sz w:val="17"/>
          <w:szCs w:val="17"/>
          <w:color w:val="auto"/>
        </w:rPr>
        <w:t>Our success depends on providing high-quality payment solutions that healthcare clients use to improve financial and operational performance, allow them to collect payments and enhance their revenue lifecycle management objectives and which are used and positively received by clients and their customers.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w:t>
      </w:r>
    </w:p>
    <w:p>
      <w:pPr>
        <w:spacing w:after="0" w:line="13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760"/>
          </w:cols>
          <w:pgMar w:left="320" w:top="464" w:right="81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right="180"/>
        <w:spacing w:after="0" w:line="237" w:lineRule="auto"/>
        <w:rPr>
          <w:sz w:val="20"/>
          <w:szCs w:val="20"/>
          <w:color w:val="auto"/>
        </w:rPr>
      </w:pPr>
      <w:r>
        <w:rPr>
          <w:rFonts w:ascii="Arial" w:cs="Arial" w:eastAsia="Arial" w:hAnsi="Arial"/>
          <w:sz w:val="17"/>
          <w:szCs w:val="17"/>
          <w:color w:val="auto"/>
        </w:rPr>
        <w:t>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90" w:lineRule="exact"/>
        <w:rPr>
          <w:sz w:val="20"/>
          <w:szCs w:val="20"/>
          <w:color w:val="auto"/>
        </w:rPr>
      </w:pPr>
    </w:p>
    <w:p>
      <w:pPr>
        <w:ind w:left="480" w:right="20" w:firstLine="411"/>
        <w:spacing w:after="0" w:line="249" w:lineRule="auto"/>
        <w:rPr>
          <w:sz w:val="20"/>
          <w:szCs w:val="20"/>
          <w:color w:val="auto"/>
        </w:rPr>
      </w:pPr>
      <w:r>
        <w:rPr>
          <w:rFonts w:ascii="Arial" w:cs="Arial" w:eastAsia="Arial" w:hAnsi="Arial"/>
          <w:sz w:val="16"/>
          <w:szCs w:val="16"/>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which represents, and is expected to continue to represent for the foreseeable future, our second largest vertical by total payment volume and revenue, may have an adverse effect on our business, operating results and financial condition.</w:t>
      </w:r>
    </w:p>
    <w:p>
      <w:pPr>
        <w:spacing w:after="0" w:line="186" w:lineRule="exact"/>
        <w:rPr>
          <w:sz w:val="20"/>
          <w:szCs w:val="20"/>
          <w:color w:val="auto"/>
        </w:rPr>
      </w:pPr>
    </w:p>
    <w:p>
      <w:pPr>
        <w:ind w:left="480" w:right="180" w:firstLine="411"/>
        <w:spacing w:after="0" w:line="237" w:lineRule="auto"/>
        <w:rPr>
          <w:sz w:val="20"/>
          <w:szCs w:val="20"/>
          <w:color w:val="auto"/>
        </w:rPr>
      </w:pPr>
      <w:r>
        <w:rPr>
          <w:rFonts w:ascii="Arial" w:cs="Arial" w:eastAsia="Arial" w:hAnsi="Arial"/>
          <w:sz w:val="17"/>
          <w:szCs w:val="17"/>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90" w:lineRule="exact"/>
        <w:rPr>
          <w:sz w:val="20"/>
          <w:szCs w:val="20"/>
          <w:color w:val="auto"/>
        </w:rPr>
      </w:pPr>
    </w:p>
    <w:p>
      <w:pPr>
        <w:ind w:left="480" w:right="80" w:firstLine="411"/>
        <w:spacing w:after="0" w:line="234" w:lineRule="auto"/>
        <w:rPr>
          <w:sz w:val="20"/>
          <w:szCs w:val="20"/>
          <w:color w:val="auto"/>
        </w:rPr>
      </w:pPr>
      <w:r>
        <w:rPr>
          <w:rFonts w:ascii="Arial" w:cs="Arial" w:eastAsia="Arial" w:hAnsi="Arial"/>
          <w:sz w:val="17"/>
          <w:szCs w:val="17"/>
          <w:color w:val="auto"/>
        </w:rPr>
        <w:t>Finally, our competitors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electronic health records space and business focused on revenue lifecycle management are critical to leverage if we are to add to our healthcare customer portfolio. Many of these companies may offer products and services similar to ours. If successful, their development efforts could render our solutions less desirable, resulting in the loss of our existing clients or a reduction in the fees we generate from our solutions.</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Our business serving clients in the travel sector may be sensitive to events affecting the travel industry in general.</w:t>
      </w:r>
    </w:p>
    <w:p>
      <w:pPr>
        <w:spacing w:after="0" w:line="115"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Events like regional or larger scale conflicts, terrorist attacks, mass shooting incidents, natural disasters, such as hurricanes, earthquakes, fires, droughts, floods and volcanic activity, and travel-related health events, such as the COVID-19 pandemic, have a negative impact on the travel industry and affect travelers’ behavior by limiting their ability or willingness to visit certain locations.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are considering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 United States has implemented or 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and resulting revenue from our travel vertical represents, and is expected for the foreseeable future to represent, less than 10% of our total payment volume and revenue. Because we seek to grow the payment volume and the revenue from this vertical in the future, failure to grow our payment volume and resulting revenue from this industry, may have an adverse effect on our business, operating results and financial condition.</w:t>
      </w:r>
    </w:p>
    <w:p>
      <w:pPr>
        <w:spacing w:after="0" w:line="191" w:lineRule="exact"/>
        <w:rPr>
          <w:sz w:val="20"/>
          <w:szCs w:val="20"/>
          <w:color w:val="auto"/>
        </w:rPr>
      </w:pPr>
    </w:p>
    <w:p>
      <w:pPr>
        <w:ind w:left="480" w:right="20" w:firstLine="411"/>
        <w:spacing w:after="0" w:line="236" w:lineRule="auto"/>
        <w:rPr>
          <w:sz w:val="20"/>
          <w:szCs w:val="20"/>
          <w:color w:val="auto"/>
        </w:rPr>
      </w:pPr>
      <w:r>
        <w:rPr>
          <w:rFonts w:ascii="Arial" w:cs="Arial" w:eastAsia="Arial" w:hAnsi="Arial"/>
          <w:sz w:val="17"/>
          <w:szCs w:val="17"/>
          <w:color w:val="auto"/>
        </w:rPr>
        <w:t>In addition, the U.K’s withdrawal from the E.U. (Brexit), including uncertainty or delays in the implementation of Brexit, could continue to lead to economic uncertainty and have a negative impact on the travel industry and our European business. The U.K. could lose access to the single E.U. market, travel between the U.K, and E.U. countries could be restricted, and we could face new regulatory costs and challenges, the scope of which is presently unknown.</w:t>
      </w:r>
    </w:p>
    <w:p>
      <w:pPr>
        <w:spacing w:after="0" w:line="189" w:lineRule="exact"/>
        <w:rPr>
          <w:sz w:val="20"/>
          <w:szCs w:val="20"/>
          <w:color w:val="auto"/>
        </w:rPr>
      </w:pPr>
    </w:p>
    <w:p>
      <w:pPr>
        <w:ind w:left="480" w:right="80" w:firstLine="411"/>
        <w:spacing w:after="0" w:line="234" w:lineRule="auto"/>
        <w:rPr>
          <w:sz w:val="20"/>
          <w:szCs w:val="20"/>
          <w:color w:val="auto"/>
        </w:rPr>
      </w:pPr>
      <w:r>
        <w:rPr>
          <w:rFonts w:ascii="Arial" w:cs="Arial" w:eastAsia="Arial" w:hAnsi="Arial"/>
          <w:sz w:val="17"/>
          <w:szCs w:val="17"/>
          <w:color w:val="auto"/>
        </w:rPr>
        <w:t>With respect to the COVID-19 pandemic specifically, our 2020 financial results related to serving our existing travel clients and growing our client base in the travel sector were negatively impacted. Additionally, we expect the COVID-19 pandemic, including the emergence and spread of variants of COVID-19, will continue to negatively impact our business beyond 2020, but the extent and duration of such impact in the long term is largely uncertain as it is dependent on future developments that cannot be accurately predicted at this time, including but not limited to the severity and transmission rate of the virus, global availability of vaccines and administration of vaccination, the rate of “herd immunity” and the extent and effectiveness of containment actions taken, including mobility restrictions, and the impact of these and other factors on travel behavior.</w:t>
      </w:r>
    </w:p>
    <w:p>
      <w:pPr>
        <w:spacing w:after="0" w:line="12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760"/>
          </w:cols>
          <w:pgMar w:left="320" w:top="464" w:right="81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right="180"/>
        <w:spacing w:after="0" w:line="248" w:lineRule="auto"/>
        <w:rPr>
          <w:sz w:val="20"/>
          <w:szCs w:val="20"/>
          <w:color w:val="auto"/>
        </w:rPr>
      </w:pPr>
      <w:r>
        <w:rPr>
          <w:rFonts w:ascii="Arial" w:cs="Arial" w:eastAsia="Arial" w:hAnsi="Arial"/>
          <w:sz w:val="17"/>
          <w:szCs w:val="17"/>
          <w:b w:val="1"/>
          <w:bCs w:val="1"/>
          <w:i w:val="1"/>
          <w:iCs w:val="1"/>
          <w:color w:val="auto"/>
        </w:rPr>
        <w:t>If we are unable to enter or expand new client verticals, including our relatively new B2B sector, or if our solutions for any new vertical fail to achieve market acceptance, our operating results could be adversely affected and we may be required to reconsider our growth strategy.</w:t>
      </w:r>
    </w:p>
    <w:p>
      <w:pPr>
        <w:spacing w:after="0" w:line="82" w:lineRule="exact"/>
        <w:rPr>
          <w:sz w:val="20"/>
          <w:szCs w:val="20"/>
          <w:color w:val="auto"/>
        </w:rPr>
      </w:pPr>
    </w:p>
    <w:p>
      <w:pPr>
        <w:ind w:left="480" w:right="80" w:firstLine="411"/>
        <w:spacing w:after="0" w:line="249" w:lineRule="auto"/>
        <w:rPr>
          <w:sz w:val="20"/>
          <w:szCs w:val="20"/>
          <w:color w:val="auto"/>
        </w:rPr>
      </w:pPr>
      <w:r>
        <w:rPr>
          <w:rFonts w:ascii="Arial" w:cs="Arial" w:eastAsia="Arial" w:hAnsi="Arial"/>
          <w:sz w:val="16"/>
          <w:szCs w:val="16"/>
          <w:color w:val="auto"/>
        </w:rPr>
        <w:t>Our growth strategy is influenced, in part, on our ability to expand into new client verticals, including our relatively new B2B payment vertical. The B2B sector represents a relatively new vertical market for us, and we have limited prior experience with the key ERP platforms that are critical to the B2B vertical. Accordingly, our lack of experience in the B2B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The payment volume and resulting revenue from our B2B payment vertical represents,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86" w:lineRule="exact"/>
        <w:rPr>
          <w:sz w:val="20"/>
          <w:szCs w:val="20"/>
          <w:color w:val="auto"/>
        </w:rPr>
      </w:pPr>
    </w:p>
    <w:p>
      <w:pPr>
        <w:ind w:left="480" w:firstLine="411"/>
        <w:spacing w:after="0" w:line="237" w:lineRule="auto"/>
        <w:rPr>
          <w:sz w:val="20"/>
          <w:szCs w:val="20"/>
          <w:color w:val="auto"/>
        </w:rPr>
      </w:pPr>
      <w:r>
        <w:rPr>
          <w:rFonts w:ascii="Arial" w:cs="Arial" w:eastAsia="Arial" w:hAnsi="Arial"/>
          <w:sz w:val="17"/>
          <w:szCs w:val="17"/>
          <w:color w:val="auto"/>
        </w:rPr>
        <w:t>We may be unable to identify new 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90"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Even if we choose to enter new 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271" w:lineRule="exact"/>
        <w:rPr>
          <w:sz w:val="20"/>
          <w:szCs w:val="20"/>
          <w:color w:val="auto"/>
        </w:rPr>
      </w:pPr>
    </w:p>
    <w:p>
      <w:pPr>
        <w:ind w:left="480" w:right="40"/>
        <w:spacing w:after="0" w:line="264" w:lineRule="auto"/>
        <w:rPr>
          <w:sz w:val="20"/>
          <w:szCs w:val="20"/>
          <w:color w:val="auto"/>
        </w:rPr>
      </w:pPr>
      <w:r>
        <w:rPr>
          <w:rFonts w:ascii="Arial" w:cs="Arial" w:eastAsia="Arial" w:hAnsi="Arial"/>
          <w:sz w:val="17"/>
          <w:szCs w:val="17"/>
          <w:b w:val="1"/>
          <w:bCs w:val="1"/>
          <w:i w:val="1"/>
          <w:iCs w:val="1"/>
          <w:color w:val="auto"/>
        </w:rPr>
        <w:t>Consolidation in the payment processing or enablement industry could have a material adverse effect on our business, financial condition and results of operations.</w:t>
      </w:r>
    </w:p>
    <w:p>
      <w:pPr>
        <w:spacing w:after="0" w:line="69" w:lineRule="exact"/>
        <w:rPr>
          <w:sz w:val="20"/>
          <w:szCs w:val="20"/>
          <w:color w:val="auto"/>
        </w:rPr>
      </w:pPr>
    </w:p>
    <w:p>
      <w:pPr>
        <w:ind w:left="480" w:right="120" w:firstLine="411"/>
        <w:spacing w:after="0" w:line="250" w:lineRule="auto"/>
        <w:rPr>
          <w:sz w:val="20"/>
          <w:szCs w:val="20"/>
          <w:color w:val="auto"/>
        </w:rPr>
      </w:pPr>
      <w:r>
        <w:rPr>
          <w:rFonts w:ascii="Arial" w:cs="Arial" w:eastAsia="Arial" w:hAnsi="Arial"/>
          <w:sz w:val="16"/>
          <w:szCs w:val="16"/>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26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Risks Related to Our Operations</w:t>
      </w:r>
    </w:p>
    <w:p>
      <w:pPr>
        <w:spacing w:after="0" w:line="95" w:lineRule="exact"/>
        <w:rPr>
          <w:sz w:val="20"/>
          <w:szCs w:val="20"/>
          <w:color w:val="auto"/>
        </w:rPr>
      </w:pPr>
    </w:p>
    <w:p>
      <w:pPr>
        <w:ind w:left="480" w:right="640"/>
        <w:spacing w:after="0" w:line="264" w:lineRule="auto"/>
        <w:rPr>
          <w:sz w:val="20"/>
          <w:szCs w:val="20"/>
          <w:color w:val="auto"/>
        </w:rPr>
      </w:pPr>
      <w:r>
        <w:rPr>
          <w:rFonts w:ascii="Arial" w:cs="Arial" w:eastAsia="Arial" w:hAnsi="Arial"/>
          <w:sz w:val="17"/>
          <w:szCs w:val="17"/>
          <w:b w:val="1"/>
          <w:bCs w:val="1"/>
          <w:i w:val="1"/>
          <w:iCs w:val="1"/>
          <w:color w:val="auto"/>
        </w:rPr>
        <w:t>We may not be able to scale our business quickly enough to meet our growing client base, and if we are not able to grow efficiently, our operating results could be harmed.</w:t>
      </w:r>
    </w:p>
    <w:p>
      <w:pPr>
        <w:spacing w:after="0" w:line="69" w:lineRule="exact"/>
        <w:rPr>
          <w:sz w:val="20"/>
          <w:szCs w:val="20"/>
          <w:color w:val="auto"/>
        </w:rPr>
      </w:pPr>
    </w:p>
    <w:p>
      <w:pPr>
        <w:ind w:left="480" w:firstLine="411"/>
        <w:spacing w:after="0" w:line="236" w:lineRule="auto"/>
        <w:rPr>
          <w:sz w:val="20"/>
          <w:szCs w:val="20"/>
          <w:color w:val="auto"/>
        </w:rPr>
      </w:pPr>
      <w:r>
        <w:rPr>
          <w:rFonts w:ascii="Arial" w:cs="Arial" w:eastAsia="Arial" w:hAnsi="Arial"/>
          <w:sz w:val="17"/>
          <w:szCs w:val="17"/>
          <w:color w:val="auto"/>
        </w:rPr>
        <w:t>As usage of our solutions grow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assistance to clients’ customers and risk and compliance operations, to serve our growing client base.</w:t>
      </w:r>
    </w:p>
    <w:p>
      <w:pPr>
        <w:spacing w:after="0" w:line="189"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3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760"/>
          </w:cols>
          <w:pgMar w:left="320" w:top="464" w:right="81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right="240"/>
        <w:spacing w:after="0" w:line="296" w:lineRule="auto"/>
        <w:rPr>
          <w:sz w:val="20"/>
          <w:szCs w:val="20"/>
          <w:color w:val="auto"/>
        </w:rPr>
      </w:pPr>
      <w:r>
        <w:rPr>
          <w:rFonts w:ascii="Arial" w:cs="Arial" w:eastAsia="Arial" w:hAnsi="Arial"/>
          <w:sz w:val="16"/>
          <w:szCs w:val="16"/>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45" w:lineRule="exact"/>
        <w:rPr>
          <w:sz w:val="20"/>
          <w:szCs w:val="20"/>
          <w:color w:val="auto"/>
        </w:rPr>
      </w:pPr>
    </w:p>
    <w:p>
      <w:pPr>
        <w:ind w:left="480" w:right="20" w:firstLine="411"/>
        <w:spacing w:after="0" w:line="234" w:lineRule="auto"/>
        <w:rPr>
          <w:sz w:val="20"/>
          <w:szCs w:val="20"/>
          <w:color w:val="auto"/>
        </w:rPr>
      </w:pPr>
      <w:r>
        <w:rPr>
          <w:rFonts w:ascii="Arial" w:cs="Arial" w:eastAsia="Arial" w:hAnsi="Arial"/>
          <w:sz w:val="17"/>
          <w:szCs w:val="17"/>
          <w:color w:val="auto"/>
        </w:rPr>
        <w:t>For the year ended December 31, 2020, we processed over $7.5 billion in payments on our solutions, compared to approximately $5.8 billion for the year ended December 31, 2019. For the six months ended June 30, 2021, we processed approximately $4.8 billion in payments on our solutions. We have grown rapidly and seek to continue to grow, and our business is subject to the risk of financial losses as a result of chargebacks for client-related losses, credit losses, operational errors, software defects, service disruption, employee misconduct, security breaches, or other similar actions or errors in our solutions. As a provider of accounts receivable and other payment solutions, we enable the transfer of funds to our clients from their customers. Software errors in our solutions and operational errors by our FlyMates and business partners may also expose us to losses.</w:t>
      </w:r>
    </w:p>
    <w:p>
      <w:pPr>
        <w:spacing w:after="0" w:line="191" w:lineRule="exact"/>
        <w:rPr>
          <w:sz w:val="20"/>
          <w:szCs w:val="20"/>
          <w:color w:val="auto"/>
        </w:rPr>
      </w:pPr>
    </w:p>
    <w:p>
      <w:pPr>
        <w:jc w:val="both"/>
        <w:ind w:left="480" w:right="360" w:firstLine="411"/>
        <w:spacing w:after="0" w:line="254" w:lineRule="auto"/>
        <w:rPr>
          <w:sz w:val="20"/>
          <w:szCs w:val="20"/>
          <w:color w:val="auto"/>
        </w:rPr>
      </w:pPr>
      <w:r>
        <w:rPr>
          <w:rFonts w:ascii="Arial" w:cs="Arial" w:eastAsia="Arial" w:hAnsi="Arial"/>
          <w:sz w:val="16"/>
          <w:szCs w:val="16"/>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91" w:lineRule="exact"/>
        <w:rPr>
          <w:sz w:val="20"/>
          <w:szCs w:val="20"/>
          <w:color w:val="auto"/>
        </w:rPr>
      </w:pPr>
    </w:p>
    <w:p>
      <w:pPr>
        <w:ind w:left="1380" w:hanging="497"/>
        <w:spacing w:after="0"/>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loss of clients or a reduction in use of our solutions by our clients’ customers;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lost or delayed market acceptance and acquisition of new clients;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legal claims against us;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regulatory enforcement action; or</w:t>
      </w:r>
    </w:p>
    <w:p>
      <w:pPr>
        <w:spacing w:after="0" w:line="107" w:lineRule="exact"/>
        <w:rPr>
          <w:rFonts w:ascii="Arial" w:cs="Arial" w:eastAsia="Arial" w:hAnsi="Arial"/>
          <w:sz w:val="17"/>
          <w:szCs w:val="17"/>
          <w:color w:val="auto"/>
        </w:rPr>
      </w:pPr>
    </w:p>
    <w:p>
      <w:pPr>
        <w:ind w:left="1380" w:right="200" w:hanging="497"/>
        <w:spacing w:after="0"/>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diversion of our resources, including through increased service expenses or financial concessions, and increased insurance costs.</w:t>
      </w:r>
    </w:p>
    <w:p>
      <w:pPr>
        <w:spacing w:after="0" w:line="189" w:lineRule="exact"/>
        <w:rPr>
          <w:sz w:val="20"/>
          <w:szCs w:val="20"/>
          <w:color w:val="auto"/>
        </w:rPr>
      </w:pPr>
    </w:p>
    <w:p>
      <w:pPr>
        <w:ind w:left="480" w:right="200" w:firstLine="411"/>
        <w:spacing w:after="0" w:line="237" w:lineRule="auto"/>
        <w:rPr>
          <w:sz w:val="20"/>
          <w:szCs w:val="20"/>
          <w:color w:val="auto"/>
        </w:rPr>
      </w:pPr>
      <w:r>
        <w:rPr>
          <w:rFonts w:ascii="Arial" w:cs="Arial" w:eastAsia="Arial" w:hAnsi="Arial"/>
          <w:sz w:val="17"/>
          <w:szCs w:val="17"/>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271" w:lineRule="exact"/>
        <w:rPr>
          <w:sz w:val="20"/>
          <w:szCs w:val="20"/>
          <w:color w:val="auto"/>
        </w:rPr>
      </w:pPr>
    </w:p>
    <w:p>
      <w:pPr>
        <w:ind w:left="480" w:right="20"/>
        <w:spacing w:after="0" w:line="248" w:lineRule="auto"/>
        <w:rPr>
          <w:sz w:val="20"/>
          <w:szCs w:val="20"/>
          <w:color w:val="auto"/>
        </w:rPr>
      </w:pPr>
      <w:r>
        <w:rPr>
          <w:rFonts w:ascii="Arial" w:cs="Arial" w:eastAsia="Arial" w:hAnsi="Arial"/>
          <w:sz w:val="17"/>
          <w:szCs w:val="17"/>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82" w:lineRule="exact"/>
        <w:rPr>
          <w:sz w:val="20"/>
          <w:szCs w:val="20"/>
          <w:color w:val="auto"/>
        </w:rPr>
      </w:pPr>
    </w:p>
    <w:p>
      <w:pPr>
        <w:ind w:left="480" w:right="60" w:firstLine="411"/>
        <w:spacing w:after="0" w:line="234" w:lineRule="auto"/>
        <w:rPr>
          <w:sz w:val="20"/>
          <w:szCs w:val="20"/>
          <w:color w:val="auto"/>
        </w:rPr>
      </w:pPr>
      <w:r>
        <w:rPr>
          <w:rFonts w:ascii="Arial" w:cs="Arial" w:eastAsia="Arial" w:hAnsi="Arial"/>
          <w:sz w:val="17"/>
          <w:szCs w:val="17"/>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91" w:lineRule="exact"/>
        <w:rPr>
          <w:sz w:val="20"/>
          <w:szCs w:val="20"/>
          <w:color w:val="auto"/>
        </w:rPr>
      </w:pPr>
    </w:p>
    <w:p>
      <w:pPr>
        <w:ind w:left="480" w:right="160" w:firstLine="411"/>
        <w:spacing w:after="0" w:line="237" w:lineRule="auto"/>
        <w:rPr>
          <w:sz w:val="20"/>
          <w:szCs w:val="20"/>
          <w:color w:val="auto"/>
        </w:rPr>
      </w:pPr>
      <w:r>
        <w:rPr>
          <w:rFonts w:ascii="Arial" w:cs="Arial" w:eastAsia="Arial" w:hAnsi="Arial"/>
          <w:sz w:val="17"/>
          <w:szCs w:val="17"/>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profits, and operating results.</w:t>
      </w:r>
    </w:p>
    <w:p>
      <w:pPr>
        <w:spacing w:after="0" w:line="190"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2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760"/>
          </w:cols>
          <w:pgMar w:left="320" w:top="464" w:right="81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right="120"/>
        <w:spacing w:after="0" w:line="248" w:lineRule="auto"/>
        <w:rPr>
          <w:sz w:val="20"/>
          <w:szCs w:val="20"/>
          <w:color w:val="auto"/>
        </w:rPr>
      </w:pPr>
      <w:r>
        <w:rPr>
          <w:rFonts w:ascii="Arial" w:cs="Arial" w:eastAsia="Arial" w:hAnsi="Arial"/>
          <w:sz w:val="17"/>
          <w:szCs w:val="17"/>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82" w:lineRule="exact"/>
        <w:rPr>
          <w:sz w:val="20"/>
          <w:szCs w:val="20"/>
          <w:color w:val="auto"/>
        </w:rPr>
      </w:pPr>
    </w:p>
    <w:p>
      <w:pPr>
        <w:ind w:left="480" w:right="260" w:firstLine="411"/>
        <w:spacing w:after="0" w:line="235" w:lineRule="auto"/>
        <w:rPr>
          <w:sz w:val="20"/>
          <w:szCs w:val="20"/>
          <w:color w:val="auto"/>
        </w:rPr>
      </w:pPr>
      <w:r>
        <w:rPr>
          <w:rFonts w:ascii="Arial" w:cs="Arial" w:eastAsia="Arial" w:hAnsi="Arial"/>
          <w:sz w:val="17"/>
          <w:szCs w:val="17"/>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90" w:lineRule="exact"/>
        <w:rPr>
          <w:sz w:val="20"/>
          <w:szCs w:val="20"/>
          <w:color w:val="auto"/>
        </w:rPr>
      </w:pPr>
    </w:p>
    <w:p>
      <w:pPr>
        <w:ind w:left="480" w:right="100" w:firstLine="411"/>
        <w:spacing w:after="0" w:line="249" w:lineRule="auto"/>
        <w:rPr>
          <w:sz w:val="20"/>
          <w:szCs w:val="20"/>
          <w:color w:val="auto"/>
        </w:rPr>
      </w:pPr>
      <w:r>
        <w:rPr>
          <w:rFonts w:ascii="Arial" w:cs="Arial" w:eastAsia="Arial" w:hAnsi="Arial"/>
          <w:sz w:val="16"/>
          <w:szCs w:val="16"/>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National Automated Clearing House Association (NACHA), which manages the governance of the Automated Clearing House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Payment Card Industry Data Security Standards (PCI DSS) and network requirements. The loss, destruction or unauthorized modification or disclosure of merchant or cardholder data by us or our contracted third parties could result in significant fines, sanctions and proceedings or actions against us by the payment networks, governmental entities, clients, client customers or others and damage our reputation.</w:t>
      </w:r>
    </w:p>
    <w:p>
      <w:pPr>
        <w:spacing w:after="0" w:line="182" w:lineRule="exact"/>
        <w:rPr>
          <w:sz w:val="20"/>
          <w:szCs w:val="20"/>
          <w:color w:val="auto"/>
        </w:rPr>
      </w:pPr>
    </w:p>
    <w:p>
      <w:pPr>
        <w:ind w:left="480" w:right="20" w:firstLine="411"/>
        <w:spacing w:after="0" w:line="233" w:lineRule="auto"/>
        <w:rPr>
          <w:sz w:val="20"/>
          <w:szCs w:val="20"/>
          <w:color w:val="auto"/>
        </w:rPr>
      </w:pPr>
      <w:r>
        <w:rPr>
          <w:rFonts w:ascii="Arial" w:cs="Arial" w:eastAsia="Arial" w:hAnsi="Arial"/>
          <w:sz w:val="17"/>
          <w:szCs w:val="17"/>
          <w:color w:val="auto"/>
        </w:rPr>
        <w:t>Similarly, there are existing regulatory regimes designed to protect the privacy of categories of personal or otherwise sensitive data. Relevant U.S. federal privacy laws include the Family Educational Rights and Privacy Act (FERPA), the Gramm-Leach-Bliley Act (GLBA), and the Health Insurance Portability and Accountability Act (HIPAA). We also are subject to stringent contractual obligations relating to the handling of such data, including obligations that are more restrictive than legally required. For example, under HIPAA, the information we collect during the payment experience may include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the regulators of Flywire and our clients. Any unauthorized disclosure of PHI or other data we are obligated to protect by regulation or contract could result in significant fines, sanctions, or requirements to take corrective action that could materially adversely affect our reputation and business.</w:t>
      </w:r>
    </w:p>
    <w:p>
      <w:pPr>
        <w:spacing w:after="0" w:line="193" w:lineRule="exact"/>
        <w:rPr>
          <w:sz w:val="20"/>
          <w:szCs w:val="20"/>
          <w:color w:val="auto"/>
        </w:rPr>
      </w:pPr>
    </w:p>
    <w:p>
      <w:pPr>
        <w:ind w:left="480" w:firstLine="411"/>
        <w:spacing w:after="0" w:line="249" w:lineRule="auto"/>
        <w:rPr>
          <w:sz w:val="20"/>
          <w:szCs w:val="20"/>
          <w:color w:val="auto"/>
        </w:rPr>
      </w:pPr>
      <w:r>
        <w:rPr>
          <w:rFonts w:ascii="Arial" w:cs="Arial" w:eastAsia="Arial" w:hAnsi="Arial"/>
          <w:sz w:val="16"/>
          <w:szCs w:val="16"/>
          <w:color w:val="auto"/>
        </w:rPr>
        <w:t>Threats may derive from human error, fraud, or malice on the part of employees or third parties, or from accidental technological failure. For example, certain of our employees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84" w:lineRule="exact"/>
        <w:rPr>
          <w:sz w:val="20"/>
          <w:szCs w:val="20"/>
          <w:color w:val="auto"/>
        </w:rPr>
      </w:pPr>
    </w:p>
    <w:p>
      <w:pPr>
        <w:ind w:left="480" w:right="40" w:firstLine="411"/>
        <w:spacing w:after="0" w:line="233" w:lineRule="auto"/>
        <w:rPr>
          <w:sz w:val="20"/>
          <w:szCs w:val="20"/>
          <w:color w:val="auto"/>
        </w:rPr>
      </w:pPr>
      <w:r>
        <w:rPr>
          <w:rFonts w:ascii="Arial" w:cs="Arial" w:eastAsia="Arial" w:hAnsi="Arial"/>
          <w:sz w:val="17"/>
          <w:szCs w:val="17"/>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w:t>
      </w:r>
    </w:p>
    <w:p>
      <w:pPr>
        <w:spacing w:after="0" w:line="13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740"/>
          </w:cols>
          <w:pgMar w:left="320" w:top="464" w:right="8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both"/>
        <w:ind w:left="480" w:right="20"/>
        <w:spacing w:after="0" w:line="237" w:lineRule="auto"/>
        <w:rPr>
          <w:sz w:val="20"/>
          <w:szCs w:val="20"/>
          <w:color w:val="auto"/>
        </w:rPr>
      </w:pPr>
      <w:r>
        <w:rPr>
          <w:rFonts w:ascii="Arial" w:cs="Arial" w:eastAsia="Arial" w:hAnsi="Arial"/>
          <w:sz w:val="17"/>
          <w:szCs w:val="17"/>
          <w:color w:val="auto"/>
        </w:rPr>
        <w:t>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90" w:lineRule="exact"/>
        <w:rPr>
          <w:sz w:val="20"/>
          <w:szCs w:val="20"/>
          <w:color w:val="auto"/>
        </w:rPr>
      </w:pPr>
    </w:p>
    <w:p>
      <w:pPr>
        <w:ind w:left="480" w:right="20" w:firstLine="411"/>
        <w:spacing w:after="0" w:line="233" w:lineRule="auto"/>
        <w:rPr>
          <w:sz w:val="20"/>
          <w:szCs w:val="20"/>
          <w:color w:val="auto"/>
        </w:rPr>
      </w:pPr>
      <w:r>
        <w:rPr>
          <w:rFonts w:ascii="Arial" w:cs="Arial" w:eastAsia="Arial" w:hAnsi="Arial"/>
          <w:sz w:val="17"/>
          <w:szCs w:val="17"/>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Because of this, we face additional cybersecurity challenges, including threats to our own IT infrastructure or those of our clients, our customers’ clients,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92" w:lineRule="exact"/>
        <w:rPr>
          <w:sz w:val="20"/>
          <w:szCs w:val="20"/>
          <w:color w:val="auto"/>
        </w:rPr>
      </w:pPr>
    </w:p>
    <w:p>
      <w:pPr>
        <w:ind w:left="480" w:firstLine="411"/>
        <w:spacing w:after="0" w:line="236" w:lineRule="auto"/>
        <w:rPr>
          <w:sz w:val="20"/>
          <w:szCs w:val="20"/>
          <w:color w:val="auto"/>
        </w:rPr>
      </w:pPr>
      <w:r>
        <w:rPr>
          <w:rFonts w:ascii="Arial" w:cs="Arial" w:eastAsia="Arial" w:hAnsi="Arial"/>
          <w:sz w:val="17"/>
          <w:szCs w:val="17"/>
          <w:color w:val="auto"/>
        </w:rPr>
        <w:t>Additionally, it is also possible that unauthorized access to sensitive customer and business data may be obtained through inadequate use of security controls by our customers, suppliers or other vendors. While we are not currently aware of any impact that the SolarWinds supply chain attack had on our business, this is a recent event, and the scope of the attack is yet unknown. Therefore, there is residual risk that we may experience a security breach arising from the SolarWinds supply chain attack.</w:t>
      </w:r>
    </w:p>
    <w:p>
      <w:pPr>
        <w:spacing w:after="0" w:line="189" w:lineRule="exact"/>
        <w:rPr>
          <w:sz w:val="20"/>
          <w:szCs w:val="20"/>
          <w:color w:val="auto"/>
        </w:rPr>
      </w:pPr>
    </w:p>
    <w:p>
      <w:pPr>
        <w:ind w:left="480" w:right="60" w:firstLine="411"/>
        <w:spacing w:after="0" w:line="233" w:lineRule="auto"/>
        <w:rPr>
          <w:sz w:val="20"/>
          <w:szCs w:val="20"/>
          <w:color w:val="auto"/>
        </w:rPr>
      </w:pPr>
      <w:r>
        <w:rPr>
          <w:rFonts w:ascii="Arial" w:cs="Arial" w:eastAsia="Arial" w:hAnsi="Arial"/>
          <w:sz w:val="17"/>
          <w:szCs w:val="17"/>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w:t>
      </w:r>
    </w:p>
    <w:p>
      <w:pPr>
        <w:spacing w:after="0" w:line="191" w:lineRule="exact"/>
        <w:rPr>
          <w:sz w:val="20"/>
          <w:szCs w:val="20"/>
          <w:color w:val="auto"/>
        </w:rPr>
      </w:pPr>
    </w:p>
    <w:p>
      <w:pPr>
        <w:ind w:left="480" w:right="20" w:firstLine="411"/>
        <w:spacing w:after="0" w:line="233" w:lineRule="auto"/>
        <w:rPr>
          <w:sz w:val="20"/>
          <w:szCs w:val="20"/>
          <w:color w:val="auto"/>
        </w:rPr>
      </w:pPr>
      <w:r>
        <w:rPr>
          <w:rFonts w:ascii="Arial" w:cs="Arial" w:eastAsia="Arial" w:hAnsi="Arial"/>
          <w:sz w:val="17"/>
          <w:szCs w:val="17"/>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96" w:lineRule="exact"/>
        <w:rPr>
          <w:sz w:val="20"/>
          <w:szCs w:val="20"/>
          <w:color w:val="auto"/>
        </w:rPr>
      </w:pPr>
    </w:p>
    <w:p>
      <w:pPr>
        <w:ind w:left="480" w:right="60" w:firstLine="411"/>
        <w:spacing w:after="0" w:line="235" w:lineRule="auto"/>
        <w:rPr>
          <w:sz w:val="20"/>
          <w:szCs w:val="20"/>
          <w:color w:val="auto"/>
        </w:rPr>
      </w:pPr>
      <w:r>
        <w:rPr>
          <w:rFonts w:ascii="Arial" w:cs="Arial" w:eastAsia="Arial" w:hAnsi="Arial"/>
          <w:sz w:val="17"/>
          <w:szCs w:val="17"/>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2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740"/>
          </w:cols>
          <w:pgMar w:left="320" w:top="464" w:right="8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right="320"/>
        <w:spacing w:after="0" w:line="264" w:lineRule="auto"/>
        <w:rPr>
          <w:sz w:val="20"/>
          <w:szCs w:val="20"/>
          <w:color w:val="auto"/>
        </w:rPr>
      </w:pPr>
      <w:r>
        <w:rPr>
          <w:rFonts w:ascii="Arial" w:cs="Arial" w:eastAsia="Arial" w:hAnsi="Arial"/>
          <w:sz w:val="17"/>
          <w:szCs w:val="17"/>
          <w:b w:val="1"/>
          <w:bCs w:val="1"/>
          <w:i w:val="1"/>
          <w:iCs w:val="1"/>
          <w:color w:val="auto"/>
        </w:rPr>
        <w:t>Our risk management efforts may not be effective to prevent fraudulent activities by our customers, employees or other third parties, which could expose us to material financial losses and liability and otherwise harm our business.</w:t>
      </w:r>
    </w:p>
    <w:p>
      <w:pPr>
        <w:spacing w:after="0" w:line="69" w:lineRule="exact"/>
        <w:rPr>
          <w:sz w:val="20"/>
          <w:szCs w:val="20"/>
          <w:color w:val="auto"/>
        </w:rPr>
      </w:pPr>
    </w:p>
    <w:p>
      <w:pPr>
        <w:ind w:left="480" w:right="80" w:firstLine="411"/>
        <w:spacing w:after="0" w:line="234" w:lineRule="auto"/>
        <w:rPr>
          <w:sz w:val="20"/>
          <w:szCs w:val="20"/>
          <w:color w:val="auto"/>
        </w:rPr>
      </w:pPr>
      <w:r>
        <w:rPr>
          <w:rFonts w:ascii="Arial" w:cs="Arial" w:eastAsia="Arial" w:hAnsi="Arial"/>
          <w:sz w:val="17"/>
          <w:szCs w:val="17"/>
          <w:color w:val="auto"/>
        </w:rPr>
        <w:t>Our software provides payment facilitation solutions for a large number of clients and our clients’ customers. We are responsible for performing know-your-customer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our employees and payment partners or third-parties.</w:t>
      </w:r>
    </w:p>
    <w:p>
      <w:pPr>
        <w:spacing w:after="0" w:line="193" w:lineRule="exact"/>
        <w:rPr>
          <w:sz w:val="20"/>
          <w:szCs w:val="20"/>
          <w:color w:val="auto"/>
        </w:rPr>
      </w:pPr>
    </w:p>
    <w:p>
      <w:pPr>
        <w:ind w:left="480" w:right="40" w:firstLine="411"/>
        <w:spacing w:after="0" w:line="233" w:lineRule="auto"/>
        <w:rPr>
          <w:sz w:val="20"/>
          <w:szCs w:val="20"/>
          <w:color w:val="auto"/>
        </w:rPr>
      </w:pPr>
      <w:r>
        <w:rPr>
          <w:rFonts w:ascii="Arial" w:cs="Arial" w:eastAsia="Arial" w:hAnsi="Arial"/>
          <w:sz w:val="17"/>
          <w:szCs w:val="17"/>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employees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w:t>
      </w:r>
    </w:p>
    <w:p>
      <w:pPr>
        <w:spacing w:after="0" w:line="196"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Our current business and anticipated growth will continue to place significant demands on our risk management efforts, and we will need to continue developing and improving and investing in our existing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272" w:lineRule="exact"/>
        <w:rPr>
          <w:sz w:val="20"/>
          <w:szCs w:val="20"/>
          <w:color w:val="auto"/>
        </w:rPr>
      </w:pPr>
    </w:p>
    <w:p>
      <w:pPr>
        <w:ind w:left="480" w:right="500"/>
        <w:spacing w:after="0" w:line="264" w:lineRule="auto"/>
        <w:rPr>
          <w:sz w:val="20"/>
          <w:szCs w:val="20"/>
          <w:color w:val="auto"/>
        </w:rPr>
      </w:pPr>
      <w:r>
        <w:rPr>
          <w:rFonts w:ascii="Arial" w:cs="Arial" w:eastAsia="Arial" w:hAnsi="Arial"/>
          <w:sz w:val="17"/>
          <w:szCs w:val="17"/>
          <w:b w:val="1"/>
          <w:bCs w:val="1"/>
          <w:i w:val="1"/>
          <w:iCs w:val="1"/>
          <w:color w:val="auto"/>
        </w:rPr>
        <w:t>We are exposed to fluctuations in foreign currency exchange rates that could materially and adversely affect our results of operations.</w:t>
      </w:r>
    </w:p>
    <w:p>
      <w:pPr>
        <w:spacing w:after="0" w:line="69" w:lineRule="exact"/>
        <w:rPr>
          <w:sz w:val="20"/>
          <w:szCs w:val="20"/>
          <w:color w:val="auto"/>
        </w:rPr>
      </w:pPr>
    </w:p>
    <w:p>
      <w:pPr>
        <w:ind w:left="480" w:right="20" w:firstLine="411"/>
        <w:spacing w:after="0" w:line="233" w:lineRule="auto"/>
        <w:rPr>
          <w:sz w:val="20"/>
          <w:szCs w:val="20"/>
          <w:color w:val="auto"/>
        </w:rPr>
      </w:pPr>
      <w:r>
        <w:rPr>
          <w:rFonts w:ascii="Arial" w:cs="Arial" w:eastAsia="Arial" w:hAnsi="Arial"/>
          <w:sz w:val="17"/>
          <w:szCs w:val="17"/>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p>
    <w:p>
      <w:pPr>
        <w:spacing w:after="0" w:line="195" w:lineRule="exact"/>
        <w:rPr>
          <w:sz w:val="20"/>
          <w:szCs w:val="20"/>
          <w:color w:val="auto"/>
        </w:rPr>
      </w:pPr>
    </w:p>
    <w:p>
      <w:pPr>
        <w:ind w:left="480" w:firstLine="411"/>
        <w:spacing w:after="0" w:line="235" w:lineRule="auto"/>
        <w:rPr>
          <w:sz w:val="20"/>
          <w:szCs w:val="20"/>
          <w:color w:val="auto"/>
        </w:rPr>
      </w:pPr>
      <w:r>
        <w:rPr>
          <w:rFonts w:ascii="Arial" w:cs="Arial" w:eastAsia="Arial" w:hAnsi="Arial"/>
          <w:sz w:val="17"/>
          <w:szCs w:val="17"/>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90" w:lineRule="exact"/>
        <w:rPr>
          <w:sz w:val="20"/>
          <w:szCs w:val="20"/>
          <w:color w:val="auto"/>
        </w:rPr>
      </w:pPr>
    </w:p>
    <w:p>
      <w:pPr>
        <w:ind w:left="480" w:firstLine="411"/>
        <w:spacing w:after="0" w:line="235" w:lineRule="auto"/>
        <w:rPr>
          <w:sz w:val="20"/>
          <w:szCs w:val="20"/>
          <w:color w:val="auto"/>
        </w:rPr>
      </w:pPr>
      <w:r>
        <w:rPr>
          <w:rFonts w:ascii="Arial" w:cs="Arial" w:eastAsia="Arial" w:hAnsi="Arial"/>
          <w:sz w:val="17"/>
          <w:szCs w:val="17"/>
          <w:color w:val="auto"/>
        </w:rPr>
        <w:t>As our international operations continue to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271" w:lineRule="exact"/>
        <w:rPr>
          <w:sz w:val="20"/>
          <w:szCs w:val="20"/>
          <w:color w:val="auto"/>
        </w:rPr>
      </w:pPr>
    </w:p>
    <w:p>
      <w:pPr>
        <w:ind w:left="480" w:right="280"/>
        <w:spacing w:after="0" w:line="248" w:lineRule="auto"/>
        <w:rPr>
          <w:sz w:val="20"/>
          <w:szCs w:val="20"/>
          <w:color w:val="auto"/>
        </w:rPr>
      </w:pPr>
      <w:r>
        <w:rPr>
          <w:rFonts w:ascii="Arial" w:cs="Arial" w:eastAsia="Arial" w:hAnsi="Arial"/>
          <w:sz w:val="17"/>
          <w:szCs w:val="17"/>
          <w:b w:val="1"/>
          <w:bCs w:val="1"/>
          <w:i w:val="1"/>
          <w:iCs w:val="1"/>
          <w:color w:val="auto"/>
        </w:rPr>
        <w:t>If we fail to adapt and respond effectively to rapidly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82" w:lineRule="exact"/>
        <w:rPr>
          <w:sz w:val="20"/>
          <w:szCs w:val="20"/>
          <w:color w:val="auto"/>
        </w:rPr>
      </w:pPr>
    </w:p>
    <w:p>
      <w:pPr>
        <w:ind w:left="480" w:right="120" w:firstLine="411"/>
        <w:spacing w:after="0" w:line="234" w:lineRule="auto"/>
        <w:rPr>
          <w:sz w:val="20"/>
          <w:szCs w:val="20"/>
          <w:color w:val="auto"/>
        </w:rPr>
      </w:pPr>
      <w:r>
        <w:rPr>
          <w:rFonts w:ascii="Arial" w:cs="Arial" w:eastAsia="Arial" w:hAnsi="Arial"/>
          <w:sz w:val="17"/>
          <w:szCs w:val="17"/>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The success of our business will depend, in part, on our ability to adapt and respond effectively to these changes through methods which include launching new solutions.</w:t>
      </w:r>
    </w:p>
    <w:p>
      <w:pPr>
        <w:spacing w:after="0" w:line="13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760"/>
          </w:cols>
          <w:pgMar w:left="320" w:top="464" w:right="81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right="80" w:firstLine="411"/>
        <w:spacing w:after="0" w:line="233" w:lineRule="auto"/>
        <w:rPr>
          <w:sz w:val="20"/>
          <w:szCs w:val="20"/>
          <w:color w:val="auto"/>
        </w:rPr>
      </w:pPr>
      <w:r>
        <w:rPr>
          <w:rFonts w:ascii="Arial" w:cs="Arial" w:eastAsia="Arial" w:hAnsi="Arial"/>
          <w:sz w:val="17"/>
          <w:szCs w:val="17"/>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Valencia, Spain, Cluj, Romania, Chicago and Tel Aviv, Israel),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customers dissatisfaction and adversely affect our business.</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Changes to payment card networks fees or rules could harm our business.</w:t>
      </w:r>
    </w:p>
    <w:p>
      <w:pPr>
        <w:spacing w:after="0" w:line="115" w:lineRule="exact"/>
        <w:rPr>
          <w:sz w:val="20"/>
          <w:szCs w:val="20"/>
          <w:color w:val="auto"/>
        </w:rPr>
      </w:pPr>
    </w:p>
    <w:p>
      <w:pPr>
        <w:ind w:left="480" w:firstLine="411"/>
        <w:spacing w:after="0" w:line="248" w:lineRule="auto"/>
        <w:rPr>
          <w:sz w:val="20"/>
          <w:szCs w:val="20"/>
          <w:color w:val="auto"/>
        </w:rPr>
      </w:pPr>
      <w:r>
        <w:rPr>
          <w:rFonts w:ascii="Arial" w:cs="Arial" w:eastAsia="Arial" w:hAnsi="Arial"/>
          <w:sz w:val="16"/>
          <w:szCs w:val="16"/>
          <w:color w:val="auto"/>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266" w:lineRule="exact"/>
        <w:rPr>
          <w:sz w:val="20"/>
          <w:szCs w:val="20"/>
          <w:color w:val="auto"/>
        </w:rPr>
      </w:pPr>
    </w:p>
    <w:p>
      <w:pPr>
        <w:ind w:left="480" w:right="160"/>
        <w:spacing w:after="0" w:line="248" w:lineRule="auto"/>
        <w:rPr>
          <w:sz w:val="20"/>
          <w:szCs w:val="20"/>
          <w:color w:val="auto"/>
        </w:rPr>
      </w:pPr>
      <w:r>
        <w:rPr>
          <w:rFonts w:ascii="Arial" w:cs="Arial" w:eastAsia="Arial" w:hAnsi="Arial"/>
          <w:sz w:val="17"/>
          <w:szCs w:val="17"/>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82" w:lineRule="exact"/>
        <w:rPr>
          <w:sz w:val="20"/>
          <w:szCs w:val="20"/>
          <w:color w:val="auto"/>
        </w:rPr>
      </w:pPr>
    </w:p>
    <w:p>
      <w:pPr>
        <w:ind w:left="480" w:right="40" w:firstLine="411"/>
        <w:spacing w:after="0" w:line="254" w:lineRule="auto"/>
        <w:rPr>
          <w:sz w:val="20"/>
          <w:szCs w:val="20"/>
          <w:color w:val="auto"/>
        </w:rPr>
      </w:pPr>
      <w:r>
        <w:rPr>
          <w:rFonts w:ascii="Arial" w:cs="Arial" w:eastAsia="Arial" w:hAnsi="Arial"/>
          <w:sz w:val="16"/>
          <w:szCs w:val="16"/>
          <w:color w:val="auto"/>
        </w:rPr>
        <w:t>Our solutions integrate with enterprise resource planning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79" w:lineRule="exact"/>
        <w:rPr>
          <w:sz w:val="20"/>
          <w:szCs w:val="20"/>
          <w:color w:val="auto"/>
        </w:rPr>
      </w:pPr>
    </w:p>
    <w:p>
      <w:pPr>
        <w:jc w:val="both"/>
        <w:ind w:left="480" w:right="340" w:firstLine="411"/>
        <w:spacing w:after="0" w:line="237" w:lineRule="auto"/>
        <w:rPr>
          <w:sz w:val="20"/>
          <w:szCs w:val="20"/>
          <w:color w:val="auto"/>
        </w:rPr>
      </w:pPr>
      <w:r>
        <w:rPr>
          <w:rFonts w:ascii="Arial" w:cs="Arial" w:eastAsia="Arial" w:hAnsi="Arial"/>
          <w:sz w:val="17"/>
          <w:szCs w:val="17"/>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90" w:lineRule="exact"/>
        <w:rPr>
          <w:sz w:val="20"/>
          <w:szCs w:val="20"/>
          <w:color w:val="auto"/>
        </w:rPr>
      </w:pPr>
    </w:p>
    <w:p>
      <w:pPr>
        <w:ind w:left="480" w:right="80" w:firstLine="411"/>
        <w:spacing w:after="0" w:line="234" w:lineRule="auto"/>
        <w:rPr>
          <w:sz w:val="20"/>
          <w:szCs w:val="20"/>
          <w:color w:val="auto"/>
        </w:rPr>
      </w:pPr>
      <w:r>
        <w:rPr>
          <w:rFonts w:ascii="Arial" w:cs="Arial" w:eastAsia="Arial" w:hAnsi="Arial"/>
          <w:sz w:val="17"/>
          <w:szCs w:val="17"/>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93" w:lineRule="exact"/>
        <w:rPr>
          <w:sz w:val="20"/>
          <w:szCs w:val="20"/>
          <w:color w:val="auto"/>
        </w:rPr>
      </w:pPr>
    </w:p>
    <w:p>
      <w:pPr>
        <w:ind w:left="480" w:right="280" w:firstLine="411"/>
        <w:spacing w:after="0" w:line="236" w:lineRule="auto"/>
        <w:rPr>
          <w:sz w:val="20"/>
          <w:szCs w:val="20"/>
          <w:color w:val="auto"/>
        </w:rPr>
      </w:pPr>
      <w:r>
        <w:rPr>
          <w:rFonts w:ascii="Arial" w:cs="Arial" w:eastAsia="Arial" w:hAnsi="Arial"/>
          <w:sz w:val="17"/>
          <w:szCs w:val="17"/>
          <w:color w:val="auto"/>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2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740"/>
          </w:cols>
          <w:pgMar w:left="320" w:top="464" w:right="8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right="200"/>
        <w:spacing w:after="0" w:line="264" w:lineRule="auto"/>
        <w:rPr>
          <w:sz w:val="20"/>
          <w:szCs w:val="20"/>
          <w:color w:val="auto"/>
        </w:rPr>
      </w:pPr>
      <w:r>
        <w:rPr>
          <w:rFonts w:ascii="Arial" w:cs="Arial" w:eastAsia="Arial" w:hAnsi="Arial"/>
          <w:sz w:val="17"/>
          <w:szCs w:val="17"/>
          <w:b w:val="1"/>
          <w:bCs w:val="1"/>
          <w:i w:val="1"/>
          <w:iCs w:val="1"/>
          <w:color w:val="auto"/>
        </w:rPr>
        <w:t>If we fail to maintain and enhance our brand, our ability to expand our client base will be impaired and our business, operating results, and financial condition may suffer.</w:t>
      </w:r>
    </w:p>
    <w:p>
      <w:pPr>
        <w:spacing w:after="0" w:line="69" w:lineRule="exact"/>
        <w:rPr>
          <w:sz w:val="20"/>
          <w:szCs w:val="20"/>
          <w:color w:val="auto"/>
        </w:rPr>
      </w:pPr>
    </w:p>
    <w:p>
      <w:pPr>
        <w:ind w:left="480" w:right="120" w:firstLine="411"/>
        <w:spacing w:after="0" w:line="234" w:lineRule="auto"/>
        <w:rPr>
          <w:sz w:val="20"/>
          <w:szCs w:val="20"/>
          <w:color w:val="auto"/>
        </w:rPr>
      </w:pPr>
      <w:r>
        <w:rPr>
          <w:rFonts w:ascii="Arial" w:cs="Arial" w:eastAsia="Arial" w:hAnsi="Arial"/>
          <w:sz w:val="17"/>
          <w:szCs w:val="17"/>
          <w:color w:val="auto"/>
        </w:rPr>
        <w:t>We believe that further developing, maintaining and enhancing the Flywire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our business could suffer.</w:t>
      </w:r>
    </w:p>
    <w:p>
      <w:pPr>
        <w:spacing w:after="0" w:line="271" w:lineRule="exact"/>
        <w:rPr>
          <w:sz w:val="20"/>
          <w:szCs w:val="20"/>
          <w:color w:val="auto"/>
        </w:rPr>
      </w:pPr>
    </w:p>
    <w:p>
      <w:pPr>
        <w:ind w:left="480" w:right="560"/>
        <w:spacing w:after="0" w:line="264" w:lineRule="auto"/>
        <w:rPr>
          <w:sz w:val="20"/>
          <w:szCs w:val="20"/>
          <w:color w:val="auto"/>
        </w:rPr>
      </w:pPr>
      <w:r>
        <w:rPr>
          <w:rFonts w:ascii="Arial" w:cs="Arial" w:eastAsia="Arial" w:hAnsi="Arial"/>
          <w:sz w:val="17"/>
          <w:szCs w:val="17"/>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69" w:lineRule="exact"/>
        <w:rPr>
          <w:sz w:val="20"/>
          <w:szCs w:val="20"/>
          <w:color w:val="auto"/>
        </w:rPr>
      </w:pPr>
    </w:p>
    <w:p>
      <w:pPr>
        <w:ind w:left="480" w:right="60" w:firstLine="411"/>
        <w:spacing w:after="0" w:line="233" w:lineRule="auto"/>
        <w:rPr>
          <w:sz w:val="20"/>
          <w:szCs w:val="20"/>
          <w:color w:val="auto"/>
        </w:rPr>
      </w:pPr>
      <w:r>
        <w:rPr>
          <w:rFonts w:ascii="Arial" w:cs="Arial" w:eastAsia="Arial" w:hAnsi="Arial"/>
          <w:sz w:val="17"/>
          <w:szCs w:val="17"/>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We currently have “key person” insurance on our Chief Executive Officer, Michael Massaro, but not for any of the other members of our management team. Certain of our key employees have been with us for a long period of time and have fully vested stock options or other long-term equity incentives that may become valuable and will be publicly tradable upon the completion of an initial public offering.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275" w:lineRule="exact"/>
        <w:rPr>
          <w:sz w:val="20"/>
          <w:szCs w:val="20"/>
          <w:color w:val="auto"/>
        </w:rPr>
      </w:pPr>
    </w:p>
    <w:p>
      <w:pPr>
        <w:ind w:left="480"/>
        <w:spacing w:after="0" w:line="264" w:lineRule="auto"/>
        <w:rPr>
          <w:sz w:val="20"/>
          <w:szCs w:val="20"/>
          <w:color w:val="auto"/>
        </w:rPr>
      </w:pPr>
      <w:r>
        <w:rPr>
          <w:rFonts w:ascii="Arial" w:cs="Arial" w:eastAsia="Arial" w:hAnsi="Arial"/>
          <w:sz w:val="17"/>
          <w:szCs w:val="17"/>
          <w:b w:val="1"/>
          <w:bCs w:val="1"/>
          <w:i w:val="1"/>
          <w:iCs w:val="1"/>
          <w:color w:val="auto"/>
        </w:rPr>
        <w:t>The failure to attract and retain additional qualified personnel could prevent us from executing our business strategy and growth plans.</w:t>
      </w:r>
    </w:p>
    <w:p>
      <w:pPr>
        <w:spacing w:after="0" w:line="69" w:lineRule="exact"/>
        <w:rPr>
          <w:sz w:val="20"/>
          <w:szCs w:val="20"/>
          <w:color w:val="auto"/>
        </w:rPr>
      </w:pPr>
    </w:p>
    <w:p>
      <w:pPr>
        <w:ind w:left="480" w:right="20" w:firstLine="411"/>
        <w:spacing w:after="0" w:line="234" w:lineRule="auto"/>
        <w:rPr>
          <w:sz w:val="20"/>
          <w:szCs w:val="20"/>
          <w:color w:val="auto"/>
        </w:rPr>
      </w:pPr>
      <w:r>
        <w:rPr>
          <w:rFonts w:ascii="Arial" w:cs="Arial" w:eastAsia="Arial" w:hAnsi="Arial"/>
          <w:sz w:val="17"/>
          <w:szCs w:val="17"/>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If we cannot maintain our company culture as we grow, our success and our business may be harmed.</w:t>
      </w:r>
    </w:p>
    <w:p>
      <w:pPr>
        <w:spacing w:after="0" w:line="115" w:lineRule="exact"/>
        <w:rPr>
          <w:sz w:val="20"/>
          <w:szCs w:val="20"/>
          <w:color w:val="auto"/>
        </w:rPr>
      </w:pPr>
    </w:p>
    <w:p>
      <w:pPr>
        <w:ind w:left="480" w:right="80" w:firstLine="411"/>
        <w:spacing w:after="0" w:line="235" w:lineRule="auto"/>
        <w:rPr>
          <w:sz w:val="20"/>
          <w:szCs w:val="20"/>
          <w:color w:val="auto"/>
        </w:rPr>
      </w:pPr>
      <w:r>
        <w:rPr>
          <w:rFonts w:ascii="Arial" w:cs="Arial" w:eastAsia="Arial" w:hAnsi="Arial"/>
          <w:sz w:val="17"/>
          <w:szCs w:val="17"/>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adversely affected.</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Our sales cycles may be long and vary.</w:t>
      </w:r>
    </w:p>
    <w:p>
      <w:pPr>
        <w:spacing w:after="0" w:line="115" w:lineRule="exact"/>
        <w:rPr>
          <w:sz w:val="20"/>
          <w:szCs w:val="20"/>
          <w:color w:val="auto"/>
        </w:rPr>
      </w:pPr>
    </w:p>
    <w:p>
      <w:pPr>
        <w:ind w:left="480" w:right="140" w:firstLine="411"/>
        <w:spacing w:after="0" w:line="237" w:lineRule="auto"/>
        <w:rPr>
          <w:sz w:val="20"/>
          <w:szCs w:val="20"/>
          <w:color w:val="auto"/>
        </w:rPr>
      </w:pPr>
      <w:r>
        <w:rPr>
          <w:rFonts w:ascii="Arial" w:cs="Arial" w:eastAsia="Arial" w:hAnsi="Arial"/>
          <w:sz w:val="17"/>
          <w:szCs w:val="17"/>
          <w:color w:val="auto"/>
        </w:rPr>
        <w:t>We devote significant resources to establish relationships with new clients and deepen relationships with existing clients. The sales cycles for sales of our solutions tend to vary depending on the client industry sector which may make forecasting more complex and uncertain.</w:t>
      </w:r>
    </w:p>
    <w:p>
      <w:pPr>
        <w:spacing w:after="0" w:line="190"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As a result of the ongoing COVID-19 pandemic, many enterprises have limited travel, prohibited in person meetings and implemented other restrictions that could make the sales process more lengthy and difficult.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w:t>
      </w:r>
    </w:p>
    <w:p>
      <w:pPr>
        <w:spacing w:after="0" w:line="12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760"/>
          </w:cols>
          <w:pgMar w:left="320" w:top="464" w:right="81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spacing w:after="0" w:line="234" w:lineRule="auto"/>
        <w:rPr>
          <w:sz w:val="20"/>
          <w:szCs w:val="20"/>
          <w:color w:val="auto"/>
        </w:rPr>
      </w:pPr>
      <w:r>
        <w:rPr>
          <w:rFonts w:ascii="Arial" w:cs="Arial" w:eastAsia="Arial" w:hAnsi="Arial"/>
          <w:sz w:val="17"/>
          <w:szCs w:val="17"/>
          <w:color w:val="auto"/>
        </w:rPr>
        <w:t>higher education systems will solicit service offers by issuing requests for proposals (RFPs), which are generally a time- and resource-intensive process, with no assurances of being selected as a vendor after the RFP process is completed. Finally,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spacing w:after="0" w:line="191" w:lineRule="exact"/>
        <w:rPr>
          <w:sz w:val="20"/>
          <w:szCs w:val="20"/>
          <w:color w:val="auto"/>
        </w:rPr>
      </w:pPr>
    </w:p>
    <w:p>
      <w:pPr>
        <w:ind w:left="480" w:right="140" w:firstLine="411"/>
        <w:spacing w:after="0" w:line="235" w:lineRule="auto"/>
        <w:rPr>
          <w:sz w:val="20"/>
          <w:szCs w:val="20"/>
          <w:color w:val="auto"/>
        </w:rPr>
      </w:pPr>
      <w:r>
        <w:rPr>
          <w:rFonts w:ascii="Arial" w:cs="Arial" w:eastAsia="Arial" w:hAnsi="Arial"/>
          <w:sz w:val="17"/>
          <w:szCs w:val="17"/>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Any difficulties or delays in the initial implementation could cause clients to reject our solutions or lead to the delay or non-receipt of future orders, in which case our business, operating results and financial condition would be harmed.</w:t>
      </w:r>
    </w:p>
    <w:p>
      <w:pPr>
        <w:spacing w:after="0" w:line="190" w:lineRule="exact"/>
        <w:rPr>
          <w:sz w:val="20"/>
          <w:szCs w:val="20"/>
          <w:color w:val="auto"/>
        </w:rPr>
      </w:pPr>
    </w:p>
    <w:p>
      <w:pPr>
        <w:ind w:left="480" w:right="140" w:firstLine="411"/>
        <w:spacing w:after="0" w:line="235" w:lineRule="auto"/>
        <w:rPr>
          <w:sz w:val="20"/>
          <w:szCs w:val="20"/>
          <w:color w:val="auto"/>
        </w:rPr>
      </w:pPr>
      <w:r>
        <w:rPr>
          <w:rFonts w:ascii="Arial" w:cs="Arial" w:eastAsia="Arial" w:hAnsi="Arial"/>
          <w:sz w:val="17"/>
          <w:szCs w:val="17"/>
          <w:color w:val="auto"/>
        </w:rPr>
        <w:t>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271" w:lineRule="exact"/>
        <w:rPr>
          <w:sz w:val="20"/>
          <w:szCs w:val="20"/>
          <w:color w:val="auto"/>
        </w:rPr>
      </w:pPr>
    </w:p>
    <w:p>
      <w:pPr>
        <w:ind w:left="480" w:right="1020"/>
        <w:spacing w:after="0" w:line="264" w:lineRule="auto"/>
        <w:rPr>
          <w:sz w:val="20"/>
          <w:szCs w:val="20"/>
          <w:color w:val="auto"/>
        </w:rPr>
      </w:pPr>
      <w:r>
        <w:rPr>
          <w:rFonts w:ascii="Arial" w:cs="Arial" w:eastAsia="Arial" w:hAnsi="Arial"/>
          <w:sz w:val="17"/>
          <w:szCs w:val="17"/>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69" w:lineRule="exact"/>
        <w:rPr>
          <w:sz w:val="20"/>
          <w:szCs w:val="20"/>
          <w:color w:val="auto"/>
        </w:rPr>
      </w:pPr>
    </w:p>
    <w:p>
      <w:pPr>
        <w:ind w:left="480" w:right="60" w:firstLine="411"/>
        <w:spacing w:after="0" w:line="233" w:lineRule="auto"/>
        <w:rPr>
          <w:sz w:val="20"/>
          <w:szCs w:val="20"/>
          <w:color w:val="auto"/>
        </w:rPr>
      </w:pPr>
      <w:r>
        <w:rPr>
          <w:rFonts w:ascii="Arial" w:cs="Arial" w:eastAsia="Arial" w:hAnsi="Arial"/>
          <w:sz w:val="17"/>
          <w:szCs w:val="17"/>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as a result of the COVID-19 pandemic and other factors.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277" w:lineRule="exact"/>
        <w:rPr>
          <w:sz w:val="20"/>
          <w:szCs w:val="20"/>
          <w:color w:val="auto"/>
        </w:rPr>
      </w:pPr>
    </w:p>
    <w:p>
      <w:pPr>
        <w:ind w:left="480" w:right="240"/>
        <w:spacing w:after="0" w:line="264" w:lineRule="auto"/>
        <w:rPr>
          <w:sz w:val="20"/>
          <w:szCs w:val="20"/>
          <w:color w:val="auto"/>
        </w:rPr>
      </w:pPr>
      <w:r>
        <w:rPr>
          <w:rFonts w:ascii="Arial" w:cs="Arial" w:eastAsia="Arial" w:hAnsi="Arial"/>
          <w:sz w:val="17"/>
          <w:szCs w:val="17"/>
          <w:b w:val="1"/>
          <w:bCs w:val="1"/>
          <w:i w:val="1"/>
          <w:iCs w:val="1"/>
          <w:color w:val="auto"/>
        </w:rPr>
        <w:t>If we fail to offer high-quality client support, or if our support is more expensive than anticipated, our business and reputation could suffer.</w:t>
      </w:r>
    </w:p>
    <w:p>
      <w:pPr>
        <w:spacing w:after="0" w:line="69" w:lineRule="exact"/>
        <w:rPr>
          <w:sz w:val="20"/>
          <w:szCs w:val="20"/>
          <w:color w:val="auto"/>
        </w:rPr>
      </w:pPr>
    </w:p>
    <w:p>
      <w:pPr>
        <w:ind w:left="480" w:right="60" w:firstLine="411"/>
        <w:spacing w:after="0" w:line="233" w:lineRule="auto"/>
        <w:rPr>
          <w:sz w:val="20"/>
          <w:szCs w:val="20"/>
          <w:color w:val="auto"/>
        </w:rPr>
      </w:pPr>
      <w:r>
        <w:rPr>
          <w:rFonts w:ascii="Arial" w:cs="Arial" w:eastAsia="Arial" w:hAnsi="Arial"/>
          <w:sz w:val="17"/>
          <w:szCs w:val="17"/>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96" w:lineRule="exact"/>
        <w:rPr>
          <w:sz w:val="20"/>
          <w:szCs w:val="20"/>
          <w:color w:val="auto"/>
        </w:rPr>
      </w:pPr>
    </w:p>
    <w:p>
      <w:pPr>
        <w:ind w:left="480" w:right="240" w:firstLine="411"/>
        <w:spacing w:after="0" w:line="236" w:lineRule="auto"/>
        <w:rPr>
          <w:sz w:val="20"/>
          <w:szCs w:val="20"/>
          <w:color w:val="auto"/>
        </w:rPr>
      </w:pPr>
      <w:r>
        <w:rPr>
          <w:rFonts w:ascii="Arial" w:cs="Arial" w:eastAsia="Arial" w:hAnsi="Arial"/>
          <w:sz w:val="17"/>
          <w:szCs w:val="17"/>
          <w:color w:val="auto"/>
        </w:rPr>
        <w:t>In addition, as we continue to grow our operations and continue to expand to new jurisdictions, we need to be able to provide efficient client service that meets our clients’ needs globally at scale. In geographies where we sell through our indirect sales channel, if we are unable to provide a high quality client experience tailored to the language and culture of the applicable jurisdiction, our business operations and reputation may suffer.</w:t>
      </w:r>
    </w:p>
    <w:p>
      <w:pPr>
        <w:spacing w:after="0" w:line="270" w:lineRule="exact"/>
        <w:rPr>
          <w:sz w:val="20"/>
          <w:szCs w:val="20"/>
          <w:color w:val="auto"/>
        </w:rPr>
      </w:pPr>
    </w:p>
    <w:p>
      <w:pPr>
        <w:ind w:left="480" w:right="240"/>
        <w:spacing w:after="0" w:line="264" w:lineRule="auto"/>
        <w:rPr>
          <w:sz w:val="20"/>
          <w:szCs w:val="20"/>
          <w:color w:val="auto"/>
        </w:rPr>
      </w:pPr>
      <w:r>
        <w:rPr>
          <w:rFonts w:ascii="Arial" w:cs="Arial" w:eastAsia="Arial" w:hAnsi="Arial"/>
          <w:sz w:val="17"/>
          <w:szCs w:val="17"/>
          <w:b w:val="1"/>
          <w:bCs w:val="1"/>
          <w:i w:val="1"/>
          <w:iCs w:val="1"/>
          <w:color w:val="auto"/>
        </w:rPr>
        <w:t>We may require additional capital to support the growth of our business, and this capital might not be available on acceptable terms, if at all.</w:t>
      </w:r>
    </w:p>
    <w:p>
      <w:pPr>
        <w:spacing w:after="0" w:line="69"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w:t>
      </w:r>
    </w:p>
    <w:p>
      <w:pPr>
        <w:spacing w:after="0" w:line="12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760"/>
          </w:cols>
          <w:pgMar w:left="320" w:top="464" w:right="81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right="160"/>
        <w:spacing w:after="0" w:line="252" w:lineRule="auto"/>
        <w:rPr>
          <w:sz w:val="20"/>
          <w:szCs w:val="20"/>
          <w:color w:val="auto"/>
        </w:rPr>
      </w:pPr>
      <w:r>
        <w:rPr>
          <w:rFonts w:ascii="Arial" w:cs="Arial" w:eastAsia="Arial" w:hAnsi="Arial"/>
          <w:sz w:val="16"/>
          <w:szCs w:val="16"/>
          <w:color w:val="auto"/>
        </w:rPr>
        <w:t>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6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Our business could be harmed as a result of the risks associated with our acquisitions.</w:t>
      </w:r>
    </w:p>
    <w:p>
      <w:pPr>
        <w:spacing w:after="0" w:line="115" w:lineRule="exact"/>
        <w:rPr>
          <w:sz w:val="20"/>
          <w:szCs w:val="20"/>
          <w:color w:val="auto"/>
        </w:rPr>
      </w:pPr>
    </w:p>
    <w:p>
      <w:pPr>
        <w:ind w:left="480" w:right="20" w:firstLine="411"/>
        <w:spacing w:after="0" w:line="233" w:lineRule="auto"/>
        <w:rPr>
          <w:sz w:val="20"/>
          <w:szCs w:val="20"/>
          <w:color w:val="auto"/>
        </w:rPr>
      </w:pPr>
      <w:r>
        <w:rPr>
          <w:rFonts w:ascii="Arial" w:cs="Arial" w:eastAsia="Arial" w:hAnsi="Arial"/>
          <w:sz w:val="17"/>
          <w:szCs w:val="17"/>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96" w:lineRule="exact"/>
        <w:rPr>
          <w:sz w:val="20"/>
          <w:szCs w:val="20"/>
          <w:color w:val="auto"/>
        </w:rPr>
      </w:pPr>
    </w:p>
    <w:p>
      <w:pPr>
        <w:ind w:left="480" w:right="520" w:firstLine="411"/>
        <w:spacing w:after="0"/>
        <w:rPr>
          <w:sz w:val="20"/>
          <w:szCs w:val="20"/>
          <w:color w:val="auto"/>
        </w:rPr>
      </w:pPr>
      <w:r>
        <w:rPr>
          <w:rFonts w:ascii="Arial" w:cs="Arial" w:eastAsia="Arial" w:hAnsi="Arial"/>
          <w:sz w:val="17"/>
          <w:szCs w:val="17"/>
          <w:color w:val="auto"/>
        </w:rPr>
        <w:t>Any acquisitions we undertake or have recently completed, including the acquisition of Simplee in February 2020, will likely be accompanied by business risks which may include, among other things:</w:t>
      </w:r>
    </w:p>
    <w:p>
      <w:pPr>
        <w:spacing w:after="0" w:line="101" w:lineRule="exact"/>
        <w:rPr>
          <w:sz w:val="20"/>
          <w:szCs w:val="20"/>
          <w:color w:val="auto"/>
        </w:rPr>
      </w:pPr>
    </w:p>
    <w:p>
      <w:pPr>
        <w:ind w:left="1380" w:hanging="497"/>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effect of the acquisition on our financial and strategic position and reputation;</w:t>
      </w:r>
    </w:p>
    <w:p>
      <w:pPr>
        <w:spacing w:after="0" w:line="107" w:lineRule="exact"/>
        <w:rPr>
          <w:rFonts w:ascii="Arial" w:cs="Arial" w:eastAsia="Arial" w:hAnsi="Arial"/>
          <w:sz w:val="17"/>
          <w:szCs w:val="17"/>
          <w:color w:val="auto"/>
        </w:rPr>
      </w:pPr>
    </w:p>
    <w:p>
      <w:pPr>
        <w:ind w:left="1380" w:right="740" w:hanging="497"/>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failure of an acquisition to result in expected benefits, which may include benefits relating to enhanced revenues, technology, human resources, costs savings, operating efficiencies, goodwill and other synergies;</w:t>
      </w:r>
    </w:p>
    <w:p>
      <w:pPr>
        <w:spacing w:after="0" w:line="100" w:lineRule="exact"/>
        <w:rPr>
          <w:rFonts w:ascii="Arial" w:cs="Arial" w:eastAsia="Arial" w:hAnsi="Arial"/>
          <w:sz w:val="17"/>
          <w:szCs w:val="17"/>
          <w:color w:val="auto"/>
        </w:rPr>
      </w:pPr>
    </w:p>
    <w:p>
      <w:pPr>
        <w:ind w:left="1380" w:right="680" w:hanging="497"/>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assumption of certain known or unknown liabilities of the acquired business, including litigation-related liabilities;</w:t>
      </w:r>
    </w:p>
    <w:p>
      <w:pPr>
        <w:spacing w:after="0" w:line="107" w:lineRule="exact"/>
        <w:rPr>
          <w:rFonts w:ascii="Arial" w:cs="Arial" w:eastAsia="Arial" w:hAnsi="Arial"/>
          <w:sz w:val="17"/>
          <w:szCs w:val="17"/>
          <w:color w:val="auto"/>
        </w:rPr>
      </w:pPr>
    </w:p>
    <w:p>
      <w:pPr>
        <w:ind w:left="1380" w:right="160" w:hanging="497"/>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100" w:lineRule="exact"/>
        <w:rPr>
          <w:rFonts w:ascii="Arial" w:cs="Arial" w:eastAsia="Arial" w:hAnsi="Arial"/>
          <w:sz w:val="17"/>
          <w:szCs w:val="17"/>
          <w:color w:val="auto"/>
        </w:rPr>
      </w:pPr>
    </w:p>
    <w:p>
      <w:pPr>
        <w:ind w:left="1380" w:right="280" w:hanging="497"/>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lack of experience in new markets, new business culture, products or technologies or an initial dependence on unfamiliar distribution partners;</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possibility that we will pay more than the value we derive from the acquisition;</w:t>
      </w:r>
    </w:p>
    <w:p>
      <w:pPr>
        <w:spacing w:after="0" w:line="107" w:lineRule="exact"/>
        <w:rPr>
          <w:rFonts w:ascii="Arial" w:cs="Arial" w:eastAsia="Arial" w:hAnsi="Arial"/>
          <w:sz w:val="17"/>
          <w:szCs w:val="17"/>
          <w:color w:val="auto"/>
        </w:rPr>
      </w:pPr>
    </w:p>
    <w:p>
      <w:pPr>
        <w:ind w:left="1380" w:right="300" w:hanging="497"/>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impairment of relationships with our clients, clients’ customers, partners or suppliers or those of the acquired business; and</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potential loss of key employees of the acquired business.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These factors could harm our business, results of operations or financial condition.</w:t>
      </w:r>
    </w:p>
    <w:p>
      <w:pPr>
        <w:spacing w:after="0" w:line="195" w:lineRule="exact"/>
        <w:rPr>
          <w:sz w:val="20"/>
          <w:szCs w:val="20"/>
          <w:color w:val="auto"/>
        </w:rPr>
      </w:pPr>
    </w:p>
    <w:p>
      <w:pPr>
        <w:ind w:left="480" w:right="180" w:firstLine="411"/>
        <w:spacing w:after="0" w:line="237" w:lineRule="auto"/>
        <w:rPr>
          <w:sz w:val="20"/>
          <w:szCs w:val="20"/>
          <w:color w:val="auto"/>
        </w:rPr>
      </w:pPr>
      <w:r>
        <w:rPr>
          <w:rFonts w:ascii="Arial" w:cs="Arial" w:eastAsia="Arial" w:hAnsi="Arial"/>
          <w:sz w:val="17"/>
          <w:szCs w:val="17"/>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Systems failures and resulting interruptions in the availability of our solutions could harm our business.</w:t>
      </w:r>
    </w:p>
    <w:p>
      <w:pPr>
        <w:spacing w:after="0" w:line="115"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2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760"/>
          </w:cols>
          <w:pgMar w:left="320" w:top="464" w:right="81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93" w:lineRule="exact"/>
        <w:rPr>
          <w:sz w:val="20"/>
          <w:szCs w:val="20"/>
          <w:color w:val="auto"/>
        </w:rPr>
      </w:pPr>
    </w:p>
    <w:p>
      <w:pPr>
        <w:ind w:left="480" w:right="260" w:firstLine="411"/>
        <w:spacing w:after="0" w:line="234" w:lineRule="auto"/>
        <w:rPr>
          <w:sz w:val="20"/>
          <w:szCs w:val="20"/>
          <w:color w:val="auto"/>
        </w:rPr>
      </w:pPr>
      <w:r>
        <w:rPr>
          <w:rFonts w:ascii="Arial" w:cs="Arial" w:eastAsia="Arial" w:hAnsi="Arial"/>
          <w:sz w:val="17"/>
          <w:szCs w:val="17"/>
          <w:color w:val="auto"/>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93" w:lineRule="exact"/>
        <w:rPr>
          <w:sz w:val="20"/>
          <w:szCs w:val="20"/>
          <w:color w:val="auto"/>
        </w:rPr>
      </w:pPr>
    </w:p>
    <w:p>
      <w:pPr>
        <w:ind w:left="480" w:right="100" w:firstLine="411"/>
        <w:spacing w:after="0" w:line="233" w:lineRule="auto"/>
        <w:rPr>
          <w:sz w:val="20"/>
          <w:szCs w:val="20"/>
          <w:color w:val="auto"/>
        </w:rPr>
      </w:pPr>
      <w:r>
        <w:rPr>
          <w:rFonts w:ascii="Arial" w:cs="Arial" w:eastAsia="Arial" w:hAnsi="Arial"/>
          <w:sz w:val="17"/>
          <w:szCs w:val="17"/>
          <w:color w:val="auto"/>
        </w:rPr>
        <w:t>We use public cloud hosting with Amazon Web Services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military actions,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 System failures or outages, including any potential disruptions due to significantly increased global demand on certain cloud-based systems during the COVID-19 pandemic, could compromise our ability to provide our solutions in a timely manner, which could harm our ability to conduct business or delay our financial reporting. Such failures could adversely affect our operating results and financial condition.</w:t>
      </w:r>
    </w:p>
    <w:p>
      <w:pPr>
        <w:spacing w:after="0" w:line="191" w:lineRule="exact"/>
        <w:rPr>
          <w:sz w:val="20"/>
          <w:szCs w:val="20"/>
          <w:color w:val="auto"/>
        </w:rPr>
      </w:pPr>
    </w:p>
    <w:p>
      <w:pPr>
        <w:ind w:left="480" w:right="120" w:firstLine="411"/>
        <w:spacing w:after="0" w:line="234" w:lineRule="auto"/>
        <w:rPr>
          <w:sz w:val="20"/>
          <w:szCs w:val="20"/>
          <w:color w:val="auto"/>
        </w:rPr>
      </w:pPr>
      <w:r>
        <w:rPr>
          <w:rFonts w:ascii="Arial" w:cs="Arial" w:eastAsia="Arial" w:hAnsi="Arial"/>
          <w:sz w:val="17"/>
          <w:szCs w:val="17"/>
          <w:color w:val="auto"/>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90" w:lineRule="exact"/>
        <w:rPr>
          <w:sz w:val="20"/>
          <w:szCs w:val="20"/>
          <w:color w:val="auto"/>
        </w:rPr>
      </w:pPr>
    </w:p>
    <w:p>
      <w:pPr>
        <w:ind w:left="480" w:right="80" w:firstLine="411"/>
        <w:spacing w:after="0" w:line="235" w:lineRule="auto"/>
        <w:rPr>
          <w:sz w:val="20"/>
          <w:szCs w:val="20"/>
          <w:color w:val="auto"/>
        </w:rPr>
      </w:pPr>
      <w:r>
        <w:rPr>
          <w:rFonts w:ascii="Arial" w:cs="Arial" w:eastAsia="Arial" w:hAnsi="Arial"/>
          <w:sz w:val="17"/>
          <w:szCs w:val="17"/>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90" w:lineRule="exact"/>
        <w:rPr>
          <w:sz w:val="20"/>
          <w:szCs w:val="20"/>
          <w:color w:val="auto"/>
        </w:rPr>
      </w:pPr>
    </w:p>
    <w:p>
      <w:pPr>
        <w:ind w:left="480" w:right="100" w:firstLine="411"/>
        <w:spacing w:after="0" w:line="235" w:lineRule="auto"/>
        <w:rPr>
          <w:sz w:val="20"/>
          <w:szCs w:val="20"/>
          <w:color w:val="auto"/>
        </w:rPr>
      </w:pPr>
      <w:r>
        <w:rPr>
          <w:rFonts w:ascii="Arial" w:cs="Arial" w:eastAsia="Arial" w:hAnsi="Arial"/>
          <w:sz w:val="17"/>
          <w:szCs w:val="17"/>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2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760"/>
          </w:cols>
          <w:pgMar w:left="320" w:top="464" w:right="81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Risks Related to Our Legal, Regulatory and Compliance Landscape</w:t>
      </w:r>
    </w:p>
    <w:p>
      <w:pPr>
        <w:spacing w:after="0" w:line="95" w:lineRule="exact"/>
        <w:rPr>
          <w:sz w:val="20"/>
          <w:szCs w:val="20"/>
          <w:color w:val="auto"/>
        </w:rPr>
      </w:pPr>
    </w:p>
    <w:p>
      <w:pPr>
        <w:ind w:left="480" w:right="120"/>
        <w:spacing w:after="0" w:line="243" w:lineRule="auto"/>
        <w:rPr>
          <w:sz w:val="20"/>
          <w:szCs w:val="20"/>
          <w:color w:val="auto"/>
        </w:rPr>
      </w:pPr>
      <w:r>
        <w:rPr>
          <w:rFonts w:ascii="Arial" w:cs="Arial" w:eastAsia="Arial" w:hAnsi="Arial"/>
          <w:sz w:val="17"/>
          <w:szCs w:val="17"/>
          <w:b w:val="1"/>
          <w:bCs w:val="1"/>
          <w:i w:val="1"/>
          <w:iCs w:val="1"/>
          <w:color w:val="auto"/>
        </w:rPr>
        <w:t>We currently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86" w:lineRule="exact"/>
        <w:rPr>
          <w:sz w:val="20"/>
          <w:szCs w:val="20"/>
          <w:color w:val="auto"/>
        </w:rPr>
      </w:pPr>
    </w:p>
    <w:p>
      <w:pPr>
        <w:ind w:left="480" w:right="20" w:firstLine="411"/>
        <w:spacing w:after="0" w:line="233" w:lineRule="auto"/>
        <w:rPr>
          <w:sz w:val="20"/>
          <w:szCs w:val="20"/>
          <w:color w:val="auto"/>
        </w:rPr>
      </w:pPr>
      <w:r>
        <w:rPr>
          <w:rFonts w:ascii="Arial" w:cs="Arial" w:eastAsia="Arial" w:hAnsi="Arial"/>
          <w:sz w:val="17"/>
          <w:szCs w:val="17"/>
          <w:color w:val="auto"/>
        </w:rPr>
        <w:t>Our business is subject to risks inherent in conducting business globally, including cross-border payments and domestic payments in the U.S.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108" w:lineRule="exact"/>
        <w:rPr>
          <w:sz w:val="20"/>
          <w:szCs w:val="20"/>
          <w:color w:val="auto"/>
        </w:rPr>
      </w:pPr>
    </w:p>
    <w:p>
      <w:pPr>
        <w:ind w:left="1380" w:hanging="497"/>
        <w:spacing w:after="0"/>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foreign currency exchange rate volatility;</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risks related to government regulation or required compliance with local laws;</w:t>
      </w:r>
    </w:p>
    <w:p>
      <w:pPr>
        <w:spacing w:after="0" w:line="107" w:lineRule="exact"/>
        <w:rPr>
          <w:rFonts w:ascii="Arial" w:cs="Arial" w:eastAsia="Arial" w:hAnsi="Arial"/>
          <w:sz w:val="17"/>
          <w:szCs w:val="17"/>
          <w:color w:val="auto"/>
        </w:rPr>
      </w:pPr>
    </w:p>
    <w:p>
      <w:pPr>
        <w:ind w:left="1380" w:right="40" w:hanging="497"/>
        <w:spacing w:after="0"/>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local licensing and reporting obligations or the imposition of currency controls which make it impossible or increasingly difficult for our clients to collect payments from international customers;</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local regulatory and legal obligations related to privacy, data protection, data localization, and user protections;</w:t>
      </w:r>
    </w:p>
    <w:p>
      <w:pPr>
        <w:spacing w:after="0" w:line="107" w:lineRule="exact"/>
        <w:rPr>
          <w:rFonts w:ascii="Arial" w:cs="Arial" w:eastAsia="Arial" w:hAnsi="Arial"/>
          <w:sz w:val="17"/>
          <w:szCs w:val="17"/>
          <w:color w:val="auto"/>
        </w:rPr>
      </w:pPr>
    </w:p>
    <w:p>
      <w:pPr>
        <w:ind w:left="1380" w:right="380" w:hanging="497"/>
        <w:spacing w:after="0" w:line="270" w:lineRule="auto"/>
        <w:tabs>
          <w:tab w:leader="none" w:pos="1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77" w:lineRule="exact"/>
        <w:rPr>
          <w:rFonts w:ascii="Arial" w:cs="Arial" w:eastAsia="Arial" w:hAnsi="Arial"/>
          <w:sz w:val="16"/>
          <w:szCs w:val="16"/>
          <w:color w:val="auto"/>
        </w:rPr>
      </w:pPr>
    </w:p>
    <w:p>
      <w:pPr>
        <w:ind w:left="1380" w:hanging="497"/>
        <w:spacing w:after="0"/>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trade barriers and changes in trade regulations;</w:t>
      </w:r>
    </w:p>
    <w:p>
      <w:pPr>
        <w:spacing w:after="0" w:line="107" w:lineRule="exact"/>
        <w:rPr>
          <w:rFonts w:ascii="Arial" w:cs="Arial" w:eastAsia="Arial" w:hAnsi="Arial"/>
          <w:sz w:val="17"/>
          <w:szCs w:val="17"/>
          <w:color w:val="auto"/>
        </w:rPr>
      </w:pPr>
    </w:p>
    <w:p>
      <w:pPr>
        <w:ind w:left="1380" w:right="740" w:hanging="497"/>
        <w:spacing w:after="0"/>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difficulties in developing, staffing, and managing a large number of varying foreign operations as a result of distance, language, and cultural differences;</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stringent local labor laws and regulations;</w:t>
      </w:r>
    </w:p>
    <w:p>
      <w:pPr>
        <w:spacing w:after="0" w:line="107" w:lineRule="exact"/>
        <w:rPr>
          <w:rFonts w:ascii="Arial" w:cs="Arial" w:eastAsia="Arial" w:hAnsi="Arial"/>
          <w:sz w:val="17"/>
          <w:szCs w:val="17"/>
          <w:color w:val="auto"/>
        </w:rPr>
      </w:pPr>
    </w:p>
    <w:p>
      <w:pPr>
        <w:ind w:left="1380" w:right="20" w:hanging="497"/>
        <w:spacing w:after="0"/>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limitations on the repatriation of cash, including imposition or increase of withholding and other taxes on remittances and other payments by foreign subsidiaries;</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political or social unrest, economic instability, repression, or human rights issues;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natural disasters, global pandemics such as COVID-19 or other public health emergencies, acts of war, and terrorism;</w:t>
      </w:r>
    </w:p>
    <w:p>
      <w:pPr>
        <w:spacing w:after="0" w:line="107" w:lineRule="exact"/>
        <w:rPr>
          <w:rFonts w:ascii="Arial" w:cs="Arial" w:eastAsia="Arial" w:hAnsi="Arial"/>
          <w:sz w:val="17"/>
          <w:szCs w:val="17"/>
          <w:color w:val="auto"/>
        </w:rPr>
      </w:pPr>
    </w:p>
    <w:p>
      <w:pPr>
        <w:ind w:left="1380" w:right="80" w:hanging="497"/>
        <w:spacing w:after="0"/>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compliance with U.S. laws and foreign laws prohibiting corrupt payments to government officials, such as the Foreign Corrupt Practices Act (FCPA) and the U.K. Bribery Act, and other local anti-corruption laws;</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compliance with U.S. and foreign laws designed to combat money laundering and the financing of terrorist activities;</w:t>
      </w:r>
    </w:p>
    <w:p>
      <w:pPr>
        <w:spacing w:after="0" w:line="107" w:lineRule="exact"/>
        <w:rPr>
          <w:rFonts w:ascii="Arial" w:cs="Arial" w:eastAsia="Arial" w:hAnsi="Arial"/>
          <w:sz w:val="17"/>
          <w:szCs w:val="17"/>
          <w:color w:val="auto"/>
        </w:rPr>
      </w:pPr>
    </w:p>
    <w:p>
      <w:pPr>
        <w:ind w:left="1380" w:right="380" w:hanging="497"/>
        <w:spacing w:after="0" w:line="237" w:lineRule="auto"/>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retaliatory tariffs and restrictions limiting free movement of currency and an unfavorable trade environment, including as a result of political conditions and changes in the laws in the United States and elsewhere and as described in more detail below;</w:t>
      </w:r>
    </w:p>
    <w:p>
      <w:pPr>
        <w:spacing w:after="0" w:line="101" w:lineRule="exact"/>
        <w:rPr>
          <w:rFonts w:ascii="Arial" w:cs="Arial" w:eastAsia="Arial" w:hAnsi="Arial"/>
          <w:sz w:val="17"/>
          <w:szCs w:val="17"/>
          <w:color w:val="auto"/>
        </w:rPr>
      </w:pPr>
    </w:p>
    <w:p>
      <w:pPr>
        <w:ind w:left="1380" w:hanging="497"/>
        <w:spacing w:after="0"/>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antitrust and competition regulations;</w:t>
      </w:r>
    </w:p>
    <w:p>
      <w:pPr>
        <w:spacing w:after="0" w:line="107" w:lineRule="exact"/>
        <w:rPr>
          <w:rFonts w:ascii="Arial" w:cs="Arial" w:eastAsia="Arial" w:hAnsi="Arial"/>
          <w:sz w:val="17"/>
          <w:szCs w:val="17"/>
          <w:color w:val="auto"/>
        </w:rPr>
      </w:pPr>
    </w:p>
    <w:p>
      <w:pPr>
        <w:ind w:left="1380" w:hanging="497"/>
        <w:spacing w:after="0" w:line="237" w:lineRule="auto"/>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w:t>
      </w:r>
    </w:p>
    <w:p>
      <w:pPr>
        <w:spacing w:after="0" w:line="101" w:lineRule="exact"/>
        <w:rPr>
          <w:rFonts w:ascii="Arial" w:cs="Arial" w:eastAsia="Arial" w:hAnsi="Arial"/>
          <w:sz w:val="17"/>
          <w:szCs w:val="17"/>
          <w:color w:val="auto"/>
        </w:rPr>
      </w:pPr>
    </w:p>
    <w:p>
      <w:pPr>
        <w:ind w:left="1380" w:hanging="497"/>
        <w:spacing w:after="0"/>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national or regional differences in macroeconomic growth rates; and</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increased difficulties in collecting accounts receivable.</w:t>
      </w:r>
    </w:p>
    <w:p>
      <w:pPr>
        <w:spacing w:after="0" w:line="13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760"/>
          </w:cols>
          <w:pgMar w:left="320" w:top="464" w:right="81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both"/>
        <w:ind w:left="480" w:right="80" w:firstLine="411"/>
        <w:spacing w:after="0" w:line="234" w:lineRule="auto"/>
        <w:rPr>
          <w:sz w:val="20"/>
          <w:szCs w:val="20"/>
          <w:color w:val="auto"/>
        </w:rPr>
      </w:pPr>
      <w:r>
        <w:rPr>
          <w:rFonts w:ascii="Arial" w:cs="Arial" w:eastAsia="Arial" w:hAnsi="Arial"/>
          <w:sz w:val="17"/>
          <w:szCs w:val="17"/>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93"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(RMB) the currency of China, into foreign currencies and, in certain cases, the remittance of currency out of China. The Chinese government may at its discretion further restrict access in the future to foreign currencies for current account transactions.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96" w:lineRule="exact"/>
        <w:rPr>
          <w:sz w:val="20"/>
          <w:szCs w:val="20"/>
          <w:color w:val="auto"/>
        </w:rPr>
      </w:pPr>
    </w:p>
    <w:p>
      <w:pPr>
        <w:ind w:left="480" w:right="180" w:firstLine="411"/>
        <w:spacing w:after="0" w:line="235" w:lineRule="auto"/>
        <w:rPr>
          <w:sz w:val="20"/>
          <w:szCs w:val="20"/>
          <w:color w:val="auto"/>
        </w:rPr>
      </w:pPr>
      <w:r>
        <w:rPr>
          <w:rFonts w:ascii="Arial" w:cs="Arial" w:eastAsia="Arial" w:hAnsi="Arial"/>
          <w:sz w:val="17"/>
          <w:szCs w:val="17"/>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271" w:lineRule="exact"/>
        <w:rPr>
          <w:sz w:val="20"/>
          <w:szCs w:val="20"/>
          <w:color w:val="auto"/>
        </w:rPr>
      </w:pPr>
    </w:p>
    <w:p>
      <w:pPr>
        <w:ind w:left="480" w:right="440"/>
        <w:spacing w:after="0" w:line="264" w:lineRule="auto"/>
        <w:rPr>
          <w:sz w:val="20"/>
          <w:szCs w:val="20"/>
          <w:color w:val="auto"/>
        </w:rPr>
      </w:pPr>
      <w:r>
        <w:rPr>
          <w:rFonts w:ascii="Arial" w:cs="Arial" w:eastAsia="Arial" w:hAnsi="Arial"/>
          <w:sz w:val="17"/>
          <w:szCs w:val="17"/>
          <w:b w:val="1"/>
          <w:bCs w:val="1"/>
          <w:i w:val="1"/>
          <w:iCs w:val="1"/>
          <w:color w:val="auto"/>
        </w:rPr>
        <w:t>Payments and other financial services-related regulations and oversight are material to our business. Our failure to comply could materially harm our business.</w:t>
      </w:r>
    </w:p>
    <w:p>
      <w:pPr>
        <w:spacing w:after="0" w:line="69"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The local, state, and federal laws, rules, regulations, licensing schemes, and industry standards in the U.S.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anti-money laundering, combating terrorist financing, escheatment, international sanctions regimes, and compliance with the PCI–DSS. These laws, rules, regulations, licensing schemes, and standards are enforced by multiple authorities and governing bodies in the United States, including the Department of the Treasury, the Federal Deposit Insurance Corporation, the SEC, Consumer Financial Protection Bureau,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92" w:lineRule="exact"/>
        <w:rPr>
          <w:sz w:val="20"/>
          <w:szCs w:val="20"/>
          <w:color w:val="auto"/>
        </w:rPr>
      </w:pPr>
    </w:p>
    <w:p>
      <w:pPr>
        <w:ind w:left="480" w:right="140" w:firstLine="411"/>
        <w:spacing w:after="0" w:line="233" w:lineRule="auto"/>
        <w:rPr>
          <w:sz w:val="20"/>
          <w:szCs w:val="20"/>
          <w:color w:val="auto"/>
        </w:rPr>
      </w:pPr>
      <w:r>
        <w:rPr>
          <w:rFonts w:ascii="Arial" w:cs="Arial" w:eastAsia="Arial" w:hAnsi="Arial"/>
          <w:sz w:val="17"/>
          <w:szCs w:val="17"/>
          <w:color w:val="auto"/>
        </w:rPr>
        <w:t>Certain of our subsidiaries are registered with the U.S. Department of the Treasury’s Financial Crimes Enforcement Network. Our subsidiary Flywire Global Corp. has obtained licenses to operate as a money transmitter (or the statutory equivalent) in 33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anti-money laundering, capitalization, corporate governance, or other requirements of such licenses.</w:t>
      </w:r>
    </w:p>
    <w:p>
      <w:pPr>
        <w:spacing w:after="0" w:line="13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760"/>
          </w:cols>
          <w:pgMar w:left="320" w:top="464" w:right="81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Money Services Business (MSB) with the U.S. Department of the Treasury’s Financial Crimes Enforcement Network (FinCEN).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90"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The adoption of new money transmitter or money services business statutes in jurisdictions or changes in regulators’ interpretation of existing state and federal money transmitter or money services business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272" w:lineRule="exact"/>
        <w:rPr>
          <w:sz w:val="20"/>
          <w:szCs w:val="20"/>
          <w:color w:val="auto"/>
        </w:rPr>
      </w:pPr>
    </w:p>
    <w:p>
      <w:pPr>
        <w:ind w:left="480" w:right="120"/>
        <w:spacing w:after="0" w:line="264" w:lineRule="auto"/>
        <w:rPr>
          <w:sz w:val="20"/>
          <w:szCs w:val="20"/>
          <w:color w:val="auto"/>
        </w:rPr>
      </w:pPr>
      <w:r>
        <w:rPr>
          <w:rFonts w:ascii="Arial" w:cs="Arial" w:eastAsia="Arial" w:hAnsi="Arial"/>
          <w:sz w:val="17"/>
          <w:szCs w:val="17"/>
          <w:b w:val="1"/>
          <w:bCs w:val="1"/>
          <w:i w:val="1"/>
          <w:iCs w:val="1"/>
          <w:color w:val="auto"/>
        </w:rPr>
        <w:t>The regulatory environment in which we operate is subject to constant change, and new regulations could make aspects of our business as currently conducted no longer possible.</w:t>
      </w:r>
    </w:p>
    <w:p>
      <w:pPr>
        <w:spacing w:after="0" w:line="69" w:lineRule="exact"/>
        <w:rPr>
          <w:sz w:val="20"/>
          <w:szCs w:val="20"/>
          <w:color w:val="auto"/>
        </w:rPr>
      </w:pPr>
    </w:p>
    <w:p>
      <w:pPr>
        <w:ind w:left="480" w:right="40" w:firstLine="411"/>
        <w:spacing w:after="0" w:line="234" w:lineRule="auto"/>
        <w:rPr>
          <w:sz w:val="20"/>
          <w:szCs w:val="20"/>
          <w:color w:val="auto"/>
        </w:rPr>
      </w:pPr>
      <w:r>
        <w:rPr>
          <w:rFonts w:ascii="Arial" w:cs="Arial" w:eastAsia="Arial" w:hAnsi="Arial"/>
          <w:sz w:val="17"/>
          <w:szCs w:val="17"/>
          <w:color w:val="auto"/>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United Kingdom (U.K.) approved an exit from the European Union (E.U.) (commonly referred to as Brexit), we were required to obtain a license from a member state of the European Economic Area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Government agencies may impose new or additional rules on money transmission, including regulations that:</w:t>
      </w:r>
    </w:p>
    <w:p>
      <w:pPr>
        <w:spacing w:after="0" w:line="107" w:lineRule="exact"/>
        <w:rPr>
          <w:sz w:val="20"/>
          <w:szCs w:val="20"/>
          <w:color w:val="auto"/>
        </w:rPr>
      </w:pPr>
    </w:p>
    <w:p>
      <w:pPr>
        <w:ind w:left="1380" w:right="520" w:hanging="497"/>
        <w:spacing w:after="0"/>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prohibit, restrict, and/or impose taxes or fees on money transmission transactions in, to or from certain countries or with certain governments, individuals, and entities;</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impose additional client identification and client due diligence requirements;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impose additional reporting or recordkeeping requirements, or require enhanced transaction monitoring;</w:t>
      </w:r>
    </w:p>
    <w:p>
      <w:pPr>
        <w:spacing w:after="0" w:line="107" w:lineRule="exact"/>
        <w:rPr>
          <w:rFonts w:ascii="Arial" w:cs="Arial" w:eastAsia="Arial" w:hAnsi="Arial"/>
          <w:sz w:val="17"/>
          <w:szCs w:val="17"/>
          <w:color w:val="auto"/>
        </w:rPr>
      </w:pPr>
    </w:p>
    <w:p>
      <w:pPr>
        <w:ind w:left="1380" w:right="460" w:hanging="497"/>
        <w:spacing w:after="0"/>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limit the types of entities capable of providing money transmission services, or impose additional licensing or registration requirements;</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impose minimum capital or other financial requirements;</w:t>
      </w:r>
    </w:p>
    <w:p>
      <w:pPr>
        <w:spacing w:after="0" w:line="107" w:lineRule="exact"/>
        <w:rPr>
          <w:rFonts w:ascii="Arial" w:cs="Arial" w:eastAsia="Arial" w:hAnsi="Arial"/>
          <w:sz w:val="17"/>
          <w:szCs w:val="17"/>
          <w:color w:val="auto"/>
        </w:rPr>
      </w:pPr>
    </w:p>
    <w:p>
      <w:pPr>
        <w:ind w:left="1380" w:right="100" w:hanging="497"/>
        <w:spacing w:after="0" w:line="237" w:lineRule="auto"/>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101" w:lineRule="exact"/>
        <w:rPr>
          <w:rFonts w:ascii="Arial" w:cs="Arial" w:eastAsia="Arial" w:hAnsi="Arial"/>
          <w:sz w:val="17"/>
          <w:szCs w:val="17"/>
          <w:color w:val="auto"/>
        </w:rPr>
      </w:pPr>
    </w:p>
    <w:p>
      <w:pPr>
        <w:ind w:left="1380" w:hanging="497"/>
        <w:spacing w:after="0"/>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require enhanced disclosures to our money transmission clients or their customers;</w:t>
      </w:r>
    </w:p>
    <w:p>
      <w:pPr>
        <w:spacing w:after="0" w:line="13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760"/>
          </w:cols>
          <w:pgMar w:left="320" w:top="464" w:right="81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1380" w:right="140" w:hanging="497"/>
        <w:spacing w:after="0"/>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require the principal amount of money transmission transactions originated in a country to be invested in that country or held in trust until paid;</w:t>
      </w:r>
    </w:p>
    <w:p>
      <w:pPr>
        <w:spacing w:after="0" w:line="100" w:lineRule="exact"/>
        <w:rPr>
          <w:rFonts w:ascii="Arial" w:cs="Arial" w:eastAsia="Arial" w:hAnsi="Arial"/>
          <w:sz w:val="17"/>
          <w:szCs w:val="17"/>
          <w:color w:val="auto"/>
        </w:rPr>
      </w:pPr>
    </w:p>
    <w:p>
      <w:pPr>
        <w:ind w:left="1380" w:right="40" w:hanging="497"/>
        <w:spacing w:after="0"/>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limit the number or principal amount of money transmission transactions that may be sent to or from a jurisdiction, whether by an individual or in the aggregate; and</w:t>
      </w:r>
    </w:p>
    <w:p>
      <w:pPr>
        <w:spacing w:after="0" w:line="100" w:lineRule="exact"/>
        <w:rPr>
          <w:rFonts w:ascii="Arial" w:cs="Arial" w:eastAsia="Arial" w:hAnsi="Arial"/>
          <w:sz w:val="17"/>
          <w:szCs w:val="17"/>
          <w:color w:val="auto"/>
        </w:rPr>
      </w:pPr>
    </w:p>
    <w:p>
      <w:pPr>
        <w:ind w:left="1380" w:right="180" w:hanging="497"/>
        <w:spacing w:after="0"/>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restrict or limit our ability to process transactions using centralized databases, for example, by requiring that transactions be processed using a database maintained in a particular country or region.</w:t>
      </w:r>
    </w:p>
    <w:p>
      <w:pPr>
        <w:spacing w:after="0" w:line="270" w:lineRule="exact"/>
        <w:rPr>
          <w:sz w:val="20"/>
          <w:szCs w:val="20"/>
          <w:color w:val="auto"/>
        </w:rPr>
      </w:pPr>
    </w:p>
    <w:p>
      <w:pPr>
        <w:ind w:left="480"/>
        <w:spacing w:after="0" w:line="248" w:lineRule="auto"/>
        <w:rPr>
          <w:sz w:val="20"/>
          <w:szCs w:val="20"/>
          <w:color w:val="auto"/>
        </w:rPr>
      </w:pPr>
      <w:r>
        <w:rPr>
          <w:rFonts w:ascii="Arial" w:cs="Arial" w:eastAsia="Arial" w:hAnsi="Arial"/>
          <w:sz w:val="17"/>
          <w:szCs w:val="17"/>
          <w:b w:val="1"/>
          <w:bCs w:val="1"/>
          <w:i w:val="1"/>
          <w:iCs w:val="1"/>
          <w:color w:val="auto"/>
        </w:rPr>
        <w:t>We are subject to governmental laws and requirements regarding economic and trade sanctions, anti-money laundering, and counter-terror financing that could impair our ability to compete in international markets or subject us to criminal or civil liability if we violate them.</w:t>
      </w:r>
    </w:p>
    <w:p>
      <w:pPr>
        <w:spacing w:after="0" w:line="82"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We are currently required to comply with U.S. economic and trade sanctions administered by the U.S. Department of Treasury’s Office of Foreign Assets Control (OFAC) and we have processes in place to comply with the OFAC regulations as well as similar requirements in the foreign jurisdictions in which we already operate. As part of our compliance efforts, we scan our clients against watch lists promulgated by OFAC and certain other international agencies. Our application can be accessed from anywhere in the world, and if our service is accessed from a sanctioned country in violation of applicable trade and economic sanctions, we could be subject to fines or other enforcement actions. We are also subject to various anti-money laundering and counter-terrorist financing laws and regulations around the world that prohibit, among other things, our involvement in transferring the proceeds of criminal or terrorist activities. In the United States, most of our solutions are subject to anti-money laundering laws and regulations, including the Bank Secrecy Act, as amended (BSA), and similar laws and regulations. The BSA, among other things, requires MSBs to develop and implement risk-based anti-money laundering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anti-money laundering programs, and we could likewise be subject to significant fines, penalties, inquiries, audits, investigations, enforcement actions, and criminal and civil liability if our anti-money laundering program is found to be insufficient by a regulator.</w:t>
      </w:r>
    </w:p>
    <w:p>
      <w:pPr>
        <w:spacing w:after="0" w:line="193" w:lineRule="exact"/>
        <w:rPr>
          <w:sz w:val="20"/>
          <w:szCs w:val="20"/>
          <w:color w:val="auto"/>
        </w:rPr>
      </w:pPr>
    </w:p>
    <w:p>
      <w:pPr>
        <w:ind w:left="480" w:right="40" w:firstLine="411"/>
        <w:spacing w:after="0" w:line="233" w:lineRule="auto"/>
        <w:rPr>
          <w:sz w:val="20"/>
          <w:szCs w:val="20"/>
          <w:color w:val="auto"/>
        </w:rPr>
      </w:pPr>
      <w:r>
        <w:rPr>
          <w:rFonts w:ascii="Arial" w:cs="Arial" w:eastAsia="Arial" w:hAnsi="Arial"/>
          <w:sz w:val="17"/>
          <w:szCs w:val="17"/>
          <w:color w:val="auto"/>
        </w:rPr>
        <w:t>Our business operations in other parts of the world such as the U.K., Lithuania,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anti-money laundering, counter-terrorist financing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w:t>
      </w:r>
    </w:p>
    <w:p>
      <w:pPr>
        <w:spacing w:after="0" w:line="276" w:lineRule="exact"/>
        <w:rPr>
          <w:sz w:val="20"/>
          <w:szCs w:val="20"/>
          <w:color w:val="auto"/>
        </w:rPr>
      </w:pPr>
    </w:p>
    <w:p>
      <w:pPr>
        <w:ind w:left="480" w:right="100"/>
        <w:spacing w:after="0" w:line="248" w:lineRule="auto"/>
        <w:rPr>
          <w:sz w:val="20"/>
          <w:szCs w:val="20"/>
          <w:color w:val="auto"/>
        </w:rPr>
      </w:pPr>
      <w:r>
        <w:rPr>
          <w:rFonts w:ascii="Arial" w:cs="Arial" w:eastAsia="Arial" w:hAnsi="Arial"/>
          <w:sz w:val="17"/>
          <w:szCs w:val="17"/>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82" w:lineRule="exact"/>
        <w:rPr>
          <w:sz w:val="20"/>
          <w:szCs w:val="20"/>
          <w:color w:val="auto"/>
        </w:rPr>
      </w:pPr>
    </w:p>
    <w:p>
      <w:pPr>
        <w:ind w:left="480" w:right="20" w:firstLine="411"/>
        <w:spacing w:after="0" w:line="234" w:lineRule="auto"/>
        <w:rPr>
          <w:sz w:val="20"/>
          <w:szCs w:val="20"/>
          <w:color w:val="auto"/>
        </w:rPr>
      </w:pPr>
      <w:r>
        <w:rPr>
          <w:rFonts w:ascii="Arial" w:cs="Arial" w:eastAsia="Arial" w:hAnsi="Arial"/>
          <w:sz w:val="17"/>
          <w:szCs w:val="17"/>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93" w:lineRule="exact"/>
        <w:rPr>
          <w:sz w:val="20"/>
          <w:szCs w:val="20"/>
          <w:color w:val="auto"/>
        </w:rPr>
      </w:pPr>
    </w:p>
    <w:p>
      <w:pPr>
        <w:ind w:left="480" w:right="20" w:firstLine="411"/>
        <w:spacing w:after="0" w:line="233" w:lineRule="auto"/>
        <w:rPr>
          <w:sz w:val="20"/>
          <w:szCs w:val="20"/>
          <w:color w:val="auto"/>
        </w:rPr>
      </w:pPr>
      <w:r>
        <w:rPr>
          <w:rFonts w:ascii="Arial" w:cs="Arial" w:eastAsia="Arial" w:hAnsi="Arial"/>
          <w:sz w:val="17"/>
          <w:szCs w:val="17"/>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the Family Educational Rights and Privacy Act, the Health Insurance Portability and Accountability Act,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California Consumer Privacy Act of 2018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w:t>
      </w:r>
    </w:p>
    <w:p>
      <w:pPr>
        <w:sectPr>
          <w:pgSz w:w="11900" w:h="16838" w:orient="portrait"/>
          <w:cols w:equalWidth="0" w:num="1">
            <w:col w:w="10740"/>
          </w:cols>
          <w:pgMar w:left="320" w:top="464" w:right="839" w:bottom="1440" w:gutter="0" w:footer="0" w:header="0"/>
        </w:sectPr>
      </w:pPr>
    </w:p>
    <w:p>
      <w:pPr>
        <w:spacing w:after="0" w:line="128"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0740"/>
          </w:cols>
          <w:pgMar w:left="320" w:top="464" w:right="839" w:bottom="1440" w:gutter="0" w:footer="0" w:header="0"/>
          <w:type w:val="continuous"/>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firstLine="411"/>
        <w:spacing w:after="0" w:line="251" w:lineRule="auto"/>
        <w:rPr>
          <w:sz w:val="20"/>
          <w:szCs w:val="20"/>
          <w:color w:val="auto"/>
        </w:rPr>
      </w:pPr>
      <w:r>
        <w:rPr>
          <w:rFonts w:ascii="Arial" w:cs="Arial" w:eastAsia="Arial" w:hAnsi="Arial"/>
          <w:sz w:val="16"/>
          <w:szCs w:val="16"/>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82"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Virginia became the second state after California to enact a broad privacy law with the passage of the Virginia Consumer Data Protection Act (CDPA) on March 2, 2021. The CDPA contains several new requirements for covered companies that may add operational challenges, including a greater emphasis on transparency, broader affirmative consent or opt-in requirements to process sensitive personal data, broader opt-out rights and data protection assessment requirements for certain sales of personal data as well as targeted advertising and profiling, and an appeal process for denials of consumer rights requests. The law will take effect January 1, 2023, the same day as the CPRA. Colorado became the third state with the passage of the Colorado Privacy Act (CPA) on July 8, 2021. Like the CDPA, the CPA provides consumers the right to opt out of processing for sales of personal data, targeted advertising, and profiling, provides the right to appeal a business’ denial to take action, among other new consumer rights, requires data protection assessments for certain processing activities, and, unlike the CDPA, grants the Attorney General rulemaking powers. The law will take effect on July 1, 2023. Unlike in California, neither law provides for a private right of action. We anticipate that more states may enact legislation similar to the CCPA, which provides consumers with new privacy rights and increases the privacy and security obligations of entities handling certain personal information of such consumers.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90" w:lineRule="exact"/>
        <w:rPr>
          <w:sz w:val="20"/>
          <w:szCs w:val="20"/>
          <w:color w:val="auto"/>
        </w:rPr>
      </w:pPr>
    </w:p>
    <w:p>
      <w:pPr>
        <w:ind w:left="480" w:right="40" w:firstLine="411"/>
        <w:spacing w:after="0" w:line="233" w:lineRule="auto"/>
        <w:rPr>
          <w:sz w:val="20"/>
          <w:szCs w:val="20"/>
          <w:color w:val="auto"/>
        </w:rPr>
      </w:pPr>
      <w:r>
        <w:rPr>
          <w:rFonts w:ascii="Arial" w:cs="Arial" w:eastAsia="Arial" w:hAnsi="Arial"/>
          <w:sz w:val="17"/>
          <w:szCs w:val="17"/>
          <w:color w:val="auto"/>
        </w:rPr>
        <w:t>Many of the foreign jurisdictions where we or our clients operate or conduct business, including the European Union, have laws and regulations dealing with the collection, use, storage, and disclosure and other handling (collectively,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Flywire has multiple offices in Europe and serves clients and their customers throughout the E.U., where the GDPR went into effect in 2018. The General Data Protection Regulation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93"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Recent 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European Court of Justice (CJEU) ruled in its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decision (C-311/18), that the Privacy Shield, a transfer mechanism used by thousands of companies to transfer data between those jurisdictions and United States (and also used by Flywire),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Flywire and our clients continue to use alternative transfer strategies, including the European Commission’s Standard Contractual Clauses (SCCs), while the authorities interpret the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7"/>
          <w:szCs w:val="17"/>
          <w:i w:val="1"/>
          <w:iCs w:val="1"/>
          <w:color w:val="auto"/>
        </w:rPr>
        <w:t xml:space="preserve">Schrems II </w:t>
      </w:r>
      <w:r>
        <w:rPr>
          <w:rFonts w:ascii="Arial" w:cs="Arial" w:eastAsia="Arial" w:hAnsi="Arial"/>
          <w:sz w:val="17"/>
          <w:szCs w:val="17"/>
          <w:color w:val="auto"/>
        </w:rPr>
        <w:t>decision), and may be further challenged, suspended or invalidated for transfers to some or all countries. For example,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guidance regarding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spacing w:after="0" w:line="12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740"/>
          </w:cols>
          <w:pgMar w:left="320" w:top="464" w:right="8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spacing w:after="0" w:line="233" w:lineRule="auto"/>
        <w:rPr>
          <w:sz w:val="20"/>
          <w:szCs w:val="20"/>
          <w:color w:val="auto"/>
        </w:rPr>
      </w:pPr>
      <w:r>
        <w:rPr>
          <w:rFonts w:ascii="Arial" w:cs="Arial" w:eastAsia="Arial" w:hAnsi="Arial"/>
          <w:sz w:val="17"/>
          <w:szCs w:val="17"/>
          <w:color w:val="auto"/>
        </w:rPr>
        <w:t xml:space="preserve">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w:t>
      </w:r>
      <w:r>
        <w:rPr>
          <w:rFonts w:ascii="Arial" w:cs="Arial" w:eastAsia="Arial" w:hAnsi="Arial"/>
          <w:sz w:val="17"/>
          <w:szCs w:val="17"/>
          <w:i w:val="1"/>
          <w:iCs w:val="1"/>
          <w:color w:val="auto"/>
        </w:rPr>
        <w:t>Schrems II</w:t>
      </w:r>
      <w:r>
        <w:rPr>
          <w:rFonts w:ascii="Arial" w:cs="Arial" w:eastAsia="Arial" w:hAnsi="Arial"/>
          <w:sz w:val="17"/>
          <w:szCs w:val="17"/>
          <w:color w:val="auto"/>
        </w:rPr>
        <w:t>,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currently in effect must be replaced with the New SCCs by late December 2022.</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E.U. data protection authorities have the power to impose administrative fines for violations of the GDPR of up to a maximum of</w:t>
      </w:r>
    </w:p>
    <w:p>
      <w:pPr>
        <w:ind w:left="480"/>
        <w:spacing w:after="0"/>
        <w:rPr>
          <w:sz w:val="20"/>
          <w:szCs w:val="20"/>
          <w:color w:val="auto"/>
        </w:rPr>
      </w:pPr>
      <w:r>
        <w:rPr>
          <w:rFonts w:ascii="Arial" w:cs="Arial" w:eastAsia="Arial" w:hAnsi="Arial"/>
          <w:sz w:val="16"/>
          <w:szCs w:val="16"/>
          <w:color w:val="auto"/>
        </w:rPr>
        <w:t>€20 million or 4% of a corporate family’s total worldwide global turnover for the preceding fiscal year, whichever is higher. Such penalties</w:t>
      </w:r>
    </w:p>
    <w:p>
      <w:pPr>
        <w:spacing w:after="0" w:line="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are in addition to any civil litigation claims by clients, data subjects or other third parties. We believe that the solutions that we currently</w:t>
      </w:r>
    </w:p>
    <w:p>
      <w:pPr>
        <w:ind w:left="480"/>
        <w:spacing w:after="0" w:line="232" w:lineRule="auto"/>
        <w:rPr>
          <w:sz w:val="20"/>
          <w:szCs w:val="20"/>
          <w:color w:val="auto"/>
        </w:rPr>
      </w:pPr>
      <w:r>
        <w:rPr>
          <w:rFonts w:ascii="Arial" w:cs="Arial" w:eastAsia="Arial" w:hAnsi="Arial"/>
          <w:sz w:val="17"/>
          <w:szCs w:val="17"/>
          <w:color w:val="auto"/>
        </w:rPr>
        <w:t>offer subject us to the GDPR and other laws and regulations relating to privacy, data protection, and information security, and these may</w:t>
      </w:r>
    </w:p>
    <w:p>
      <w:pPr>
        <w:ind w:left="480"/>
        <w:spacing w:after="0"/>
        <w:rPr>
          <w:sz w:val="20"/>
          <w:szCs w:val="20"/>
          <w:color w:val="auto"/>
        </w:rPr>
      </w:pPr>
      <w:r>
        <w:rPr>
          <w:rFonts w:ascii="Arial" w:cs="Arial" w:eastAsia="Arial" w:hAnsi="Arial"/>
          <w:sz w:val="16"/>
          <w:szCs w:val="16"/>
          <w:color w:val="auto"/>
        </w:rPr>
        <w:t>be modified or subject to new or different interpretations in the future. We will need to take steps to address compliance obligations in this</w:t>
      </w:r>
    </w:p>
    <w:p>
      <w:pPr>
        <w:ind w:left="480"/>
        <w:spacing w:after="0" w:line="238" w:lineRule="auto"/>
        <w:rPr>
          <w:sz w:val="20"/>
          <w:szCs w:val="20"/>
          <w:color w:val="auto"/>
        </w:rPr>
      </w:pPr>
      <w:r>
        <w:rPr>
          <w:rFonts w:ascii="Arial" w:cs="Arial" w:eastAsia="Arial" w:hAnsi="Arial"/>
          <w:sz w:val="17"/>
          <w:szCs w:val="17"/>
          <w:color w:val="auto"/>
        </w:rPr>
        <w:t>rapidly evolving legal environment, but we cannot assure you that we will be able to implement changes in a timely manner or without</w:t>
      </w:r>
    </w:p>
    <w:p>
      <w:pPr>
        <w:ind w:left="480"/>
        <w:spacing w:after="0"/>
        <w:rPr>
          <w:sz w:val="20"/>
          <w:szCs w:val="20"/>
          <w:color w:val="auto"/>
        </w:rPr>
      </w:pPr>
      <w:r>
        <w:rPr>
          <w:rFonts w:ascii="Arial" w:cs="Arial" w:eastAsia="Arial" w:hAnsi="Arial"/>
          <w:sz w:val="17"/>
          <w:szCs w:val="17"/>
          <w:color w:val="auto"/>
        </w:rPr>
        <w:t>significant disruption to our business, or that such steps will be effective, and we may face the risk of liability and loss of business.</w:t>
      </w:r>
    </w:p>
    <w:p>
      <w:pPr>
        <w:spacing w:after="0" w:line="195" w:lineRule="exact"/>
        <w:rPr>
          <w:sz w:val="20"/>
          <w:szCs w:val="20"/>
          <w:color w:val="auto"/>
        </w:rPr>
      </w:pPr>
    </w:p>
    <w:p>
      <w:pPr>
        <w:ind w:left="480" w:right="80" w:firstLine="411"/>
        <w:spacing w:after="0" w:line="234" w:lineRule="auto"/>
        <w:rPr>
          <w:sz w:val="20"/>
          <w:szCs w:val="20"/>
          <w:color w:val="auto"/>
        </w:rPr>
      </w:pPr>
      <w:r>
        <w:rPr>
          <w:rFonts w:ascii="Arial" w:cs="Arial" w:eastAsia="Arial" w:hAnsi="Arial"/>
          <w:sz w:val="17"/>
          <w:szCs w:val="17"/>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spacing w:after="0" w:line="190" w:lineRule="exact"/>
        <w:rPr>
          <w:sz w:val="20"/>
          <w:szCs w:val="20"/>
          <w:color w:val="auto"/>
        </w:rPr>
      </w:pPr>
    </w:p>
    <w:p>
      <w:pPr>
        <w:ind w:left="480" w:right="20" w:firstLine="411"/>
        <w:spacing w:after="0" w:line="251" w:lineRule="auto"/>
        <w:rPr>
          <w:sz w:val="20"/>
          <w:szCs w:val="20"/>
          <w:color w:val="auto"/>
        </w:rPr>
      </w:pPr>
      <w:r>
        <w:rPr>
          <w:rFonts w:ascii="Arial" w:cs="Arial" w:eastAsia="Arial" w:hAnsi="Arial"/>
          <w:sz w:val="16"/>
          <w:szCs w:val="16"/>
          <w:color w:val="auto"/>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spacing w:after="0" w:line="182" w:lineRule="exact"/>
        <w:rPr>
          <w:sz w:val="20"/>
          <w:szCs w:val="20"/>
          <w:color w:val="auto"/>
        </w:rPr>
      </w:pPr>
    </w:p>
    <w:p>
      <w:pPr>
        <w:ind w:left="480" w:right="40" w:firstLine="411"/>
        <w:spacing w:after="0" w:line="254" w:lineRule="auto"/>
        <w:rPr>
          <w:sz w:val="20"/>
          <w:szCs w:val="20"/>
          <w:color w:val="auto"/>
        </w:rPr>
      </w:pPr>
      <w:r>
        <w:rPr>
          <w:rFonts w:ascii="Arial" w:cs="Arial" w:eastAsia="Arial" w:hAnsi="Arial"/>
          <w:sz w:val="16"/>
          <w:szCs w:val="16"/>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79"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28"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720"/>
          </w:cols>
          <w:pgMar w:left="320" w:top="464" w:right="85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right="80" w:firstLine="411"/>
        <w:spacing w:after="0" w:line="234" w:lineRule="auto"/>
        <w:rPr>
          <w:sz w:val="20"/>
          <w:szCs w:val="20"/>
          <w:color w:val="auto"/>
        </w:rPr>
      </w:pPr>
      <w:r>
        <w:rPr>
          <w:rFonts w:ascii="Arial" w:cs="Arial" w:eastAsia="Arial" w:hAnsi="Arial"/>
          <w:sz w:val="17"/>
          <w:szCs w:val="17"/>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274" w:lineRule="exact"/>
        <w:rPr>
          <w:sz w:val="20"/>
          <w:szCs w:val="20"/>
          <w:color w:val="auto"/>
        </w:rPr>
      </w:pPr>
    </w:p>
    <w:p>
      <w:pPr>
        <w:ind w:left="480" w:right="180"/>
        <w:spacing w:after="0" w:line="264" w:lineRule="auto"/>
        <w:rPr>
          <w:sz w:val="20"/>
          <w:szCs w:val="20"/>
          <w:color w:val="auto"/>
        </w:rPr>
      </w:pPr>
      <w:r>
        <w:rPr>
          <w:rFonts w:ascii="Arial" w:cs="Arial" w:eastAsia="Arial" w:hAnsi="Arial"/>
          <w:sz w:val="17"/>
          <w:szCs w:val="17"/>
          <w:b w:val="1"/>
          <w:bCs w:val="1"/>
          <w:i w:val="1"/>
          <w:iCs w:val="1"/>
          <w:color w:val="auto"/>
        </w:rPr>
        <w:t>We are subject to anti-corruption, anti-bribery, and similar laws, and non-compliance with such laws can subject us to criminal or civil liability and harm our business.</w:t>
      </w:r>
    </w:p>
    <w:p>
      <w:pPr>
        <w:spacing w:after="0" w:line="69" w:lineRule="exact"/>
        <w:rPr>
          <w:sz w:val="20"/>
          <w:szCs w:val="20"/>
          <w:color w:val="auto"/>
        </w:rPr>
      </w:pPr>
    </w:p>
    <w:p>
      <w:pPr>
        <w:ind w:left="480" w:right="40" w:firstLine="411"/>
        <w:spacing w:after="0" w:line="233" w:lineRule="auto"/>
        <w:rPr>
          <w:sz w:val="20"/>
          <w:szCs w:val="20"/>
          <w:color w:val="auto"/>
        </w:rPr>
      </w:pPr>
      <w:r>
        <w:rPr>
          <w:rFonts w:ascii="Arial" w:cs="Arial" w:eastAsia="Arial" w:hAnsi="Arial"/>
          <w:sz w:val="17"/>
          <w:szCs w:val="17"/>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94" w:lineRule="exact"/>
        <w:rPr>
          <w:sz w:val="20"/>
          <w:szCs w:val="20"/>
          <w:color w:val="auto"/>
        </w:rPr>
      </w:pPr>
    </w:p>
    <w:p>
      <w:pPr>
        <w:ind w:left="480" w:right="40" w:firstLine="411"/>
        <w:spacing w:after="0" w:line="235" w:lineRule="auto"/>
        <w:rPr>
          <w:sz w:val="20"/>
          <w:szCs w:val="20"/>
          <w:color w:val="auto"/>
        </w:rPr>
      </w:pPr>
      <w:r>
        <w:rPr>
          <w:rFonts w:ascii="Arial" w:cs="Arial" w:eastAsia="Arial" w:hAnsi="Arial"/>
          <w:sz w:val="17"/>
          <w:szCs w:val="17"/>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90" w:lineRule="exact"/>
        <w:rPr>
          <w:sz w:val="20"/>
          <w:szCs w:val="20"/>
          <w:color w:val="auto"/>
        </w:rPr>
      </w:pPr>
    </w:p>
    <w:p>
      <w:pPr>
        <w:ind w:left="480" w:right="100" w:firstLine="411"/>
        <w:spacing w:after="0" w:line="234"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senior management. In addition, noncompliance with anti-corruption or anti -bribery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271" w:lineRule="exact"/>
        <w:rPr>
          <w:sz w:val="20"/>
          <w:szCs w:val="20"/>
          <w:color w:val="auto"/>
        </w:rPr>
      </w:pPr>
    </w:p>
    <w:p>
      <w:pPr>
        <w:ind w:left="480" w:right="380"/>
        <w:spacing w:after="0" w:line="264" w:lineRule="auto"/>
        <w:rPr>
          <w:sz w:val="20"/>
          <w:szCs w:val="20"/>
          <w:color w:val="auto"/>
        </w:rPr>
      </w:pPr>
      <w:r>
        <w:rPr>
          <w:rFonts w:ascii="Arial" w:cs="Arial" w:eastAsia="Arial" w:hAnsi="Arial"/>
          <w:sz w:val="17"/>
          <w:szCs w:val="17"/>
          <w:b w:val="1"/>
          <w:bCs w:val="1"/>
          <w:i w:val="1"/>
          <w:iCs w:val="1"/>
          <w:color w:val="auto"/>
        </w:rPr>
        <w:t>New or revised tax regulations, unfavorable resolution of tax contingencies or changes to enacted tax rates could adversely affect our tax expense.</w:t>
      </w:r>
    </w:p>
    <w:p>
      <w:pPr>
        <w:spacing w:after="0" w:line="69" w:lineRule="exact"/>
        <w:rPr>
          <w:sz w:val="20"/>
          <w:szCs w:val="20"/>
          <w:color w:val="auto"/>
        </w:rPr>
      </w:pPr>
    </w:p>
    <w:p>
      <w:pPr>
        <w:ind w:left="480" w:firstLine="411"/>
        <w:spacing w:after="0" w:line="236" w:lineRule="auto"/>
        <w:rPr>
          <w:sz w:val="20"/>
          <w:szCs w:val="20"/>
          <w:color w:val="auto"/>
        </w:rPr>
      </w:pPr>
      <w:r>
        <w:rPr>
          <w:rFonts w:ascii="Arial" w:cs="Arial" w:eastAsia="Arial" w:hAnsi="Arial"/>
          <w:sz w:val="17"/>
          <w:szCs w:val="17"/>
          <w:color w:val="auto"/>
        </w:rPr>
        <w:t>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89" w:lineRule="exact"/>
        <w:rPr>
          <w:sz w:val="20"/>
          <w:szCs w:val="20"/>
          <w:color w:val="auto"/>
        </w:rPr>
      </w:pPr>
    </w:p>
    <w:p>
      <w:pPr>
        <w:ind w:left="480" w:right="60" w:firstLine="411"/>
        <w:spacing w:after="0" w:line="233" w:lineRule="auto"/>
        <w:rPr>
          <w:sz w:val="20"/>
          <w:szCs w:val="20"/>
          <w:color w:val="auto"/>
        </w:rPr>
      </w:pPr>
      <w:r>
        <w:rPr>
          <w:rFonts w:ascii="Arial" w:cs="Arial" w:eastAsia="Arial" w:hAnsi="Arial"/>
          <w:sz w:val="17"/>
          <w:szCs w:val="17"/>
          <w:color w:val="auto"/>
        </w:rPr>
        <w:t xml:space="preserve">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recently ruled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xml:space="preserve">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3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760"/>
          </w:cols>
          <w:pgMar w:left="320" w:top="464" w:right="81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271" w:lineRule="exact"/>
        <w:rPr>
          <w:sz w:val="20"/>
          <w:szCs w:val="20"/>
          <w:color w:val="auto"/>
        </w:rPr>
      </w:pPr>
    </w:p>
    <w:p>
      <w:pPr>
        <w:ind w:left="480" w:right="480"/>
        <w:spacing w:after="0" w:line="264" w:lineRule="auto"/>
        <w:rPr>
          <w:sz w:val="20"/>
          <w:szCs w:val="20"/>
          <w:color w:val="auto"/>
        </w:rPr>
      </w:pPr>
      <w:r>
        <w:rPr>
          <w:rFonts w:ascii="Arial" w:cs="Arial" w:eastAsia="Arial" w:hAnsi="Arial"/>
          <w:sz w:val="17"/>
          <w:szCs w:val="17"/>
          <w:i w:val="1"/>
          <w:iCs w:val="1"/>
          <w:color w:val="auto"/>
        </w:rPr>
        <w:t>I</w:t>
      </w:r>
      <w:r>
        <w:rPr>
          <w:rFonts w:ascii="Arial" w:cs="Arial" w:eastAsia="Arial" w:hAnsi="Arial"/>
          <w:sz w:val="17"/>
          <w:szCs w:val="17"/>
          <w:b w:val="1"/>
          <w:bCs w:val="1"/>
          <w:i w:val="1"/>
          <w:iCs w:val="1"/>
          <w:color w:val="auto"/>
        </w:rPr>
        <w:t>f we fail to adequately protect our proprietary rights, our competitive position could be impaired and we may lose valuable</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assets, generate less revenue and incur costly litigation to protect our rights.</w:t>
      </w:r>
    </w:p>
    <w:p>
      <w:pPr>
        <w:spacing w:after="0" w:line="69" w:lineRule="exact"/>
        <w:rPr>
          <w:sz w:val="20"/>
          <w:szCs w:val="20"/>
          <w:color w:val="auto"/>
        </w:rPr>
      </w:pPr>
    </w:p>
    <w:p>
      <w:pPr>
        <w:ind w:left="480" w:right="20" w:firstLine="411"/>
        <w:spacing w:after="0" w:line="233" w:lineRule="auto"/>
        <w:rPr>
          <w:sz w:val="20"/>
          <w:szCs w:val="20"/>
          <w:color w:val="auto"/>
        </w:rPr>
      </w:pPr>
      <w:r>
        <w:rPr>
          <w:rFonts w:ascii="Arial" w:cs="Arial" w:eastAsia="Arial" w:hAnsi="Arial"/>
          <w:sz w:val="17"/>
          <w:szCs w:val="17"/>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95" w:lineRule="exact"/>
        <w:rPr>
          <w:sz w:val="20"/>
          <w:szCs w:val="20"/>
          <w:color w:val="auto"/>
        </w:rPr>
      </w:pPr>
    </w:p>
    <w:p>
      <w:pPr>
        <w:ind w:left="480" w:right="40" w:firstLine="411"/>
        <w:spacing w:after="0" w:line="233" w:lineRule="auto"/>
        <w:rPr>
          <w:sz w:val="20"/>
          <w:szCs w:val="20"/>
          <w:color w:val="auto"/>
        </w:rPr>
      </w:pPr>
      <w:r>
        <w:rPr>
          <w:rFonts w:ascii="Arial" w:cs="Arial" w:eastAsia="Arial" w:hAnsi="Arial"/>
          <w:sz w:val="17"/>
          <w:szCs w:val="17"/>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w:t>
      </w:r>
    </w:p>
    <w:p>
      <w:pPr>
        <w:spacing w:after="0" w:line="196" w:lineRule="exact"/>
        <w:rPr>
          <w:sz w:val="20"/>
          <w:szCs w:val="20"/>
          <w:color w:val="auto"/>
        </w:rPr>
      </w:pPr>
    </w:p>
    <w:p>
      <w:pPr>
        <w:ind w:left="480" w:right="60" w:firstLine="411"/>
        <w:spacing w:after="0" w:line="233" w:lineRule="auto"/>
        <w:rPr>
          <w:sz w:val="20"/>
          <w:szCs w:val="20"/>
          <w:color w:val="auto"/>
        </w:rPr>
      </w:pPr>
      <w:r>
        <w:rPr>
          <w:rFonts w:ascii="Arial" w:cs="Arial" w:eastAsia="Arial" w:hAnsi="Arial"/>
          <w:sz w:val="17"/>
          <w:szCs w:val="17"/>
          <w:color w:val="auto"/>
        </w:rPr>
        <w:t>We endeavor to enter into agreements with our employees, consultants and contractors and with parties with whom we do business in order to acquire intellectual property rights developed as a result of service to Flywire, as well as to limit access to and disclosure of our proprietary information. No assurance can be given that our intellectual property related agreements with our employees,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96" w:lineRule="exact"/>
        <w:rPr>
          <w:sz w:val="20"/>
          <w:szCs w:val="20"/>
          <w:color w:val="auto"/>
        </w:rPr>
      </w:pPr>
    </w:p>
    <w:p>
      <w:pPr>
        <w:ind w:left="480" w:right="60" w:firstLine="411"/>
        <w:spacing w:after="0" w:line="233" w:lineRule="auto"/>
        <w:rPr>
          <w:sz w:val="20"/>
          <w:szCs w:val="20"/>
          <w:color w:val="auto"/>
        </w:rPr>
      </w:pPr>
      <w:r>
        <w:rPr>
          <w:rFonts w:ascii="Arial" w:cs="Arial" w:eastAsia="Arial" w:hAnsi="Arial"/>
          <w:sz w:val="17"/>
          <w:szCs w:val="17"/>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3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760"/>
          </w:cols>
          <w:pgMar w:left="320" w:top="464" w:right="81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right="60"/>
        <w:spacing w:after="0" w:line="264" w:lineRule="auto"/>
        <w:rPr>
          <w:sz w:val="20"/>
          <w:szCs w:val="20"/>
          <w:color w:val="auto"/>
        </w:rPr>
      </w:pPr>
      <w:r>
        <w:rPr>
          <w:rFonts w:ascii="Arial" w:cs="Arial" w:eastAsia="Arial" w:hAnsi="Arial"/>
          <w:sz w:val="17"/>
          <w:szCs w:val="17"/>
          <w:b w:val="1"/>
          <w:bCs w:val="1"/>
          <w:i w:val="1"/>
          <w:iCs w:val="1"/>
          <w:color w:val="auto"/>
        </w:rPr>
        <w:t>We may in the future be subject to intellectual property disputes, which are costly and may subject us to significant liability and increased costs of doing business.</w:t>
      </w:r>
    </w:p>
    <w:p>
      <w:pPr>
        <w:spacing w:after="0" w:line="69" w:lineRule="exact"/>
        <w:rPr>
          <w:sz w:val="20"/>
          <w:szCs w:val="20"/>
          <w:color w:val="auto"/>
        </w:rPr>
      </w:pPr>
    </w:p>
    <w:p>
      <w:pPr>
        <w:ind w:left="480" w:right="20" w:firstLine="411"/>
        <w:spacing w:after="0" w:line="233" w:lineRule="auto"/>
        <w:rPr>
          <w:sz w:val="20"/>
          <w:szCs w:val="20"/>
          <w:color w:val="auto"/>
        </w:rPr>
      </w:pPr>
      <w:r>
        <w:rPr>
          <w:rFonts w:ascii="Arial" w:cs="Arial" w:eastAsia="Arial" w:hAnsi="Arial"/>
          <w:sz w:val="17"/>
          <w:szCs w:val="17"/>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spacing w:after="0" w:line="275" w:lineRule="exact"/>
        <w:rPr>
          <w:sz w:val="20"/>
          <w:szCs w:val="20"/>
          <w:color w:val="auto"/>
        </w:rPr>
      </w:pPr>
    </w:p>
    <w:p>
      <w:pPr>
        <w:ind w:left="480" w:right="120"/>
        <w:spacing w:after="0" w:line="264" w:lineRule="auto"/>
        <w:rPr>
          <w:sz w:val="20"/>
          <w:szCs w:val="20"/>
          <w:color w:val="auto"/>
        </w:rPr>
      </w:pPr>
      <w:r>
        <w:rPr>
          <w:rFonts w:ascii="Arial" w:cs="Arial" w:eastAsia="Arial" w:hAnsi="Arial"/>
          <w:sz w:val="17"/>
          <w:szCs w:val="17"/>
          <w:b w:val="1"/>
          <w:bCs w:val="1"/>
          <w:i w:val="1"/>
          <w:iCs w:val="1"/>
          <w:color w:val="auto"/>
        </w:rPr>
        <w:t>Our use of “open source” software could negatively affect our ability to offer and sell access to our solutions and subject us to possible litigation.</w:t>
      </w:r>
    </w:p>
    <w:p>
      <w:pPr>
        <w:spacing w:after="0" w:line="69" w:lineRule="exact"/>
        <w:rPr>
          <w:sz w:val="20"/>
          <w:szCs w:val="20"/>
          <w:color w:val="auto"/>
        </w:rPr>
      </w:pPr>
    </w:p>
    <w:p>
      <w:pPr>
        <w:ind w:left="480" w:right="20" w:firstLine="411"/>
        <w:spacing w:after="0" w:line="234" w:lineRule="auto"/>
        <w:rPr>
          <w:sz w:val="20"/>
          <w:szCs w:val="20"/>
          <w:color w:val="auto"/>
        </w:rPr>
      </w:pPr>
      <w:r>
        <w:rPr>
          <w:rFonts w:ascii="Arial" w:cs="Arial" w:eastAsia="Arial" w:hAnsi="Arial"/>
          <w:sz w:val="17"/>
          <w:szCs w:val="17"/>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91"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275" w:lineRule="exact"/>
        <w:rPr>
          <w:sz w:val="20"/>
          <w:szCs w:val="20"/>
          <w:color w:val="auto"/>
        </w:rPr>
      </w:pPr>
    </w:p>
    <w:p>
      <w:pPr>
        <w:ind w:left="480" w:right="320"/>
        <w:spacing w:after="0" w:line="264" w:lineRule="auto"/>
        <w:rPr>
          <w:sz w:val="20"/>
          <w:szCs w:val="20"/>
          <w:color w:val="auto"/>
        </w:rPr>
      </w:pPr>
      <w:r>
        <w:rPr>
          <w:rFonts w:ascii="Arial" w:cs="Arial" w:eastAsia="Arial" w:hAnsi="Arial"/>
          <w:sz w:val="17"/>
          <w:szCs w:val="17"/>
          <w:i w:val="1"/>
          <w:iCs w:val="1"/>
          <w:color w:val="auto"/>
        </w:rPr>
        <w:t>I</w:t>
      </w:r>
      <w:r>
        <w:rPr>
          <w:rFonts w:ascii="Arial" w:cs="Arial" w:eastAsia="Arial" w:hAnsi="Arial"/>
          <w:sz w:val="17"/>
          <w:szCs w:val="17"/>
          <w:b w:val="1"/>
          <w:bCs w:val="1"/>
          <w:i w:val="1"/>
          <w:iCs w:val="1"/>
          <w:color w:val="auto"/>
        </w:rPr>
        <w:t>ndemnity and liability provisions in various agreements potentially expose us to substantial liability for intellectual property</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infringement, data protection, and other losses.</w:t>
      </w:r>
    </w:p>
    <w:p>
      <w:pPr>
        <w:spacing w:after="0" w:line="69"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 customer data, and any such coverage may not continue to be available to us on acceptable terms or at all.</w:t>
      </w:r>
    </w:p>
    <w:p>
      <w:pPr>
        <w:spacing w:after="0" w:line="27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The United Kingdom’s departure from the E.U. could adversely affect us.</w:t>
      </w:r>
    </w:p>
    <w:p>
      <w:pPr>
        <w:spacing w:after="0" w:line="115" w:lineRule="exact"/>
        <w:rPr>
          <w:sz w:val="20"/>
          <w:szCs w:val="20"/>
          <w:color w:val="auto"/>
        </w:rPr>
      </w:pPr>
    </w:p>
    <w:p>
      <w:pPr>
        <w:ind w:left="480" w:right="280" w:firstLine="411"/>
        <w:spacing w:after="0" w:line="237" w:lineRule="auto"/>
        <w:rPr>
          <w:sz w:val="20"/>
          <w:szCs w:val="20"/>
          <w:color w:val="auto"/>
        </w:rPr>
      </w:pPr>
      <w:r>
        <w:rPr>
          <w:rFonts w:ascii="Arial" w:cs="Arial" w:eastAsia="Arial" w:hAnsi="Arial"/>
          <w:sz w:val="17"/>
          <w:szCs w:val="17"/>
          <w:color w:val="auto"/>
        </w:rPr>
        <w:t>The U.K. formally exited the E.U. on January 31, 2020 and a transition period was in place until December 31, 2020 during which time the U.K. remained in both the E.U. customs union and single market and was subject to E.U. rules. There is a significant lack of clarity over the terms of the U.K.’s future relationship with the E.U. in the future.</w:t>
      </w:r>
    </w:p>
    <w:p>
      <w:pPr>
        <w:spacing w:after="0" w:line="12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740"/>
          </w:cols>
          <w:pgMar w:left="320" w:top="464" w:right="8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Brexit could therefore adversely affect U.K., regional (including European), and worldwide economic and market conditions and could contribute to instability in global financial and foreign currency exchange markets, including volatility in the value of the British Pound and Euro, which in turn could adversely affect us or our clients and companies with which we do business, particularly in the U.K. Brexit could lead to greater restrictions on travel between the U.K. and the EEA region, with the potential inability of students to travel or relocate for purposes of seeking foreign educational opportunities. Brexit could also trigger a general deterioration in credit conditions, a downturn in consumer sentiment, and overall negative economic growth. Any of these scenarios could have an adverse effect on our business or our clients.</w:t>
      </w:r>
    </w:p>
    <w:p>
      <w:pPr>
        <w:spacing w:after="0" w:line="191" w:lineRule="exact"/>
        <w:rPr>
          <w:sz w:val="20"/>
          <w:szCs w:val="20"/>
          <w:color w:val="auto"/>
        </w:rPr>
      </w:pPr>
    </w:p>
    <w:p>
      <w:pPr>
        <w:ind w:left="480" w:right="240" w:firstLine="411"/>
        <w:spacing w:after="0" w:line="237" w:lineRule="auto"/>
        <w:rPr>
          <w:sz w:val="20"/>
          <w:szCs w:val="20"/>
          <w:color w:val="auto"/>
        </w:rPr>
      </w:pPr>
      <w:r>
        <w:rPr>
          <w:rFonts w:ascii="Arial" w:cs="Arial" w:eastAsia="Arial" w:hAnsi="Arial"/>
          <w:sz w:val="17"/>
          <w:szCs w:val="17"/>
          <w:color w:val="auto"/>
        </w:rPr>
        <w:t>In addition, Brexit could lead to legal uncertainty and increased complexity for financial services firms as national laws and regulations in the U.K. start to diverge from E.U. laws and regulations. In particular, depending on the terms of Brexit, we may face new regulatory costs and challenges, including the following:</w:t>
      </w:r>
    </w:p>
    <w:p>
      <w:pPr>
        <w:spacing w:after="0" w:line="102" w:lineRule="exact"/>
        <w:rPr>
          <w:sz w:val="20"/>
          <w:szCs w:val="20"/>
          <w:color w:val="auto"/>
        </w:rPr>
      </w:pPr>
    </w:p>
    <w:p>
      <w:pPr>
        <w:ind w:left="1380" w:right="180" w:hanging="497"/>
        <w:spacing w:after="0" w:line="237"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we are unable to utilize appropriate authorizations and regulatory permissions, our European operations could lose their ability to offer services into the U.K. market on a cross-border basis and for our U.K. based operations to offer services on a cross-border basis in the European markets;</w:t>
      </w:r>
    </w:p>
    <w:p>
      <w:pPr>
        <w:spacing w:after="0" w:line="101" w:lineRule="exact"/>
        <w:rPr>
          <w:rFonts w:ascii="Arial" w:cs="Arial" w:eastAsia="Arial" w:hAnsi="Arial"/>
          <w:sz w:val="17"/>
          <w:szCs w:val="17"/>
          <w:color w:val="auto"/>
        </w:rPr>
      </w:pPr>
    </w:p>
    <w:p>
      <w:pPr>
        <w:ind w:left="1380" w:right="20" w:hanging="497"/>
        <w:spacing w:after="0" w:line="237"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could be required to obtain additional regulatory permissions to operate in the U.K. market, adding costs and potential inconsistency to our business. Depending on the capacity of the U.K. authorities, the criteria for obtaining permission, and any possible transitional arrangements, our business in the U.K. could be materially affected or disrupted;</w:t>
      </w:r>
    </w:p>
    <w:p>
      <w:pPr>
        <w:spacing w:after="0" w:line="101" w:lineRule="exact"/>
        <w:rPr>
          <w:rFonts w:ascii="Arial" w:cs="Arial" w:eastAsia="Arial" w:hAnsi="Arial"/>
          <w:sz w:val="17"/>
          <w:szCs w:val="17"/>
          <w:color w:val="auto"/>
        </w:rPr>
      </w:pPr>
    </w:p>
    <w:p>
      <w:pPr>
        <w:ind w:left="1380" w:right="120" w:hanging="497"/>
        <w:spacing w:after="0"/>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could be required to comply with legal and regulatory requirements in the U.K. that are in addition to, or inconsistent with, those of the E.U., leading to increased complexity and costs for our European and U.K. operations; and</w:t>
      </w:r>
    </w:p>
    <w:p>
      <w:pPr>
        <w:spacing w:after="0" w:line="100" w:lineRule="exact"/>
        <w:rPr>
          <w:rFonts w:ascii="Arial" w:cs="Arial" w:eastAsia="Arial" w:hAnsi="Arial"/>
          <w:sz w:val="17"/>
          <w:szCs w:val="17"/>
          <w:color w:val="auto"/>
        </w:rPr>
      </w:pPr>
    </w:p>
    <w:p>
      <w:pPr>
        <w:ind w:left="1380" w:right="360" w:hanging="497"/>
        <w:spacing w:after="0"/>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attract and retain the necessary human resources in appropriate locations to support our U.K. and European business could be adversely impacted.</w:t>
      </w:r>
    </w:p>
    <w:p>
      <w:pPr>
        <w:spacing w:after="0" w:line="189" w:lineRule="exact"/>
        <w:rPr>
          <w:sz w:val="20"/>
          <w:szCs w:val="20"/>
          <w:color w:val="auto"/>
        </w:rPr>
      </w:pPr>
    </w:p>
    <w:p>
      <w:pPr>
        <w:ind w:left="480" w:right="320" w:firstLine="411"/>
        <w:spacing w:after="0"/>
        <w:rPr>
          <w:sz w:val="20"/>
          <w:szCs w:val="20"/>
          <w:color w:val="auto"/>
        </w:rPr>
      </w:pPr>
      <w:r>
        <w:rPr>
          <w:rFonts w:ascii="Arial" w:cs="Arial" w:eastAsia="Arial" w:hAnsi="Arial"/>
          <w:sz w:val="17"/>
          <w:szCs w:val="17"/>
          <w:color w:val="auto"/>
        </w:rPr>
        <w:t>These and other factors related to Brexit could, individually or in the aggregate, have a material adverse impact on our business, financial condition, and results of operations.</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Our ability to use our net operating losses to offset future taxable income may be subject to certain limitations.</w:t>
      </w:r>
    </w:p>
    <w:p>
      <w:pPr>
        <w:spacing w:after="0" w:line="115"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As of June 30, 2021, we had U.S. federal net operating loss (NOL) carryforwards of approximately $ 123.0 million and state net operating loss carryforwards of approximately $105.6 million. The federal and material state net operating loss carryforwards will begin to expire in 2030 and 2024,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If it is determined that we have in the past experienced an ownership change, or if we undergo one or more ownership changes as a result of our IPO or future transactions in our stock, then our ability to utilize NOLs and other pre -change tax attributes could be limited by Sections 382 and 383 of the Code. Future changes in our stock ownership, many of which are outside of our control, could result in an ownership change under Sections 382 or 383 of the Code. Furthermore, our ability to utilize NOLs of companies that we may acquire in the future may be subject to limitations. For these reasons, we may not be able to utilize a material portion of the NOLs, even if we were to achieve profitability.</w:t>
      </w:r>
    </w:p>
    <w:p>
      <w:pPr>
        <w:spacing w:after="0" w:line="193" w:lineRule="exact"/>
        <w:rPr>
          <w:sz w:val="20"/>
          <w:szCs w:val="20"/>
          <w:color w:val="auto"/>
        </w:rPr>
      </w:pPr>
    </w:p>
    <w:p>
      <w:pPr>
        <w:ind w:left="480" w:right="40" w:firstLine="411"/>
        <w:spacing w:after="0" w:line="233" w:lineRule="auto"/>
        <w:rPr>
          <w:sz w:val="20"/>
          <w:szCs w:val="20"/>
          <w:color w:val="auto"/>
        </w:rPr>
      </w:pPr>
      <w:r>
        <w:rPr>
          <w:rFonts w:ascii="Arial" w:cs="Arial" w:eastAsia="Arial" w:hAnsi="Arial"/>
          <w:sz w:val="17"/>
          <w:szCs w:val="17"/>
          <w:color w:val="auto"/>
        </w:rPr>
        <w:t>Under the Tax Cuts and Jobs Act enacted in 2017 (Tax Act) as modified by the Coronavirus Aid, Relief, and Economic Security Act enacted in 2020 (CARES Act),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13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740"/>
          </w:cols>
          <w:pgMar w:left="320" w:top="464" w:right="8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Risks Related to Being a Public Company</w:t>
      </w:r>
    </w:p>
    <w:p>
      <w:pPr>
        <w:spacing w:after="0" w:line="95" w:lineRule="exact"/>
        <w:rPr>
          <w:sz w:val="20"/>
          <w:szCs w:val="20"/>
          <w:color w:val="auto"/>
        </w:rPr>
      </w:pPr>
    </w:p>
    <w:p>
      <w:pPr>
        <w:ind w:left="480"/>
        <w:spacing w:after="0" w:line="271" w:lineRule="auto"/>
        <w:rPr>
          <w:sz w:val="20"/>
          <w:szCs w:val="20"/>
          <w:color w:val="auto"/>
        </w:rPr>
      </w:pPr>
      <w:r>
        <w:rPr>
          <w:rFonts w:ascii="Arial" w:cs="Arial" w:eastAsia="Arial" w:hAnsi="Arial"/>
          <w:sz w:val="16"/>
          <w:szCs w:val="16"/>
          <w:b w:val="1"/>
          <w:bCs w:val="1"/>
          <w:i w:val="1"/>
          <w:iCs w:val="1"/>
          <w:color w:val="auto"/>
        </w:rPr>
        <w:t>As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65"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as amended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194" w:lineRule="exact"/>
        <w:rPr>
          <w:sz w:val="20"/>
          <w:szCs w:val="20"/>
          <w:color w:val="auto"/>
        </w:rPr>
      </w:pPr>
    </w:p>
    <w:p>
      <w:pPr>
        <w:ind w:left="480" w:right="40" w:firstLine="411"/>
        <w:spacing w:after="0" w:line="234" w:lineRule="auto"/>
        <w:rPr>
          <w:sz w:val="20"/>
          <w:szCs w:val="20"/>
          <w:color w:val="auto"/>
        </w:rPr>
      </w:pPr>
      <w:r>
        <w:rPr>
          <w:rFonts w:ascii="Arial" w:cs="Arial" w:eastAsia="Arial" w:hAnsi="Arial"/>
          <w:sz w:val="17"/>
          <w:szCs w:val="17"/>
          <w:color w:val="auto"/>
        </w:rPr>
        <w:t>As a public company, we are required, pursuant to Section 404 of the Sarbanes-Oxley Act (Section 404), to furnish a report by management on, among other things, the effectiveness of our internal control over financial reporting commencing with our second annual report on Form 10-K.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91" w:lineRule="exact"/>
        <w:rPr>
          <w:sz w:val="20"/>
          <w:szCs w:val="20"/>
          <w:color w:val="auto"/>
        </w:rPr>
      </w:pPr>
    </w:p>
    <w:p>
      <w:pPr>
        <w:ind w:left="480" w:right="20" w:firstLine="411"/>
        <w:spacing w:after="0" w:line="233" w:lineRule="auto"/>
        <w:rPr>
          <w:sz w:val="20"/>
          <w:szCs w:val="20"/>
          <w:color w:val="auto"/>
        </w:rPr>
      </w:pPr>
      <w:r>
        <w:rPr>
          <w:rFonts w:ascii="Arial" w:cs="Arial" w:eastAsia="Arial" w:hAnsi="Arial"/>
          <w:sz w:val="17"/>
          <w:szCs w:val="17"/>
          <w:color w:val="auto"/>
        </w:rPr>
        <w:t>This assessment will need to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provided that our independent registered public accounting firm will not be required to attest to the effectiveness of our internal control over financial reporting until our first annual report required to be filed with the SEC following the later of the date we are deemed to be an “accelerated filer” or a “large accelerated filer,” each as defined in the Exchange Act, or the date we are no longer an emerging growth company, as defined in the JOBS Act.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will be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spacing w:after="0" w:line="195" w:lineRule="exact"/>
        <w:rPr>
          <w:sz w:val="20"/>
          <w:szCs w:val="20"/>
          <w:color w:val="auto"/>
        </w:rPr>
      </w:pPr>
    </w:p>
    <w:p>
      <w:pPr>
        <w:jc w:val="both"/>
        <w:ind w:left="480" w:right="160" w:firstLine="411"/>
        <w:spacing w:after="0" w:line="236" w:lineRule="auto"/>
        <w:rPr>
          <w:sz w:val="20"/>
          <w:szCs w:val="20"/>
          <w:color w:val="auto"/>
        </w:rPr>
      </w:pPr>
      <w:r>
        <w:rPr>
          <w:rFonts w:ascii="Arial" w:cs="Arial" w:eastAsia="Arial" w:hAnsi="Arial"/>
          <w:sz w:val="17"/>
          <w:szCs w:val="17"/>
          <w:color w:val="auto"/>
        </w:rPr>
        <w:t>We are in the early stages of the costly and challenging process of compiling the system and processing documentation necessary to perform the evaluation needed to comply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189" w:lineRule="exact"/>
        <w:rPr>
          <w:sz w:val="20"/>
          <w:szCs w:val="20"/>
          <w:color w:val="auto"/>
        </w:rPr>
      </w:pPr>
    </w:p>
    <w:p>
      <w:pPr>
        <w:ind w:left="480" w:right="140" w:firstLine="411"/>
        <w:spacing w:after="0" w:line="235" w:lineRule="auto"/>
        <w:rPr>
          <w:sz w:val="20"/>
          <w:szCs w:val="20"/>
          <w:color w:val="auto"/>
        </w:rPr>
      </w:pPr>
      <w:r>
        <w:rPr>
          <w:rFonts w:ascii="Arial" w:cs="Arial" w:eastAsia="Arial" w:hAnsi="Arial"/>
          <w:sz w:val="17"/>
          <w:szCs w:val="17"/>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2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760"/>
          </w:cols>
          <w:pgMar w:left="320" w:top="464" w:right="81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right="480"/>
        <w:spacing w:after="0" w:line="264"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9"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As a public company, we will continue to incur significant legal, accounting, and other expenses that we did not incur as a private company, which we expect to further increase after we are no longer an “emerging growth company.”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new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7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95" w:lineRule="exact"/>
        <w:rPr>
          <w:sz w:val="20"/>
          <w:szCs w:val="20"/>
          <w:color w:val="auto"/>
        </w:rPr>
      </w:pPr>
    </w:p>
    <w:p>
      <w:pPr>
        <w:ind w:left="480"/>
        <w:spacing w:after="0" w:line="264" w:lineRule="auto"/>
        <w:rPr>
          <w:sz w:val="20"/>
          <w:szCs w:val="20"/>
          <w:color w:val="auto"/>
        </w:rPr>
      </w:pPr>
      <w:r>
        <w:rPr>
          <w:rFonts w:ascii="Arial" w:cs="Arial" w:eastAsia="Arial" w:hAnsi="Arial"/>
          <w:sz w:val="17"/>
          <w:szCs w:val="17"/>
          <w:b w:val="1"/>
          <w:bCs w:val="1"/>
          <w:i w:val="1"/>
          <w:iCs w:val="1"/>
          <w:color w:val="auto"/>
        </w:rPr>
        <w:t>The price of our common stock may be volatile or may decline regardless of our operating performance and you may not be able to resell your shares at or above the price you paid for them.</w:t>
      </w:r>
    </w:p>
    <w:p>
      <w:pPr>
        <w:spacing w:after="0" w:line="69" w:lineRule="exact"/>
        <w:rPr>
          <w:sz w:val="20"/>
          <w:szCs w:val="20"/>
          <w:color w:val="auto"/>
        </w:rPr>
      </w:pPr>
    </w:p>
    <w:p>
      <w:pPr>
        <w:ind w:left="480" w:right="600" w:firstLine="411"/>
        <w:spacing w:after="0"/>
        <w:rPr>
          <w:sz w:val="20"/>
          <w:szCs w:val="20"/>
          <w:color w:val="auto"/>
        </w:rPr>
      </w:pPr>
      <w:r>
        <w:rPr>
          <w:rFonts w:ascii="Arial" w:cs="Arial" w:eastAsia="Arial" w:hAnsi="Arial"/>
          <w:sz w:val="17"/>
          <w:szCs w:val="17"/>
          <w:color w:val="auto"/>
        </w:rPr>
        <w:t>An active or liquid market in our common stock may not be sustainable. The market price of our common stock may fluctuate significantly in response to numerous factors, many of which are beyond our control, including:</w:t>
      </w:r>
    </w:p>
    <w:p>
      <w:pPr>
        <w:spacing w:after="0" w:line="101" w:lineRule="exact"/>
        <w:rPr>
          <w:sz w:val="20"/>
          <w:szCs w:val="20"/>
          <w:color w:val="auto"/>
        </w:rPr>
      </w:pPr>
    </w:p>
    <w:p>
      <w:pPr>
        <w:ind w:left="13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overall performance of the equity markets;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operating performance and the performance of other similar companies;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delays in the roll out of new solutions;</w:t>
      </w:r>
    </w:p>
    <w:p>
      <w:pPr>
        <w:spacing w:after="0" w:line="107" w:lineRule="exact"/>
        <w:rPr>
          <w:rFonts w:ascii="Arial" w:cs="Arial" w:eastAsia="Arial" w:hAnsi="Arial"/>
          <w:sz w:val="17"/>
          <w:szCs w:val="17"/>
          <w:color w:val="auto"/>
        </w:rPr>
      </w:pPr>
    </w:p>
    <w:p>
      <w:pPr>
        <w:ind w:left="1380" w:right="2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our projected operating results that we provide to the public, our failure to meet these projections or changes in recommendations by securities analysts that elect to follow our common stock;</w:t>
      </w:r>
    </w:p>
    <w:p>
      <w:pPr>
        <w:spacing w:after="0" w:line="100" w:lineRule="exact"/>
        <w:rPr>
          <w:rFonts w:ascii="Arial" w:cs="Arial" w:eastAsia="Arial" w:hAnsi="Arial"/>
          <w:sz w:val="17"/>
          <w:szCs w:val="17"/>
          <w:color w:val="auto"/>
        </w:rPr>
      </w:pPr>
    </w:p>
    <w:p>
      <w:pPr>
        <w:ind w:left="13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regulatory actions with respect to our payment solutions;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level of expenses related to our solutions;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announcements of acquisitions, strategic alliances or significant agreements by us or by our competitors;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intellectual property or proprietary rights;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recruitment or departure of key personnel;</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economy as a whole and market conditions in our industry, including conditions resulting from the COVID-19 pandemic;</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variations in our financial results or the financial results of companies that are perceived to be similar to us;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financing or other corporate transactions, or inability to obtain additional funding;</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the structure of payment systems;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effects of the ongoing United States-China trade war;</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trading activity by a limited number of stockholders who together beneficially own a majority of our outstanding common stock;</w:t>
      </w:r>
    </w:p>
    <w:p>
      <w:pPr>
        <w:spacing w:after="0" w:line="118" w:lineRule="exact"/>
        <w:rPr>
          <w:rFonts w:ascii="Arial" w:cs="Arial" w:eastAsia="Arial" w:hAnsi="Arial"/>
          <w:sz w:val="16"/>
          <w:szCs w:val="16"/>
          <w:color w:val="auto"/>
        </w:rPr>
      </w:pPr>
    </w:p>
    <w:p>
      <w:pPr>
        <w:ind w:left="13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expiration of market standoff or contractual lock-up agreements;</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size of our market float; and</w:t>
      </w:r>
    </w:p>
    <w:p>
      <w:pPr>
        <w:spacing w:after="0" w:line="107" w:lineRule="exact"/>
        <w:rPr>
          <w:rFonts w:ascii="Arial" w:cs="Arial" w:eastAsia="Arial" w:hAnsi="Arial"/>
          <w:sz w:val="17"/>
          <w:szCs w:val="17"/>
          <w:color w:val="auto"/>
        </w:rPr>
      </w:pPr>
    </w:p>
    <w:p>
      <w:pPr>
        <w:ind w:left="1380" w:hanging="497"/>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other factors discussed in this Form 10-Q and our Final Prospectus.</w:t>
      </w:r>
    </w:p>
    <w:p>
      <w:pPr>
        <w:spacing w:after="0" w:line="13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760"/>
          </w:cols>
          <w:pgMar w:left="320" w:top="464" w:right="81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right="40" w:firstLine="411"/>
        <w:spacing w:after="0" w:line="252" w:lineRule="auto"/>
        <w:rPr>
          <w:sz w:val="20"/>
          <w:szCs w:val="20"/>
          <w:color w:val="auto"/>
        </w:rPr>
      </w:pPr>
      <w:r>
        <w:rPr>
          <w:rFonts w:ascii="Arial" w:cs="Arial" w:eastAsia="Arial" w:hAnsi="Arial"/>
          <w:sz w:val="16"/>
          <w:szCs w:val="16"/>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62" w:lineRule="exact"/>
        <w:rPr>
          <w:sz w:val="20"/>
          <w:szCs w:val="20"/>
          <w:color w:val="auto"/>
        </w:rPr>
      </w:pPr>
    </w:p>
    <w:p>
      <w:pPr>
        <w:ind w:left="480" w:right="760"/>
        <w:spacing w:after="0" w:line="264"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69" w:lineRule="exact"/>
        <w:rPr>
          <w:sz w:val="20"/>
          <w:szCs w:val="20"/>
          <w:color w:val="auto"/>
        </w:rPr>
      </w:pPr>
    </w:p>
    <w:p>
      <w:pPr>
        <w:ind w:left="480" w:right="40" w:firstLine="411"/>
        <w:spacing w:after="0" w:line="233"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195"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We will remain an emerging growth company until the earliest of (i) the last day of the fiscal year following the fifth anniversary of the completion of our initial public offering (December 31, 2026), (ii) the last day of the first fiscal year in which our annual gross revenue is $1.07 billion or more, (iii) the date on which we have, during the previous rolling three-year period, issued more than $1 billion in non-convertible debt securities, and (iv) the date on which we are deemed to be a “large accelerated filer,” which will occur as of the end of any fiscal year in which we (x) have an aggregate market value of our common stock held by non-affiliates of $700 million or more as of the last business day of our most recently completed second fiscal quarter, (y) have been required to file annual and quarterly reports under the Exchange Act for a period of at least 12 months, and (z) have filed at least one annual report pursuant to the Exchange Act.</w:t>
      </w:r>
    </w:p>
    <w:p>
      <w:pPr>
        <w:spacing w:after="0" w:line="191" w:lineRule="exact"/>
        <w:rPr>
          <w:sz w:val="20"/>
          <w:szCs w:val="20"/>
          <w:color w:val="auto"/>
        </w:rPr>
      </w:pPr>
    </w:p>
    <w:p>
      <w:pPr>
        <w:ind w:left="480" w:right="40" w:firstLine="411"/>
        <w:spacing w:after="0" w:line="236" w:lineRule="auto"/>
        <w:rPr>
          <w:sz w:val="20"/>
          <w:szCs w:val="20"/>
          <w:color w:val="auto"/>
        </w:rPr>
      </w:pPr>
      <w:r>
        <w:rPr>
          <w:rFonts w:ascii="Arial" w:cs="Arial" w:eastAsia="Arial" w:hAnsi="Arial"/>
          <w:sz w:val="17"/>
          <w:szCs w:val="17"/>
          <w:color w:val="auto"/>
        </w:rPr>
        <w:t>We cannot predict if investors will find our common stock less attractive if we continue to choose to rely on these exemptions. For example, if we do not adopt a new or revised accounting standard, our future operating results may not be as comparable to the operating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270" w:lineRule="exact"/>
        <w:rPr>
          <w:sz w:val="20"/>
          <w:szCs w:val="20"/>
          <w:color w:val="auto"/>
        </w:rPr>
      </w:pPr>
    </w:p>
    <w:p>
      <w:pPr>
        <w:ind w:left="480" w:right="380"/>
        <w:spacing w:after="0" w:line="264" w:lineRule="auto"/>
        <w:rPr>
          <w:sz w:val="20"/>
          <w:szCs w:val="20"/>
          <w:color w:val="auto"/>
        </w:rPr>
      </w:pPr>
      <w:r>
        <w:rPr>
          <w:rFonts w:ascii="Arial" w:cs="Arial" w:eastAsia="Arial" w:hAnsi="Arial"/>
          <w:sz w:val="17"/>
          <w:szCs w:val="17"/>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69" w:lineRule="exact"/>
        <w:rPr>
          <w:sz w:val="20"/>
          <w:szCs w:val="20"/>
          <w:color w:val="auto"/>
        </w:rPr>
      </w:pPr>
    </w:p>
    <w:p>
      <w:pPr>
        <w:ind w:left="480" w:right="20" w:firstLine="411"/>
        <w:spacing w:after="0" w:line="233" w:lineRule="auto"/>
        <w:rPr>
          <w:sz w:val="20"/>
          <w:szCs w:val="20"/>
          <w:color w:val="auto"/>
        </w:rPr>
      </w:pPr>
      <w:r>
        <w:rPr>
          <w:rFonts w:ascii="Arial" w:cs="Arial" w:eastAsia="Arial" w:hAnsi="Arial"/>
          <w:sz w:val="17"/>
          <w:szCs w:val="17"/>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the disruption in the capital markets caused by the COVID-19 outbreak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194" w:lineRule="exact"/>
        <w:rPr>
          <w:sz w:val="20"/>
          <w:szCs w:val="20"/>
          <w:color w:val="auto"/>
        </w:rPr>
      </w:pPr>
    </w:p>
    <w:p>
      <w:pPr>
        <w:ind w:left="480" w:right="260" w:firstLine="411"/>
        <w:spacing w:after="0"/>
        <w:rPr>
          <w:sz w:val="20"/>
          <w:szCs w:val="20"/>
          <w:color w:val="auto"/>
        </w:rPr>
      </w:pPr>
      <w:r>
        <w:rPr>
          <w:rFonts w:ascii="Arial" w:cs="Arial" w:eastAsia="Arial" w:hAnsi="Arial"/>
          <w:sz w:val="17"/>
          <w:szCs w:val="17"/>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2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760"/>
          </w:cols>
          <w:pgMar w:left="320" w:top="464" w:right="81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We may allocate our cash and cash equivalents in ways that you and other stockholders may not approve.</w:t>
      </w:r>
    </w:p>
    <w:p>
      <w:pPr>
        <w:spacing w:after="0" w:line="115" w:lineRule="exact"/>
        <w:rPr>
          <w:sz w:val="20"/>
          <w:szCs w:val="20"/>
          <w:color w:val="auto"/>
        </w:rPr>
      </w:pPr>
    </w:p>
    <w:p>
      <w:pPr>
        <w:ind w:left="480" w:right="120" w:firstLine="411"/>
        <w:spacing w:after="0" w:line="234" w:lineRule="auto"/>
        <w:rPr>
          <w:sz w:val="20"/>
          <w:szCs w:val="20"/>
          <w:color w:val="auto"/>
        </w:rPr>
      </w:pPr>
      <w:r>
        <w:rPr>
          <w:rFonts w:ascii="Arial" w:cs="Arial" w:eastAsia="Arial" w:hAnsi="Arial"/>
          <w:sz w:val="17"/>
          <w:szCs w:val="17"/>
          <w:color w:val="auto"/>
        </w:rPr>
        <w:t>Our management has broad discretion in the application of our cash and cash equivalents, and you will not have the opportunity as part of your investment decision to assess whether the net proceeds are being used appropriately. Because of the number and variability of factors that determine our use of our cash and cash equivalents, their ultimate use may vary substantially from their currently intended use. Our management might not apply our net proceeds in ways that ultimately increase the value of your investment. The failure by our management to apply these funds effectively could harm our business. Pending their use, we may invest the net proceeds from our initial public offering in short-term, investment-grade, interest-bearing securities. These investments may not yield a favorable return to our stockholders. If we do not invest or apply the net proceeds from the initial public offering in ways that enhance stockholder value, we may fail to achieve expected financial results, which could cause our stock price to decline.</w:t>
      </w:r>
    </w:p>
    <w:p>
      <w:pPr>
        <w:spacing w:after="0" w:line="271" w:lineRule="exact"/>
        <w:rPr>
          <w:sz w:val="20"/>
          <w:szCs w:val="20"/>
          <w:color w:val="auto"/>
        </w:rPr>
      </w:pPr>
    </w:p>
    <w:p>
      <w:pPr>
        <w:ind w:left="480" w:right="80"/>
        <w:spacing w:after="0" w:line="264"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69" w:lineRule="exact"/>
        <w:rPr>
          <w:sz w:val="20"/>
          <w:szCs w:val="20"/>
          <w:color w:val="auto"/>
        </w:rPr>
      </w:pPr>
    </w:p>
    <w:p>
      <w:pPr>
        <w:ind w:left="480" w:firstLine="411"/>
        <w:spacing w:after="0" w:line="234"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274" w:lineRule="exact"/>
        <w:rPr>
          <w:sz w:val="20"/>
          <w:szCs w:val="20"/>
          <w:color w:val="auto"/>
        </w:rPr>
      </w:pPr>
    </w:p>
    <w:p>
      <w:pPr>
        <w:ind w:left="480" w:right="260"/>
        <w:spacing w:after="0" w:line="264" w:lineRule="auto"/>
        <w:rPr>
          <w:sz w:val="20"/>
          <w:szCs w:val="20"/>
          <w:color w:val="auto"/>
        </w:rPr>
      </w:pPr>
      <w:r>
        <w:rPr>
          <w:rFonts w:ascii="Arial" w:cs="Arial" w:eastAsia="Arial" w:hAnsi="Arial"/>
          <w:sz w:val="17"/>
          <w:szCs w:val="17"/>
          <w:b w:val="1"/>
          <w:bCs w:val="1"/>
          <w:i w:val="1"/>
          <w:iCs w:val="1"/>
          <w:color w:val="auto"/>
        </w:rPr>
        <w:t>Substantial amounts of our outstanding shares may be sold into the market in the near future. If there are substantial sales of shares of our common stock, the price of our common stock could decline.</w:t>
      </w:r>
    </w:p>
    <w:p>
      <w:pPr>
        <w:spacing w:after="0" w:line="69"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All of the shares of common stock sold in our initial public offering are available for sale in the public market, unless purchased by our affiliates. Substantially all of our outstanding shares of common stock prior to the initial public offering are currently restricted from resale as a result of “lock-up” agreements (which may be waived by Goldman Sachs &amp; Co. LLC, in its sole discretion, with or without notice). The lock-up agreements will terminate, and accordingly, the shares of our voting common stock and non-voting common stock (following conversion into our common stock) subject to such agreements will be eligible for sale in the public market beginning at the commencement of trading on the earlier of (i) the second trading day immediately following our public release of quarterly results for the quarter ended September 30, 2021 and (ii) November 21, 2021.</w:t>
      </w:r>
    </w:p>
    <w:p>
      <w:pPr>
        <w:spacing w:after="0" w:line="196" w:lineRule="exact"/>
        <w:rPr>
          <w:sz w:val="20"/>
          <w:szCs w:val="20"/>
          <w:color w:val="auto"/>
        </w:rPr>
      </w:pPr>
    </w:p>
    <w:p>
      <w:pPr>
        <w:ind w:left="480" w:right="640" w:firstLine="411"/>
        <w:spacing w:after="0"/>
        <w:rPr>
          <w:sz w:val="20"/>
          <w:szCs w:val="20"/>
          <w:color w:val="auto"/>
        </w:rPr>
      </w:pPr>
      <w:r>
        <w:rPr>
          <w:rFonts w:ascii="Arial" w:cs="Arial" w:eastAsia="Arial" w:hAnsi="Arial"/>
          <w:sz w:val="17"/>
          <w:szCs w:val="17"/>
          <w:color w:val="auto"/>
        </w:rPr>
        <w:t>Shares held by directors, executive officers and other affiliates will be subject to volume limitations under Rule 144 under the Securities Act, and various vesting agreements.</w:t>
      </w:r>
    </w:p>
    <w:p>
      <w:pPr>
        <w:spacing w:after="0" w:line="189" w:lineRule="exact"/>
        <w:rPr>
          <w:sz w:val="20"/>
          <w:szCs w:val="20"/>
          <w:color w:val="auto"/>
        </w:rPr>
      </w:pPr>
    </w:p>
    <w:p>
      <w:pPr>
        <w:ind w:left="480" w:right="60" w:firstLine="411"/>
        <w:spacing w:after="0" w:line="235" w:lineRule="auto"/>
        <w:rPr>
          <w:sz w:val="20"/>
          <w:szCs w:val="20"/>
          <w:color w:val="auto"/>
        </w:rPr>
      </w:pPr>
      <w:r>
        <w:rPr>
          <w:rFonts w:ascii="Arial" w:cs="Arial" w:eastAsia="Arial" w:hAnsi="Arial"/>
          <w:sz w:val="17"/>
          <w:szCs w:val="17"/>
          <w:color w:val="auto"/>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employee equity incentive plans. These shares will be able to be sold freely in the public market upon issuance, subject to existing market standoff or lock-up agreements and securities laws.</w:t>
      </w:r>
    </w:p>
    <w:p>
      <w:pPr>
        <w:spacing w:after="0" w:line="190" w:lineRule="exact"/>
        <w:rPr>
          <w:sz w:val="20"/>
          <w:szCs w:val="20"/>
          <w:color w:val="auto"/>
        </w:rPr>
      </w:pPr>
    </w:p>
    <w:p>
      <w:pPr>
        <w:ind w:left="480" w:right="100" w:firstLine="411"/>
        <w:spacing w:after="0" w:line="237"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 including as a result of the release of restrictions under existing market standoff or lock-up agreements.</w:t>
      </w:r>
    </w:p>
    <w:p>
      <w:pPr>
        <w:spacing w:after="0" w:line="12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760"/>
          </w:cols>
          <w:pgMar w:left="320" w:top="464" w:right="81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right="420"/>
        <w:spacing w:after="0" w:line="264" w:lineRule="auto"/>
        <w:rPr>
          <w:sz w:val="20"/>
          <w:szCs w:val="20"/>
          <w:color w:val="auto"/>
        </w:rPr>
      </w:pPr>
      <w:r>
        <w:rPr>
          <w:rFonts w:ascii="Arial" w:cs="Arial" w:eastAsia="Arial" w:hAnsi="Arial"/>
          <w:sz w:val="17"/>
          <w:szCs w:val="17"/>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69" w:lineRule="exact"/>
        <w:rPr>
          <w:sz w:val="20"/>
          <w:szCs w:val="20"/>
          <w:color w:val="auto"/>
        </w:rPr>
      </w:pPr>
    </w:p>
    <w:p>
      <w:pPr>
        <w:ind w:left="480" w:right="120" w:firstLine="411"/>
        <w:spacing w:after="0" w:line="234" w:lineRule="auto"/>
        <w:rPr>
          <w:sz w:val="20"/>
          <w:szCs w:val="20"/>
          <w:color w:val="auto"/>
        </w:rPr>
      </w:pPr>
      <w:r>
        <w:rPr>
          <w:rFonts w:ascii="Arial" w:cs="Arial" w:eastAsia="Arial" w:hAnsi="Arial"/>
          <w:sz w:val="17"/>
          <w:szCs w:val="17"/>
          <w:color w:val="auto"/>
        </w:rPr>
        <w:t>As of June 30, 2021, our executive officers, directors and the holders of more than 5% of our outstanding common stock, in the aggregate, beneficially owned approximately 38.6% of our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including those who purchased shares in the initial public offering, oppose them. This concentration of ownership might also have the effect of delaying or preventing a change of control of our company that other stockholders may view as beneficial.</w:t>
      </w:r>
    </w:p>
    <w:p>
      <w:pPr>
        <w:spacing w:after="0" w:line="274" w:lineRule="exact"/>
        <w:rPr>
          <w:sz w:val="20"/>
          <w:szCs w:val="20"/>
          <w:color w:val="auto"/>
        </w:rPr>
      </w:pPr>
    </w:p>
    <w:p>
      <w:pPr>
        <w:ind w:left="480" w:right="60"/>
        <w:spacing w:after="0" w:line="264" w:lineRule="auto"/>
        <w:rPr>
          <w:sz w:val="20"/>
          <w:szCs w:val="20"/>
          <w:color w:val="auto"/>
        </w:rPr>
      </w:pPr>
      <w:r>
        <w:rPr>
          <w:rFonts w:ascii="Arial" w:cs="Arial" w:eastAsia="Arial" w:hAnsi="Arial"/>
          <w:sz w:val="17"/>
          <w:szCs w:val="17"/>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69" w:lineRule="exact"/>
        <w:rPr>
          <w:sz w:val="20"/>
          <w:szCs w:val="20"/>
          <w:color w:val="auto"/>
        </w:rPr>
      </w:pPr>
    </w:p>
    <w:p>
      <w:pPr>
        <w:ind w:left="480" w:right="20" w:firstLine="411"/>
        <w:spacing w:after="0" w:line="234" w:lineRule="auto"/>
        <w:rPr>
          <w:sz w:val="20"/>
          <w:szCs w:val="20"/>
          <w:color w:val="auto"/>
        </w:rPr>
      </w:pPr>
      <w:r>
        <w:rPr>
          <w:rFonts w:ascii="Arial" w:cs="Arial" w:eastAsia="Arial" w:hAnsi="Arial"/>
          <w:sz w:val="17"/>
          <w:szCs w:val="17"/>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loan and security agreement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271" w:lineRule="exact"/>
        <w:rPr>
          <w:sz w:val="20"/>
          <w:szCs w:val="20"/>
          <w:color w:val="auto"/>
        </w:rPr>
      </w:pPr>
    </w:p>
    <w:p>
      <w:pPr>
        <w:ind w:left="480" w:right="140"/>
        <w:spacing w:after="0" w:line="264"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69" w:lineRule="exact"/>
        <w:rPr>
          <w:sz w:val="20"/>
          <w:szCs w:val="20"/>
          <w:color w:val="auto"/>
        </w:rPr>
      </w:pPr>
    </w:p>
    <w:p>
      <w:pPr>
        <w:ind w:left="480" w:right="20" w:firstLine="411"/>
        <w:spacing w:after="0" w:line="235" w:lineRule="auto"/>
        <w:rPr>
          <w:sz w:val="20"/>
          <w:szCs w:val="20"/>
          <w:color w:val="auto"/>
        </w:rPr>
      </w:pPr>
      <w:r>
        <w:rPr>
          <w:rFonts w:ascii="Arial" w:cs="Arial" w:eastAsia="Arial" w:hAnsi="Arial"/>
          <w:sz w:val="17"/>
          <w:szCs w:val="17"/>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02" w:lineRule="exact"/>
        <w:rPr>
          <w:sz w:val="20"/>
          <w:szCs w:val="20"/>
          <w:color w:val="auto"/>
        </w:rPr>
      </w:pPr>
    </w:p>
    <w:p>
      <w:pPr>
        <w:ind w:left="1380" w:right="300" w:hanging="497"/>
        <w:spacing w:after="0"/>
        <w:tabs>
          <w:tab w:leader="none" w:pos="1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classified board of directors with three-year staggered terms, which could delay the ability of stockholders to change the membership of a majority of our board of directors;</w:t>
      </w:r>
    </w:p>
    <w:p>
      <w:pPr>
        <w:spacing w:after="0" w:line="100" w:lineRule="exact"/>
        <w:rPr>
          <w:rFonts w:ascii="Arial" w:cs="Arial" w:eastAsia="Arial" w:hAnsi="Arial"/>
          <w:sz w:val="17"/>
          <w:szCs w:val="17"/>
          <w:color w:val="auto"/>
        </w:rPr>
      </w:pPr>
    </w:p>
    <w:p>
      <w:pPr>
        <w:ind w:left="1380" w:right="180" w:hanging="497"/>
        <w:spacing w:after="0" w:line="237" w:lineRule="auto"/>
        <w:tabs>
          <w:tab w:leader="none" w:pos="1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01" w:lineRule="exact"/>
        <w:rPr>
          <w:rFonts w:ascii="Arial" w:cs="Arial" w:eastAsia="Arial" w:hAnsi="Arial"/>
          <w:sz w:val="17"/>
          <w:szCs w:val="17"/>
          <w:color w:val="auto"/>
        </w:rPr>
      </w:pPr>
    </w:p>
    <w:p>
      <w:pPr>
        <w:ind w:left="1380" w:right="240" w:hanging="497"/>
        <w:spacing w:after="0" w:line="237" w:lineRule="auto"/>
        <w:tabs>
          <w:tab w:leader="none" w:pos="1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01" w:lineRule="exact"/>
        <w:rPr>
          <w:rFonts w:ascii="Arial" w:cs="Arial" w:eastAsia="Arial" w:hAnsi="Arial"/>
          <w:sz w:val="17"/>
          <w:szCs w:val="17"/>
          <w:color w:val="auto"/>
        </w:rPr>
      </w:pPr>
    </w:p>
    <w:p>
      <w:pPr>
        <w:ind w:left="1380" w:right="340" w:hanging="497"/>
        <w:spacing w:after="0"/>
        <w:tabs>
          <w:tab w:leader="none" w:pos="1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which forces stockholder action to be taken at an annual or special meeting of our stockholders;</w:t>
      </w:r>
    </w:p>
    <w:p>
      <w:pPr>
        <w:spacing w:after="0" w:line="100" w:lineRule="exact"/>
        <w:rPr>
          <w:rFonts w:ascii="Arial" w:cs="Arial" w:eastAsia="Arial" w:hAnsi="Arial"/>
          <w:sz w:val="17"/>
          <w:szCs w:val="17"/>
          <w:color w:val="auto"/>
        </w:rPr>
      </w:pPr>
    </w:p>
    <w:p>
      <w:pPr>
        <w:jc w:val="both"/>
        <w:ind w:left="1380" w:right="140" w:hanging="497"/>
        <w:spacing w:after="0" w:line="237" w:lineRule="auto"/>
        <w:tabs>
          <w:tab w:leader="none" w:pos="1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01" w:lineRule="exact"/>
        <w:rPr>
          <w:rFonts w:ascii="Arial" w:cs="Arial" w:eastAsia="Arial" w:hAnsi="Arial"/>
          <w:sz w:val="17"/>
          <w:szCs w:val="17"/>
          <w:color w:val="auto"/>
        </w:rPr>
      </w:pPr>
    </w:p>
    <w:p>
      <w:pPr>
        <w:ind w:left="1380" w:right="40" w:hanging="497"/>
        <w:spacing w:after="0" w:line="236" w:lineRule="auto"/>
        <w:tabs>
          <w:tab w:leader="none" w:pos="1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01" w:lineRule="exact"/>
        <w:rPr>
          <w:rFonts w:ascii="Arial" w:cs="Arial" w:eastAsia="Arial" w:hAnsi="Arial"/>
          <w:sz w:val="17"/>
          <w:szCs w:val="17"/>
          <w:color w:val="auto"/>
        </w:rPr>
      </w:pPr>
    </w:p>
    <w:p>
      <w:pPr>
        <w:ind w:left="1380" w:hanging="497"/>
        <w:spacing w:after="0" w:line="258" w:lineRule="auto"/>
        <w:tabs>
          <w:tab w:leader="none" w:pos="1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ind w:left="480" w:right="280" w:firstLine="411"/>
        <w:spacing w:after="0" w:line="254" w:lineRule="auto"/>
        <w:rPr>
          <w:sz w:val="20"/>
          <w:szCs w:val="20"/>
          <w:color w:val="auto"/>
        </w:rPr>
      </w:pPr>
      <w:r>
        <w:rPr>
          <w:rFonts w:ascii="Arial" w:cs="Arial" w:eastAsia="Arial" w:hAnsi="Arial"/>
          <w:sz w:val="16"/>
          <w:szCs w:val="16"/>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1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720"/>
          </w:cols>
          <w:pgMar w:left="320" w:top="464" w:right="85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80" w:right="20" w:firstLine="411"/>
        <w:spacing w:after="0" w:line="235"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271" w:lineRule="exact"/>
        <w:rPr>
          <w:sz w:val="20"/>
          <w:szCs w:val="20"/>
          <w:color w:val="auto"/>
        </w:rPr>
      </w:pPr>
    </w:p>
    <w:p>
      <w:pPr>
        <w:ind w:left="480" w:right="440"/>
        <w:spacing w:after="0" w:line="243"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86" w:lineRule="exact"/>
        <w:rPr>
          <w:sz w:val="20"/>
          <w:szCs w:val="20"/>
          <w:color w:val="auto"/>
        </w:rPr>
      </w:pPr>
    </w:p>
    <w:p>
      <w:pPr>
        <w:ind w:left="480" w:firstLine="411"/>
        <w:spacing w:after="0" w:line="233" w:lineRule="auto"/>
        <w:rPr>
          <w:sz w:val="20"/>
          <w:szCs w:val="20"/>
          <w:color w:val="auto"/>
        </w:rPr>
      </w:pPr>
      <w:r>
        <w:rPr>
          <w:rFonts w:ascii="Arial" w:cs="Arial" w:eastAsia="Arial" w:hAnsi="Arial"/>
          <w:sz w:val="17"/>
          <w:szCs w:val="17"/>
          <w:color w:val="auto"/>
        </w:rPr>
        <w:t>Our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2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740"/>
          </w:cols>
          <w:pgMar w:left="320" w:top="464" w:right="8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115" w:lineRule="exact"/>
        <w:rPr>
          <w:sz w:val="20"/>
          <w:szCs w:val="20"/>
          <w:color w:val="auto"/>
        </w:rPr>
      </w:pPr>
    </w:p>
    <w:p>
      <w:pPr>
        <w:ind w:left="480" w:right="120"/>
        <w:spacing w:after="0" w:line="235" w:lineRule="auto"/>
        <w:rPr>
          <w:sz w:val="20"/>
          <w:szCs w:val="20"/>
          <w:color w:val="auto"/>
        </w:rPr>
      </w:pPr>
      <w:r>
        <w:rPr>
          <w:rFonts w:ascii="Arial" w:cs="Arial" w:eastAsia="Arial" w:hAnsi="Arial"/>
          <w:sz w:val="17"/>
          <w:szCs w:val="17"/>
          <w:color w:val="auto"/>
        </w:rPr>
        <w:t>During the second quarter of fiscal 2021, we sold shares of our common stock upon the exercise of outstanding options under our 2009 Equity Incentive Plan and 2018 Stock Incentive Plan. All of the forgoing transactions involved issuances of securities to employees of the Company and are exempt from registration pursuant to Rule 701 promulgated under the Securities Act of 1933, as amended, as transactions pursuant to benefit plans and contracts relating to compensation. The following table shows the date of these sales, the number of shares sold, and the per share and aggregate sales price.</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151"/>
        </w:trPr>
        <w:tc>
          <w:tcPr>
            <w:tcW w:w="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Date of Sale</w:t>
            </w:r>
          </w:p>
        </w:tc>
        <w:tc>
          <w:tcPr>
            <w:tcW w:w="496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Arial" w:cs="Arial" w:eastAsia="Arial" w:hAnsi="Arial"/>
                <w:sz w:val="13"/>
                <w:szCs w:val="13"/>
                <w:b w:val="1"/>
                <w:bCs w:val="1"/>
                <w:color w:val="auto"/>
              </w:rPr>
              <w:t>Number of</w:t>
            </w: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rPr>
              <w:t>Per Share</w:t>
            </w:r>
          </w:p>
        </w:tc>
        <w:tc>
          <w:tcPr>
            <w:tcW w:w="320" w:type="dxa"/>
            <w:vAlign w:val="bottom"/>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38"/>
        </w:trPr>
        <w:tc>
          <w:tcPr>
            <w:tcW w:w="780" w:type="dxa"/>
            <w:vAlign w:val="bottom"/>
            <w:gridSpan w:val="2"/>
            <w:vMerge w:val="continue"/>
          </w:tcPr>
          <w:p>
            <w:pPr>
              <w:spacing w:after="0"/>
              <w:rPr>
                <w:sz w:val="11"/>
                <w:szCs w:val="11"/>
                <w:color w:val="auto"/>
              </w:rPr>
            </w:pPr>
          </w:p>
        </w:tc>
        <w:tc>
          <w:tcPr>
            <w:tcW w:w="4960" w:type="dxa"/>
            <w:vAlign w:val="bottom"/>
          </w:tcPr>
          <w:p>
            <w:pPr>
              <w:spacing w:after="0"/>
              <w:rPr>
                <w:sz w:val="11"/>
                <w:szCs w:val="11"/>
                <w:color w:val="auto"/>
              </w:rPr>
            </w:pPr>
          </w:p>
        </w:tc>
        <w:tc>
          <w:tcPr>
            <w:tcW w:w="8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Shares Sold</w:t>
            </w:r>
          </w:p>
        </w:tc>
        <w:tc>
          <w:tcPr>
            <w:tcW w:w="300" w:type="dxa"/>
            <w:vAlign w:val="bottom"/>
          </w:tcPr>
          <w:p>
            <w:pPr>
              <w:spacing w:after="0"/>
              <w:rPr>
                <w:sz w:val="11"/>
                <w:szCs w:val="11"/>
                <w:color w:val="auto"/>
              </w:rPr>
            </w:pPr>
          </w:p>
        </w:tc>
        <w:tc>
          <w:tcPr>
            <w:tcW w:w="620" w:type="dxa"/>
            <w:vAlign w:val="bottom"/>
          </w:tcPr>
          <w:p>
            <w:pPr>
              <w:jc w:val="right"/>
              <w:ind w:right="62"/>
              <w:spacing w:after="0" w:line="118" w:lineRule="exact"/>
              <w:rPr>
                <w:sz w:val="20"/>
                <w:szCs w:val="20"/>
                <w:color w:val="auto"/>
              </w:rPr>
            </w:pPr>
            <w:r>
              <w:rPr>
                <w:rFonts w:ascii="Arial" w:cs="Arial" w:eastAsia="Arial" w:hAnsi="Arial"/>
                <w:sz w:val="13"/>
                <w:szCs w:val="13"/>
                <w:b w:val="1"/>
                <w:bCs w:val="1"/>
                <w:color w:val="auto"/>
              </w:rPr>
              <w:t>Price</w:t>
            </w:r>
          </w:p>
        </w:tc>
        <w:tc>
          <w:tcPr>
            <w:tcW w:w="320" w:type="dxa"/>
            <w:vAlign w:val="bottom"/>
          </w:tcPr>
          <w:p>
            <w:pPr>
              <w:spacing w:after="0"/>
              <w:rPr>
                <w:sz w:val="11"/>
                <w:szCs w:val="11"/>
                <w:color w:val="auto"/>
              </w:rPr>
            </w:pPr>
          </w:p>
        </w:tc>
        <w:tc>
          <w:tcPr>
            <w:tcW w:w="840" w:type="dxa"/>
            <w:vAlign w:val="bottom"/>
            <w:gridSpan w:val="2"/>
          </w:tcPr>
          <w:p>
            <w:pPr>
              <w:jc w:val="center"/>
              <w:ind w:right="60"/>
              <w:spacing w:after="0" w:line="118" w:lineRule="exact"/>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4/1/2021</w:t>
            </w:r>
          </w:p>
        </w:tc>
        <w:tc>
          <w:tcPr>
            <w:tcW w:w="49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68,385</w:t>
            </w: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0.22</w:t>
            </w: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14,957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7"/>
                <w:szCs w:val="17"/>
                <w:color w:val="auto"/>
              </w:rPr>
              <w:t>4/2/2021</w:t>
            </w:r>
          </w:p>
        </w:tc>
        <w:tc>
          <w:tcPr>
            <w:tcW w:w="5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96</w:t>
            </w: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3.95</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4/4/2021</w:t>
            </w:r>
          </w:p>
        </w:tc>
        <w:tc>
          <w:tcPr>
            <w:tcW w:w="5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45,969</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3.28</w:t>
            </w: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150,651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7"/>
                <w:szCs w:val="17"/>
                <w:color w:val="auto"/>
              </w:rPr>
              <w:t>4/7/2021</w:t>
            </w:r>
          </w:p>
        </w:tc>
        <w:tc>
          <w:tcPr>
            <w:tcW w:w="5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13,629</w:t>
            </w: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1.34</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18,245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4/8/2021</w:t>
            </w:r>
          </w:p>
        </w:tc>
        <w:tc>
          <w:tcPr>
            <w:tcW w:w="5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75,000</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0.35</w:t>
            </w: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26,500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7"/>
                <w:szCs w:val="17"/>
                <w:color w:val="auto"/>
                <w:w w:val="97"/>
              </w:rPr>
              <w:t>4/11/2021</w:t>
            </w:r>
          </w:p>
        </w:tc>
        <w:tc>
          <w:tcPr>
            <w:tcW w:w="5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6,123</w:t>
            </w: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3.28</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20,106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4/13/2021</w:t>
            </w:r>
          </w:p>
        </w:tc>
        <w:tc>
          <w:tcPr>
            <w:tcW w:w="5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5,385</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3.28</w:t>
            </w: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17,645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7"/>
                <w:szCs w:val="17"/>
                <w:color w:val="auto"/>
                <w:w w:val="97"/>
              </w:rPr>
              <w:t>4/14/2021</w:t>
            </w:r>
          </w:p>
        </w:tc>
        <w:tc>
          <w:tcPr>
            <w:tcW w:w="5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156</w:t>
            </w: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3.30</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515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4/16/2021</w:t>
            </w:r>
          </w:p>
        </w:tc>
        <w:tc>
          <w:tcPr>
            <w:tcW w:w="5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3,000</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3.28</w:t>
            </w: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9,830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7"/>
                <w:szCs w:val="17"/>
                <w:color w:val="auto"/>
                <w:w w:val="97"/>
              </w:rPr>
              <w:t>4/22/2021</w:t>
            </w:r>
          </w:p>
        </w:tc>
        <w:tc>
          <w:tcPr>
            <w:tcW w:w="5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366,561</w:t>
            </w: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0.81</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297,346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4/27/2021</w:t>
            </w:r>
          </w:p>
        </w:tc>
        <w:tc>
          <w:tcPr>
            <w:tcW w:w="5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18,570</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1.58</w:t>
            </w: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29,389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7"/>
                <w:szCs w:val="17"/>
                <w:color w:val="auto"/>
                <w:w w:val="97"/>
              </w:rPr>
              <w:t>4/28/2021</w:t>
            </w:r>
          </w:p>
        </w:tc>
        <w:tc>
          <w:tcPr>
            <w:tcW w:w="5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8,748</w:t>
            </w: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3.28</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28,664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4/29/2021</w:t>
            </w:r>
          </w:p>
        </w:tc>
        <w:tc>
          <w:tcPr>
            <w:tcW w:w="5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939</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3.28</w:t>
            </w: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3,077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7"/>
                <w:szCs w:val="17"/>
                <w:color w:val="auto"/>
                <w:w w:val="97"/>
              </w:rPr>
              <w:t>4/30/2021</w:t>
            </w:r>
          </w:p>
        </w:tc>
        <w:tc>
          <w:tcPr>
            <w:tcW w:w="5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251,700</w:t>
            </w: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2.10</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529,697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5/3/2021</w:t>
            </w:r>
          </w:p>
        </w:tc>
        <w:tc>
          <w:tcPr>
            <w:tcW w:w="5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1,890</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3.30</w:t>
            </w: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6,241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7"/>
                <w:szCs w:val="17"/>
                <w:color w:val="auto"/>
              </w:rPr>
              <w:t>5/5/2021</w:t>
            </w:r>
          </w:p>
        </w:tc>
        <w:tc>
          <w:tcPr>
            <w:tcW w:w="5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1,260</w:t>
            </w: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3.30</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4,162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5/6/2021</w:t>
            </w:r>
          </w:p>
        </w:tc>
        <w:tc>
          <w:tcPr>
            <w:tcW w:w="5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3,048</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2.72</w:t>
            </w: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8,303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7"/>
                <w:szCs w:val="17"/>
                <w:color w:val="auto"/>
              </w:rPr>
              <w:t>5/7/2021</w:t>
            </w:r>
          </w:p>
        </w:tc>
        <w:tc>
          <w:tcPr>
            <w:tcW w:w="5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900</w:t>
            </w: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0.77</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690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5/25/2021</w:t>
            </w:r>
          </w:p>
        </w:tc>
        <w:tc>
          <w:tcPr>
            <w:tcW w:w="5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20,075</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2.71</w:t>
            </w: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54,436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7"/>
                <w:szCs w:val="17"/>
                <w:color w:val="auto"/>
                <w:w w:val="97"/>
              </w:rPr>
              <w:t>5/26/2021</w:t>
            </w:r>
          </w:p>
        </w:tc>
        <w:tc>
          <w:tcPr>
            <w:tcW w:w="5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173,913</w:t>
            </w: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0.37</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64,846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5/27/2021</w:t>
            </w:r>
          </w:p>
        </w:tc>
        <w:tc>
          <w:tcPr>
            <w:tcW w:w="5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2,186</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3.61</w:t>
            </w: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7,900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7"/>
                <w:szCs w:val="17"/>
                <w:color w:val="auto"/>
                <w:w w:val="97"/>
              </w:rPr>
              <w:t>5/28/2021</w:t>
            </w:r>
          </w:p>
        </w:tc>
        <w:tc>
          <w:tcPr>
            <w:tcW w:w="496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4,439</w:t>
            </w:r>
          </w:p>
        </w:tc>
        <w:tc>
          <w:tcPr>
            <w:tcW w:w="300" w:type="dxa"/>
            <w:vAlign w:val="bottom"/>
          </w:tcPr>
          <w:p>
            <w:pPr>
              <w:spacing w:after="0"/>
              <w:rPr>
                <w:sz w:val="16"/>
                <w:szCs w:val="16"/>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1.26</w:t>
            </w:r>
          </w:p>
        </w:tc>
        <w:tc>
          <w:tcPr>
            <w:tcW w:w="320" w:type="dxa"/>
            <w:vAlign w:val="bottom"/>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5,576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1,071,972</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1.21</w:t>
            </w: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1,299,155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480" w:right="60"/>
        <w:spacing w:after="0" w:line="250" w:lineRule="auto"/>
        <w:rPr>
          <w:sz w:val="20"/>
          <w:szCs w:val="20"/>
          <w:color w:val="auto"/>
        </w:rPr>
      </w:pPr>
      <w:r>
        <w:rPr>
          <w:rFonts w:ascii="Arial" w:cs="Arial" w:eastAsia="Arial" w:hAnsi="Arial"/>
          <w:sz w:val="16"/>
          <w:szCs w:val="16"/>
          <w:color w:val="auto"/>
        </w:rPr>
        <w:t>In addition, immediately prior to the closing of our IPO, we issued 182,467 shares of our Series C convertible preferred stock upon the net exercise of warrants to purchase shares of Series C convertible preferred stock. Such shares were automatically converted into shares of common stock in connection with the IPO. The offer, sale, and issuance of these securities were deemed to be exempt from registration under the Securities Act in reliance on Section 4(a)(2) of the Securities Act and Regulation D or Regulation S promulgated thereunder) as transactions by an issuer not involving any public offering. The recipient of securities in this transaction represented their intentions to acquire the securities for investment only and not with a view to or for sale in connection with any distribution thereof and appropriate legends were affixed to the securities issued in these transactions. The recipient of securities in this transaction was an accredited or sophisticated person and had adequate access, through employment, business or other relationships, to information about us.</w:t>
      </w:r>
    </w:p>
    <w:p>
      <w:pPr>
        <w:spacing w:after="0" w:line="26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Use of Proceeds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May 2021, we closed our IPO in which we issued and sold 12,006,000 shares of our voting common stock, including 1,566,000 shares</w:t>
      </w:r>
    </w:p>
    <w:p>
      <w:pPr>
        <w:ind w:left="480"/>
        <w:spacing w:after="0" w:line="238" w:lineRule="auto"/>
        <w:rPr>
          <w:sz w:val="20"/>
          <w:szCs w:val="20"/>
          <w:color w:val="auto"/>
        </w:rPr>
      </w:pPr>
      <w:r>
        <w:rPr>
          <w:rFonts w:ascii="Arial" w:cs="Arial" w:eastAsia="Arial" w:hAnsi="Arial"/>
          <w:sz w:val="17"/>
          <w:szCs w:val="17"/>
          <w:color w:val="auto"/>
        </w:rPr>
        <w:t>of voting common stock sold pursuant to the underwriters’ full exercise of their option to purchase additional shares, at a public offering</w:t>
      </w:r>
    </w:p>
    <w:p>
      <w:pPr>
        <w:ind w:left="480"/>
        <w:spacing w:after="0" w:line="232" w:lineRule="auto"/>
        <w:rPr>
          <w:sz w:val="20"/>
          <w:szCs w:val="20"/>
          <w:color w:val="auto"/>
        </w:rPr>
      </w:pPr>
      <w:r>
        <w:rPr>
          <w:rFonts w:ascii="Arial" w:cs="Arial" w:eastAsia="Arial" w:hAnsi="Arial"/>
          <w:sz w:val="17"/>
          <w:szCs w:val="17"/>
          <w:color w:val="auto"/>
        </w:rPr>
        <w:t>price of $24.00 per share, for aggregate net proceeds of $263.8 million, after deducting underwriting discounts and commissions of</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$19.4 million and other offering costs of $4.9 million. Goldman Sachs &amp; Co. LLC, J.P. Morgan Securities LLC and Citigroup Global Markets</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Inc. acted as representatives of the underwriters for our IPO. No payments for such expenses were made directly or indirectly to (i) any of</w:t>
      </w:r>
    </w:p>
    <w:p>
      <w:pPr>
        <w:ind w:left="480"/>
        <w:spacing w:after="0" w:line="238" w:lineRule="auto"/>
        <w:rPr>
          <w:sz w:val="20"/>
          <w:szCs w:val="20"/>
          <w:color w:val="auto"/>
        </w:rPr>
      </w:pPr>
      <w:r>
        <w:rPr>
          <w:rFonts w:ascii="Arial" w:cs="Arial" w:eastAsia="Arial" w:hAnsi="Arial"/>
          <w:sz w:val="17"/>
          <w:szCs w:val="17"/>
          <w:color w:val="auto"/>
        </w:rPr>
        <w:t>our officers or directors or their associates, (ii) any persons owning 10% or more of any class of our equity securities or (iii) any of our</w:t>
      </w:r>
    </w:p>
    <w:p>
      <w:pPr>
        <w:ind w:left="480"/>
        <w:spacing w:after="0" w:line="232" w:lineRule="auto"/>
        <w:rPr>
          <w:sz w:val="20"/>
          <w:szCs w:val="20"/>
          <w:color w:val="auto"/>
        </w:rPr>
      </w:pPr>
      <w:r>
        <w:rPr>
          <w:rFonts w:ascii="Arial" w:cs="Arial" w:eastAsia="Arial" w:hAnsi="Arial"/>
          <w:sz w:val="17"/>
          <w:szCs w:val="17"/>
          <w:color w:val="auto"/>
        </w:rPr>
        <w:t>affiliates. All of the shares issued and sold in the IPO were registered under the Securities Act pursuant to a Registration Statement on</w:t>
      </w:r>
    </w:p>
    <w:p>
      <w:pPr>
        <w:ind w:left="480"/>
        <w:spacing w:after="0" w:line="232" w:lineRule="auto"/>
        <w:rPr>
          <w:sz w:val="20"/>
          <w:szCs w:val="20"/>
          <w:color w:val="auto"/>
        </w:rPr>
      </w:pPr>
      <w:r>
        <w:rPr>
          <w:rFonts w:ascii="Arial" w:cs="Arial" w:eastAsia="Arial" w:hAnsi="Arial"/>
          <w:sz w:val="17"/>
          <w:szCs w:val="17"/>
          <w:color w:val="auto"/>
        </w:rPr>
        <w:t>Form S-1 (File No. 333-255706), which was declared effective by the SEC on May 25, 2021, and a Registration Statement on Form S-1</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MEF (File No. 333-256471) filed pursuant to Rule 462(b) of the Securities Act.</w:t>
      </w:r>
    </w:p>
    <w:p>
      <w:pPr>
        <w:spacing w:after="0" w:line="195" w:lineRule="exact"/>
        <w:rPr>
          <w:sz w:val="20"/>
          <w:szCs w:val="20"/>
          <w:color w:val="auto"/>
        </w:rPr>
      </w:pPr>
    </w:p>
    <w:p>
      <w:pPr>
        <w:ind w:left="480" w:right="400"/>
        <w:spacing w:after="0" w:line="254" w:lineRule="auto"/>
        <w:rPr>
          <w:sz w:val="20"/>
          <w:szCs w:val="20"/>
          <w:color w:val="auto"/>
        </w:rPr>
      </w:pPr>
      <w:r>
        <w:rPr>
          <w:rFonts w:ascii="Arial" w:cs="Arial" w:eastAsia="Arial" w:hAnsi="Arial"/>
          <w:sz w:val="16"/>
          <w:szCs w:val="16"/>
          <w:color w:val="auto"/>
        </w:rPr>
        <w:t>The IPO terminated after the sale of all securities registered pursuant to the Registration Statements. As of June 30, 2021, the net proceeds of our IPO are in non-interest bearing accounts, but are expected to be invested in investment grade, interest-bearing instruments in the third quarter of 2021. There has been no material change in the expected use of the net proceeds from our IPO as described in our final prospectus, dated May 25, 2021, filed with the SEC pursuant to Rule 424(b) relating to our initial public offering.</w:t>
      </w:r>
    </w:p>
    <w:p>
      <w:pPr>
        <w:spacing w:after="0" w:line="298"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Not applicable.</w:t>
      </w:r>
    </w:p>
    <w:p>
      <w:pPr>
        <w:spacing w:after="0" w:line="314"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Not applicable.</w:t>
      </w:r>
    </w:p>
    <w:p>
      <w:pPr>
        <w:spacing w:after="0" w:line="314"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0760"/>
          </w:cols>
          <w:pgMar w:left="320" w:top="464" w:right="819" w:bottom="1440" w:gutter="0" w:footer="0" w:header="0"/>
        </w:sectPr>
      </w:pPr>
    </w:p>
    <w:p>
      <w:pPr>
        <w:spacing w:after="0" w:line="132"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0760"/>
          </w:cols>
          <w:pgMar w:left="320" w:top="464" w:right="819" w:bottom="1440" w:gutter="0" w:footer="0" w:header="0"/>
          <w:type w:val="continuous"/>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tbl>
      <w:tblPr>
        <w:tblLayout w:type="fixed"/>
        <w:tblInd w:w="480" w:type="dxa"/>
        <w:tblCellMar>
          <w:top w:w="0" w:type="dxa"/>
          <w:left w:w="0" w:type="dxa"/>
          <w:bottom w:w="0" w:type="dxa"/>
          <w:right w:w="0" w:type="dxa"/>
        </w:tblCellMar>
      </w:tblPr>
      <w:tr>
        <w:trPr>
          <w:trHeight w:val="222"/>
        </w:trPr>
        <w:tc>
          <w:tcPr>
            <w:tcW w:w="800" w:type="dxa"/>
            <w:vAlign w:val="bottom"/>
            <w:gridSpan w:val="3"/>
          </w:tcPr>
          <w:p>
            <w:pPr>
              <w:spacing w:after="0"/>
              <w:rPr>
                <w:sz w:val="20"/>
                <w:szCs w:val="20"/>
                <w:color w:val="auto"/>
              </w:rPr>
            </w:pPr>
            <w:r>
              <w:rPr>
                <w:rFonts w:ascii="Arial" w:cs="Arial" w:eastAsia="Arial" w:hAnsi="Arial"/>
                <w:sz w:val="17"/>
                <w:szCs w:val="17"/>
                <w:b w:val="1"/>
                <w:bCs w:val="1"/>
                <w:color w:val="auto"/>
              </w:rPr>
              <w:t>Item 6.</w:t>
            </w:r>
          </w:p>
        </w:tc>
        <w:tc>
          <w:tcPr>
            <w:tcW w:w="9480" w:type="dxa"/>
            <w:vAlign w:val="bottom"/>
            <w:gridSpan w:val="12"/>
          </w:tcPr>
          <w:p>
            <w:pPr>
              <w:ind w:left="120"/>
              <w:spacing w:after="0"/>
              <w:rPr>
                <w:sz w:val="20"/>
                <w:szCs w:val="20"/>
                <w:color w:val="auto"/>
              </w:rPr>
            </w:pPr>
            <w:r>
              <w:rPr>
                <w:rFonts w:ascii="Arial" w:cs="Arial" w:eastAsia="Arial" w:hAnsi="Arial"/>
                <w:sz w:val="17"/>
                <w:szCs w:val="17"/>
                <w:b w:val="1"/>
                <w:bCs w:val="1"/>
                <w:color w:val="auto"/>
              </w:rPr>
              <w:t>Exhibits.</w:t>
            </w:r>
          </w:p>
        </w:tc>
      </w:tr>
      <w:tr>
        <w:trPr>
          <w:trHeight w:val="355"/>
        </w:trPr>
        <w:tc>
          <w:tcPr>
            <w:tcW w:w="160" w:type="dxa"/>
            <w:vAlign w:val="bottom"/>
          </w:tcPr>
          <w:p>
            <w:pPr>
              <w:spacing w:after="0"/>
              <w:rPr>
                <w:sz w:val="24"/>
                <w:szCs w:val="2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Exhibit</w:t>
            </w: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100" w:type="dxa"/>
            <w:vAlign w:val="bottom"/>
            <w:gridSpan w:val="9"/>
          </w:tcPr>
          <w:p>
            <w:pPr>
              <w:ind w:left="1120"/>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43"/>
        </w:trPr>
        <w:tc>
          <w:tcPr>
            <w:tcW w:w="660" w:type="dxa"/>
            <w:vAlign w:val="bottom"/>
            <w:gridSpan w:val="2"/>
          </w:tcPr>
          <w:p>
            <w:pPr>
              <w:jc w:val="right"/>
              <w:ind w:right="173"/>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40" w:type="dxa"/>
            <w:vAlign w:val="bottom"/>
            <w:gridSpan w:val="11"/>
          </w:tcPr>
          <w:p>
            <w:pPr>
              <w:spacing w:after="0"/>
              <w:rPr>
                <w:rFonts w:ascii="Arial" w:cs="Arial" w:eastAsia="Arial" w:hAnsi="Arial"/>
                <w:sz w:val="17"/>
                <w:szCs w:val="17"/>
                <w:color w:val="0000EE"/>
              </w:rPr>
            </w:pPr>
            <w:hyperlink r:id="rId111">
              <w:r>
                <w:rPr>
                  <w:rFonts w:ascii="Arial" w:cs="Arial" w:eastAsia="Arial" w:hAnsi="Arial"/>
                  <w:sz w:val="17"/>
                  <w:szCs w:val="17"/>
                  <w:color w:val="0000EE"/>
                </w:rPr>
                <w:t>Amended and Restated Certificate of Incorporation of Flywire Corporation, incorporated by reference to Exhibit 3.1 to the</w:t>
              </w:r>
            </w:hyperlink>
          </w:p>
        </w:tc>
      </w:tr>
      <w:tr>
        <w:trPr>
          <w:trHeight w:val="169"/>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80" w:type="dxa"/>
            <w:vAlign w:val="bottom"/>
            <w:tcBorders>
              <w:top w:val="single" w:sz="8" w:color="0000EE"/>
              <w:bottom w:val="single" w:sz="8" w:color="0000EE"/>
            </w:tcBorders>
            <w:gridSpan w:val="3"/>
          </w:tcPr>
          <w:p>
            <w:pPr>
              <w:spacing w:after="0" w:line="169" w:lineRule="exact"/>
              <w:rPr>
                <w:rFonts w:ascii="Arial" w:cs="Arial" w:eastAsia="Arial" w:hAnsi="Arial"/>
                <w:sz w:val="17"/>
                <w:szCs w:val="17"/>
                <w:color w:val="0000EE"/>
                <w:w w:val="98"/>
              </w:rPr>
            </w:pPr>
            <w:hyperlink r:id="rId111">
              <w:r>
                <w:rPr>
                  <w:rFonts w:ascii="Arial" w:cs="Arial" w:eastAsia="Arial" w:hAnsi="Arial"/>
                  <w:sz w:val="17"/>
                  <w:szCs w:val="17"/>
                  <w:color w:val="0000EE"/>
                  <w:w w:val="98"/>
                </w:rPr>
                <w:t>Registrant’s Current Report on Form 8-K filed on June 1, 2021.</w:t>
              </w:r>
            </w:hyperlink>
          </w:p>
        </w:tc>
        <w:tc>
          <w:tcPr>
            <w:tcW w:w="4280" w:type="dxa"/>
            <w:vAlign w:val="bottom"/>
            <w:tcBorders>
              <w:top w:val="single" w:sz="8" w:color="0000EE"/>
            </w:tcBorders>
            <w:gridSpan w:val="2"/>
          </w:tcPr>
          <w:p>
            <w:pPr>
              <w:spacing w:after="0"/>
              <w:rPr>
                <w:sz w:val="14"/>
                <w:szCs w:val="14"/>
                <w:color w:val="auto"/>
              </w:rPr>
            </w:pPr>
          </w:p>
        </w:tc>
        <w:tc>
          <w:tcPr>
            <w:tcW w:w="280" w:type="dxa"/>
            <w:vAlign w:val="bottom"/>
            <w:gridSpan w:val="6"/>
          </w:tcPr>
          <w:p>
            <w:pPr>
              <w:spacing w:after="0"/>
              <w:rPr>
                <w:sz w:val="14"/>
                <w:szCs w:val="14"/>
                <w:color w:val="auto"/>
              </w:rPr>
            </w:pPr>
          </w:p>
        </w:tc>
      </w:tr>
      <w:tr>
        <w:trPr>
          <w:trHeight w:val="270"/>
        </w:trPr>
        <w:tc>
          <w:tcPr>
            <w:tcW w:w="660" w:type="dxa"/>
            <w:vAlign w:val="bottom"/>
            <w:gridSpan w:val="2"/>
          </w:tcPr>
          <w:p>
            <w:pPr>
              <w:jc w:val="right"/>
              <w:ind w:right="173"/>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40" w:type="dxa"/>
            <w:vAlign w:val="bottom"/>
            <w:gridSpan w:val="11"/>
          </w:tcPr>
          <w:p>
            <w:pPr>
              <w:spacing w:after="0"/>
              <w:rPr>
                <w:rFonts w:ascii="Arial" w:cs="Arial" w:eastAsia="Arial" w:hAnsi="Arial"/>
                <w:sz w:val="17"/>
                <w:szCs w:val="17"/>
                <w:color w:val="0000EE"/>
              </w:rPr>
            </w:pPr>
            <w:hyperlink r:id="rId112">
              <w:r>
                <w:rPr>
                  <w:rFonts w:ascii="Arial" w:cs="Arial" w:eastAsia="Arial" w:hAnsi="Arial"/>
                  <w:sz w:val="17"/>
                  <w:szCs w:val="17"/>
                  <w:color w:val="0000EE"/>
                </w:rPr>
                <w:t>Amended and Restated Bylaws of Flywire Corporation, incorporated by reference to Exhibit 3.2 to the Registrant’s Current</w:t>
              </w:r>
            </w:hyperlink>
          </w:p>
        </w:tc>
      </w:tr>
      <w:tr>
        <w:trPr>
          <w:trHeight w:val="169"/>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40" w:type="dxa"/>
            <w:vAlign w:val="bottom"/>
            <w:tcBorders>
              <w:top w:val="single" w:sz="8" w:color="0000EE"/>
              <w:bottom w:val="single" w:sz="8" w:color="0000EE"/>
            </w:tcBorders>
            <w:gridSpan w:val="2"/>
          </w:tcPr>
          <w:p>
            <w:pPr>
              <w:spacing w:after="0" w:line="169" w:lineRule="exact"/>
              <w:rPr>
                <w:rFonts w:ascii="Arial" w:cs="Arial" w:eastAsia="Arial" w:hAnsi="Arial"/>
                <w:sz w:val="17"/>
                <w:szCs w:val="17"/>
                <w:color w:val="0000EE"/>
                <w:w w:val="98"/>
              </w:rPr>
            </w:pPr>
            <w:hyperlink r:id="rId112">
              <w:r>
                <w:rPr>
                  <w:rFonts w:ascii="Arial" w:cs="Arial" w:eastAsia="Arial" w:hAnsi="Arial"/>
                  <w:sz w:val="17"/>
                  <w:szCs w:val="17"/>
                  <w:color w:val="0000EE"/>
                  <w:w w:val="98"/>
                </w:rPr>
                <w:t>Report on Form 8-K filed on June 1, 2021.</w:t>
              </w:r>
            </w:hyperlink>
          </w:p>
        </w:tc>
        <w:tc>
          <w:tcPr>
            <w:tcW w:w="5920" w:type="dxa"/>
            <w:vAlign w:val="bottom"/>
            <w:tcBorders>
              <w:top w:val="single" w:sz="8" w:color="0000EE"/>
            </w:tcBorders>
            <w:gridSpan w:val="6"/>
          </w:tcPr>
          <w:p>
            <w:pPr>
              <w:spacing w:after="0"/>
              <w:rPr>
                <w:sz w:val="14"/>
                <w:szCs w:val="14"/>
                <w:color w:val="auto"/>
              </w:rPr>
            </w:pPr>
          </w:p>
        </w:tc>
        <w:tc>
          <w:tcPr>
            <w:tcW w:w="180" w:type="dxa"/>
            <w:vAlign w:val="bottom"/>
            <w:gridSpan w:val="3"/>
          </w:tcPr>
          <w:p>
            <w:pPr>
              <w:spacing w:after="0"/>
              <w:rPr>
                <w:sz w:val="14"/>
                <w:szCs w:val="14"/>
                <w:color w:val="auto"/>
              </w:rPr>
            </w:pPr>
          </w:p>
        </w:tc>
      </w:tr>
      <w:tr>
        <w:trPr>
          <w:trHeight w:val="270"/>
        </w:trPr>
        <w:tc>
          <w:tcPr>
            <w:tcW w:w="660" w:type="dxa"/>
            <w:vAlign w:val="bottom"/>
            <w:gridSpan w:val="2"/>
          </w:tcPr>
          <w:p>
            <w:pPr>
              <w:jc w:val="right"/>
              <w:ind w:right="113"/>
              <w:spacing w:after="0"/>
              <w:rPr>
                <w:sz w:val="20"/>
                <w:szCs w:val="20"/>
                <w:color w:val="auto"/>
              </w:rPr>
            </w:pPr>
            <w:r>
              <w:rPr>
                <w:rFonts w:ascii="Arial" w:cs="Arial" w:eastAsia="Arial" w:hAnsi="Arial"/>
                <w:sz w:val="17"/>
                <w:szCs w:val="17"/>
                <w:color w:val="auto"/>
              </w:rPr>
              <w:t>31.1*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40" w:type="dxa"/>
            <w:vAlign w:val="bottom"/>
            <w:gridSpan w:val="11"/>
          </w:tcPr>
          <w:p>
            <w:pPr>
              <w:spacing w:after="0"/>
              <w:rPr>
                <w:rFonts w:ascii="Arial" w:cs="Arial" w:eastAsia="Arial" w:hAnsi="Arial"/>
                <w:sz w:val="17"/>
                <w:szCs w:val="17"/>
                <w:color w:val="0000EE"/>
                <w:w w:val="99"/>
              </w:rPr>
            </w:pPr>
            <w:hyperlink w:anchor="page88">
              <w:r>
                <w:rPr>
                  <w:rFonts w:ascii="Arial" w:cs="Arial" w:eastAsia="Arial" w:hAnsi="Arial"/>
                  <w:sz w:val="17"/>
                  <w:szCs w:val="17"/>
                  <w:color w:val="0000EE"/>
                  <w:w w:val="99"/>
                </w:rPr>
                <w:t>Certification of Principal Executive Officer Pursuant to Rules 13a-14(a) and 15d-14(a) under the Securities Exchange Act of</w:t>
              </w:r>
            </w:hyperlink>
          </w:p>
        </w:tc>
      </w:tr>
      <w:tr>
        <w:trPr>
          <w:trHeight w:val="169"/>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20" w:type="dxa"/>
            <w:vAlign w:val="bottom"/>
            <w:tcBorders>
              <w:top w:val="single" w:sz="8" w:color="0000EE"/>
              <w:bottom w:val="single" w:sz="8" w:color="0000EE"/>
            </w:tcBorders>
            <w:gridSpan w:val="4"/>
          </w:tcPr>
          <w:p>
            <w:pPr>
              <w:spacing w:after="0" w:line="169" w:lineRule="exact"/>
              <w:rPr>
                <w:rFonts w:ascii="Arial" w:cs="Arial" w:eastAsia="Arial" w:hAnsi="Arial"/>
                <w:sz w:val="17"/>
                <w:szCs w:val="17"/>
                <w:color w:val="0000EE"/>
                <w:w w:val="98"/>
              </w:rPr>
            </w:pPr>
            <w:hyperlink w:anchor="page88">
              <w:r>
                <w:rPr>
                  <w:rFonts w:ascii="Arial" w:cs="Arial" w:eastAsia="Arial" w:hAnsi="Arial"/>
                  <w:sz w:val="17"/>
                  <w:szCs w:val="17"/>
                  <w:color w:val="0000EE"/>
                  <w:w w:val="98"/>
                </w:rPr>
                <w:t>1934, as Adopted Pursuant to Section 302 of the Sarbanes-Oxley Act of 2002.</w:t>
              </w:r>
            </w:hyperlink>
          </w:p>
        </w:tc>
        <w:tc>
          <w:tcPr>
            <w:tcW w:w="3320" w:type="dxa"/>
            <w:vAlign w:val="bottom"/>
            <w:tcBorders>
              <w:top w:val="single" w:sz="8" w:color="0000EE"/>
            </w:tcBorders>
            <w:gridSpan w:val="6"/>
          </w:tcPr>
          <w:p>
            <w:pPr>
              <w:spacing w:after="0"/>
              <w:rPr>
                <w:sz w:val="14"/>
                <w:szCs w:val="14"/>
                <w:color w:val="auto"/>
              </w:rPr>
            </w:pPr>
          </w:p>
        </w:tc>
        <w:tc>
          <w:tcPr>
            <w:tcW w:w="100" w:type="dxa"/>
            <w:vAlign w:val="bottom"/>
          </w:tcPr>
          <w:p>
            <w:pPr>
              <w:spacing w:after="0"/>
              <w:rPr>
                <w:sz w:val="14"/>
                <w:szCs w:val="14"/>
                <w:color w:val="auto"/>
              </w:rPr>
            </w:pPr>
          </w:p>
        </w:tc>
      </w:tr>
      <w:tr>
        <w:trPr>
          <w:trHeight w:val="270"/>
        </w:trPr>
        <w:tc>
          <w:tcPr>
            <w:tcW w:w="660" w:type="dxa"/>
            <w:vAlign w:val="bottom"/>
            <w:gridSpan w:val="2"/>
          </w:tcPr>
          <w:p>
            <w:pPr>
              <w:jc w:val="right"/>
              <w:ind w:right="113"/>
              <w:spacing w:after="0"/>
              <w:rPr>
                <w:sz w:val="20"/>
                <w:szCs w:val="20"/>
                <w:color w:val="auto"/>
              </w:rPr>
            </w:pPr>
            <w:r>
              <w:rPr>
                <w:rFonts w:ascii="Arial" w:cs="Arial" w:eastAsia="Arial" w:hAnsi="Arial"/>
                <w:sz w:val="17"/>
                <w:szCs w:val="17"/>
                <w:color w:val="auto"/>
              </w:rPr>
              <w:t>31.2*</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40" w:type="dxa"/>
            <w:vAlign w:val="bottom"/>
            <w:gridSpan w:val="11"/>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Certification of Principal Financial Officer Pursuant to Rules 13a-14(a) and 15d-14(a) under the Securities Exchange Act of</w:t>
              </w:r>
            </w:hyperlink>
          </w:p>
        </w:tc>
      </w:tr>
      <w:tr>
        <w:trPr>
          <w:trHeight w:val="169"/>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20" w:type="dxa"/>
            <w:vAlign w:val="bottom"/>
            <w:tcBorders>
              <w:top w:val="single" w:sz="8" w:color="0000EE"/>
              <w:bottom w:val="single" w:sz="8" w:color="0000EE"/>
            </w:tcBorders>
            <w:gridSpan w:val="4"/>
          </w:tcPr>
          <w:p>
            <w:pPr>
              <w:spacing w:after="0" w:line="169" w:lineRule="exact"/>
              <w:rPr>
                <w:rFonts w:ascii="Arial" w:cs="Arial" w:eastAsia="Arial" w:hAnsi="Arial"/>
                <w:sz w:val="17"/>
                <w:szCs w:val="17"/>
                <w:color w:val="0000EE"/>
                <w:w w:val="98"/>
              </w:rPr>
            </w:pPr>
            <w:hyperlink w:anchor="page89">
              <w:r>
                <w:rPr>
                  <w:rFonts w:ascii="Arial" w:cs="Arial" w:eastAsia="Arial" w:hAnsi="Arial"/>
                  <w:sz w:val="17"/>
                  <w:szCs w:val="17"/>
                  <w:color w:val="0000EE"/>
                  <w:w w:val="98"/>
                </w:rPr>
                <w:t>1934, as Adopted Pursuant to Section 302 of the Sarbanes-Oxley Act of 2002.</w:t>
              </w:r>
            </w:hyperlink>
          </w:p>
        </w:tc>
        <w:tc>
          <w:tcPr>
            <w:tcW w:w="3260" w:type="dxa"/>
            <w:vAlign w:val="bottom"/>
            <w:tcBorders>
              <w:top w:val="single" w:sz="8" w:color="0000EE"/>
            </w:tcBorders>
            <w:gridSpan w:val="5"/>
          </w:tcPr>
          <w:p>
            <w:pPr>
              <w:spacing w:after="0"/>
              <w:rPr>
                <w:sz w:val="14"/>
                <w:szCs w:val="14"/>
                <w:color w:val="auto"/>
              </w:rPr>
            </w:pPr>
          </w:p>
        </w:tc>
        <w:tc>
          <w:tcPr>
            <w:tcW w:w="160" w:type="dxa"/>
            <w:vAlign w:val="bottom"/>
            <w:gridSpan w:val="2"/>
          </w:tcPr>
          <w:p>
            <w:pPr>
              <w:spacing w:after="0"/>
              <w:rPr>
                <w:sz w:val="14"/>
                <w:szCs w:val="14"/>
                <w:color w:val="auto"/>
              </w:rPr>
            </w:pPr>
          </w:p>
        </w:tc>
      </w:tr>
      <w:tr>
        <w:trPr>
          <w:trHeight w:val="270"/>
        </w:trPr>
        <w:tc>
          <w:tcPr>
            <w:tcW w:w="660" w:type="dxa"/>
            <w:vAlign w:val="bottom"/>
            <w:gridSpan w:val="2"/>
          </w:tcPr>
          <w:p>
            <w:pPr>
              <w:jc w:val="right"/>
              <w:ind w:right="113"/>
              <w:spacing w:after="0"/>
              <w:rPr>
                <w:sz w:val="20"/>
                <w:szCs w:val="20"/>
                <w:color w:val="auto"/>
              </w:rPr>
            </w:pPr>
            <w:r>
              <w:rPr>
                <w:rFonts w:ascii="Arial" w:cs="Arial" w:eastAsia="Arial" w:hAnsi="Arial"/>
                <w:sz w:val="17"/>
                <w:szCs w:val="17"/>
                <w:color w:val="auto"/>
              </w:rPr>
              <w:t>32.1*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40" w:type="dxa"/>
            <w:vAlign w:val="bottom"/>
            <w:tcBorders>
              <w:bottom w:val="single" w:sz="8" w:color="0000EE"/>
            </w:tcBorders>
            <w:gridSpan w:val="7"/>
          </w:tcPr>
          <w:p>
            <w:pPr>
              <w:spacing w:after="0"/>
              <w:rPr>
                <w:rFonts w:ascii="Arial" w:cs="Arial" w:eastAsia="Arial" w:hAnsi="Arial"/>
                <w:sz w:val="17"/>
                <w:szCs w:val="17"/>
                <w:color w:val="0000EE"/>
                <w:w w:val="98"/>
              </w:rPr>
            </w:pPr>
            <w:hyperlink w:anchor="page90">
              <w:r>
                <w:rPr>
                  <w:rFonts w:ascii="Arial" w:cs="Arial" w:eastAsia="Arial" w:hAnsi="Arial"/>
                  <w:sz w:val="17"/>
                  <w:szCs w:val="17"/>
                  <w:color w:val="0000EE"/>
                  <w:w w:val="98"/>
                </w:rPr>
                <w:t>Certification of Principal Executive Officer Pursuant to 18 U.S.C. Section 1350, as Adopted Pursuant to Section 906 of the</w:t>
              </w:r>
            </w:hyperlink>
          </w:p>
        </w:tc>
        <w:tc>
          <w:tcPr>
            <w:tcW w:w="200" w:type="dxa"/>
            <w:vAlign w:val="bottom"/>
            <w:gridSpan w:val="4"/>
          </w:tcPr>
          <w:p>
            <w:pPr>
              <w:spacing w:after="0"/>
              <w:rPr>
                <w:sz w:val="23"/>
                <w:szCs w:val="23"/>
                <w:color w:val="auto"/>
              </w:rPr>
            </w:pPr>
          </w:p>
        </w:tc>
      </w:tr>
      <w:tr>
        <w:trPr>
          <w:trHeight w:val="169"/>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40" w:type="dxa"/>
            <w:vAlign w:val="bottom"/>
            <w:gridSpan w:val="11"/>
          </w:tcPr>
          <w:p>
            <w:pPr>
              <w:spacing w:after="0" w:line="169" w:lineRule="exact"/>
              <w:rPr>
                <w:rFonts w:ascii="Arial" w:cs="Arial" w:eastAsia="Arial" w:hAnsi="Arial"/>
                <w:sz w:val="17"/>
                <w:szCs w:val="17"/>
                <w:color w:val="0000EE"/>
              </w:rPr>
            </w:pPr>
            <w:hyperlink w:anchor="page90">
              <w:r>
                <w:rPr>
                  <w:rFonts w:ascii="Arial" w:cs="Arial" w:eastAsia="Arial" w:hAnsi="Arial"/>
                  <w:sz w:val="17"/>
                  <w:szCs w:val="17"/>
                  <w:color w:val="0000EE"/>
                </w:rPr>
                <w:t>Sarbanes-Oxley Act of 2002.</w:t>
              </w:r>
            </w:hyperlink>
          </w:p>
        </w:tc>
      </w:tr>
      <w:tr>
        <w:trPr>
          <w:trHeight w:val="20"/>
        </w:trPr>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84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270"/>
        </w:trPr>
        <w:tc>
          <w:tcPr>
            <w:tcW w:w="660" w:type="dxa"/>
            <w:vAlign w:val="bottom"/>
            <w:gridSpan w:val="2"/>
          </w:tcPr>
          <w:p>
            <w:pPr>
              <w:jc w:val="right"/>
              <w:ind w:right="113"/>
              <w:spacing w:after="0"/>
              <w:rPr>
                <w:sz w:val="20"/>
                <w:szCs w:val="20"/>
                <w:color w:val="auto"/>
              </w:rPr>
            </w:pPr>
            <w:r>
              <w:rPr>
                <w:rFonts w:ascii="Arial" w:cs="Arial" w:eastAsia="Arial" w:hAnsi="Arial"/>
                <w:sz w:val="17"/>
                <w:szCs w:val="17"/>
                <w:color w:val="auto"/>
              </w:rPr>
              <w:t>32.2*</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980" w:type="dxa"/>
            <w:vAlign w:val="bottom"/>
            <w:tcBorders>
              <w:bottom w:val="single" w:sz="8" w:color="0000EE"/>
            </w:tcBorders>
            <w:gridSpan w:val="6"/>
          </w:tcPr>
          <w:p>
            <w:pPr>
              <w:spacing w:after="0"/>
              <w:rPr>
                <w:rFonts w:ascii="Arial" w:cs="Arial" w:eastAsia="Arial" w:hAnsi="Arial"/>
                <w:sz w:val="17"/>
                <w:szCs w:val="17"/>
                <w:color w:val="0000EE"/>
                <w:w w:val="98"/>
              </w:rPr>
            </w:pPr>
            <w:hyperlink w:anchor="page91">
              <w:r>
                <w:rPr>
                  <w:rFonts w:ascii="Arial" w:cs="Arial" w:eastAsia="Arial" w:hAnsi="Arial"/>
                  <w:sz w:val="17"/>
                  <w:szCs w:val="17"/>
                  <w:color w:val="0000EE"/>
                  <w:w w:val="98"/>
                </w:rPr>
                <w:t>Certification of Principal Financial Officer Pursuant to 18 U.S.C. Section 1350, as Adopted Pursuant to Section 906 of the</w:t>
              </w:r>
            </w:hyperlink>
          </w:p>
        </w:tc>
        <w:tc>
          <w:tcPr>
            <w:tcW w:w="260" w:type="dxa"/>
            <w:vAlign w:val="bottom"/>
            <w:gridSpan w:val="5"/>
          </w:tcPr>
          <w:p>
            <w:pPr>
              <w:spacing w:after="0"/>
              <w:rPr>
                <w:sz w:val="23"/>
                <w:szCs w:val="23"/>
                <w:color w:val="auto"/>
              </w:rPr>
            </w:pPr>
          </w:p>
        </w:tc>
      </w:tr>
      <w:tr>
        <w:trPr>
          <w:trHeight w:val="169"/>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40" w:type="dxa"/>
            <w:vAlign w:val="bottom"/>
            <w:gridSpan w:val="11"/>
          </w:tcPr>
          <w:p>
            <w:pPr>
              <w:spacing w:after="0" w:line="169" w:lineRule="exact"/>
              <w:rPr>
                <w:rFonts w:ascii="Arial" w:cs="Arial" w:eastAsia="Arial" w:hAnsi="Arial"/>
                <w:sz w:val="17"/>
                <w:szCs w:val="17"/>
                <w:color w:val="0000EE"/>
              </w:rPr>
            </w:pPr>
            <w:hyperlink w:anchor="page91">
              <w:r>
                <w:rPr>
                  <w:rFonts w:ascii="Arial" w:cs="Arial" w:eastAsia="Arial" w:hAnsi="Arial"/>
                  <w:sz w:val="17"/>
                  <w:szCs w:val="17"/>
                  <w:color w:val="0000EE"/>
                </w:rPr>
                <w:t>Sarbanes-Oxley Act of 2002.</w:t>
              </w:r>
            </w:hyperlink>
          </w:p>
        </w:tc>
      </w:tr>
      <w:tr>
        <w:trPr>
          <w:trHeight w:val="20"/>
        </w:trPr>
        <w:tc>
          <w:tcPr>
            <w:tcW w:w="8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7100" w:type="dxa"/>
            <w:vAlign w:val="bottom"/>
            <w:gridSpan w:val="10"/>
          </w:tcPr>
          <w:p>
            <w:pPr>
              <w:spacing w:after="0" w:line="20" w:lineRule="exact"/>
              <w:rPr>
                <w:sz w:val="1"/>
                <w:szCs w:val="1"/>
                <w:color w:val="auto"/>
              </w:rPr>
            </w:pPr>
          </w:p>
        </w:tc>
      </w:tr>
      <w:tr>
        <w:trPr>
          <w:trHeight w:val="294"/>
        </w:trPr>
        <w:tc>
          <w:tcPr>
            <w:tcW w:w="800" w:type="dxa"/>
            <w:vAlign w:val="bottom"/>
            <w:gridSpan w:val="3"/>
          </w:tcPr>
          <w:p>
            <w:pPr>
              <w:spacing w:after="0"/>
              <w:rPr>
                <w:sz w:val="20"/>
                <w:szCs w:val="20"/>
                <w:color w:val="auto"/>
              </w:rPr>
            </w:pPr>
            <w:r>
              <w:rPr>
                <w:rFonts w:ascii="Arial" w:cs="Arial" w:eastAsia="Arial" w:hAnsi="Arial"/>
                <w:sz w:val="17"/>
                <w:szCs w:val="17"/>
                <w:color w:val="auto"/>
              </w:rPr>
              <w:t>101.INS</w:t>
            </w:r>
          </w:p>
        </w:tc>
        <w:tc>
          <w:tcPr>
            <w:tcW w:w="240" w:type="dxa"/>
            <w:vAlign w:val="bottom"/>
          </w:tcPr>
          <w:p>
            <w:pPr>
              <w:spacing w:after="0"/>
              <w:rPr>
                <w:sz w:val="24"/>
                <w:szCs w:val="24"/>
                <w:color w:val="auto"/>
              </w:rPr>
            </w:pPr>
          </w:p>
        </w:tc>
        <w:tc>
          <w:tcPr>
            <w:tcW w:w="9240" w:type="dxa"/>
            <w:vAlign w:val="bottom"/>
            <w:gridSpan w:val="11"/>
          </w:tcPr>
          <w:p>
            <w:pPr>
              <w:spacing w:after="0"/>
              <w:rPr>
                <w:sz w:val="20"/>
                <w:szCs w:val="20"/>
                <w:color w:val="auto"/>
              </w:rPr>
            </w:pPr>
            <w:r>
              <w:rPr>
                <w:rFonts w:ascii="Arial" w:cs="Arial" w:eastAsia="Arial" w:hAnsi="Arial"/>
                <w:sz w:val="17"/>
                <w:szCs w:val="17"/>
                <w:color w:val="auto"/>
              </w:rPr>
              <w:t>Inline XBRL Instance Document – the instance document does not appear in the Interactive Data File because XBRL tags</w:t>
            </w:r>
          </w:p>
        </w:tc>
      </w:tr>
      <w:tr>
        <w:trPr>
          <w:trHeight w:val="202"/>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gridSpan w:val="11"/>
          </w:tcPr>
          <w:p>
            <w:pPr>
              <w:spacing w:after="0"/>
              <w:rPr>
                <w:sz w:val="20"/>
                <w:szCs w:val="20"/>
                <w:color w:val="auto"/>
              </w:rPr>
            </w:pPr>
            <w:r>
              <w:rPr>
                <w:rFonts w:ascii="Arial" w:cs="Arial" w:eastAsia="Arial" w:hAnsi="Arial"/>
                <w:sz w:val="17"/>
                <w:szCs w:val="17"/>
                <w:color w:val="auto"/>
              </w:rPr>
              <w:t>are embedded within the Inline XBRL document.</w:t>
            </w:r>
          </w:p>
        </w:tc>
      </w:tr>
      <w:tr>
        <w:trPr>
          <w:trHeight w:val="290"/>
        </w:trPr>
        <w:tc>
          <w:tcPr>
            <w:tcW w:w="800" w:type="dxa"/>
            <w:vAlign w:val="bottom"/>
            <w:gridSpan w:val="3"/>
          </w:tcPr>
          <w:p>
            <w:pPr>
              <w:spacing w:after="0"/>
              <w:rPr>
                <w:sz w:val="20"/>
                <w:szCs w:val="20"/>
                <w:color w:val="auto"/>
              </w:rPr>
            </w:pPr>
            <w:r>
              <w:rPr>
                <w:rFonts w:ascii="Arial" w:cs="Arial" w:eastAsia="Arial" w:hAnsi="Arial"/>
                <w:sz w:val="17"/>
                <w:szCs w:val="17"/>
                <w:color w:val="auto"/>
              </w:rPr>
              <w:t>101.SCH</w:t>
            </w:r>
          </w:p>
        </w:tc>
        <w:tc>
          <w:tcPr>
            <w:tcW w:w="240" w:type="dxa"/>
            <w:vAlign w:val="bottom"/>
          </w:tcPr>
          <w:p>
            <w:pPr>
              <w:spacing w:after="0"/>
              <w:rPr>
                <w:sz w:val="24"/>
                <w:szCs w:val="24"/>
                <w:color w:val="auto"/>
              </w:rPr>
            </w:pPr>
          </w:p>
        </w:tc>
        <w:tc>
          <w:tcPr>
            <w:tcW w:w="9240" w:type="dxa"/>
            <w:vAlign w:val="bottom"/>
            <w:gridSpan w:val="11"/>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90"/>
        </w:trPr>
        <w:tc>
          <w:tcPr>
            <w:tcW w:w="800" w:type="dxa"/>
            <w:vAlign w:val="bottom"/>
            <w:gridSpan w:val="3"/>
          </w:tcPr>
          <w:p>
            <w:pPr>
              <w:spacing w:after="0"/>
              <w:rPr>
                <w:sz w:val="20"/>
                <w:szCs w:val="20"/>
                <w:color w:val="auto"/>
              </w:rPr>
            </w:pPr>
            <w:r>
              <w:rPr>
                <w:rFonts w:ascii="Arial" w:cs="Arial" w:eastAsia="Arial" w:hAnsi="Arial"/>
                <w:sz w:val="17"/>
                <w:szCs w:val="17"/>
                <w:color w:val="auto"/>
              </w:rPr>
              <w:t>101.CAL</w:t>
            </w:r>
          </w:p>
        </w:tc>
        <w:tc>
          <w:tcPr>
            <w:tcW w:w="240" w:type="dxa"/>
            <w:vAlign w:val="bottom"/>
          </w:tcPr>
          <w:p>
            <w:pPr>
              <w:spacing w:after="0"/>
              <w:rPr>
                <w:sz w:val="24"/>
                <w:szCs w:val="24"/>
                <w:color w:val="auto"/>
              </w:rPr>
            </w:pPr>
          </w:p>
        </w:tc>
        <w:tc>
          <w:tcPr>
            <w:tcW w:w="9240" w:type="dxa"/>
            <w:vAlign w:val="bottom"/>
            <w:gridSpan w:val="11"/>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90"/>
        </w:trPr>
        <w:tc>
          <w:tcPr>
            <w:tcW w:w="800" w:type="dxa"/>
            <w:vAlign w:val="bottom"/>
            <w:gridSpan w:val="3"/>
          </w:tcPr>
          <w:p>
            <w:pPr>
              <w:spacing w:after="0"/>
              <w:rPr>
                <w:sz w:val="20"/>
                <w:szCs w:val="20"/>
                <w:color w:val="auto"/>
              </w:rPr>
            </w:pPr>
            <w:r>
              <w:rPr>
                <w:rFonts w:ascii="Arial" w:cs="Arial" w:eastAsia="Arial" w:hAnsi="Arial"/>
                <w:sz w:val="17"/>
                <w:szCs w:val="17"/>
                <w:color w:val="auto"/>
              </w:rPr>
              <w:t>101.DEF</w:t>
            </w:r>
          </w:p>
        </w:tc>
        <w:tc>
          <w:tcPr>
            <w:tcW w:w="240" w:type="dxa"/>
            <w:vAlign w:val="bottom"/>
          </w:tcPr>
          <w:p>
            <w:pPr>
              <w:spacing w:after="0"/>
              <w:rPr>
                <w:sz w:val="24"/>
                <w:szCs w:val="24"/>
                <w:color w:val="auto"/>
              </w:rPr>
            </w:pPr>
          </w:p>
        </w:tc>
        <w:tc>
          <w:tcPr>
            <w:tcW w:w="9240" w:type="dxa"/>
            <w:vAlign w:val="bottom"/>
            <w:gridSpan w:val="11"/>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90"/>
        </w:trPr>
        <w:tc>
          <w:tcPr>
            <w:tcW w:w="800" w:type="dxa"/>
            <w:vAlign w:val="bottom"/>
            <w:gridSpan w:val="3"/>
          </w:tcPr>
          <w:p>
            <w:pPr>
              <w:spacing w:after="0"/>
              <w:rPr>
                <w:sz w:val="20"/>
                <w:szCs w:val="20"/>
                <w:color w:val="auto"/>
              </w:rPr>
            </w:pPr>
            <w:r>
              <w:rPr>
                <w:rFonts w:ascii="Arial" w:cs="Arial" w:eastAsia="Arial" w:hAnsi="Arial"/>
                <w:sz w:val="17"/>
                <w:szCs w:val="17"/>
                <w:color w:val="auto"/>
              </w:rPr>
              <w:t>101.LAB</w:t>
            </w:r>
          </w:p>
        </w:tc>
        <w:tc>
          <w:tcPr>
            <w:tcW w:w="240" w:type="dxa"/>
            <w:vAlign w:val="bottom"/>
          </w:tcPr>
          <w:p>
            <w:pPr>
              <w:spacing w:after="0"/>
              <w:rPr>
                <w:sz w:val="24"/>
                <w:szCs w:val="24"/>
                <w:color w:val="auto"/>
              </w:rPr>
            </w:pPr>
          </w:p>
        </w:tc>
        <w:tc>
          <w:tcPr>
            <w:tcW w:w="9240" w:type="dxa"/>
            <w:vAlign w:val="bottom"/>
            <w:gridSpan w:val="11"/>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90"/>
        </w:trPr>
        <w:tc>
          <w:tcPr>
            <w:tcW w:w="800" w:type="dxa"/>
            <w:vAlign w:val="bottom"/>
            <w:gridSpan w:val="3"/>
          </w:tcPr>
          <w:p>
            <w:pPr>
              <w:spacing w:after="0"/>
              <w:rPr>
                <w:sz w:val="20"/>
                <w:szCs w:val="20"/>
                <w:color w:val="auto"/>
              </w:rPr>
            </w:pPr>
            <w:r>
              <w:rPr>
                <w:rFonts w:ascii="Arial" w:cs="Arial" w:eastAsia="Arial" w:hAnsi="Arial"/>
                <w:sz w:val="17"/>
                <w:szCs w:val="17"/>
                <w:color w:val="auto"/>
              </w:rPr>
              <w:t>101.PRE</w:t>
            </w:r>
          </w:p>
        </w:tc>
        <w:tc>
          <w:tcPr>
            <w:tcW w:w="240" w:type="dxa"/>
            <w:vAlign w:val="bottom"/>
          </w:tcPr>
          <w:p>
            <w:pPr>
              <w:spacing w:after="0"/>
              <w:rPr>
                <w:sz w:val="24"/>
                <w:szCs w:val="24"/>
                <w:color w:val="auto"/>
              </w:rPr>
            </w:pPr>
          </w:p>
        </w:tc>
        <w:tc>
          <w:tcPr>
            <w:tcW w:w="9240" w:type="dxa"/>
            <w:vAlign w:val="bottom"/>
            <w:gridSpan w:val="11"/>
          </w:tcPr>
          <w:p>
            <w:pPr>
              <w:spacing w:after="0"/>
              <w:rPr>
                <w:sz w:val="20"/>
                <w:szCs w:val="20"/>
                <w:color w:val="auto"/>
              </w:rPr>
            </w:pPr>
            <w:r>
              <w:rPr>
                <w:rFonts w:ascii="Arial" w:cs="Arial" w:eastAsia="Arial" w:hAnsi="Arial"/>
                <w:sz w:val="17"/>
                <w:szCs w:val="17"/>
                <w:color w:val="auto"/>
              </w:rPr>
              <w:t>Inline XBRL Taxonomy Extension Presentation Linkbase Document</w:t>
            </w:r>
          </w:p>
        </w:tc>
      </w:tr>
    </w:tbl>
    <w:p>
      <w:pPr>
        <w:spacing w:after="0" w:line="88" w:lineRule="exact"/>
        <w:rPr>
          <w:sz w:val="20"/>
          <w:szCs w:val="20"/>
          <w:color w:val="auto"/>
        </w:rPr>
      </w:pPr>
    </w:p>
    <w:p>
      <w:pPr>
        <w:ind w:left="5540" w:right="3380" w:hanging="5060"/>
        <w:spacing w:after="0" w:line="410" w:lineRule="auto"/>
        <w:tabs>
          <w:tab w:leader="none" w:pos="1523"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 84</w:t>
      </w:r>
    </w:p>
    <w:p>
      <w:pPr>
        <w:sectPr>
          <w:pgSz w:w="11900" w:h="16838" w:orient="portrait"/>
          <w:cols w:equalWidth="0" w:num="1">
            <w:col w:w="10760"/>
          </w:cols>
          <w:pgMar w:left="320" w:top="464" w:right="81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SIGNATURES</w:t>
      </w:r>
    </w:p>
    <w:p>
      <w:pPr>
        <w:spacing w:after="0" w:line="215" w:lineRule="exact"/>
        <w:rPr>
          <w:sz w:val="20"/>
          <w:szCs w:val="20"/>
          <w:color w:val="auto"/>
        </w:rPr>
      </w:pPr>
    </w:p>
    <w:p>
      <w:pPr>
        <w:ind w:left="480" w:right="220" w:firstLine="411"/>
        <w:spacing w:after="0"/>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480" w:type="dxa"/>
        <w:tblCellMar>
          <w:top w:w="0" w:type="dxa"/>
          <w:left w:w="0" w:type="dxa"/>
          <w:bottom w:w="0" w:type="dxa"/>
          <w:right w:w="0" w:type="dxa"/>
        </w:tblCellMar>
      </w:tblPr>
      <w:tr>
        <w:trPr>
          <w:trHeight w:val="222"/>
        </w:trPr>
        <w:tc>
          <w:tcPr>
            <w:tcW w:w="3360" w:type="dxa"/>
            <w:vAlign w:val="bottom"/>
          </w:tcPr>
          <w:p>
            <w:pPr>
              <w:spacing w:after="0"/>
              <w:rPr>
                <w:sz w:val="19"/>
                <w:szCs w:val="19"/>
                <w:color w:val="auto"/>
              </w:rPr>
            </w:pPr>
          </w:p>
        </w:tc>
        <w:tc>
          <w:tcPr>
            <w:tcW w:w="6920" w:type="dxa"/>
            <w:vAlign w:val="bottom"/>
            <w:gridSpan w:val="2"/>
          </w:tcPr>
          <w:p>
            <w:pPr>
              <w:ind w:left="1680"/>
              <w:spacing w:after="0"/>
              <w:rPr>
                <w:sz w:val="20"/>
                <w:szCs w:val="20"/>
                <w:color w:val="auto"/>
              </w:rPr>
            </w:pPr>
            <w:r>
              <w:rPr>
                <w:rFonts w:ascii="Arial" w:cs="Arial" w:eastAsia="Arial" w:hAnsi="Arial"/>
                <w:sz w:val="17"/>
                <w:szCs w:val="17"/>
                <w:b w:val="1"/>
                <w:bCs w:val="1"/>
                <w:color w:val="auto"/>
              </w:rPr>
              <w:t>FLYWIRE CORPORATION</w:t>
            </w:r>
          </w:p>
        </w:tc>
      </w:tr>
      <w:tr>
        <w:trPr>
          <w:trHeight w:val="379"/>
        </w:trPr>
        <w:tc>
          <w:tcPr>
            <w:tcW w:w="3360" w:type="dxa"/>
            <w:vAlign w:val="bottom"/>
          </w:tcPr>
          <w:p>
            <w:pPr>
              <w:spacing w:after="0"/>
              <w:rPr>
                <w:sz w:val="20"/>
                <w:szCs w:val="20"/>
                <w:color w:val="auto"/>
              </w:rPr>
            </w:pPr>
            <w:r>
              <w:rPr>
                <w:rFonts w:ascii="Arial" w:cs="Arial" w:eastAsia="Arial" w:hAnsi="Arial"/>
                <w:sz w:val="17"/>
                <w:szCs w:val="17"/>
                <w:color w:val="auto"/>
              </w:rPr>
              <w:t>Date: August 16, 2021</w:t>
            </w:r>
          </w:p>
        </w:tc>
        <w:tc>
          <w:tcPr>
            <w:tcW w:w="2000" w:type="dxa"/>
            <w:vAlign w:val="bottom"/>
          </w:tcPr>
          <w:p>
            <w:pPr>
              <w:ind w:left="1680"/>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Michael Massaro</w:t>
            </w:r>
          </w:p>
        </w:tc>
      </w:tr>
      <w:tr>
        <w:trPr>
          <w:trHeight w:val="174"/>
        </w:trPr>
        <w:tc>
          <w:tcPr>
            <w:tcW w:w="33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920" w:type="dxa"/>
            <w:vAlign w:val="bottom"/>
          </w:tcPr>
          <w:p>
            <w:pPr>
              <w:jc w:val="center"/>
              <w:spacing w:after="0" w:line="174" w:lineRule="exact"/>
              <w:rPr>
                <w:sz w:val="20"/>
                <w:szCs w:val="20"/>
                <w:color w:val="auto"/>
              </w:rPr>
            </w:pPr>
            <w:r>
              <w:rPr>
                <w:rFonts w:ascii="Arial" w:cs="Arial" w:eastAsia="Arial" w:hAnsi="Arial"/>
                <w:sz w:val="17"/>
                <w:szCs w:val="17"/>
                <w:b w:val="1"/>
                <w:bCs w:val="1"/>
                <w:color w:val="auto"/>
                <w:w w:val="98"/>
              </w:rPr>
              <w:t>Michael Massaro</w:t>
            </w:r>
          </w:p>
        </w:tc>
      </w:tr>
      <w:tr>
        <w:trPr>
          <w:trHeight w:val="222"/>
        </w:trPr>
        <w:tc>
          <w:tcPr>
            <w:tcW w:w="3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920" w:type="dxa"/>
            <w:vAlign w:val="bottom"/>
          </w:tcPr>
          <w:p>
            <w:pPr>
              <w:jc w:val="center"/>
              <w:spacing w:after="0"/>
              <w:rPr>
                <w:sz w:val="20"/>
                <w:szCs w:val="20"/>
                <w:color w:val="auto"/>
              </w:rPr>
            </w:pPr>
            <w:r>
              <w:rPr>
                <w:rFonts w:ascii="Arial" w:cs="Arial" w:eastAsia="Arial" w:hAnsi="Arial"/>
                <w:sz w:val="17"/>
                <w:szCs w:val="17"/>
                <w:b w:val="1"/>
                <w:bCs w:val="1"/>
                <w:color w:val="auto"/>
                <w:w w:val="98"/>
              </w:rPr>
              <w:t>Principal Executive Officer</w:t>
            </w:r>
          </w:p>
        </w:tc>
      </w:tr>
      <w:tr>
        <w:trPr>
          <w:trHeight w:val="379"/>
        </w:trPr>
        <w:tc>
          <w:tcPr>
            <w:tcW w:w="3360" w:type="dxa"/>
            <w:vAlign w:val="bottom"/>
          </w:tcPr>
          <w:p>
            <w:pPr>
              <w:spacing w:after="0"/>
              <w:rPr>
                <w:sz w:val="20"/>
                <w:szCs w:val="20"/>
                <w:color w:val="auto"/>
              </w:rPr>
            </w:pPr>
            <w:r>
              <w:rPr>
                <w:rFonts w:ascii="Arial" w:cs="Arial" w:eastAsia="Arial" w:hAnsi="Arial"/>
                <w:sz w:val="17"/>
                <w:szCs w:val="17"/>
                <w:color w:val="auto"/>
              </w:rPr>
              <w:t>Date: August 16, 2021</w:t>
            </w:r>
          </w:p>
        </w:tc>
        <w:tc>
          <w:tcPr>
            <w:tcW w:w="2000" w:type="dxa"/>
            <w:vAlign w:val="bottom"/>
          </w:tcPr>
          <w:p>
            <w:pPr>
              <w:ind w:left="1680"/>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Michael Ellis</w:t>
            </w:r>
          </w:p>
        </w:tc>
      </w:tr>
      <w:tr>
        <w:trPr>
          <w:trHeight w:val="194"/>
        </w:trPr>
        <w:tc>
          <w:tcPr>
            <w:tcW w:w="3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92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w w:val="97"/>
              </w:rPr>
              <w:t>Michael Ellis</w:t>
            </w:r>
          </w:p>
        </w:tc>
      </w:tr>
    </w:tbl>
    <w:p>
      <w:pPr>
        <w:ind w:left="6600"/>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13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760"/>
          </w:cols>
          <w:pgMar w:left="320" w:top="464" w:right="819" w:bottom="1440" w:gutter="0" w:footer="0" w:header="0"/>
        </w:sectPr>
      </w:pPr>
    </w:p>
    <w:bookmarkStart w:id="87" w:name="page88"/>
    <w:bookmarkEnd w:id="87"/>
    <w:p>
      <w:pPr>
        <w:jc w:val="right"/>
        <w:spacing w:after="0"/>
        <w:rPr>
          <w:sz w:val="20"/>
          <w:szCs w:val="20"/>
          <w:color w:val="auto"/>
        </w:rPr>
      </w:pPr>
      <w:r>
        <w:rPr>
          <w:rFonts w:ascii="Arial" w:cs="Arial" w:eastAsia="Arial" w:hAnsi="Arial"/>
          <w:sz w:val="17"/>
          <w:szCs w:val="17"/>
          <w:b w:val="1"/>
          <w:bCs w:val="1"/>
          <w:color w:val="auto"/>
        </w:rPr>
        <w:t>Exhibit 31.1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 Michael Massaro, certify that:</w:t>
      </w:r>
    </w:p>
    <w:p>
      <w:pPr>
        <w:spacing w:after="0" w:line="107" w:lineRule="exact"/>
        <w:rPr>
          <w:sz w:val="20"/>
          <w:szCs w:val="20"/>
          <w:color w:val="auto"/>
        </w:rPr>
      </w:pPr>
    </w:p>
    <w:p>
      <w:pPr>
        <w:ind w:left="400" w:hanging="400"/>
        <w:spacing w:after="0"/>
        <w:tabs>
          <w:tab w:leader="none" w:pos="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2021 of Flywire Corporation;</w:t>
      </w:r>
    </w:p>
    <w:p>
      <w:pPr>
        <w:spacing w:after="0" w:line="107" w:lineRule="exact"/>
        <w:rPr>
          <w:rFonts w:ascii="Arial" w:cs="Arial" w:eastAsia="Arial" w:hAnsi="Arial"/>
          <w:sz w:val="17"/>
          <w:szCs w:val="17"/>
          <w:color w:val="auto"/>
        </w:rPr>
      </w:pPr>
    </w:p>
    <w:p>
      <w:pPr>
        <w:ind w:left="400" w:right="60" w:hanging="400"/>
        <w:spacing w:after="0" w:line="237" w:lineRule="auto"/>
        <w:tabs>
          <w:tab w:leader="none" w:pos="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7"/>
          <w:szCs w:val="17"/>
          <w:color w:val="auto"/>
        </w:rPr>
      </w:pPr>
    </w:p>
    <w:p>
      <w:pPr>
        <w:ind w:left="400" w:right="100" w:hanging="400"/>
        <w:spacing w:after="0" w:line="237" w:lineRule="auto"/>
        <w:tabs>
          <w:tab w:leader="none" w:pos="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7"/>
          <w:szCs w:val="17"/>
          <w:color w:val="auto"/>
        </w:rPr>
      </w:pPr>
    </w:p>
    <w:p>
      <w:pPr>
        <w:ind w:left="400" w:right="200" w:hanging="400"/>
        <w:spacing w:after="0"/>
        <w:tabs>
          <w:tab w:leader="none" w:pos="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00" w:lineRule="exact"/>
        <w:rPr>
          <w:rFonts w:ascii="Arial" w:cs="Arial" w:eastAsia="Arial" w:hAnsi="Arial"/>
          <w:sz w:val="17"/>
          <w:szCs w:val="17"/>
          <w:color w:val="auto"/>
        </w:rPr>
      </w:pPr>
    </w:p>
    <w:p>
      <w:pPr>
        <w:ind w:left="900" w:right="100" w:hanging="497"/>
        <w:spacing w:after="0" w:line="237" w:lineRule="auto"/>
        <w:tabs>
          <w:tab w:leader="none" w:pos="9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Arial" w:cs="Arial" w:eastAsia="Arial" w:hAnsi="Arial"/>
          <w:sz w:val="17"/>
          <w:szCs w:val="17"/>
          <w:color w:val="auto"/>
        </w:rPr>
      </w:pPr>
    </w:p>
    <w:p>
      <w:pPr>
        <w:ind w:left="900" w:hanging="497"/>
        <w:spacing w:after="0"/>
        <w:tabs>
          <w:tab w:leader="none" w:pos="9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[omitted]</w:t>
      </w:r>
    </w:p>
    <w:p>
      <w:pPr>
        <w:spacing w:after="0" w:line="107" w:lineRule="exact"/>
        <w:rPr>
          <w:rFonts w:ascii="Arial" w:cs="Arial" w:eastAsia="Arial" w:hAnsi="Arial"/>
          <w:sz w:val="17"/>
          <w:szCs w:val="17"/>
          <w:color w:val="auto"/>
        </w:rPr>
      </w:pPr>
    </w:p>
    <w:p>
      <w:pPr>
        <w:jc w:val="both"/>
        <w:ind w:left="900" w:right="20" w:hanging="497"/>
        <w:spacing w:after="0" w:line="237" w:lineRule="auto"/>
        <w:tabs>
          <w:tab w:leader="none" w:pos="9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7"/>
          <w:szCs w:val="17"/>
          <w:color w:val="auto"/>
        </w:rPr>
      </w:pPr>
    </w:p>
    <w:p>
      <w:pPr>
        <w:ind w:left="900" w:right="160" w:hanging="497"/>
        <w:spacing w:after="0" w:line="237" w:lineRule="auto"/>
        <w:tabs>
          <w:tab w:leader="none" w:pos="9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7"/>
          <w:szCs w:val="17"/>
          <w:color w:val="auto"/>
        </w:rPr>
      </w:pPr>
    </w:p>
    <w:p>
      <w:pPr>
        <w:ind w:left="400" w:right="120" w:hanging="400"/>
        <w:spacing w:after="0" w:line="237" w:lineRule="auto"/>
        <w:tabs>
          <w:tab w:leader="none" w:pos="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7"/>
          <w:szCs w:val="17"/>
          <w:color w:val="auto"/>
        </w:rPr>
      </w:pPr>
    </w:p>
    <w:p>
      <w:pPr>
        <w:ind w:left="900" w:right="20" w:hanging="497"/>
        <w:spacing w:after="0" w:line="237" w:lineRule="auto"/>
        <w:tabs>
          <w:tab w:leader="none" w:pos="9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7"/>
          <w:szCs w:val="17"/>
          <w:color w:val="auto"/>
        </w:rPr>
      </w:pPr>
    </w:p>
    <w:p>
      <w:pPr>
        <w:ind w:left="900" w:right="820" w:hanging="497"/>
        <w:spacing w:after="0"/>
        <w:tabs>
          <w:tab w:leader="none" w:pos="9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spacing w:after="0"/>
        <w:tabs>
          <w:tab w:leader="none" w:pos="5020" w:val="left"/>
          <w:tab w:leader="none" w:pos="7060" w:val="left"/>
        </w:tabs>
        <w:rPr>
          <w:sz w:val="20"/>
          <w:szCs w:val="20"/>
          <w:color w:val="auto"/>
        </w:rPr>
      </w:pPr>
      <w:r>
        <w:rPr>
          <w:rFonts w:ascii="Arial" w:cs="Arial" w:eastAsia="Arial" w:hAnsi="Arial"/>
          <w:sz w:val="17"/>
          <w:szCs w:val="17"/>
          <w:color w:val="auto"/>
        </w:rPr>
        <w:t>Date: August 16,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-3175</wp:posOffset>
            </wp:positionV>
            <wp:extent cx="31305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130550" cy="8255"/>
                    </a:xfrm>
                    <a:prstGeom prst="rect">
                      <a:avLst/>
                    </a:prstGeom>
                    <a:noFill/>
                  </pic:spPr>
                </pic:pic>
              </a:graphicData>
            </a:graphic>
          </wp:anchor>
        </w:drawing>
      </w:r>
    </w:p>
    <w:p>
      <w:pPr>
        <w:jc w:val="center"/>
        <w:ind w:left="5340"/>
        <w:spacing w:after="0"/>
        <w:rPr>
          <w:sz w:val="20"/>
          <w:szCs w:val="20"/>
          <w:color w:val="auto"/>
        </w:rPr>
      </w:pPr>
      <w:r>
        <w:rPr>
          <w:rFonts w:ascii="Arial" w:cs="Arial" w:eastAsia="Arial" w:hAnsi="Arial"/>
          <w:sz w:val="17"/>
          <w:szCs w:val="17"/>
          <w:b w:val="1"/>
          <w:bCs w:val="1"/>
          <w:color w:val="auto"/>
        </w:rPr>
        <w:t>Michael Massaro</w:t>
      </w:r>
    </w:p>
    <w:p>
      <w:pPr>
        <w:spacing w:after="0" w:line="6" w:lineRule="exact"/>
        <w:rPr>
          <w:sz w:val="20"/>
          <w:szCs w:val="20"/>
          <w:color w:val="auto"/>
        </w:rPr>
      </w:pPr>
    </w:p>
    <w:p>
      <w:pPr>
        <w:jc w:val="center"/>
        <w:ind w:left="5340"/>
        <w:spacing w:after="0"/>
        <w:rPr>
          <w:sz w:val="20"/>
          <w:szCs w:val="20"/>
          <w:color w:val="auto"/>
        </w:rPr>
      </w:pPr>
      <w:r>
        <w:rPr>
          <w:rFonts w:ascii="Arial" w:cs="Arial" w:eastAsia="Arial" w:hAnsi="Arial"/>
          <w:sz w:val="17"/>
          <w:szCs w:val="17"/>
          <w:b w:val="1"/>
          <w:bCs w:val="1"/>
          <w:color w:val="auto"/>
        </w:rPr>
        <w:t>Chief Executive Officer</w:t>
      </w:r>
    </w:p>
    <w:p>
      <w:pPr>
        <w:sectPr>
          <w:pgSz w:w="11900" w:h="16838" w:orient="portrait"/>
          <w:cols w:equalWidth="0" w:num="1">
            <w:col w:w="10280"/>
          </w:cols>
          <w:pgMar w:left="800" w:top="118" w:right="819" w:bottom="1440" w:gutter="0" w:footer="0" w:header="0"/>
        </w:sectPr>
      </w:pPr>
    </w:p>
    <w:bookmarkStart w:id="88" w:name="page89"/>
    <w:bookmarkEnd w:id="88"/>
    <w:p>
      <w:pPr>
        <w:jc w:val="right"/>
        <w:spacing w:after="0"/>
        <w:rPr>
          <w:sz w:val="20"/>
          <w:szCs w:val="20"/>
          <w:color w:val="auto"/>
        </w:rPr>
      </w:pPr>
      <w:r>
        <w:rPr>
          <w:rFonts w:ascii="Arial" w:cs="Arial" w:eastAsia="Arial" w:hAnsi="Arial"/>
          <w:sz w:val="17"/>
          <w:szCs w:val="17"/>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 Michael Ellis, certify that:</w:t>
      </w:r>
    </w:p>
    <w:p>
      <w:pPr>
        <w:spacing w:after="0" w:line="107" w:lineRule="exact"/>
        <w:rPr>
          <w:sz w:val="20"/>
          <w:szCs w:val="20"/>
          <w:color w:val="auto"/>
        </w:rPr>
      </w:pPr>
    </w:p>
    <w:p>
      <w:pPr>
        <w:ind w:left="400" w:hanging="400"/>
        <w:spacing w:after="0"/>
        <w:tabs>
          <w:tab w:leader="none" w:pos="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2021 of Flywire Corporation;</w:t>
      </w:r>
    </w:p>
    <w:p>
      <w:pPr>
        <w:spacing w:after="0" w:line="107" w:lineRule="exact"/>
        <w:rPr>
          <w:rFonts w:ascii="Arial" w:cs="Arial" w:eastAsia="Arial" w:hAnsi="Arial"/>
          <w:sz w:val="17"/>
          <w:szCs w:val="17"/>
          <w:color w:val="auto"/>
        </w:rPr>
      </w:pPr>
    </w:p>
    <w:p>
      <w:pPr>
        <w:ind w:left="400" w:right="60" w:hanging="400"/>
        <w:spacing w:after="0" w:line="237" w:lineRule="auto"/>
        <w:tabs>
          <w:tab w:leader="none" w:pos="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7"/>
          <w:szCs w:val="17"/>
          <w:color w:val="auto"/>
        </w:rPr>
      </w:pPr>
    </w:p>
    <w:p>
      <w:pPr>
        <w:ind w:left="400" w:right="100" w:hanging="400"/>
        <w:spacing w:after="0" w:line="237" w:lineRule="auto"/>
        <w:tabs>
          <w:tab w:leader="none" w:pos="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7"/>
          <w:szCs w:val="17"/>
          <w:color w:val="auto"/>
        </w:rPr>
      </w:pPr>
    </w:p>
    <w:p>
      <w:pPr>
        <w:ind w:left="400" w:right="200" w:hanging="400"/>
        <w:spacing w:after="0"/>
        <w:tabs>
          <w:tab w:leader="none" w:pos="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00" w:lineRule="exact"/>
        <w:rPr>
          <w:rFonts w:ascii="Arial" w:cs="Arial" w:eastAsia="Arial" w:hAnsi="Arial"/>
          <w:sz w:val="17"/>
          <w:szCs w:val="17"/>
          <w:color w:val="auto"/>
        </w:rPr>
      </w:pPr>
    </w:p>
    <w:p>
      <w:pPr>
        <w:ind w:left="900" w:right="100" w:hanging="497"/>
        <w:spacing w:after="0" w:line="237" w:lineRule="auto"/>
        <w:tabs>
          <w:tab w:leader="none" w:pos="9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Arial" w:cs="Arial" w:eastAsia="Arial" w:hAnsi="Arial"/>
          <w:sz w:val="17"/>
          <w:szCs w:val="17"/>
          <w:color w:val="auto"/>
        </w:rPr>
      </w:pPr>
    </w:p>
    <w:p>
      <w:pPr>
        <w:ind w:left="900" w:hanging="497"/>
        <w:spacing w:after="0"/>
        <w:tabs>
          <w:tab w:leader="none" w:pos="9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[omitted]</w:t>
      </w:r>
    </w:p>
    <w:p>
      <w:pPr>
        <w:spacing w:after="0" w:line="107" w:lineRule="exact"/>
        <w:rPr>
          <w:rFonts w:ascii="Arial" w:cs="Arial" w:eastAsia="Arial" w:hAnsi="Arial"/>
          <w:sz w:val="17"/>
          <w:szCs w:val="17"/>
          <w:color w:val="auto"/>
        </w:rPr>
      </w:pPr>
    </w:p>
    <w:p>
      <w:pPr>
        <w:jc w:val="both"/>
        <w:ind w:left="900" w:right="20" w:hanging="497"/>
        <w:spacing w:after="0" w:line="237" w:lineRule="auto"/>
        <w:tabs>
          <w:tab w:leader="none" w:pos="9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7"/>
          <w:szCs w:val="17"/>
          <w:color w:val="auto"/>
        </w:rPr>
      </w:pPr>
    </w:p>
    <w:p>
      <w:pPr>
        <w:ind w:left="900" w:right="160" w:hanging="497"/>
        <w:spacing w:after="0" w:line="237" w:lineRule="auto"/>
        <w:tabs>
          <w:tab w:leader="none" w:pos="9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7"/>
          <w:szCs w:val="17"/>
          <w:color w:val="auto"/>
        </w:rPr>
      </w:pPr>
    </w:p>
    <w:p>
      <w:pPr>
        <w:ind w:left="400" w:right="120" w:hanging="400"/>
        <w:spacing w:after="0" w:line="237" w:lineRule="auto"/>
        <w:tabs>
          <w:tab w:leader="none" w:pos="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7"/>
          <w:szCs w:val="17"/>
          <w:color w:val="auto"/>
        </w:rPr>
      </w:pPr>
    </w:p>
    <w:p>
      <w:pPr>
        <w:ind w:left="900" w:right="20" w:hanging="497"/>
        <w:spacing w:after="0" w:line="237" w:lineRule="auto"/>
        <w:tabs>
          <w:tab w:leader="none" w:pos="9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7"/>
          <w:szCs w:val="17"/>
          <w:color w:val="auto"/>
        </w:rPr>
      </w:pPr>
    </w:p>
    <w:p>
      <w:pPr>
        <w:ind w:left="900" w:right="820" w:hanging="497"/>
        <w:spacing w:after="0"/>
        <w:tabs>
          <w:tab w:leader="none" w:pos="9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spacing w:after="0"/>
        <w:tabs>
          <w:tab w:leader="none" w:pos="5020" w:val="left"/>
          <w:tab w:leader="none" w:pos="7220" w:val="left"/>
        </w:tabs>
        <w:rPr>
          <w:sz w:val="20"/>
          <w:szCs w:val="20"/>
          <w:color w:val="auto"/>
        </w:rPr>
      </w:pPr>
      <w:r>
        <w:rPr>
          <w:rFonts w:ascii="Arial" w:cs="Arial" w:eastAsia="Arial" w:hAnsi="Arial"/>
          <w:sz w:val="17"/>
          <w:szCs w:val="17"/>
          <w:color w:val="auto"/>
        </w:rPr>
        <w:t>Date: August 16,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-3175</wp:posOffset>
            </wp:positionV>
            <wp:extent cx="31305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3130550" cy="8255"/>
                    </a:xfrm>
                    <a:prstGeom prst="rect">
                      <a:avLst/>
                    </a:prstGeom>
                    <a:noFill/>
                  </pic:spPr>
                </pic:pic>
              </a:graphicData>
            </a:graphic>
          </wp:anchor>
        </w:drawing>
      </w:r>
    </w:p>
    <w:p>
      <w:pPr>
        <w:jc w:val="center"/>
        <w:ind w:left="5340"/>
        <w:spacing w:after="0"/>
        <w:rPr>
          <w:sz w:val="20"/>
          <w:szCs w:val="20"/>
          <w:color w:val="auto"/>
        </w:rPr>
      </w:pPr>
      <w:r>
        <w:rPr>
          <w:rFonts w:ascii="Arial" w:cs="Arial" w:eastAsia="Arial" w:hAnsi="Arial"/>
          <w:sz w:val="17"/>
          <w:szCs w:val="17"/>
          <w:b w:val="1"/>
          <w:bCs w:val="1"/>
          <w:color w:val="auto"/>
        </w:rPr>
        <w:t>Michael Ellis</w:t>
      </w:r>
    </w:p>
    <w:p>
      <w:pPr>
        <w:spacing w:after="0" w:line="6" w:lineRule="exact"/>
        <w:rPr>
          <w:sz w:val="20"/>
          <w:szCs w:val="20"/>
          <w:color w:val="auto"/>
        </w:rPr>
      </w:pPr>
    </w:p>
    <w:p>
      <w:pPr>
        <w:jc w:val="center"/>
        <w:ind w:left="5340"/>
        <w:spacing w:after="0"/>
        <w:rPr>
          <w:sz w:val="20"/>
          <w:szCs w:val="20"/>
          <w:color w:val="auto"/>
        </w:rPr>
      </w:pPr>
      <w:r>
        <w:rPr>
          <w:rFonts w:ascii="Arial" w:cs="Arial" w:eastAsia="Arial" w:hAnsi="Arial"/>
          <w:sz w:val="17"/>
          <w:szCs w:val="17"/>
          <w:b w:val="1"/>
          <w:bCs w:val="1"/>
          <w:color w:val="auto"/>
        </w:rPr>
        <w:t>Chief Financial Officer</w:t>
      </w:r>
    </w:p>
    <w:p>
      <w:pPr>
        <w:sectPr>
          <w:pgSz w:w="11900" w:h="16838" w:orient="portrait"/>
          <w:cols w:equalWidth="0" w:num="1">
            <w:col w:w="10280"/>
          </w:cols>
          <w:pgMar w:left="800" w:top="118" w:right="819" w:bottom="1440" w:gutter="0" w:footer="0" w:header="0"/>
        </w:sectPr>
      </w:pPr>
    </w:p>
    <w:bookmarkStart w:id="89" w:name="page90"/>
    <w:bookmarkEnd w:id="89"/>
    <w:p>
      <w:pPr>
        <w:jc w:val="right"/>
        <w:spacing w:after="0"/>
        <w:rPr>
          <w:sz w:val="20"/>
          <w:szCs w:val="20"/>
          <w:color w:val="auto"/>
        </w:rPr>
      </w:pPr>
      <w:r>
        <w:rPr>
          <w:rFonts w:ascii="Arial" w:cs="Arial" w:eastAsia="Arial" w:hAnsi="Arial"/>
          <w:sz w:val="17"/>
          <w:szCs w:val="17"/>
          <w:b w:val="1"/>
          <w:bCs w:val="1"/>
          <w:color w:val="auto"/>
        </w:rPr>
        <w:t>Exhibit 32.1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7" w:lineRule="exact"/>
        <w:rPr>
          <w:sz w:val="20"/>
          <w:szCs w:val="20"/>
          <w:color w:val="auto"/>
        </w:rPr>
      </w:pPr>
    </w:p>
    <w:p>
      <w:pPr>
        <w:ind w:left="2940"/>
        <w:spacing w:after="0"/>
        <w:rPr>
          <w:sz w:val="20"/>
          <w:szCs w:val="20"/>
          <w:color w:val="auto"/>
        </w:rPr>
      </w:pPr>
      <w:r>
        <w:rPr>
          <w:rFonts w:ascii="Arial" w:cs="Arial" w:eastAsia="Arial" w:hAnsi="Arial"/>
          <w:sz w:val="17"/>
          <w:szCs w:val="17"/>
          <w:b w:val="1"/>
          <w:bCs w:val="1"/>
          <w:color w:val="auto"/>
        </w:rPr>
        <w:t>18 U.S.C. SECTION 1350, AS ADOPTED PURSUANT TO</w:t>
      </w:r>
    </w:p>
    <w:p>
      <w:pPr>
        <w:ind w:left="292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5" w:lineRule="exact"/>
        <w:rPr>
          <w:sz w:val="20"/>
          <w:szCs w:val="20"/>
          <w:color w:val="auto"/>
        </w:rPr>
      </w:pPr>
    </w:p>
    <w:p>
      <w:pPr>
        <w:ind w:right="180" w:firstLine="411"/>
        <w:spacing w:after="0" w:line="237" w:lineRule="auto"/>
        <w:rPr>
          <w:sz w:val="20"/>
          <w:szCs w:val="20"/>
          <w:color w:val="auto"/>
        </w:rPr>
      </w:pPr>
      <w:r>
        <w:rPr>
          <w:rFonts w:ascii="Arial" w:cs="Arial" w:eastAsia="Arial" w:hAnsi="Arial"/>
          <w:sz w:val="17"/>
          <w:szCs w:val="17"/>
          <w:color w:val="auto"/>
        </w:rPr>
        <w:t>In connection with the Quarterly Report of Flywire Corporation (the “Company”) on Form 10-Q for the quarter ended June 30, 2021 as filed with the Securities and Exchange Commission on the date hereof (the “Report”), I certify, pursuant to 18 U.S.C. § 1350, as adopted pursuant to § 906 of the Sarbanes-Oxley Act of 2002, that:</w:t>
      </w:r>
    </w:p>
    <w:p>
      <w:pPr>
        <w:spacing w:after="0" w:line="102" w:lineRule="exact"/>
        <w:rPr>
          <w:sz w:val="20"/>
          <w:szCs w:val="20"/>
          <w:color w:val="auto"/>
        </w:rPr>
      </w:pPr>
    </w:p>
    <w:p>
      <w:pPr>
        <w:ind w:left="900" w:hanging="497"/>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7" w:lineRule="exact"/>
        <w:rPr>
          <w:rFonts w:ascii="Arial" w:cs="Arial" w:eastAsia="Arial" w:hAnsi="Arial"/>
          <w:sz w:val="17"/>
          <w:szCs w:val="17"/>
          <w:color w:val="auto"/>
        </w:rPr>
      </w:pPr>
    </w:p>
    <w:p>
      <w:pPr>
        <w:ind w:left="900" w:right="60" w:hanging="497"/>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14" w:lineRule="exact"/>
        <w:rPr>
          <w:sz w:val="20"/>
          <w:szCs w:val="20"/>
          <w:color w:val="auto"/>
        </w:rPr>
      </w:pPr>
    </w:p>
    <w:p>
      <w:pPr>
        <w:spacing w:after="0"/>
        <w:tabs>
          <w:tab w:leader="none" w:pos="5240" w:val="left"/>
          <w:tab w:leader="none" w:pos="7200" w:val="left"/>
        </w:tabs>
        <w:rPr>
          <w:sz w:val="20"/>
          <w:szCs w:val="20"/>
          <w:color w:val="auto"/>
        </w:rPr>
      </w:pPr>
      <w:r>
        <w:rPr>
          <w:rFonts w:ascii="Arial" w:cs="Arial" w:eastAsia="Arial" w:hAnsi="Arial"/>
          <w:sz w:val="17"/>
          <w:szCs w:val="17"/>
          <w:color w:val="auto"/>
        </w:rPr>
        <w:t>Date: August 16,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3594735</wp:posOffset>
            </wp:positionH>
            <wp:positionV relativeFrom="paragraph">
              <wp:posOffset>-3175</wp:posOffset>
            </wp:positionV>
            <wp:extent cx="29381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2938145" cy="8255"/>
                    </a:xfrm>
                    <a:prstGeom prst="rect">
                      <a:avLst/>
                    </a:prstGeom>
                    <a:noFill/>
                  </pic:spPr>
                </pic:pic>
              </a:graphicData>
            </a:graphic>
          </wp:anchor>
        </w:drawing>
      </w:r>
    </w:p>
    <w:p>
      <w:pPr>
        <w:jc w:val="center"/>
        <w:ind w:left="5640"/>
        <w:spacing w:after="0"/>
        <w:rPr>
          <w:sz w:val="20"/>
          <w:szCs w:val="20"/>
          <w:color w:val="auto"/>
        </w:rPr>
      </w:pPr>
      <w:r>
        <w:rPr>
          <w:rFonts w:ascii="Arial" w:cs="Arial" w:eastAsia="Arial" w:hAnsi="Arial"/>
          <w:sz w:val="17"/>
          <w:szCs w:val="17"/>
          <w:b w:val="1"/>
          <w:bCs w:val="1"/>
          <w:color w:val="auto"/>
        </w:rPr>
        <w:t>Michael Massaro</w:t>
      </w:r>
    </w:p>
    <w:p>
      <w:pPr>
        <w:spacing w:after="0" w:line="6" w:lineRule="exact"/>
        <w:rPr>
          <w:sz w:val="20"/>
          <w:szCs w:val="20"/>
          <w:color w:val="auto"/>
        </w:rPr>
      </w:pPr>
    </w:p>
    <w:p>
      <w:pPr>
        <w:jc w:val="center"/>
        <w:ind w:left="5640"/>
        <w:spacing w:after="0"/>
        <w:rPr>
          <w:sz w:val="20"/>
          <w:szCs w:val="20"/>
          <w:color w:val="auto"/>
        </w:rPr>
      </w:pPr>
      <w:r>
        <w:rPr>
          <w:rFonts w:ascii="Arial" w:cs="Arial" w:eastAsia="Arial" w:hAnsi="Arial"/>
          <w:sz w:val="17"/>
          <w:szCs w:val="17"/>
          <w:b w:val="1"/>
          <w:bCs w:val="1"/>
          <w:color w:val="auto"/>
        </w:rPr>
        <w:t>Chief Executive Officer</w:t>
      </w:r>
    </w:p>
    <w:p>
      <w:pPr>
        <w:sectPr>
          <w:pgSz w:w="11900" w:h="16838" w:orient="portrait"/>
          <w:cols w:equalWidth="0" w:num="1">
            <w:col w:w="10280"/>
          </w:cols>
          <w:pgMar w:left="800" w:top="118" w:right="81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32.2</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7" w:lineRule="exact"/>
        <w:rPr>
          <w:sz w:val="20"/>
          <w:szCs w:val="20"/>
          <w:color w:val="auto"/>
        </w:rPr>
      </w:pPr>
    </w:p>
    <w:p>
      <w:pPr>
        <w:ind w:left="2940"/>
        <w:spacing w:after="0"/>
        <w:rPr>
          <w:sz w:val="20"/>
          <w:szCs w:val="20"/>
          <w:color w:val="auto"/>
        </w:rPr>
      </w:pPr>
      <w:r>
        <w:rPr>
          <w:rFonts w:ascii="Arial" w:cs="Arial" w:eastAsia="Arial" w:hAnsi="Arial"/>
          <w:sz w:val="17"/>
          <w:szCs w:val="17"/>
          <w:b w:val="1"/>
          <w:bCs w:val="1"/>
          <w:color w:val="auto"/>
        </w:rPr>
        <w:t>18 U.S.C. SECTION 1350, AS ADOPTED PURSUANT TO</w:t>
      </w:r>
    </w:p>
    <w:p>
      <w:pPr>
        <w:ind w:left="292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5" w:lineRule="exact"/>
        <w:rPr>
          <w:sz w:val="20"/>
          <w:szCs w:val="20"/>
          <w:color w:val="auto"/>
        </w:rPr>
      </w:pPr>
    </w:p>
    <w:p>
      <w:pPr>
        <w:ind w:right="180" w:firstLine="411"/>
        <w:spacing w:after="0" w:line="237" w:lineRule="auto"/>
        <w:rPr>
          <w:sz w:val="20"/>
          <w:szCs w:val="20"/>
          <w:color w:val="auto"/>
        </w:rPr>
      </w:pPr>
      <w:r>
        <w:rPr>
          <w:rFonts w:ascii="Arial" w:cs="Arial" w:eastAsia="Arial" w:hAnsi="Arial"/>
          <w:sz w:val="17"/>
          <w:szCs w:val="17"/>
          <w:color w:val="auto"/>
        </w:rPr>
        <w:t>In connection with the Quarterly Report of Flywire Corporation (the “Company”) on Form 10-Q for the quarter ended June 30, 2021 as filed with the Securities and Exchange Commission on the date hereof (the “Report”), I certify, pursuant to 18 U.S.C. § 1350, as adopted pursuant to § 906 of the Sarbanes-Oxley Act of 2002, that:</w:t>
      </w:r>
    </w:p>
    <w:p>
      <w:pPr>
        <w:spacing w:after="0" w:line="102" w:lineRule="exact"/>
        <w:rPr>
          <w:sz w:val="20"/>
          <w:szCs w:val="20"/>
          <w:color w:val="auto"/>
        </w:rPr>
      </w:pPr>
    </w:p>
    <w:p>
      <w:pPr>
        <w:ind w:left="900" w:hanging="497"/>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7" w:lineRule="exact"/>
        <w:rPr>
          <w:rFonts w:ascii="Arial" w:cs="Arial" w:eastAsia="Arial" w:hAnsi="Arial"/>
          <w:sz w:val="17"/>
          <w:szCs w:val="17"/>
          <w:color w:val="auto"/>
        </w:rPr>
      </w:pPr>
    </w:p>
    <w:p>
      <w:pPr>
        <w:ind w:left="900" w:right="60" w:hanging="497"/>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14" w:lineRule="exact"/>
        <w:rPr>
          <w:sz w:val="20"/>
          <w:szCs w:val="20"/>
          <w:color w:val="auto"/>
        </w:rPr>
      </w:pPr>
    </w:p>
    <w:p>
      <w:pPr>
        <w:spacing w:after="0"/>
        <w:tabs>
          <w:tab w:leader="none" w:pos="5280" w:val="left"/>
          <w:tab w:leader="none" w:pos="7380" w:val="left"/>
        </w:tabs>
        <w:rPr>
          <w:sz w:val="20"/>
          <w:szCs w:val="20"/>
          <w:color w:val="auto"/>
        </w:rPr>
      </w:pPr>
      <w:r>
        <w:rPr>
          <w:rFonts w:ascii="Arial" w:cs="Arial" w:eastAsia="Arial" w:hAnsi="Arial"/>
          <w:sz w:val="17"/>
          <w:szCs w:val="17"/>
          <w:color w:val="auto"/>
        </w:rPr>
        <w:t>Date: August 16,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3594735</wp:posOffset>
            </wp:positionH>
            <wp:positionV relativeFrom="paragraph">
              <wp:posOffset>-3175</wp:posOffset>
            </wp:positionV>
            <wp:extent cx="29381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2938145" cy="8255"/>
                    </a:xfrm>
                    <a:prstGeom prst="rect">
                      <a:avLst/>
                    </a:prstGeom>
                    <a:noFill/>
                  </pic:spPr>
                </pic:pic>
              </a:graphicData>
            </a:graphic>
          </wp:anchor>
        </w:drawing>
      </w:r>
    </w:p>
    <w:p>
      <w:pPr>
        <w:jc w:val="center"/>
        <w:ind w:left="5640"/>
        <w:spacing w:after="0"/>
        <w:rPr>
          <w:sz w:val="20"/>
          <w:szCs w:val="20"/>
          <w:color w:val="auto"/>
        </w:rPr>
      </w:pPr>
      <w:r>
        <w:rPr>
          <w:rFonts w:ascii="Arial" w:cs="Arial" w:eastAsia="Arial" w:hAnsi="Arial"/>
          <w:sz w:val="17"/>
          <w:szCs w:val="17"/>
          <w:b w:val="1"/>
          <w:bCs w:val="1"/>
          <w:color w:val="auto"/>
        </w:rPr>
        <w:t>Michael Ellis</w:t>
      </w:r>
    </w:p>
    <w:p>
      <w:pPr>
        <w:spacing w:after="0" w:line="6" w:lineRule="exact"/>
        <w:rPr>
          <w:sz w:val="20"/>
          <w:szCs w:val="20"/>
          <w:color w:val="auto"/>
        </w:rPr>
      </w:pPr>
    </w:p>
    <w:p>
      <w:pPr>
        <w:jc w:val="center"/>
        <w:ind w:left="5640"/>
        <w:spacing w:after="0"/>
        <w:rPr>
          <w:sz w:val="20"/>
          <w:szCs w:val="20"/>
          <w:color w:val="auto"/>
        </w:rPr>
      </w:pPr>
      <w:r>
        <w:rPr>
          <w:rFonts w:ascii="Arial" w:cs="Arial" w:eastAsia="Arial" w:hAnsi="Arial"/>
          <w:sz w:val="17"/>
          <w:szCs w:val="17"/>
          <w:b w:val="1"/>
          <w:bCs w:val="1"/>
          <w:color w:val="auto"/>
        </w:rPr>
        <w:t>Chief Financial Officer</w:t>
      </w:r>
    </w:p>
    <w:sectPr>
      <w:pgSz w:w="11900" w:h="16838" w:orient="portrait"/>
      <w:cols w:equalWidth="0" w:num="1">
        <w:col w:w="10280"/>
      </w:cols>
      <w:pgMar w:left="800" w:top="118"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lowerRoman"/>
      <w:start w:val="1"/>
    </w:lvl>
  </w:abstractNum>
  <w:abstractNum w:abstractNumId="10">
    <w:nsid w:val="54E49EB4"/>
    <w:multiLevelType w:val="hybridMultilevel"/>
    <w:lvl w:ilvl="0">
      <w:lvlJc w:val="left"/>
      <w:lvlText w:val="(%1)"/>
      <w:numFmt w:val="lowerRoman"/>
      <w:start w:val="1"/>
    </w:lvl>
  </w:abstractNum>
  <w:abstractNum w:abstractNumId="11">
    <w:nsid w:val="71F32454"/>
    <w:multiLevelType w:val="hybridMultilevel"/>
    <w:lvl w:ilvl="0">
      <w:lvlJc w:val="left"/>
      <w:lvlText w:val="(%1)"/>
      <w:numFmt w:val="lowerLetter"/>
      <w:start w:val="3"/>
    </w:lvl>
  </w:abstractNum>
  <w:abstractNum w:abstractNumId="12">
    <w:nsid w:val="2CA88611"/>
    <w:multiLevelType w:val="hybridMultilevel"/>
    <w:lvl w:ilvl="0">
      <w:lvlJc w:val="left"/>
      <w:lvlText w:val="(%1)"/>
      <w:numFmt w:val="lowerLetter"/>
      <w:start w:val="2"/>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lvl w:ilvl="1">
      <w:lvlJc w:val="left"/>
      <w:lvlText w:val="(%2)"/>
      <w:numFmt w:val="lowerRoman"/>
      <w:start w:val="2"/>
    </w:lvl>
  </w:abstractNum>
  <w:abstractNum w:abstractNumId="15">
    <w:nsid w:val="3A95F874"/>
    <w:multiLevelType w:val="hybridMultilevel"/>
    <w:lvl w:ilvl="0">
      <w:lvlJc w:val="left"/>
      <w:lvlText w:val="•"/>
      <w:numFmt w:val="bullet"/>
      <w:start w:val="1"/>
    </w:lvl>
    <w:lvl w:ilvl="1">
      <w:lvlJc w:val="left"/>
      <w:lvlText w:val="(%2)"/>
      <w:numFmt w:val="lowerRoman"/>
      <w:start w:val="5"/>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lowerLetter"/>
      <w:start w:val="5"/>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04"/>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1" Type="http://schemas.openxmlformats.org/officeDocument/2006/relationships/hyperlink" Target="http://www.sec.gov/Archives/edgar/data/1580560/000119312521178711/d109060dex31.htm" TargetMode="External"/><Relationship Id="rId112" Type="http://schemas.openxmlformats.org/officeDocument/2006/relationships/hyperlink" Target="http://www.sec.gov/Archives/edgar/data/1580560/000119312521178711/d10906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2021-08-16T15:27:48Z</dcterms:created>
  <dcterms:modified xsi:type="dcterms:W3CDTF">2021-08-16T15:27:48Z</dcterms:modified>
</cp:coreProperties>
</file>