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7"/>
          <w:szCs w:val="17"/>
          <w:color w:val="auto"/>
        </w:rPr>
        <w:t>October 3, 2024</w:t>
      </w:r>
    </w:p>
    <w:p>
      <w:pPr>
        <w:spacing w:after="0" w:line="2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Trade &amp; Services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000"/>
          </w:cols>
          <w:pgMar w:left="440" w:top="229" w:right="459" w:bottom="1440" w:gutter="0" w:footer="0" w:header="0"/>
        </w:sectPr>
      </w:pP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Attention:</w:t>
      </w:r>
    </w:p>
    <w:p>
      <w:pPr>
        <w:spacing w:after="0" w:line="20" w:lineRule="exact"/>
        <w:rPr>
          <w:sz w:val="24"/>
          <w:szCs w:val="24"/>
          <w:color w:val="auto"/>
        </w:rPr>
      </w:pPr>
      <w:r>
        <w:rPr>
          <w:sz w:val="24"/>
          <w:szCs w:val="24"/>
          <w:color w:val="auto"/>
        </w:rPr>
        <w:br w:type="column"/>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Robert Shapiro</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Doug Jones</w:t>
      </w:r>
    </w:p>
    <w:p>
      <w:pPr>
        <w:spacing w:after="0" w:line="108" w:lineRule="exact"/>
        <w:rPr>
          <w:sz w:val="24"/>
          <w:szCs w:val="24"/>
          <w:color w:val="auto"/>
        </w:rPr>
      </w:pPr>
    </w:p>
    <w:p>
      <w:pPr>
        <w:sectPr>
          <w:pgSz w:w="11900" w:h="16838" w:orient="portrait"/>
          <w:cols w:equalWidth="0" w:num="2">
            <w:col w:w="720" w:space="700"/>
            <w:col w:w="9580"/>
          </w:cols>
          <w:pgMar w:left="440" w:top="229" w:right="459" w:bottom="1440" w:gutter="0" w:footer="0" w:header="0"/>
          <w:type w:val="continuous"/>
        </w:sectPr>
      </w:pPr>
    </w:p>
    <w:p>
      <w:pPr>
        <w:ind w:left="9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Flywire Corp</w:t>
      </w:r>
    </w:p>
    <w:p>
      <w:pPr>
        <w:spacing w:after="0" w:line="3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7"/>
          <w:szCs w:val="17"/>
          <w:b w:val="1"/>
          <w:bCs w:val="1"/>
          <w:color w:val="auto"/>
        </w:rPr>
        <w:t>Form 10-K for Fiscal Year Ended December 31, 2023</w:t>
      </w:r>
    </w:p>
    <w:p>
      <w:pPr>
        <w:spacing w:after="0" w:line="21"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Form 10-Q for Fiscal Quarter Ended June 30, 2024</w:t>
      </w:r>
    </w:p>
    <w:p>
      <w:pPr>
        <w:spacing w:after="0" w:line="9" w:lineRule="exact"/>
        <w:rPr>
          <w:sz w:val="24"/>
          <w:szCs w:val="24"/>
          <w:color w:val="auto"/>
        </w:rPr>
      </w:pPr>
    </w:p>
    <w:p>
      <w:pPr>
        <w:ind w:left="1420"/>
        <w:spacing w:after="0"/>
        <w:rPr>
          <w:sz w:val="20"/>
          <w:szCs w:val="20"/>
          <w:color w:val="auto"/>
        </w:rPr>
      </w:pPr>
      <w:r>
        <w:rPr>
          <w:rFonts w:ascii="Times New Roman" w:cs="Times New Roman" w:eastAsia="Times New Roman" w:hAnsi="Times New Roman"/>
          <w:sz w:val="18"/>
          <w:szCs w:val="18"/>
          <w:b w:val="1"/>
          <w:bCs w:val="1"/>
          <w:color w:val="auto"/>
        </w:rPr>
        <w:t>File No. 001-40430</w:t>
      </w:r>
    </w:p>
    <w:p>
      <w:pPr>
        <w:sectPr>
          <w:pgSz w:w="11900" w:h="16838" w:orient="portrait"/>
          <w:cols w:equalWidth="0" w:num="1">
            <w:col w:w="11000"/>
          </w:cols>
          <w:pgMar w:left="440" w:top="229" w:right="459"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Messrs. Shapiro and Jones:</w:t>
      </w:r>
    </w:p>
    <w:p>
      <w:pPr>
        <w:spacing w:after="0" w:line="225" w:lineRule="exact"/>
        <w:rPr>
          <w:sz w:val="24"/>
          <w:szCs w:val="24"/>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On behalf of Flywire Corporation (the “Company,” “we,” “us,” and “our”), the following responses are provided to the comments submitted to the Company by the staff of the Securities and Exchange Commission (the “Staff”) in a letter dated September 19, 2024 (the “Letter”) relating to the Company’s Annual Report on Form 10-K for the year ended December 31, 2023 (the “Form 10-K”) and the Company’s Quarterly report on Form 10-Q for the quarter ended June 30, 2024 (the “Form 10-Q”). For your convenience, we have restated below in italics each comment from the Letter and have supplied our response to the comment immediately thereafter.</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Form 10-K for Fiscal Year Ended December 31, 2023</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Management’s Discussion and Analysis of Financial Condition and Results of Operations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Liquidity and Capital Resources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Flows</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 page 44</w:t>
      </w:r>
    </w:p>
    <w:p>
      <w:pPr>
        <w:spacing w:after="0" w:line="232" w:lineRule="exact"/>
        <w:rPr>
          <w:sz w:val="24"/>
          <w:szCs w:val="24"/>
          <w:color w:val="auto"/>
        </w:rPr>
      </w:pPr>
    </w:p>
    <w:p>
      <w:pPr>
        <w:ind w:left="960" w:hanging="532"/>
        <w:spacing w:after="0" w:line="254"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Refer to your response to comment 6 and the intended revised disclosure therein. It appears operating cash flows materially worsened by almost $32 million between the six months ended June 30, 2024 and June 30, 2023. Though you state you will explain the underlying reasons and implications of material changes in operating cash flows between periods, it appears the focus of your intended revised disclosure is how operating cash flows are derived for each period. For the $32 million change noted above, it appears the primary factors are changes in funds receivable from payment partners and funds payable to clients, but we did not note any specific discussion in your intended revised disclosure about their impact on the change. Please ensure your disclosure is a comparative analysis of the change in operating cash flows between periods and all material factors impacting the change are discussed. Also, in your intended revised disclosure it is not clear how non-cash items explains changes in cash or the correlation between changes in operating assets and liabilities and revenue growth. Please clarify.</w:t>
      </w:r>
    </w:p>
    <w:p>
      <w:pPr>
        <w:sectPr>
          <w:pgSz w:w="11900" w:h="16838" w:orient="portrait"/>
          <w:cols w:equalWidth="0" w:num="1">
            <w:col w:w="11000"/>
          </w:cols>
          <w:pgMar w:left="440" w:top="229" w:right="459" w:bottom="1440" w:gutter="0" w:footer="0" w:header="0"/>
          <w:type w:val="continuous"/>
        </w:sectPr>
      </w:pPr>
    </w:p>
    <w:bookmarkStart w:id="1" w:name="page2"/>
    <w:bookmarkEnd w:id="1"/>
    <w:p>
      <w:pPr>
        <w:spacing w:after="0" w:line="256"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Response</w:t>
      </w:r>
      <w:r>
        <w:rPr>
          <w:rFonts w:ascii="Times New Roman" w:cs="Times New Roman" w:eastAsia="Times New Roman" w:hAnsi="Times New Roman"/>
          <w:sz w:val="18"/>
          <w:szCs w:val="18"/>
          <w:color w:val="auto"/>
        </w:rPr>
        <w:t>: The Company has reviewed the discussion of operating cash flows and based upon the Staff’s comment intends to modify its future disclosures accordingly. The Company undertakes in future filings to provide a more fulsome analysis in our operating activities discussion. Also, the Company will undertake to provide additional specificity as to underlying reasons for the material changes in operating cash flows and provide detailed analysis of known material trends, events, demands, commitments, and uncertainties applicable to our financial statements, including relevant factors described above, in accordance with the requirements of Item 303 of Regulation S-K. Please see below for an example revised discussion for the six-month period ending June 30, 2024 compared to 2023.</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7" w:lineRule="exact"/>
        <w:rPr>
          <w:sz w:val="20"/>
          <w:szCs w:val="20"/>
          <w:color w:val="auto"/>
        </w:rPr>
      </w:pPr>
    </w:p>
    <w:p>
      <w:pPr>
        <w:ind w:right="480"/>
        <w:spacing w:after="0" w:line="260" w:lineRule="auto"/>
        <w:rPr>
          <w:sz w:val="20"/>
          <w:szCs w:val="20"/>
          <w:color w:val="auto"/>
        </w:rPr>
      </w:pPr>
      <w:r>
        <w:rPr>
          <w:rFonts w:ascii="Times New Roman" w:cs="Times New Roman" w:eastAsia="Times New Roman" w:hAnsi="Times New Roman"/>
          <w:sz w:val="18"/>
          <w:szCs w:val="18"/>
          <w:color w:val="auto"/>
        </w:rPr>
        <w:t>Net cash used in operating activities consists of net loss adjusted for certain non-cash items and changes in our operating assets and liabilities.</w:t>
      </w:r>
    </w:p>
    <w:p>
      <w:pPr>
        <w:spacing w:after="0" w:line="73"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2024, cash used in operating activities of $57.4 million was primarily the result of net loss of $20.1 million, adjusted for non-cash expenses of $38.8 million, which primarily included stock-based compensation expenses of $31.9 million and depreciation and amortization of $8.5 million, offset by changes in our operating assets and liabilities, net of acquisitions, of $76.1 million.</w:t>
      </w:r>
    </w:p>
    <w:p>
      <w:pPr>
        <w:spacing w:after="0" w:line="72"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During the six months ended June 30, 2023, cash used in operating activities of $25.7 million was primarily the result of net loss of $20.5 million, adjusted for non-cash expenses of $28.7 million, which primarily included stock-based compensation expenses of</w:t>
      </w:r>
    </w:p>
    <w:p>
      <w:pPr>
        <w:ind w:right="60"/>
        <w:spacing w:after="0" w:line="260" w:lineRule="auto"/>
        <w:rPr>
          <w:sz w:val="20"/>
          <w:szCs w:val="20"/>
          <w:color w:val="auto"/>
        </w:rPr>
      </w:pPr>
      <w:r>
        <w:rPr>
          <w:rFonts w:ascii="Times New Roman" w:cs="Times New Roman" w:eastAsia="Times New Roman" w:hAnsi="Times New Roman"/>
          <w:sz w:val="18"/>
          <w:szCs w:val="18"/>
          <w:color w:val="auto"/>
        </w:rPr>
        <w:t>$20.0 million, depreciation and amortization of $7.9 million, provision for uncollectible accounts of $0.6 million, offset by a deferred tax benefit of $0.6 million and changes in our operating assets and liabilities, net of acquisitions, of $33.8 million.</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operating activities was $57.4 million during the six months ended June 30, 2024, compared to $25.7 million during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six months ended June 30, 2023. The increase of $31.7 million in our net cash used in operating activities was primarily related to a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our operating assets and liabilities, net of acquisitions, of $76.1 million during the six months ended June 30, 2024, compared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$33.8 million during the six months ended June 30, 2023. This increase was driven by an increase in funds payable to clients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$52.4 million compared to the prior year period primarily as a result of the timing of payments to our clients in the applicable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partially offset by an increase in funds receivable from payment partners of $9.3 million, as a result of the timing of collections from our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partners in the applicable period. The timing of payments to our clients will vary from period to period based on when our client’s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customer payment for a particular transaction is made and when we are contractually required to remit such payment to our client.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timing of collections from our partners will vary from period to period based on when our clients’ customer payment for a particular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 is made, as well as the customer’s payment method which impacts the</w:t>
      </w:r>
    </w:p>
    <w:p>
      <w:pPr>
        <w:sectPr>
          <w:pgSz w:w="11900" w:h="16838" w:orient="portrait"/>
          <w:cols w:equalWidth="0" w:num="1">
            <w:col w:w="9940"/>
          </w:cols>
          <w:pgMar w:left="1420" w:top="270" w:right="539" w:bottom="1440" w:gutter="0" w:footer="0" w:header="0"/>
        </w:sectPr>
      </w:pPr>
    </w:p>
    <w:bookmarkStart w:id="2" w:name="page3"/>
    <w:bookmarkEnd w:id="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timing of settlement of the payment. This net increase in cash used was offset by the impact to our operating cash flows from our net loss (after adjustments for an increase in non-cash expenses of $10.1 million) which decreased by $10.6 million for the six months ended June 30, 2024, compared to the prior period, reflective of the growth in transaction payment volumes, from both our existing clients and new clients and an increase in interest income as a result of our higher cash balances and higher market interest rates, offset by increases in our costs and operating expenses, the largest of which was our payment processing services costs.”</w:t>
      </w:r>
    </w:p>
    <w:p>
      <w:pPr>
        <w:spacing w:after="0" w:line="183" w:lineRule="exact"/>
        <w:rPr>
          <w:sz w:val="20"/>
          <w:szCs w:val="20"/>
          <w:color w:val="auto"/>
        </w:rPr>
      </w:pPr>
    </w:p>
    <w:p>
      <w:pPr>
        <w:jc w:val="center"/>
        <w:ind w:right="980"/>
        <w:spacing w:after="0"/>
        <w:rPr>
          <w:sz w:val="20"/>
          <w:szCs w:val="20"/>
          <w:color w:val="auto"/>
        </w:rPr>
      </w:pPr>
      <w:r>
        <w:rPr>
          <w:rFonts w:ascii="Times New Roman" w:cs="Times New Roman" w:eastAsia="Times New Roman" w:hAnsi="Times New Roman"/>
          <w:sz w:val="18"/>
          <w:szCs w:val="18"/>
          <w:color w:val="auto"/>
        </w:rPr>
        <w:t>* * * * *</w:t>
      </w:r>
    </w:p>
    <w:p>
      <w:pPr>
        <w:spacing w:after="0" w:line="223"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ectPr>
          <w:pgSz w:w="11900" w:h="16838" w:orient="portrait"/>
          <w:cols w:equalWidth="0" w:num="1">
            <w:col w:w="10020"/>
          </w:cols>
          <w:pgMar w:left="1420" w:top="270" w:right="459" w:bottom="1440" w:gutter="0" w:footer="0" w:header="0"/>
        </w:sectPr>
      </w:pPr>
    </w:p>
    <w:bookmarkStart w:id="3" w:name="page4"/>
    <w:bookmarkEnd w:id="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Please contact me directly at (857) 365-3836 if you have any questions about this response letter.</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Sincerely yours,</w:t>
      </w:r>
    </w:p>
    <w:p>
      <w:pPr>
        <w:spacing w:after="0" w:line="221"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b w:val="1"/>
          <w:bCs w:val="1"/>
          <w:color w:val="auto"/>
        </w:rPr>
        <w:t>Flywire Corporation</w:t>
      </w:r>
    </w:p>
    <w:p>
      <w:pPr>
        <w:spacing w:after="0" w:line="229"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/s/ Cosmin Pitigoi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17145</wp:posOffset>
            </wp:positionV>
            <wp:extent cx="27946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Cosmin Pitigoi</w:t>
      </w:r>
    </w:p>
    <w:p>
      <w:pPr>
        <w:spacing w:after="0" w:line="27" w:lineRule="exact"/>
        <w:rPr>
          <w:sz w:val="20"/>
          <w:szCs w:val="20"/>
          <w:color w:val="auto"/>
        </w:rPr>
      </w:pPr>
    </w:p>
    <w:p>
      <w:pPr>
        <w:jc w:val="right"/>
        <w:ind w:right="1739"/>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34"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Michael Massaro, Chief Executive Officer</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Orgel, President and Chief Operating Officer</w:t>
      </w:r>
    </w:p>
    <w:p>
      <w:pPr>
        <w:spacing w:after="0" w:line="9"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Butterfield, General Counsel and Chief Compliance Officer</w:t>
      </w:r>
    </w:p>
    <w:p>
      <w:pPr>
        <w:spacing w:after="0" w:line="9" w:lineRule="exact"/>
        <w:rPr>
          <w:rFonts w:ascii="Times New Roman" w:cs="Times New Roman" w:eastAsia="Times New Roman" w:hAnsi="Times New Roman"/>
          <w:sz w:val="18"/>
          <w:szCs w:val="18"/>
          <w:color w:val="auto"/>
        </w:rPr>
      </w:pPr>
    </w:p>
    <w:p>
      <w:pPr>
        <w:ind w:left="444" w:right="3359"/>
        <w:spacing w:after="0" w:line="27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David Gammell, Gunderson Dettmer Stough Villeneuve Franklin &amp; Hachigian, LLP Keith Scherer, Gunderson Dettmer Stough Villeneuve Franklin &amp; Hachigian, LLP John Maciejewski, Gunderson Dettmer Stough Villeneuve Franklin &amp; Hachigian, LLP</w:t>
      </w:r>
    </w:p>
    <w:sectPr>
      <w:pgSz w:w="11900" w:h="16838" w:orient="portrait"/>
      <w:cols w:equalWidth="0" w:num="1">
        <w:col w:w="10023"/>
      </w:cols>
      <w:pgMar w:left="436"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2024-11-05T23:18:39Z</dcterms:created>
  <dcterms:modified xsi:type="dcterms:W3CDTF">2024-11-05T23:18:39Z</dcterms:modified>
</cp:coreProperties>
</file>