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Orgel Rob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33.784</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264,434</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09/06/2023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299,434</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09/06/2023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39,005</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33.1248</w:t>
            </w:r>
            <w:r>
              <w:rPr>
                <w:rFonts w:ascii="Times;serif" w:hAnsi="Times;serif"/>
                <w:color w:val="008000"/>
                <w:position w:val="7"/>
                <w:sz w:val="16"/>
                <w:sz w:val="20"/>
                <w:shd w:fill="FFFFFF" w:val="clear"/>
              </w:rPr>
              <w:t>(4)</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260,429</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414,724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to cover tax withholding obligations upon the settlement of certain time-based restricted stock unit awards. These shares of common stock were automatically sold in a non-discretionary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Adjusted to reflect 430 shares acquired under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$32.76 to $33.65, inclusive. The Reporting Person undertakes to provide to the Issuer or the staff of the Securities and Exchange Commission, upon request, full information regarding the number of shares sold at each separate price within the ranges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subject to this option vest over 4 years of service following November 1, 2019, with 25% vesting upon completion of 1 year of continuous service to the Issuer and the balance vesting in 36 substantially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 Orgel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049"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879</Words>
  <Characters>4683</Characters>
  <CharactersWithSpaces>5473</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