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28,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280" w:type="dxa"/>
        <w:tblCellMar>
          <w:top w:w="0" w:type="dxa"/>
          <w:left w:w="0" w:type="dxa"/>
          <w:bottom w:w="0" w:type="dxa"/>
          <w:right w:w="0" w:type="dxa"/>
        </w:tblCellMar>
      </w:tblPr>
      <w:tr>
        <w:trPr>
          <w:trHeight w:val="214"/>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27-0690799</w:t>
            </w:r>
          </w:p>
        </w:tc>
      </w:tr>
      <w:tr>
        <w:trPr>
          <w:trHeight w:val="148"/>
        </w:trPr>
        <w:tc>
          <w:tcPr>
            <w:tcW w:w="6080" w:type="dxa"/>
            <w:vAlign w:val="bottom"/>
            <w:gridSpan w:val="3"/>
          </w:tcPr>
          <w:p>
            <w:pPr>
              <w:jc w:val="center"/>
              <w:ind w:right="30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141 Tremont St #10</w:t>
            </w:r>
          </w:p>
        </w:tc>
        <w:tc>
          <w:tcPr>
            <w:tcW w:w="1960" w:type="dxa"/>
            <w:vAlign w:val="bottom"/>
          </w:tcPr>
          <w:p>
            <w:pPr>
              <w:spacing w:after="0"/>
              <w:rPr>
                <w:sz w:val="24"/>
                <w:szCs w:val="24"/>
                <w:color w:val="auto"/>
              </w:rPr>
            </w:pPr>
          </w:p>
        </w:tc>
      </w:tr>
      <w:tr>
        <w:trPr>
          <w:trHeight w:val="227"/>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02111</w:t>
            </w:r>
          </w:p>
        </w:tc>
      </w:tr>
      <w:tr>
        <w:trPr>
          <w:trHeight w:val="190"/>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080" w:type="dxa"/>
            <w:vAlign w:val="bottom"/>
            <w:gridSpan w:val="3"/>
          </w:tcPr>
          <w:p>
            <w:pPr>
              <w:jc w:val="center"/>
              <w:ind w:left="2275"/>
              <w:spacing w:after="0"/>
              <w:rPr>
                <w:sz w:val="20"/>
                <w:szCs w:val="20"/>
                <w:color w:val="auto"/>
              </w:rPr>
            </w:pPr>
            <w:r>
              <w:rPr>
                <w:rFonts w:ascii="Times New Roman" w:cs="Times New Roman" w:eastAsia="Times New Roman" w:hAnsi="Times New Roman"/>
                <w:sz w:val="18"/>
                <w:szCs w:val="18"/>
                <w:b w:val="1"/>
                <w:bCs w:val="1"/>
                <w:color w:val="auto"/>
              </w:rPr>
              <w:t>Flywire Corporation 2021 Equity Incentive Plan</w:t>
            </w:r>
          </w:p>
        </w:tc>
        <w:tc>
          <w:tcPr>
            <w:tcW w:w="1960" w:type="dxa"/>
            <w:vAlign w:val="bottom"/>
          </w:tcPr>
          <w:p>
            <w:pPr>
              <w:spacing w:after="0"/>
              <w:rPr>
                <w:sz w:val="24"/>
                <w:szCs w:val="24"/>
                <w:color w:val="auto"/>
              </w:rPr>
            </w:pPr>
          </w:p>
        </w:tc>
      </w:tr>
      <w:tr>
        <w:trPr>
          <w:trHeight w:val="214"/>
        </w:trPr>
        <w:tc>
          <w:tcPr>
            <w:tcW w:w="8040" w:type="dxa"/>
            <w:vAlign w:val="bottom"/>
            <w:gridSpan w:val="4"/>
          </w:tcPr>
          <w:p>
            <w:pPr>
              <w:jc w:val="center"/>
              <w:ind w:left="335"/>
              <w:spacing w:after="0"/>
              <w:rPr>
                <w:sz w:val="20"/>
                <w:szCs w:val="20"/>
                <w:color w:val="auto"/>
              </w:rPr>
            </w:pPr>
            <w:r>
              <w:rPr>
                <w:rFonts w:ascii="Times New Roman" w:cs="Times New Roman" w:eastAsia="Times New Roman" w:hAnsi="Times New Roman"/>
                <w:sz w:val="18"/>
                <w:szCs w:val="18"/>
                <w:b w:val="1"/>
                <w:bCs w:val="1"/>
                <w:color w:val="auto"/>
                <w:w w:val="99"/>
              </w:rPr>
              <w:t>Flywire Corporation 2021 Employee Stock Purchase Plan</w:t>
            </w:r>
          </w:p>
        </w:tc>
      </w:tr>
      <w:tr>
        <w:trPr>
          <w:trHeight w:val="190"/>
        </w:trPr>
        <w:tc>
          <w:tcPr>
            <w:tcW w:w="3060" w:type="dxa"/>
            <w:vAlign w:val="bottom"/>
          </w:tcPr>
          <w:p>
            <w:pPr>
              <w:spacing w:after="0"/>
              <w:rPr>
                <w:sz w:val="16"/>
                <w:szCs w:val="16"/>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(Full title of Plan)</w:t>
            </w:r>
          </w:p>
        </w:tc>
        <w:tc>
          <w:tcPr>
            <w:tcW w:w="1960" w:type="dxa"/>
            <w:vAlign w:val="bottom"/>
          </w:tcPr>
          <w:p>
            <w:pPr>
              <w:spacing w:after="0"/>
              <w:rPr>
                <w:sz w:val="16"/>
                <w:szCs w:val="16"/>
                <w:color w:val="auto"/>
              </w:rPr>
            </w:pPr>
          </w:p>
        </w:tc>
      </w:tr>
      <w:tr>
        <w:trPr>
          <w:trHeight w:val="393"/>
        </w:trPr>
        <w:tc>
          <w:tcPr>
            <w:tcW w:w="3060" w:type="dxa"/>
            <w:vAlign w:val="bottom"/>
          </w:tcPr>
          <w:p>
            <w:pPr>
              <w:spacing w:after="0"/>
              <w:rPr>
                <w:sz w:val="24"/>
                <w:szCs w:val="24"/>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Michael Massaro</w:t>
            </w:r>
          </w:p>
        </w:tc>
        <w:tc>
          <w:tcPr>
            <w:tcW w:w="19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19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Flywire Corporation</w:t>
            </w:r>
          </w:p>
        </w:tc>
        <w:tc>
          <w:tcPr>
            <w:tcW w:w="19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141 Tremont St #10</w:t>
            </w:r>
          </w:p>
        </w:tc>
        <w:tc>
          <w:tcPr>
            <w:tcW w:w="1960" w:type="dxa"/>
            <w:vAlign w:val="bottom"/>
          </w:tcPr>
          <w:p>
            <w:pPr>
              <w:spacing w:after="0"/>
              <w:rPr>
                <w:sz w:val="18"/>
                <w:szCs w:val="18"/>
                <w:color w:val="auto"/>
              </w:rPr>
            </w:pPr>
          </w:p>
        </w:tc>
      </w:tr>
      <w:tr>
        <w:trPr>
          <w:trHeight w:val="214"/>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Boston, MA 02111</w:t>
            </w:r>
          </w:p>
        </w:tc>
        <w:tc>
          <w:tcPr>
            <w:tcW w:w="1960" w:type="dxa"/>
            <w:vAlign w:val="bottom"/>
          </w:tcPr>
          <w:p>
            <w:pPr>
              <w:spacing w:after="0"/>
              <w:rPr>
                <w:sz w:val="18"/>
                <w:szCs w:val="18"/>
                <w:color w:val="auto"/>
              </w:rPr>
            </w:pPr>
          </w:p>
        </w:tc>
      </w:tr>
      <w:tr>
        <w:trPr>
          <w:trHeight w:val="190"/>
        </w:trPr>
        <w:tc>
          <w:tcPr>
            <w:tcW w:w="6080" w:type="dxa"/>
            <w:vAlign w:val="bottom"/>
            <w:gridSpan w:val="3"/>
          </w:tcPr>
          <w:p>
            <w:pPr>
              <w:jc w:val="center"/>
              <w:ind w:left="2275"/>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960" w:type="dxa"/>
            <w:vAlign w:val="bottom"/>
          </w:tcPr>
          <w:p>
            <w:pPr>
              <w:spacing w:after="0"/>
              <w:rPr>
                <w:sz w:val="16"/>
                <w:szCs w:val="16"/>
                <w:color w:val="auto"/>
              </w:rPr>
            </w:pPr>
          </w:p>
        </w:tc>
      </w:tr>
      <w:tr>
        <w:trPr>
          <w:trHeight w:val="390"/>
        </w:trPr>
        <w:tc>
          <w:tcPr>
            <w:tcW w:w="5380" w:type="dxa"/>
            <w:vAlign w:val="bottom"/>
            <w:gridSpan w:val="2"/>
          </w:tcPr>
          <w:p>
            <w:pPr>
              <w:jc w:val="center"/>
              <w:ind w:left="2975"/>
              <w:spacing w:after="0"/>
              <w:rPr>
                <w:sz w:val="20"/>
                <w:szCs w:val="20"/>
                <w:color w:val="auto"/>
              </w:rPr>
            </w:pPr>
            <w:r>
              <w:rPr>
                <w:rFonts w:ascii="Times New Roman" w:cs="Times New Roman" w:eastAsia="Times New Roman" w:hAnsi="Times New Roman"/>
                <w:sz w:val="18"/>
                <w:szCs w:val="18"/>
                <w:b w:val="1"/>
                <w:bCs w:val="1"/>
                <w:color w:val="auto"/>
                <w:w w:val="99"/>
              </w:rPr>
              <w:t>(617) 329-4524</w:t>
            </w: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90"/>
        </w:trPr>
        <w:tc>
          <w:tcPr>
            <w:tcW w:w="8040" w:type="dxa"/>
            <w:vAlign w:val="bottom"/>
            <w:gridSpan w:val="4"/>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r>
      <w:tr>
        <w:trPr>
          <w:trHeight w:val="334"/>
        </w:trPr>
        <w:tc>
          <w:tcPr>
            <w:tcW w:w="30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3"/>
        </w:trPr>
        <w:tc>
          <w:tcPr>
            <w:tcW w:w="3060" w:type="dxa"/>
            <w:vAlign w:val="bottom"/>
          </w:tcPr>
          <w:p>
            <w:pPr>
              <w:spacing w:after="0"/>
              <w:rPr>
                <w:sz w:val="24"/>
                <w:szCs w:val="24"/>
                <w:color w:val="auto"/>
              </w:rPr>
            </w:pPr>
          </w:p>
        </w:tc>
        <w:tc>
          <w:tcPr>
            <w:tcW w:w="30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960" w:type="dxa"/>
            <w:vAlign w:val="bottom"/>
          </w:tcPr>
          <w:p>
            <w:pPr>
              <w:spacing w:after="0"/>
              <w:rPr>
                <w:sz w:val="24"/>
                <w:szCs w:val="24"/>
                <w:color w:val="auto"/>
              </w:rPr>
            </w:pP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David D. Gammell</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Peter Butterfield</w:t>
            </w: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Keith J. Scherer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&amp; Chief</w:t>
            </w:r>
          </w:p>
        </w:tc>
      </w:tr>
      <w:tr>
        <w:trPr>
          <w:trHeight w:val="216"/>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Gunderson Dettmer Stough Villeneuve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Compliance Officer</w:t>
            </w: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Franklin &amp; Hachigian, LLP</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Flywire Corporation</w:t>
            </w: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One Marina Park Drive, Suite 900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141 Tremont St #10</w:t>
            </w:r>
          </w:p>
        </w:tc>
      </w:tr>
      <w:tr>
        <w:trPr>
          <w:trHeight w:val="216"/>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02111</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648-9100</w:t>
            </w:r>
          </w:p>
        </w:tc>
        <w:tc>
          <w:tcPr>
            <w:tcW w:w="2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329-4524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081"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S-8 registers additional shares of voting common stock to be issued pursuant to the Registrant’s 2021 Equity Incentive Plan and 2021 Employee Stock Purchase Plan. The information contained in the Registrant’s registration statement on Form S-8 (SEC File Nos. </w:t>
      </w:r>
      <w:hyperlink r:id="rId17">
        <w:r>
          <w:rPr>
            <w:rFonts w:ascii="Times New Roman" w:cs="Times New Roman" w:eastAsia="Times New Roman" w:hAnsi="Times New Roman"/>
            <w:sz w:val="18"/>
            <w:szCs w:val="18"/>
            <w:u w:val="single" w:color="auto"/>
            <w:color w:val="0000EE"/>
          </w:rPr>
          <w:t>333-256695</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333-263956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333-270587</w:t>
        </w:r>
      </w:hyperlink>
      <w:r>
        <w:rPr>
          <w:rFonts w:ascii="Times New Roman" w:cs="Times New Roman" w:eastAsia="Times New Roman" w:hAnsi="Times New Roman"/>
          <w:sz w:val="18"/>
          <w:szCs w:val="18"/>
          <w:color w:val="auto"/>
        </w:rPr>
        <w:t>), together with all exhibits filed therewith or incorporated therein by reference, are hereby incorporated by reference pursuant to General Instruction E to Form S-8.</w:t>
      </w:r>
    </w:p>
    <w:p>
      <w:pPr>
        <w:sectPr>
          <w:pgSz w:w="11900" w:h="16838" w:orient="portrait"/>
          <w:cols w:equalWidth="0" w:num="1">
            <w:col w:w="10900"/>
          </w:cols>
          <w:pgMar w:left="440" w:top="266"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7"/>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1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98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gridSpan w:val="9"/>
          </w:tcPr>
          <w:p>
            <w:pPr>
              <w:jc w:val="center"/>
              <w:ind w:left="1419"/>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0" w:type="dxa"/>
            <w:vAlign w:val="bottom"/>
            <w:gridSpan w:val="8"/>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vMerge w:val="restart"/>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0" w:type="dxa"/>
            <w:vAlign w:val="bottom"/>
            <w:vMerge w:val="restart"/>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580" w:type="dxa"/>
            <w:vAlign w:val="bottom"/>
          </w:tcPr>
          <w:p>
            <w:pPr>
              <w:jc w:val="right"/>
              <w:ind w:right="56"/>
              <w:spacing w:after="0" w:line="115"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0" w:type="dxa"/>
            <w:vAlign w:val="bottom"/>
            <w:gridSpan w:val="8"/>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6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0000EE"/>
              </w:rPr>
              <w:t>Opinion and Consent of Gunderson Dettmer Stough Villeneuve Franklin &amp;</w:t>
            </w:r>
          </w:p>
        </w:tc>
        <w:tc>
          <w:tcPr>
            <w:tcW w:w="1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4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Hachigian, LLP.</w:t>
            </w:r>
          </w:p>
        </w:tc>
        <w:tc>
          <w:tcPr>
            <w:tcW w:w="4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w:t>
            </w:r>
          </w:p>
        </w:tc>
        <w:tc>
          <w:tcPr>
            <w:tcW w:w="68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Gunderson Dettmer Stough Villeneuve Franklin &amp; Hachigian, LLP</w:t>
            </w:r>
          </w:p>
        </w:tc>
        <w:tc>
          <w:tcPr>
            <w:tcW w:w="2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(contained in Exhibit 5.1).</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(contained in the signature page hereto).</w:t>
            </w:r>
          </w:p>
        </w:tc>
        <w:tc>
          <w:tcPr>
            <w:tcW w:w="15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2021 Equity Incentive Plan and forms of agreements thereunder.</w:t>
              </w:r>
            </w:hyperlink>
          </w:p>
        </w:tc>
        <w:tc>
          <w:tcPr>
            <w:tcW w:w="1220" w:type="dxa"/>
            <w:vAlign w:val="bottom"/>
            <w:gridSpan w:val="6"/>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001-40430</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03/10/2023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tcPr>
          <w:p>
            <w:pPr>
              <w:jc w:val="center"/>
              <w:ind w:right="900"/>
              <w:spacing w:after="0"/>
              <w:rPr>
                <w:sz w:val="20"/>
                <w:szCs w:val="20"/>
                <w:color w:val="auto"/>
              </w:rPr>
            </w:pPr>
            <w:r>
              <w:rPr>
                <w:rFonts w:ascii="Times New Roman" w:cs="Times New Roman" w:eastAsia="Times New Roman" w:hAnsi="Times New Roman"/>
                <w:sz w:val="18"/>
                <w:szCs w:val="18"/>
                <w:color w:val="auto"/>
              </w:rPr>
              <w:t>II-1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Michael Massaro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Michael Massaro and Michael Ellis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behalf the Registrant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4"/>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Massaro</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6160" w:type="dxa"/>
            <w:vAlign w:val="bottom"/>
          </w:tcPr>
          <w:p>
            <w:pPr>
              <w:jc w:val="center"/>
              <w:ind w:left="172"/>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Ellis</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Michael Ellis</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 Riese</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Phillip Riese</w:t>
            </w:r>
          </w:p>
        </w:tc>
        <w:tc>
          <w:tcPr>
            <w:tcW w:w="6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Diane Offereins</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Diane Offereins</w:t>
            </w:r>
          </w:p>
        </w:tc>
        <w:tc>
          <w:tcPr>
            <w:tcW w:w="6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Finkelstein</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Alex Finkelstein</w:t>
            </w:r>
          </w:p>
        </w:tc>
        <w:tc>
          <w:tcPr>
            <w:tcW w:w="6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Harris</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Matt Harris</w:t>
            </w:r>
          </w:p>
        </w:tc>
        <w:tc>
          <w:tcPr>
            <w:tcW w:w="6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Edwin Santos</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Edwin Santos</w:t>
            </w:r>
          </w:p>
        </w:tc>
        <w:tc>
          <w:tcPr>
            <w:tcW w:w="61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Gretchen Howard</w:t>
            </w:r>
          </w:p>
        </w:tc>
        <w:tc>
          <w:tcPr>
            <w:tcW w:w="61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22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Gretchen Howard</w:t>
            </w:r>
          </w:p>
        </w:tc>
        <w:tc>
          <w:tcPr>
            <w:tcW w:w="616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141 Tremont St #10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Flywire Corporation Registration Statement on Form S-8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We refer to the registration statement on Form S-8 (the “Registration Statement”) to be filed by Flywire Corporation, a Delaware corporation (the “Company”), with the Securities and Exchange Commission (the “Commission”) in connection with the registration under the Securities Act of 1933, as amended (the “Act”), of an aggregate of 7,354,109 shares of the Company’s voting common stock, $0.0001 par value per share (the “Shares”), that are issuable by the Company (i) upon the exercise or settlement of awards granted or to be granted under the Company’s 2021 Equity Incentive Plan and</w:t>
      </w:r>
    </w:p>
    <w:p>
      <w:pPr>
        <w:spacing w:after="0" w:line="3" w:lineRule="exact"/>
        <w:rPr>
          <w:sz w:val="20"/>
          <w:szCs w:val="20"/>
          <w:color w:val="auto"/>
        </w:rPr>
      </w:pPr>
    </w:p>
    <w:p>
      <w:pPr>
        <w:ind w:left="4" w:right="80" w:hanging="4"/>
        <w:spacing w:after="0" w:line="26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purchase rights to acquire shares of voting common stock pursuant to the Company’s 2021 Employee Stock Purchase Plan. The Company’s 2021 Equity Incentive Plan and 2021 Employee Stock Purchase Plan are collectively referred to in this letter as the “Plans.”</w:t>
      </w:r>
    </w:p>
    <w:p>
      <w:pPr>
        <w:spacing w:after="0" w:line="181"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As your counsel, we have examined such matters of fact and questions of law as we have deemed necessary in order to render the opinion set forth herein. In connection with our opinion expressed below, we have relied as to certain factual matters on information obtained from public officials, officers of the Company and other sources believed by us to be responsible. We express no opinion as to matters governed by any laws other than the laws of the Delaware General Corporation Law and the federal laws of the United States.</w:t>
      </w:r>
    </w:p>
    <w:p>
      <w:pPr>
        <w:spacing w:after="0" w:line="18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advise you that, in our opinion, when the Shares have been issued and sold pursuant to the applicable provisions of the Plans, and in accordance with the Registration Statement, such Shares will be validly issued, fully paid and nonassessable shares of the Company’s voting common stock.</w:t>
      </w:r>
    </w:p>
    <w:p>
      <w:pPr>
        <w:spacing w:after="0" w:line="176"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Gunderson Dettmer Stough Villeneuve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Franklin &amp; Hachigian, LLP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GUNDERSON DETTMER STOUGH VILLENEUVE</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FRANKLIN &amp; HACHIGIAN, LLP</w:t>
      </w:r>
    </w:p>
    <w:p>
      <w:pPr>
        <w:sectPr>
          <w:pgSz w:w="11900" w:h="16838" w:orient="portrait"/>
          <w:cols w:equalWidth="0" w:num="1">
            <w:col w:w="11024"/>
          </w:cols>
          <w:pgMar w:left="436"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Flywire Corporation of our report dated February 28, 2024 relating to the financial statements and the effectiveness of internal control over financial reporting, which appears in Flywire Corporation’s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Flywire 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274" w:type="dxa"/>
        <w:tblCellMar>
          <w:top w:w="0" w:type="dxa"/>
          <w:left w:w="0" w:type="dxa"/>
          <w:bottom w:w="0" w:type="dxa"/>
          <w:right w:w="0" w:type="dxa"/>
        </w:tblCellMar>
      </w:tblPr>
      <w:tr>
        <w:trPr>
          <w:trHeight w:val="144"/>
        </w:trPr>
        <w:tc>
          <w:tcPr>
            <w:tcW w:w="660" w:type="dxa"/>
            <w:vAlign w:val="bottom"/>
            <w:tcBorders>
              <w:top w:val="single" w:sz="8" w:color="auto"/>
              <w:left w:val="single" w:sz="8" w:color="auto"/>
              <w:right w:val="single" w:sz="8" w:color="auto"/>
            </w:tcBorders>
          </w:tcPr>
          <w:p>
            <w:pPr>
              <w:spacing w:after="0"/>
              <w:rPr>
                <w:sz w:val="12"/>
                <w:szCs w:val="12"/>
                <w:color w:val="auto"/>
              </w:rPr>
            </w:pPr>
          </w:p>
        </w:tc>
        <w:tc>
          <w:tcPr>
            <w:tcW w:w="37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8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0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660" w:type="dxa"/>
            <w:vAlign w:val="bottom"/>
            <w:tcBorders>
              <w:left w:val="single" w:sz="8" w:color="auto"/>
              <w:right w:val="single" w:sz="8" w:color="auto"/>
            </w:tcBorders>
          </w:tcPr>
          <w:p>
            <w:pPr>
              <w:jc w:val="center"/>
              <w:ind w:left="44"/>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3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60" w:type="dxa"/>
            <w:vAlign w:val="bottom"/>
            <w:tcBorders>
              <w:right w:val="single" w:sz="8" w:color="auto"/>
            </w:tcBorders>
          </w:tcPr>
          <w:p>
            <w:pPr>
              <w:ind w:left="34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Maximum Aggregate</w:t>
            </w:r>
          </w:p>
        </w:tc>
        <w:tc>
          <w:tcPr>
            <w:tcW w:w="9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5"/>
        </w:trPr>
        <w:tc>
          <w:tcPr>
            <w:tcW w:w="66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color w:val="auto"/>
                <w:w w:val="97"/>
              </w:rPr>
              <w:t>Type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Rule(4)</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Fee(5)</w:t>
            </w:r>
          </w:p>
        </w:tc>
      </w:tr>
      <w:tr>
        <w:trPr>
          <w:trHeight w:val="206"/>
        </w:trPr>
        <w:tc>
          <w:tcPr>
            <w:tcW w:w="660" w:type="dxa"/>
            <w:vAlign w:val="bottom"/>
            <w:tcBorders>
              <w:left w:val="single" w:sz="8" w:color="auto"/>
              <w:right w:val="single" w:sz="8" w:color="auto"/>
            </w:tcBorders>
          </w:tcPr>
          <w:p>
            <w:pPr>
              <w:jc w:val="center"/>
              <w:ind w:left="2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37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Rule 457(h)</w:t>
            </w:r>
          </w:p>
        </w:tc>
        <w:tc>
          <w:tcPr>
            <w:tcW w:w="10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55"/>
        </w:trPr>
        <w:tc>
          <w:tcPr>
            <w:tcW w:w="6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$0.0001 per share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6,128,424 (2)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$23.1900 (4)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$142,118,152.56</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$20,976.64</w:t>
            </w:r>
          </w:p>
        </w:tc>
      </w:tr>
      <w:tr>
        <w:trPr>
          <w:trHeight w:val="211"/>
        </w:trPr>
        <w:tc>
          <w:tcPr>
            <w:tcW w:w="660" w:type="dxa"/>
            <w:vAlign w:val="bottom"/>
            <w:tcBorders>
              <w:left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Equity</w:t>
            </w:r>
          </w:p>
        </w:tc>
        <w:tc>
          <w:tcPr>
            <w:tcW w:w="3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457(h)</w:t>
            </w:r>
          </w:p>
        </w:tc>
        <w:tc>
          <w:tcPr>
            <w:tcW w:w="10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55"/>
        </w:trPr>
        <w:tc>
          <w:tcPr>
            <w:tcW w:w="6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$0.0001 per share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1,225,685 (3)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$19.7115 (4)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$24,160,089.88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$3,566.03</w:t>
            </w:r>
          </w:p>
        </w:tc>
      </w:tr>
      <w:tr>
        <w:trPr>
          <w:trHeight w:val="250"/>
        </w:trPr>
        <w:tc>
          <w:tcPr>
            <w:tcW w:w="660" w:type="dxa"/>
            <w:vAlign w:val="bottom"/>
            <w:tcBorders>
              <w:left w:val="single" w:sz="8" w:color="auto"/>
              <w:bottom w:val="single" w:sz="8" w:color="auto"/>
            </w:tcBorders>
          </w:tcPr>
          <w:p>
            <w:pPr>
              <w:spacing w:after="0"/>
              <w:rPr>
                <w:sz w:val="21"/>
                <w:szCs w:val="21"/>
                <w:color w:val="auto"/>
              </w:rPr>
            </w:pPr>
          </w:p>
        </w:tc>
        <w:tc>
          <w:tcPr>
            <w:tcW w:w="3740" w:type="dxa"/>
            <w:vAlign w:val="bottom"/>
            <w:tcBorders>
              <w:bottom w:val="single" w:sz="8" w:color="auto"/>
            </w:tcBorders>
          </w:tcPr>
          <w:p>
            <w:pPr>
              <w:jc w:val="center"/>
              <w:ind w:left="1378"/>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94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$166,278,242.44</w:t>
            </w:r>
          </w:p>
        </w:tc>
        <w:tc>
          <w:tcPr>
            <w:tcW w:w="94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$24,542.67</w:t>
            </w:r>
          </w:p>
        </w:tc>
      </w:tr>
      <w:tr>
        <w:trPr>
          <w:trHeight w:val="239"/>
        </w:trPr>
        <w:tc>
          <w:tcPr>
            <w:tcW w:w="660" w:type="dxa"/>
            <w:vAlign w:val="bottom"/>
            <w:tcBorders>
              <w:left w:val="single" w:sz="8" w:color="auto"/>
              <w:bottom w:val="single" w:sz="8" w:color="auto"/>
            </w:tcBorders>
          </w:tcPr>
          <w:p>
            <w:pPr>
              <w:spacing w:after="0"/>
              <w:rPr>
                <w:sz w:val="20"/>
                <w:szCs w:val="20"/>
                <w:color w:val="auto"/>
              </w:rPr>
            </w:pPr>
          </w:p>
        </w:tc>
        <w:tc>
          <w:tcPr>
            <w:tcW w:w="3740" w:type="dxa"/>
            <w:vAlign w:val="bottom"/>
            <w:tcBorders>
              <w:bottom w:val="single" w:sz="8" w:color="auto"/>
            </w:tcBorders>
          </w:tcPr>
          <w:p>
            <w:pPr>
              <w:jc w:val="center"/>
              <w:ind w:left="1378"/>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2"/>
        </w:trPr>
        <w:tc>
          <w:tcPr>
            <w:tcW w:w="660" w:type="dxa"/>
            <w:vAlign w:val="bottom"/>
            <w:tcBorders>
              <w:left w:val="single" w:sz="8" w:color="auto"/>
            </w:tcBorders>
          </w:tcPr>
          <w:p>
            <w:pPr>
              <w:spacing w:after="0"/>
              <w:rPr>
                <w:sz w:val="20"/>
                <w:szCs w:val="20"/>
                <w:color w:val="auto"/>
              </w:rPr>
            </w:pPr>
          </w:p>
        </w:tc>
        <w:tc>
          <w:tcPr>
            <w:tcW w:w="3740" w:type="dxa"/>
            <w:vAlign w:val="bottom"/>
          </w:tcPr>
          <w:p>
            <w:pPr>
              <w:jc w:val="center"/>
              <w:ind w:left="1378"/>
              <w:spacing w:after="0"/>
              <w:rPr>
                <w:sz w:val="20"/>
                <w:szCs w:val="20"/>
                <w:color w:val="auto"/>
              </w:rPr>
            </w:pPr>
            <w:r>
              <w:rPr>
                <w:rFonts w:ascii="Times New Roman" w:cs="Times New Roman" w:eastAsia="Times New Roman" w:hAnsi="Times New Roman"/>
                <w:sz w:val="18"/>
                <w:szCs w:val="18"/>
                <w:color w:val="auto"/>
              </w:rPr>
              <w:t>Net Fee Due</w:t>
            </w:r>
          </w:p>
        </w:tc>
        <w:tc>
          <w:tcPr>
            <w:tcW w:w="9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$24,542.67</w:t>
            </w:r>
          </w:p>
        </w:tc>
      </w:tr>
      <w:tr>
        <w:trPr>
          <w:trHeight w:val="22"/>
        </w:trPr>
        <w:tc>
          <w:tcPr>
            <w:tcW w:w="660" w:type="dxa"/>
            <w:vAlign w:val="bottom"/>
            <w:tcBorders>
              <w:left w:val="single" w:sz="8" w:color="auto"/>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4" w:right="8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Registrant’s voting common stock, par value $0.0001 per share (the “Common Stock”), that become issuable under (a) the Registrant’s 2021 Equity Incentive Plan (the “2021 EIP”) and (b) the Registrant’s 2021 Employee Stock Purchase Plan (the “2021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2021 EIP and 2021 ESPP were previously registered on a Registration Statement on June 2, 2021 (File No. 333-256695), March 29, 2022 (File No. 333-263956) and March 16, 2023 (File No. 333-270587).</w:t>
      </w:r>
    </w:p>
    <w:p>
      <w:pPr>
        <w:spacing w:after="0" w:line="2"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6,128,424 shares of Common Stock that were automatically added to the shares reserved for issuance under the 2021 EIP on January 1, 2024 pursuant to an “evergreen” provision contained in the 2021 EIP (the “2021 EIP Evergreen Shares”). The number of shares of Common Stock available for issuance under the 2021 EIP is subject to an automatic annual increase on the first day of each fiscal year of the Registrant equal to the least of (i) 5% of the total number of Common Stock actually issued and outstanding on the last day of the preceding fiscal year, or (ii) a number of shares of Common Stock determined by the Registrant’s board of directors.</w:t>
      </w:r>
    </w:p>
    <w:p>
      <w:pPr>
        <w:sectPr>
          <w:pgSz w:w="11900" w:h="16838" w:orient="portrait"/>
          <w:cols w:equalWidth="0" w:num="1">
            <w:col w:w="11024"/>
          </w:cols>
          <w:pgMar w:left="436" w:top="117" w:right="439" w:bottom="1440" w:gutter="0" w:footer="0" w:header="0"/>
        </w:sectPr>
      </w:pPr>
    </w:p>
    <w:bookmarkStart w:id="7" w:name="page8"/>
    <w:bookmarkEnd w:id="7"/>
    <w:p>
      <w:pPr>
        <w:ind w:left="424"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1,225,685 shares of Common Stock that were automatically added to the shares reserved for issuance under the 2021 ESPP on January 1, 2024 pursuant to an “evergreen” provision contained in the 2021 ESPP (the “2021 ESPP Evergreen Shares”). The number of shares of Common Stock available for issuance under the 2021 ESPP is subject to an automatic annual increase on the first day of each fiscal year of the Registrant equal to the least of (i) one percent (1%) of the total number of shares of Common Stock actually issued and outstanding on the last day of the preceding fiscal year, (ii) 2,000,000 shares of Common Stock, or (iii) a number of shares of Common Stock determined by the Registrant’s board of directors.</w:t>
      </w:r>
    </w:p>
    <w:p>
      <w:pPr>
        <w:spacing w:after="0" w:line="5"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of the 2021 EIP Evergreen Shares are based upon the average of the high and low prices of the Common Stock on February 23, 2024, as reported on the Nasdaq Global Select Market, which date is within five business days prior to the filing of this Registration Statement. The price per share and aggregate offering price of the 2021 ESPP Evergreen Shares are based upon the average of the high and low prices of the Common Stock on February 23, 2024, as reported on the Nasdaq Global Select Market, which date is within five</w:t>
      </w:r>
    </w:p>
    <w:p>
      <w:pPr>
        <w:spacing w:after="0" w:line="1" w:lineRule="exact"/>
        <w:rPr>
          <w:rFonts w:ascii="Times New Roman" w:cs="Times New Roman" w:eastAsia="Times New Roman" w:hAnsi="Times New Roman"/>
          <w:sz w:val="18"/>
          <w:szCs w:val="18"/>
          <w:color w:val="auto"/>
        </w:rPr>
      </w:pPr>
    </w:p>
    <w:p>
      <w:pPr>
        <w:ind w:left="424"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prior to the filing of this Registration Statement, multiplied by 85%, which is the percentage of the price per share applicable to purchasers under the 2021 ESPP.</w:t>
      </w: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7" Type="http://schemas.openxmlformats.org/officeDocument/2006/relationships/hyperlink" Target="http://www.sec.gov/Archives/edgar/data/1580560/000119312521178839/d189841ds8.htm" TargetMode="External"/><Relationship Id="rId18" Type="http://schemas.openxmlformats.org/officeDocument/2006/relationships/hyperlink" Target="http://www.sec.gov/Archives/edgar/data/1580560/000119312522088234/d341773ds8.htm" TargetMode="External"/><Relationship Id="rId19" Type="http://schemas.openxmlformats.org/officeDocument/2006/relationships/hyperlink" Target="http://www.sec.gov/Archives/edgar/data/1580560/000119312523071515/d481801ds8.htm" TargetMode="External"/><Relationship Id="rId20" Type="http://schemas.openxmlformats.org/officeDocument/2006/relationships/hyperlink" Target="http://www.sec.gov/Archives/edgar/data/1580560/000095017023007149/flyw-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2024-02-28T10:00:51Z</dcterms:created>
  <dcterms:modified xsi:type="dcterms:W3CDTF">2024-02-28T10:00:51Z</dcterms:modified>
</cp:coreProperties>
</file>