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GOLDMAN SACHS GROUP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66"/>
        </w:trPr>
        <w:tc>
          <w:tcPr>
            <w:tcW w:w="2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60" w:type="dxa"/>
            <w:vAlign w:val="bottom"/>
            <w:tcBorders>
              <w:bottom w:val="single" w:sz="8" w:color="2C2C2C"/>
            </w:tcBorders>
          </w:tcPr>
          <w:p>
            <w:pPr>
              <w:spacing w:after="0"/>
              <w:rPr>
                <w:sz w:val="15"/>
                <w:szCs w:val="15"/>
                <w:color w:val="auto"/>
              </w:rPr>
            </w:pPr>
          </w:p>
        </w:tc>
        <w:tc>
          <w:tcPr>
            <w:tcW w:w="15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05/20/2022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S</w:t>
            </w:r>
          </w:p>
        </w:tc>
        <w:tc>
          <w:tcPr>
            <w:tcW w:w="1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242,472</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19.26</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2,787,207</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gridSpan w:val="4"/>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(2)(3)(4)</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05/23/2022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S</w:t>
            </w:r>
          </w:p>
        </w:tc>
        <w:tc>
          <w:tcPr>
            <w:tcW w:w="14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13,818</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19.18</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2,910,205</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gridSpan w:val="4"/>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(2)(3)(4)</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14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gridSpan w:val="12"/>
          </w:tcPr>
          <w:p>
            <w:pPr>
              <w:jc w:val="center"/>
              <w:ind w:right="61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80" w:type="dxa"/>
            <w:vAlign w:val="bottom"/>
          </w:tcPr>
          <w:p>
            <w:pPr>
              <w:spacing w:after="0"/>
              <w:rPr>
                <w:sz w:val="15"/>
                <w:szCs w:val="15"/>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ind w:left="4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Title  Shares</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GOLDMAN SACHS GROUP INC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10282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GOLDMAN SACHS &amp; CO.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10282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Borders>
              <w:bottom w:val="single" w:sz="8" w:color="0000EE"/>
            </w:tcBorders>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Goldman Sachs PSI Global Holdings,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WEST 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10282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StoneBridge 2020,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10282-2198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-2209165</wp:posOffset>
            </wp:positionV>
            <wp:extent cx="2809240" cy="5588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558863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Stonebridge 2020 Offshore Holdings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Bridge Street Opportunity Advisors,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2 below)</w:t>
      </w:r>
    </w:p>
    <w:p>
      <w:pPr>
        <w:spacing w:after="0" w:line="26"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above). This report shall not be deemed an admission that any of the Reporting Persons are a member of a group or the beneficial owner of any securities not directly owned by the Reporting Person.</w:t>
      </w:r>
    </w:p>
    <w:p>
      <w:pPr>
        <w:spacing w:after="0" w:line="7"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7" w:lineRule="exact"/>
        <w:rPr>
          <w:rFonts w:ascii="Times New Roman" w:cs="Times New Roman" w:eastAsia="Times New Roman" w:hAnsi="Times New Roman"/>
          <w:sz w:val="13"/>
          <w:szCs w:val="13"/>
          <w:color w:val="008000"/>
        </w:rPr>
      </w:pPr>
    </w:p>
    <w:p>
      <w:pPr>
        <w:ind w:left="20" w:right="3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the shares of Voting Common Stock held by GSPSI and the SB Funds, and Bridge Street may be deemed a beneficial owner of the shares of Voting Common Stock held by the SB Funds.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ind w:left="6560"/>
        <w:spacing w:after="0" w:line="227"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4"/>
          <w:szCs w:val="34"/>
          <w:color w:val="0000FF"/>
          <w:vertAlign w:val="subscript"/>
        </w:rPr>
        <w:t>05/24/2022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05/24/2022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05/24/2022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05/24/2022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05/24/2022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05/24/2022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9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5" Type="http://schemas.openxmlformats.org/officeDocument/2006/relationships/hyperlink" Target="http://www.sec.gov/cgi-bin/browse-edgar?action=getcompany&amp;CIK=0001865223" TargetMode="External"/><Relationship Id="rId17"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2022-05-24T17:44:12Z</dcterms:created>
  <dcterms:modified xsi:type="dcterms:W3CDTF">2022-05-24T17:44:12Z</dcterms:modified>
</cp:coreProperties>
</file>