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7654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Butterfield Peter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540"/>
        <w:spacing w:after="0" w:line="348"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12/21/2021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7"/>
        <w:spacing w:after="0"/>
        <w:rPr>
          <w:sz w:val="20"/>
          <w:szCs w:val="20"/>
          <w:color w:val="auto"/>
        </w:rPr>
      </w:pPr>
      <w:r>
        <w:rPr>
          <w:rFonts w:ascii="Arial" w:cs="Arial" w:eastAsia="Arial" w:hAnsi="Arial"/>
          <w:sz w:val="17"/>
          <w:szCs w:val="17"/>
          <w:color w:val="0000FF"/>
        </w:rPr>
        <w:t>General Counsel and CCO</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540" w:type="dxa"/>
            <w:vAlign w:val="bottom"/>
            <w:gridSpan w:val="6"/>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44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0"/>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84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3"/>
          </w:tcPr>
          <w:p>
            <w:pPr>
              <w:jc w:val="right"/>
              <w:ind w:right="100"/>
              <w:spacing w:after="0"/>
              <w:rPr>
                <w:sz w:val="20"/>
                <w:szCs w:val="20"/>
                <w:color w:val="auto"/>
              </w:rPr>
            </w:pPr>
            <w:r>
              <w:rPr>
                <w:rFonts w:ascii="Arial" w:cs="Arial" w:eastAsia="Arial" w:hAnsi="Arial"/>
                <w:sz w:val="17"/>
                <w:szCs w:val="17"/>
                <w:color w:val="0000FF"/>
              </w:rPr>
              <w:t>12/21/2021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5,400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3.2766</w:t>
            </w:r>
          </w:p>
        </w:tc>
        <w:tc>
          <w:tcPr>
            <w:tcW w:w="1340" w:type="dxa"/>
            <w:vAlign w:val="bottom"/>
            <w:gridSpan w:val="3"/>
          </w:tcPr>
          <w:p>
            <w:pPr>
              <w:jc w:val="right"/>
              <w:ind w:right="359"/>
              <w:spacing w:after="0"/>
              <w:rPr>
                <w:sz w:val="20"/>
                <w:szCs w:val="20"/>
                <w:color w:val="auto"/>
              </w:rPr>
            </w:pPr>
            <w:r>
              <w:rPr>
                <w:rFonts w:ascii="Arial" w:cs="Arial" w:eastAsia="Arial" w:hAnsi="Arial"/>
                <w:sz w:val="17"/>
                <w:szCs w:val="17"/>
                <w:color w:val="0000FF"/>
              </w:rPr>
              <w:t>5,400</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0000FF"/>
              </w:rPr>
              <w:t>12/21/2021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5,400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35.0794</w:t>
            </w:r>
            <w:r>
              <w:rPr>
                <w:rFonts w:ascii="Arial" w:cs="Arial" w:eastAsia="Arial" w:hAnsi="Arial"/>
                <w:sz w:val="21"/>
                <w:szCs w:val="21"/>
                <w:color w:val="008000"/>
                <w:w w:val="86"/>
                <w:vertAlign w:val="superscript"/>
              </w:rPr>
              <w:t>(2)</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9"/>
              <w:spacing w:after="0"/>
              <w:rPr>
                <w:sz w:val="20"/>
                <w:szCs w:val="20"/>
                <w:color w:val="auto"/>
              </w:rPr>
            </w:pPr>
            <w:r>
              <w:rPr>
                <w:rFonts w:ascii="Arial" w:cs="Arial" w:eastAsia="Arial" w:hAnsi="Arial"/>
                <w:sz w:val="17"/>
                <w:szCs w:val="17"/>
                <w:color w:val="0000FF"/>
              </w:rPr>
              <w:t>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560" w:type="dxa"/>
            <w:vAlign w:val="bottom"/>
          </w:tcPr>
          <w:p>
            <w:pPr>
              <w:ind w:left="140"/>
              <w:spacing w:after="0" w:line="143" w:lineRule="exact"/>
              <w:rPr>
                <w:sz w:val="20"/>
                <w:szCs w:val="20"/>
                <w:color w:val="auto"/>
              </w:rPr>
            </w:pPr>
            <w:r>
              <w:rPr>
                <w:rFonts w:ascii="Arial" w:cs="Arial" w:eastAsia="Arial" w:hAnsi="Arial"/>
                <w:sz w:val="13"/>
                <w:szCs w:val="13"/>
                <w:color w:val="0000FF"/>
              </w:rPr>
              <w:t>Voting</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5,400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3.2766</w:t>
            </w: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Arial" w:cs="Arial" w:eastAsia="Arial" w:hAnsi="Arial"/>
                <w:sz w:val="13"/>
                <w:szCs w:val="13"/>
                <w:color w:val="0000FF"/>
              </w:rPr>
              <w:t>12/21/2021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ind w:righ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w w:val="98"/>
              </w:rPr>
              <w:t>2,300</w:t>
            </w:r>
          </w:p>
        </w:tc>
        <w:tc>
          <w:tcPr>
            <w:tcW w:w="800" w:type="dxa"/>
            <w:vAlign w:val="bottom"/>
            <w:vMerge w:val="continue"/>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Arial" w:cs="Arial" w:eastAsia="Arial" w:hAnsi="Arial"/>
                <w:sz w:val="13"/>
                <w:szCs w:val="13"/>
                <w:color w:val="0000FF"/>
                <w:w w:val="92"/>
              </w:rPr>
              <w:t>11/27/2028</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700" w:type="dxa"/>
            <w:vAlign w:val="bottom"/>
          </w:tcPr>
          <w:p>
            <w:pPr>
              <w:ind w:left="260"/>
              <w:spacing w:after="0" w:line="143" w:lineRule="exact"/>
              <w:rPr>
                <w:sz w:val="20"/>
                <w:szCs w:val="20"/>
                <w:color w:val="auto"/>
              </w:rPr>
            </w:pPr>
            <w:r>
              <w:rPr>
                <w:rFonts w:ascii="Arial" w:cs="Arial" w:eastAsia="Arial" w:hAnsi="Arial"/>
                <w:sz w:val="13"/>
                <w:szCs w:val="13"/>
                <w:color w:val="0000FF"/>
                <w:w w:val="89"/>
              </w:rPr>
              <w:t>164,300</w:t>
            </w:r>
          </w:p>
        </w:tc>
        <w:tc>
          <w:tcPr>
            <w:tcW w:w="24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-2287905</wp:posOffset>
            </wp:positionV>
            <wp:extent cx="29210" cy="2292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29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5" w:lineRule="exact"/>
        <w:rPr>
          <w:rFonts w:ascii="Arial" w:cs="Arial" w:eastAsia="Arial" w:hAnsi="Arial"/>
          <w:sz w:val="13"/>
          <w:szCs w:val="13"/>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$35.00 to $35.20,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(2) to this Form 4.</w:t>
      </w:r>
    </w:p>
    <w:p>
      <w:pPr>
        <w:spacing w:after="0" w:line="31" w:lineRule="exact"/>
        <w:rPr>
          <w:rFonts w:ascii="Arial" w:cs="Arial" w:eastAsia="Arial" w:hAnsi="Arial"/>
          <w:sz w:val="13"/>
          <w:szCs w:val="13"/>
          <w:color w:val="008000"/>
        </w:rPr>
      </w:pPr>
    </w:p>
    <w:p>
      <w:pPr>
        <w:ind w:left="40" w:right="5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originally subject to this option shall vest over 4 years of service following October 3, 2018, with 25% vesting upon completion of 1 year of continuous service to the Issuer and the balance vesting in 36 equal monthly installments thereafter.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Peter Butterfield</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12/22/2021</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2021-12-22T16:34:23Z</dcterms:created>
  <dcterms:modified xsi:type="dcterms:W3CDTF">2021-12-22T16:34:23Z</dcterms:modified>
</cp:coreProperties>
</file>