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080" w:type="dxa"/>
            <w:vAlign w:val="bottom"/>
          </w:tcPr>
          <w:p>
            <w:pPr>
              <w:ind w:left="40"/>
              <w:spacing w:after="0"/>
              <w:rPr>
                <w:sz w:val="20"/>
                <w:szCs w:val="20"/>
                <w:color w:val="auto"/>
              </w:rPr>
            </w:pPr>
            <w:r>
              <w:rPr>
                <w:rFonts w:ascii="Arial" w:cs="Arial" w:eastAsia="Arial" w:hAnsi="Arial"/>
                <w:sz w:val="22"/>
                <w:szCs w:val="22"/>
                <w:color w:val="auto"/>
              </w:rPr>
              <w:t>0001862138</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0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0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49"/>
        </w:trPr>
        <w:tc>
          <w:tcPr>
            <w:tcW w:w="60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617-329-4524</w:t>
            </w:r>
          </w:p>
        </w:tc>
      </w:tr>
      <w:tr>
        <w:trPr>
          <w:trHeight w:val="297"/>
        </w:trPr>
        <w:tc>
          <w:tcPr>
            <w:tcW w:w="608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3840" w:type="dxa"/>
            <w:vAlign w:val="bottom"/>
          </w:tcPr>
          <w:p>
            <w:pPr>
              <w:ind w:left="340"/>
              <w:spacing w:after="0"/>
              <w:rPr>
                <w:sz w:val="20"/>
                <w:szCs w:val="20"/>
                <w:color w:val="auto"/>
              </w:rPr>
            </w:pPr>
            <w:r>
              <w:rPr>
                <w:rFonts w:ascii="Arial" w:cs="Arial" w:eastAsia="Arial" w:hAnsi="Arial"/>
                <w:sz w:val="22"/>
                <w:szCs w:val="22"/>
                <w:color w:val="auto"/>
                <w:w w:val="87"/>
              </w:rPr>
              <w:t>Bain Capital Venture Partners 2016,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219</w:t>
            </w:r>
          </w:p>
        </w:tc>
        <w:tc>
          <w:tcPr>
            <w:tcW w:w="1280" w:type="dxa"/>
            <w:vAlign w:val="bottom"/>
          </w:tcPr>
          <w:p>
            <w:pPr>
              <w:jc w:val="right"/>
              <w:ind w:right="672"/>
              <w:spacing w:after="0"/>
              <w:rPr>
                <w:sz w:val="20"/>
                <w:szCs w:val="20"/>
                <w:color w:val="auto"/>
              </w:rPr>
            </w:pPr>
            <w:r>
              <w:rPr>
                <w:rFonts w:ascii="Arial" w:cs="Arial" w:eastAsia="Arial" w:hAnsi="Arial"/>
                <w:sz w:val="22"/>
                <w:szCs w:val="22"/>
                <w:color w:val="auto"/>
                <w:w w:val="98"/>
              </w:rPr>
              <w:t>6734</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05/26/2023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7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22"/>
          <w:szCs w:val="22"/>
          <w:color w:val="auto"/>
        </w:rPr>
        <w:t>Voting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17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980" w:type="dxa"/>
            <w:vAlign w:val="bottom"/>
            <w:vMerge w:val="restart"/>
          </w:tcPr>
          <w:p>
            <w:pPr>
              <w:ind w:left="80"/>
              <w:spacing w:after="0" w:line="243" w:lineRule="exact"/>
              <w:rPr>
                <w:sz w:val="20"/>
                <w:szCs w:val="20"/>
                <w:color w:val="auto"/>
              </w:rPr>
            </w:pPr>
            <w:r>
              <w:rPr>
                <w:rFonts w:ascii="Arial" w:cs="Arial" w:eastAsia="Arial" w:hAnsi="Arial"/>
                <w:sz w:val="22"/>
                <w:szCs w:val="22"/>
                <w:b w:val="1"/>
                <w:bCs w:val="1"/>
                <w:color w:val="auto"/>
                <w:w w:val="94"/>
              </w:rPr>
              <w:t>Date you</w:t>
            </w:r>
          </w:p>
        </w:tc>
        <w:tc>
          <w:tcPr>
            <w:tcW w:w="1740" w:type="dxa"/>
            <w:vAlign w:val="bottom"/>
            <w:vMerge w:val="continue"/>
          </w:tcPr>
          <w:p>
            <w:pPr>
              <w:spacing w:after="0"/>
              <w:rPr>
                <w:sz w:val="10"/>
                <w:szCs w:val="10"/>
                <w:color w:val="auto"/>
              </w:rPr>
            </w:pP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3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7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0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80" w:type="dxa"/>
            <w:vAlign w:val="bottom"/>
            <w:vMerge w:val="restart"/>
          </w:tcPr>
          <w:p>
            <w:pPr>
              <w:ind w:left="60"/>
              <w:spacing w:after="0" w:line="243" w:lineRule="exact"/>
              <w:rPr>
                <w:sz w:val="20"/>
                <w:szCs w:val="20"/>
                <w:color w:val="auto"/>
              </w:rPr>
            </w:pPr>
            <w:r>
              <w:rPr>
                <w:rFonts w:ascii="Arial" w:cs="Arial" w:eastAsia="Arial" w:hAnsi="Arial"/>
                <w:sz w:val="22"/>
                <w:szCs w:val="22"/>
                <w:b w:val="1"/>
                <w:bCs w:val="1"/>
                <w:color w:val="auto"/>
                <w:w w:val="94"/>
              </w:rPr>
              <w:t>Acquired</w:t>
            </w:r>
          </w:p>
        </w:tc>
        <w:tc>
          <w:tcPr>
            <w:tcW w:w="1740" w:type="dxa"/>
            <w:vAlign w:val="bottom"/>
            <w:vMerge w:val="continue"/>
          </w:tcPr>
          <w:p>
            <w:pPr>
              <w:spacing w:after="0"/>
              <w:rPr>
                <w:sz w:val="10"/>
                <w:szCs w:val="10"/>
                <w:color w:val="auto"/>
              </w:rPr>
            </w:pP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3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9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174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1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3"/>
              </w:rPr>
              <w:t>purchased prior to</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3"/>
              </w:rPr>
              <w:t>the IPO into Class</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3"/>
              </w:rPr>
              <w:t>A Common Stock,</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8"/>
              </w:rPr>
              <w:t>reclassification of</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rPr>
              <w:t>the Class A</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740" w:type="dxa"/>
            <w:vAlign w:val="bottom"/>
          </w:tcPr>
          <w:p>
            <w:pPr>
              <w:ind w:left="60"/>
              <w:spacing w:after="0" w:line="210" w:lineRule="exact"/>
              <w:rPr>
                <w:sz w:val="20"/>
                <w:szCs w:val="20"/>
                <w:color w:val="auto"/>
              </w:rPr>
            </w:pPr>
            <w:r>
              <w:rPr>
                <w:rFonts w:ascii="Arial" w:cs="Arial" w:eastAsia="Arial" w:hAnsi="Arial"/>
                <w:sz w:val="22"/>
                <w:szCs w:val="22"/>
                <w:color w:val="auto"/>
              </w:rPr>
              <w:t>Common Stock</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294"/>
        </w:trPr>
        <w:tc>
          <w:tcPr>
            <w:tcW w:w="2720" w:type="dxa"/>
            <w:vAlign w:val="bottom"/>
            <w:gridSpan w:val="2"/>
          </w:tcPr>
          <w:p>
            <w:pPr>
              <w:spacing w:after="0" w:line="294" w:lineRule="exact"/>
              <w:rPr>
                <w:sz w:val="20"/>
                <w:szCs w:val="20"/>
                <w:color w:val="auto"/>
              </w:rPr>
            </w:pPr>
            <w:r>
              <w:rPr>
                <w:rFonts w:ascii="Arial" w:cs="Arial" w:eastAsia="Arial" w:hAnsi="Arial"/>
                <w:sz w:val="18"/>
                <w:szCs w:val="18"/>
                <w:color w:val="auto"/>
              </w:rPr>
              <w:t xml:space="preserve">05/28/2021 </w:t>
            </w:r>
            <w:r>
              <w:rPr>
                <w:rFonts w:ascii="Arial" w:cs="Arial" w:eastAsia="Arial" w:hAnsi="Arial"/>
                <w:sz w:val="34"/>
                <w:szCs w:val="34"/>
                <w:color w:val="auto"/>
                <w:vertAlign w:val="subscript"/>
              </w:rPr>
              <w:t>into Voting</w:t>
            </w:r>
          </w:p>
        </w:tc>
        <w:tc>
          <w:tcPr>
            <w:tcW w:w="1440" w:type="dxa"/>
            <w:vAlign w:val="bottom"/>
          </w:tcPr>
          <w:p>
            <w:pPr>
              <w:ind w:left="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22"/>
                <w:szCs w:val="22"/>
                <w:color w:val="auto"/>
                <w:w w:val="92"/>
              </w:rPr>
              <w:t>219</w:t>
            </w:r>
          </w:p>
        </w:tc>
        <w:tc>
          <w:tcPr>
            <w:tcW w:w="2420" w:type="dxa"/>
            <w:vAlign w:val="bottom"/>
            <w:gridSpan w:val="2"/>
          </w:tcPr>
          <w:p>
            <w:pPr>
              <w:jc w:val="right"/>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preferred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040"/>
        <w:spacing w:after="0" w:line="230" w:lineRule="auto"/>
        <w:rPr>
          <w:sz w:val="20"/>
          <w:szCs w:val="20"/>
          <w:color w:val="auto"/>
        </w:rPr>
      </w:pPr>
      <w:r>
        <w:rPr>
          <w:rFonts w:ascii="Arial" w:cs="Arial" w:eastAsia="Arial" w:hAnsi="Arial"/>
          <w:sz w:val="22"/>
          <w:szCs w:val="22"/>
          <w:color w:val="auto"/>
        </w:rPr>
        <w:t>Common Stock</w:t>
      </w:r>
    </w:p>
    <w:p>
      <w:pPr>
        <w:ind w:left="1040"/>
        <w:spacing w:after="0" w:line="231" w:lineRule="auto"/>
        <w:rPr>
          <w:sz w:val="20"/>
          <w:szCs w:val="20"/>
          <w:color w:val="auto"/>
        </w:rPr>
      </w:pPr>
      <w:r>
        <w:rPr>
          <w:rFonts w:ascii="Arial" w:cs="Arial" w:eastAsia="Arial" w:hAnsi="Arial"/>
          <w:sz w:val="22"/>
          <w:szCs w:val="22"/>
          <w:color w:val="auto"/>
        </w:rPr>
        <w:t>and a subsequent</w:t>
      </w:r>
    </w:p>
    <w:p>
      <w:pPr>
        <w:ind w:left="1040"/>
        <w:spacing w:after="0" w:line="230" w:lineRule="auto"/>
        <w:rPr>
          <w:sz w:val="20"/>
          <w:szCs w:val="20"/>
          <w:color w:val="auto"/>
        </w:rPr>
      </w:pPr>
      <w:r>
        <w:rPr>
          <w:rFonts w:ascii="Arial" w:cs="Arial" w:eastAsia="Arial" w:hAnsi="Arial"/>
          <w:sz w:val="22"/>
          <w:szCs w:val="22"/>
          <w:color w:val="auto"/>
        </w:rPr>
        <w:t>pro rata</w:t>
      </w:r>
    </w:p>
    <w:p>
      <w:pPr>
        <w:ind w:left="1040"/>
        <w:spacing w:after="0" w:line="231" w:lineRule="auto"/>
        <w:rPr>
          <w:sz w:val="20"/>
          <w:szCs w:val="20"/>
          <w:color w:val="auto"/>
        </w:rPr>
      </w:pPr>
      <w:r>
        <w:rPr>
          <w:rFonts w:ascii="Arial" w:cs="Arial" w:eastAsia="Arial" w:hAnsi="Arial"/>
          <w:sz w:val="22"/>
          <w:szCs w:val="22"/>
          <w:color w:val="auto"/>
        </w:rPr>
        <w:t>distribution in-kind</w:t>
      </w:r>
    </w:p>
    <w:p>
      <w:pPr>
        <w:ind w:left="1040"/>
        <w:spacing w:after="0" w:line="230" w:lineRule="auto"/>
        <w:rPr>
          <w:sz w:val="20"/>
          <w:szCs w:val="20"/>
          <w:color w:val="auto"/>
        </w:rPr>
      </w:pPr>
      <w:r>
        <w:rPr>
          <w:rFonts w:ascii="Arial" w:cs="Arial" w:eastAsia="Arial" w:hAnsi="Arial"/>
          <w:sz w:val="22"/>
          <w:szCs w:val="22"/>
          <w:color w:val="auto"/>
        </w:rPr>
        <w:t>from Bain Capital</w:t>
      </w:r>
    </w:p>
    <w:p>
      <w:pPr>
        <w:ind w:left="1040"/>
        <w:spacing w:after="0" w:line="231" w:lineRule="auto"/>
        <w:rPr>
          <w:sz w:val="20"/>
          <w:szCs w:val="20"/>
          <w:color w:val="auto"/>
        </w:rPr>
      </w:pPr>
      <w:r>
        <w:rPr>
          <w:rFonts w:ascii="Arial" w:cs="Arial" w:eastAsia="Arial" w:hAnsi="Arial"/>
          <w:sz w:val="22"/>
          <w:szCs w:val="22"/>
          <w:color w:val="auto"/>
        </w:rPr>
        <w:t>Venture Fund</w:t>
      </w:r>
    </w:p>
    <w:p>
      <w:pPr>
        <w:ind w:left="1040"/>
        <w:spacing w:after="0"/>
        <w:rPr>
          <w:sz w:val="20"/>
          <w:szCs w:val="20"/>
          <w:color w:val="auto"/>
        </w:rPr>
      </w:pPr>
      <w:r>
        <w:rPr>
          <w:rFonts w:ascii="Arial" w:cs="Arial" w:eastAsia="Arial" w:hAnsi="Arial"/>
          <w:sz w:val="22"/>
          <w:szCs w:val="22"/>
          <w:color w:val="auto"/>
        </w:rPr>
        <w:t>2016, L.P.</w:t>
      </w:r>
    </w:p>
    <w:p>
      <w:pPr>
        <w:spacing w:after="0" w:line="200" w:lineRule="exact"/>
        <w:rPr>
          <w:sz w:val="20"/>
          <w:szCs w:val="20"/>
          <w:color w:val="auto"/>
        </w:rPr>
      </w:pPr>
    </w:p>
    <w:p>
      <w:pPr>
        <w:sectPr>
          <w:pgSz w:w="11900" w:h="16859" w:orient="portrait"/>
          <w:cols w:equalWidth="0" w:num="2">
            <w:col w:w="1400" w:space="120"/>
            <w:col w:w="972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59"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59" w:orient="portrait"/>
          <w:cols w:equalWidth="0" w:num="2">
            <w:col w:w="6740" w:space="720"/>
            <w:col w:w="3780"/>
          </w:cols>
          <w:pgMar w:left="320" w:top="143" w:right="339" w:bottom="0"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right="30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1024</w:t>
            </w:r>
          </w:p>
        </w:tc>
        <w:tc>
          <w:tcPr>
            <w:tcW w:w="1160" w:type="dxa"/>
            <w:vAlign w:val="bottom"/>
          </w:tcPr>
          <w:p>
            <w:pPr>
              <w:ind w:left="280"/>
              <w:spacing w:after="0"/>
              <w:rPr>
                <w:sz w:val="20"/>
                <w:szCs w:val="20"/>
                <w:color w:val="auto"/>
              </w:rPr>
            </w:pPr>
            <w:r>
              <w:rPr>
                <w:rFonts w:ascii="Arial" w:cs="Arial" w:eastAsia="Arial" w:hAnsi="Arial"/>
                <w:sz w:val="22"/>
                <w:szCs w:val="22"/>
                <w:color w:val="auto"/>
              </w:rPr>
              <w:t>31334</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2920</w:t>
            </w:r>
          </w:p>
        </w:tc>
        <w:tc>
          <w:tcPr>
            <w:tcW w:w="1160" w:type="dxa"/>
            <w:vAlign w:val="bottom"/>
          </w:tcPr>
          <w:p>
            <w:pPr>
              <w:ind w:left="280"/>
              <w:spacing w:after="0"/>
              <w:rPr>
                <w:sz w:val="20"/>
                <w:szCs w:val="20"/>
                <w:color w:val="auto"/>
              </w:rPr>
            </w:pPr>
            <w:r>
              <w:rPr>
                <w:rFonts w:ascii="Arial" w:cs="Arial" w:eastAsia="Arial" w:hAnsi="Arial"/>
                <w:sz w:val="22"/>
                <w:szCs w:val="22"/>
                <w:color w:val="auto"/>
              </w:rPr>
              <w:t>86169</w:t>
            </w:r>
          </w:p>
        </w:tc>
      </w:tr>
    </w:tbl>
    <w:p>
      <w:pPr>
        <w:sectPr>
          <w:pgSz w:w="11900" w:h="16859" w:orient="portrait"/>
          <w:cols w:equalWidth="0" w:num="3">
            <w:col w:w="3600" w:space="80"/>
            <w:col w:w="2900" w:space="720"/>
            <w:col w:w="3940"/>
          </w:cols>
          <w:pgMar w:left="320" w:top="143" w:right="339" w:bottom="0" w:gutter="0" w:footer="0" w:header="0"/>
          <w:type w:val="continuous"/>
        </w:sectPr>
      </w:pPr>
    </w:p>
    <w:bookmarkStart w:id="2" w:name="page3"/>
    <w:bookmarkEnd w:id="2"/>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86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64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0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83662</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2560057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905"/>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800" w:type="dxa"/>
            <w:vAlign w:val="bottom"/>
          </w:tcPr>
          <w:p>
            <w:pPr>
              <w:spacing w:after="0"/>
              <w:rPr>
                <w:sz w:val="20"/>
                <w:szCs w:val="20"/>
                <w:color w:val="auto"/>
              </w:rPr>
            </w:pPr>
            <w:r>
              <w:rPr>
                <w:rFonts w:ascii="Arial" w:cs="Arial" w:eastAsia="Arial" w:hAnsi="Arial"/>
                <w:sz w:val="22"/>
                <w:szCs w:val="22"/>
                <w:color w:val="auto"/>
              </w:rPr>
              <w:t>Voting Common Stock</w:t>
            </w:r>
          </w:p>
        </w:tc>
        <w:tc>
          <w:tcPr>
            <w:tcW w:w="2860" w:type="dxa"/>
            <w:vAlign w:val="bottom"/>
          </w:tcPr>
          <w:p>
            <w:pPr>
              <w:ind w:left="820"/>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bl>
    <w:p>
      <w:pPr>
        <w:spacing w:after="0" w:line="441" w:lineRule="exact"/>
        <w:rPr>
          <w:sz w:val="20"/>
          <w:szCs w:val="20"/>
          <w:color w:val="auto"/>
        </w:rPr>
      </w:pPr>
    </w:p>
    <w:p>
      <w:pPr>
        <w:sectPr>
          <w:pgSz w:w="11900" w:h="16838" w:orient="portrait"/>
          <w:cols w:equalWidth="0" w:num="2">
            <w:col w:w="3060" w:space="620"/>
            <w:col w:w="7520"/>
          </w:cols>
          <w:pgMar w:left="320" w:top="132" w:right="37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05/26/2023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Partner of Bain Capital Venture Investors, LLC</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3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2023-05-26T17:18:09Z</dcterms:created>
  <dcterms:modified xsi:type="dcterms:W3CDTF">2023-05-26T17:18:09Z</dcterms:modified>
</cp:coreProperties>
</file>