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2024</w:t>
      </w:r>
    </w:p>
    <w:p>
      <w:pPr>
        <w:spacing w:after="0" w:line="5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63" w:lineRule="exact"/>
        <w:rPr>
          <w:sz w:val="24"/>
          <w:szCs w:val="24"/>
          <w:color w:val="auto"/>
        </w:rPr>
      </w:pPr>
    </w:p>
    <w:p>
      <w:pPr>
        <w:ind w:left="480"/>
        <w:spacing w:after="0"/>
        <w:tabs>
          <w:tab w:leader="none" w:pos="39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001-40430</w:t>
      </w:r>
    </w:p>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36"/>
          <w:szCs w:val="36"/>
          <w:b w:val="1"/>
          <w:bCs w:val="1"/>
          <w:color w:val="auto"/>
        </w:rPr>
        <w:t>FLYWIRE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-247015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p>
      <w:pPr>
        <w:spacing w:after="0" w:line="4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Delaware</w:t>
      </w:r>
    </w:p>
    <w:p>
      <w:pPr>
        <w:ind w:left="1960"/>
        <w:spacing w:after="0" w:line="237"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7"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141 Tremont St #10</w:t>
      </w:r>
    </w:p>
    <w:p>
      <w:pPr>
        <w:spacing w:after="0" w:line="5"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27-0690799</w:t>
      </w:r>
    </w:p>
    <w:p>
      <w:pPr>
        <w:spacing w:after="0" w:line="12"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91" w:lineRule="exact"/>
        <w:rPr>
          <w:sz w:val="24"/>
          <w:szCs w:val="24"/>
          <w:color w:val="auto"/>
        </w:rPr>
      </w:pPr>
    </w:p>
    <w:p>
      <w:pPr>
        <w:ind w:left="300"/>
        <w:spacing w:after="0"/>
        <w:rPr>
          <w:sz w:val="20"/>
          <w:szCs w:val="20"/>
          <w:color w:val="auto"/>
        </w:rPr>
      </w:pPr>
      <w:r>
        <w:rPr>
          <w:rFonts w:ascii="Arial" w:cs="Arial" w:eastAsia="Arial" w:hAnsi="Arial"/>
          <w:sz w:val="16"/>
          <w:szCs w:val="16"/>
          <w:b w:val="1"/>
          <w:bCs w:val="1"/>
          <w:color w:val="auto"/>
        </w:rPr>
        <w:t>02111</w:t>
      </w:r>
    </w:p>
    <w:p>
      <w:pPr>
        <w:spacing w:after="0" w:line="13" w:lineRule="exact"/>
        <w:rPr>
          <w:sz w:val="24"/>
          <w:szCs w:val="24"/>
          <w:color w:val="auto"/>
        </w:rPr>
      </w:pPr>
    </w:p>
    <w:p>
      <w:pPr>
        <w:sectPr>
          <w:pgSz w:w="11900" w:h="16838" w:orient="portrait"/>
          <w:cols w:equalWidth="0" w:num="2">
            <w:col w:w="7400" w:space="500"/>
            <w:col w:w="3340"/>
          </w:cols>
          <w:pgMar w:left="320" w:top="1190"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(617) 329-4524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8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2800" w:type="dxa"/>
            <w:vAlign w:val="bottom"/>
          </w:tcPr>
          <w:p>
            <w:pPr>
              <w:jc w:val="center"/>
              <w:ind w:right="808"/>
              <w:spacing w:after="0"/>
              <w:rPr>
                <w:sz w:val="20"/>
                <w:szCs w:val="20"/>
                <w:color w:val="auto"/>
              </w:rPr>
            </w:pPr>
            <w:r>
              <w:rPr>
                <w:rFonts w:ascii="Arial" w:cs="Arial" w:eastAsia="Arial" w:hAnsi="Arial"/>
                <w:sz w:val="14"/>
                <w:szCs w:val="14"/>
                <w:b w:val="1"/>
                <w:bCs w:val="1"/>
                <w:color w:val="auto"/>
              </w:rPr>
              <w:t>Trading</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280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rPr>
              <w:t>Symbol(s)</w:t>
            </w:r>
          </w:p>
        </w:tc>
        <w:tc>
          <w:tcPr>
            <w:tcW w:w="4160" w:type="dxa"/>
            <w:vAlign w:val="bottom"/>
            <w:tcBorders>
              <w:bottom w:val="single" w:sz="8" w:color="auto"/>
            </w:tcBorders>
          </w:tcPr>
          <w:p>
            <w:pPr>
              <w:jc w:val="center"/>
              <w:ind w:right="81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6"/>
        </w:trPr>
        <w:tc>
          <w:tcPr>
            <w:tcW w:w="428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Voting common stock, $0.0001 par value per share</w:t>
            </w:r>
          </w:p>
        </w:tc>
        <w:tc>
          <w:tcPr>
            <w:tcW w:w="2800" w:type="dxa"/>
            <w:vAlign w:val="bottom"/>
          </w:tcPr>
          <w:p>
            <w:pPr>
              <w:jc w:val="center"/>
              <w:ind w:right="808"/>
              <w:spacing w:after="0" w:line="147" w:lineRule="exact"/>
              <w:rPr>
                <w:sz w:val="20"/>
                <w:szCs w:val="20"/>
                <w:color w:val="auto"/>
              </w:rPr>
            </w:pPr>
            <w:r>
              <w:rPr>
                <w:rFonts w:ascii="Arial" w:cs="Arial" w:eastAsia="Arial" w:hAnsi="Arial"/>
                <w:sz w:val="14"/>
                <w:szCs w:val="14"/>
                <w:b w:val="1"/>
                <w:bCs w:val="1"/>
                <w:color w:val="auto"/>
              </w:rPr>
              <w:t>FLYW</w:t>
            </w:r>
          </w:p>
        </w:tc>
        <w:tc>
          <w:tcPr>
            <w:tcW w:w="4160" w:type="dxa"/>
            <w:vAlign w:val="bottom"/>
          </w:tcPr>
          <w:p>
            <w:pPr>
              <w:jc w:val="center"/>
              <w:ind w:right="810"/>
              <w:spacing w:after="0" w:line="147" w:lineRule="exact"/>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r>
        <w:trPr>
          <w:trHeight w:val="196"/>
        </w:trPr>
        <w:tc>
          <w:tcPr>
            <w:tcW w:w="4280" w:type="dxa"/>
            <w:vAlign w:val="bottom"/>
            <w:vMerge w:val="restart"/>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2800" w:type="dxa"/>
            <w:vAlign w:val="bottom"/>
          </w:tcPr>
          <w:p>
            <w:pPr>
              <w:spacing w:after="0"/>
              <w:rPr>
                <w:sz w:val="17"/>
                <w:szCs w:val="17"/>
                <w:color w:val="auto"/>
              </w:rPr>
            </w:pPr>
          </w:p>
        </w:tc>
        <w:tc>
          <w:tcPr>
            <w:tcW w:w="4160" w:type="dxa"/>
            <w:vAlign w:val="bottom"/>
          </w:tcPr>
          <w:p>
            <w:pPr>
              <w:jc w:val="center"/>
              <w:ind w:right="810"/>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29"/>
        </w:trPr>
        <w:tc>
          <w:tcPr>
            <w:tcW w:w="4280" w:type="dxa"/>
            <w:vAlign w:val="bottom"/>
            <w:vMerge w:val="continue"/>
          </w:tcPr>
          <w:p>
            <w:pPr>
              <w:spacing w:after="0"/>
              <w:rPr>
                <w:sz w:val="11"/>
                <w:szCs w:val="11"/>
                <w:color w:val="auto"/>
              </w:rPr>
            </w:pPr>
          </w:p>
        </w:tc>
        <w:tc>
          <w:tcPr>
            <w:tcW w:w="28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080" w:type="dxa"/>
            <w:vAlign w:val="bottom"/>
            <w:gridSpan w:val="2"/>
          </w:tcPr>
          <w:p>
            <w:pPr>
              <w:spacing w:after="0" w:line="150" w:lineRule="exact"/>
              <w:rPr>
                <w:sz w:val="20"/>
                <w:szCs w:val="20"/>
                <w:color w:val="auto"/>
              </w:rPr>
            </w:pPr>
            <w:r>
              <w:rPr>
                <w:rFonts w:ascii="Arial" w:cs="Arial" w:eastAsia="Arial" w:hAnsi="Arial"/>
                <w:sz w:val="13"/>
                <w:szCs w:val="13"/>
                <w:color w:val="auto"/>
                <w:w w:val="98"/>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8"/>
              </w:rPr>
              <w:t>☒</w:t>
            </w:r>
          </w:p>
        </w:tc>
        <w:tc>
          <w:tcPr>
            <w:tcW w:w="4160" w:type="dxa"/>
            <w:vAlign w:val="bottom"/>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13"/>
        </w:trPr>
        <w:tc>
          <w:tcPr>
            <w:tcW w:w="7080" w:type="dxa"/>
            <w:vAlign w:val="bottom"/>
            <w:gridSpan w:val="2"/>
          </w:tcPr>
          <w:p>
            <w:pPr>
              <w:spacing w:after="0" w:line="150" w:lineRule="exact"/>
              <w:rPr>
                <w:sz w:val="20"/>
                <w:szCs w:val="20"/>
                <w:color w:val="auto"/>
              </w:rPr>
            </w:pPr>
            <w:r>
              <w:rPr>
                <w:rFonts w:ascii="Arial" w:cs="Arial" w:eastAsia="Arial" w:hAnsi="Arial"/>
                <w:sz w:val="13"/>
                <w:szCs w:val="13"/>
                <w:color w:val="auto"/>
                <w:w w:val="98"/>
              </w:rPr>
              <w:t xml:space="preserve">Indicate by check mark if the registrant is not required to file reports pursuant to Section 13 or 15(d) of the Act. Yes </w:t>
            </w:r>
            <w:r>
              <w:rPr>
                <w:rFonts w:ascii="MS PGothic" w:cs="MS PGothic" w:eastAsia="MS PGothic" w:hAnsi="MS PGothic"/>
                <w:sz w:val="13"/>
                <w:szCs w:val="13"/>
                <w:color w:val="auto"/>
                <w:w w:val="98"/>
              </w:rPr>
              <w:t>☐</w:t>
            </w:r>
            <w:r>
              <w:rPr>
                <w:rFonts w:ascii="Arial" w:cs="Arial" w:eastAsia="Arial" w:hAnsi="Arial"/>
                <w:sz w:val="13"/>
                <w:szCs w:val="13"/>
                <w:color w:val="auto"/>
                <w:w w:val="98"/>
              </w:rPr>
              <w:t xml:space="preserve">  No </w:t>
            </w:r>
            <w:r>
              <w:rPr>
                <w:rFonts w:ascii="MS PGothic" w:cs="MS PGothic" w:eastAsia="MS PGothic" w:hAnsi="MS PGothic"/>
                <w:sz w:val="13"/>
                <w:szCs w:val="13"/>
                <w:color w:val="auto"/>
                <w:w w:val="98"/>
              </w:rPr>
              <w:t>☒</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34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14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100"/>
        <w:spacing w:after="0" w:line="24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7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83"/>
        </w:trPr>
        <w:tc>
          <w:tcPr>
            <w:tcW w:w="17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84"/>
        </w:trPr>
        <w:tc>
          <w:tcPr>
            <w:tcW w:w="1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60" w:type="dxa"/>
            <w:vAlign w:val="bottom"/>
          </w:tcPr>
          <w:p>
            <w:pPr>
              <w:ind w:left="312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5" w:lineRule="exact"/>
        <w:rPr>
          <w:sz w:val="24"/>
          <w:szCs w:val="24"/>
          <w:color w:val="auto"/>
        </w:rPr>
      </w:pPr>
    </w:p>
    <w:p>
      <w:pPr>
        <w:ind w:right="42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ind w:right="60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 w:lineRule="exact"/>
        <w:rPr>
          <w:sz w:val="24"/>
          <w:szCs w:val="24"/>
          <w:color w:val="auto"/>
        </w:rPr>
      </w:pPr>
    </w:p>
    <w:p>
      <w:pPr>
        <w:ind w:right="16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ind w:right="240"/>
        <w:spacing w:after="0" w:line="229" w:lineRule="auto"/>
        <w:rPr>
          <w:sz w:val="20"/>
          <w:szCs w:val="20"/>
          <w:color w:val="auto"/>
        </w:rPr>
      </w:pPr>
      <w:r>
        <w:rPr>
          <w:rFonts w:ascii="Arial" w:cs="Arial" w:eastAsia="Arial" w:hAnsi="Arial"/>
          <w:sz w:val="13"/>
          <w:szCs w:val="13"/>
          <w:color w:val="auto"/>
        </w:rPr>
        <w:t>As of June 28, 2024, the last business day of the registrant’s mostly recently completed second fiscal quarter, the aggregate market value of the voting and non-voting common stock held by non-affiliates of the registrant was $1,976,147,414 based upon the closing sale price of our voting common stock of $16.39 per share on that date. Shares of voting common stock held by each executive officer, director and stockholders known by the registrant to be affiliated with such individuals based on public filings and other information known to the registrant have been excluded since such persons may be deemed affiliates.</w:t>
      </w:r>
    </w:p>
    <w:p>
      <w:pPr>
        <w:spacing w:after="0" w:line="23" w:lineRule="exact"/>
        <w:rPr>
          <w:sz w:val="24"/>
          <w:szCs w:val="24"/>
          <w:color w:val="auto"/>
        </w:rPr>
      </w:pPr>
    </w:p>
    <w:p>
      <w:pPr>
        <w:ind w:right="60"/>
        <w:spacing w:after="0" w:line="243" w:lineRule="auto"/>
        <w:rPr>
          <w:sz w:val="20"/>
          <w:szCs w:val="20"/>
          <w:color w:val="auto"/>
        </w:rPr>
      </w:pPr>
      <w:r>
        <w:rPr>
          <w:rFonts w:ascii="Arial" w:cs="Arial" w:eastAsia="Arial" w:hAnsi="Arial"/>
          <w:sz w:val="13"/>
          <w:szCs w:val="13"/>
          <w:color w:val="auto"/>
        </w:rPr>
        <w:t>As of February 20, 2025, the registrant had 121,719,438 shares of voting common stock, $0.0001 par value per share, outstanding and 1,873,320 shares of non-voting common stock $0.0001 par value per share, outstanding.</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40" w:lineRule="exact"/>
        <w:rPr>
          <w:sz w:val="24"/>
          <w:szCs w:val="24"/>
          <w:color w:val="auto"/>
        </w:rPr>
      </w:pPr>
    </w:p>
    <w:p>
      <w:pPr>
        <w:spacing w:after="0" w:line="243" w:lineRule="auto"/>
        <w:rPr>
          <w:sz w:val="20"/>
          <w:szCs w:val="20"/>
          <w:color w:val="auto"/>
        </w:rPr>
      </w:pPr>
      <w:r>
        <w:rPr>
          <w:rFonts w:ascii="Arial" w:cs="Arial" w:eastAsia="Arial" w:hAnsi="Arial"/>
          <w:sz w:val="13"/>
          <w:szCs w:val="13"/>
          <w:color w:val="auto"/>
        </w:rPr>
        <w:t>Portions of the registrant’s proxy statement for the 2025 annual meeting of stockholders to be filed pursuant to Regulation 14A within 120 days after the registrant’s fiscal year ended December 31, 2024,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800735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60" w:type="dxa"/>
            <w:vAlign w:val="bottom"/>
            <w:gridSpan w:val="11"/>
          </w:tcPr>
          <w:p>
            <w:pPr>
              <w:ind w:left="38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4"/>
                <w:szCs w:val="24"/>
                <w:color w:val="auto"/>
              </w:rPr>
            </w:pPr>
          </w:p>
        </w:tc>
        <w:tc>
          <w:tcPr>
            <w:tcW w:w="9380" w:type="dxa"/>
            <w:vAlign w:val="bottom"/>
            <w:gridSpan w:val="23"/>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80" w:type="dxa"/>
            <w:vAlign w:val="bottom"/>
            <w:gridSpan w:val="23"/>
            <w:vMerge w:val="continue"/>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93"/>
        </w:trPr>
        <w:tc>
          <w:tcPr>
            <w:tcW w:w="1240" w:type="dxa"/>
            <w:vAlign w:val="bottom"/>
            <w:vMerge w:val="continue"/>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w:t>
            </w:r>
          </w:p>
        </w:tc>
        <w:tc>
          <w:tcPr>
            <w:tcW w:w="9380" w:type="dxa"/>
            <w:vAlign w:val="bottom"/>
            <w:gridSpan w:val="23"/>
          </w:tcPr>
          <w:p>
            <w:pPr>
              <w:spacing w:after="0" w:line="195" w:lineRule="exact"/>
              <w:rPr>
                <w:sz w:val="20"/>
                <w:szCs w:val="20"/>
                <w:color w:val="auto"/>
              </w:rPr>
            </w:pPr>
            <w:r>
              <w:rPr>
                <w:rFonts w:ascii="Arial" w:cs="Arial" w:eastAsia="Arial" w:hAnsi="Arial"/>
                <w:sz w:val="18"/>
                <w:szCs w:val="18"/>
                <w:color w:val="0000FF"/>
              </w:rPr>
              <w:t>Business</w:t>
            </w:r>
          </w:p>
        </w:tc>
        <w:tc>
          <w:tcPr>
            <w:tcW w:w="5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1A.</w:t>
            </w:r>
          </w:p>
        </w:tc>
        <w:tc>
          <w:tcPr>
            <w:tcW w:w="7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380" w:type="dxa"/>
            <w:vAlign w:val="bottom"/>
            <w:gridSpan w:val="23"/>
          </w:tcPr>
          <w:p>
            <w:pPr>
              <w:spacing w:after="0" w:line="182" w:lineRule="exact"/>
              <w:rPr>
                <w:sz w:val="20"/>
                <w:szCs w:val="20"/>
                <w:color w:val="auto"/>
              </w:rPr>
            </w:pPr>
            <w:r>
              <w:rPr>
                <w:rFonts w:ascii="Arial" w:cs="Arial" w:eastAsia="Arial" w:hAnsi="Arial"/>
                <w:sz w:val="18"/>
                <w:szCs w:val="18"/>
                <w:color w:val="0000FF"/>
              </w:rPr>
              <w:t>Risk Factors</w:t>
            </w: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360" w:type="dxa"/>
            <w:vAlign w:val="bottom"/>
            <w:gridSpan w:val="20"/>
            <w:vMerge w:val="restart"/>
          </w:tcPr>
          <w:p>
            <w:pPr>
              <w:spacing w:after="0" w:line="202" w:lineRule="exact"/>
              <w:rPr>
                <w:sz w:val="20"/>
                <w:szCs w:val="20"/>
                <w:color w:val="auto"/>
              </w:rPr>
            </w:pPr>
            <w:r>
              <w:rPr>
                <w:rFonts w:ascii="Arial" w:cs="Arial" w:eastAsia="Arial" w:hAnsi="Arial"/>
                <w:sz w:val="18"/>
                <w:szCs w:val="18"/>
                <w:color w:val="0000FF"/>
              </w:rPr>
              <w:t>Staff Comments</w:t>
            </w: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0000FF"/>
              </w:rPr>
              <w:t>Unresolved</w:t>
            </w:r>
          </w:p>
        </w:tc>
        <w:tc>
          <w:tcPr>
            <w:tcW w:w="8360" w:type="dxa"/>
            <w:vAlign w:val="bottom"/>
            <w:gridSpan w:val="20"/>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1C.</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6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260" w:type="dxa"/>
            <w:vAlign w:val="bottom"/>
            <w:gridSpan w:val="10"/>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6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100" w:type="dxa"/>
            <w:vAlign w:val="bottom"/>
            <w:gridSpan w:val="4"/>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3.</w:t>
            </w:r>
          </w:p>
        </w:tc>
        <w:tc>
          <w:tcPr>
            <w:tcW w:w="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380" w:type="dxa"/>
            <w:vAlign w:val="bottom"/>
            <w:gridSpan w:val="23"/>
          </w:tcPr>
          <w:p>
            <w:pPr>
              <w:spacing w:after="0" w:line="182" w:lineRule="exact"/>
              <w:rPr>
                <w:sz w:val="20"/>
                <w:szCs w:val="20"/>
                <w:color w:val="auto"/>
              </w:rPr>
            </w:pPr>
            <w:r>
              <w:rPr>
                <w:rFonts w:ascii="Arial" w:cs="Arial" w:eastAsia="Arial" w:hAnsi="Arial"/>
                <w:sz w:val="18"/>
                <w:szCs w:val="18"/>
                <w:color w:val="0000FF"/>
              </w:rPr>
              <w:t>Legal Proceedings</w:t>
            </w: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4.</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380" w:type="dxa"/>
            <w:vAlign w:val="bottom"/>
            <w:gridSpan w:val="23"/>
          </w:tcPr>
          <w:p>
            <w:pPr>
              <w:spacing w:after="0" w:line="182" w:lineRule="exact"/>
              <w:rPr>
                <w:sz w:val="20"/>
                <w:szCs w:val="20"/>
                <w:color w:val="auto"/>
              </w:rPr>
            </w:pPr>
            <w:r>
              <w:rPr>
                <w:rFonts w:ascii="Arial" w:cs="Arial" w:eastAsia="Arial" w:hAnsi="Arial"/>
                <w:sz w:val="18"/>
                <w:szCs w:val="18"/>
                <w:color w:val="0000FF"/>
              </w:rPr>
              <w:t>Mine Safety Disclosures</w:t>
            </w: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5.</w:t>
            </w:r>
          </w:p>
        </w:tc>
        <w:tc>
          <w:tcPr>
            <w:tcW w:w="9380" w:type="dxa"/>
            <w:vAlign w:val="bottom"/>
            <w:gridSpan w:val="23"/>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5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6.</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8900" w:type="dxa"/>
            <w:vAlign w:val="bottom"/>
            <w:gridSpan w:val="22"/>
          </w:tcPr>
          <w:p>
            <w:pPr>
              <w:spacing w:after="0" w:line="182" w:lineRule="exact"/>
              <w:rPr>
                <w:sz w:val="20"/>
                <w:szCs w:val="20"/>
                <w:color w:val="auto"/>
              </w:rPr>
            </w:pPr>
            <w:r>
              <w:rPr>
                <w:rFonts w:ascii="Arial" w:cs="Arial" w:eastAsia="Arial" w:hAnsi="Arial"/>
                <w:sz w:val="18"/>
                <w:szCs w:val="18"/>
                <w:color w:val="0000FF"/>
              </w:rPr>
              <w:t>[Reserved]</w:t>
            </w:r>
          </w:p>
        </w:tc>
        <w:tc>
          <w:tcPr>
            <w:tcW w:w="48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7.</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380" w:type="dxa"/>
            <w:vAlign w:val="bottom"/>
            <w:gridSpan w:val="23"/>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7A.</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360" w:type="dxa"/>
            <w:vAlign w:val="bottom"/>
            <w:gridSpan w:val="2"/>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7080" w:type="dxa"/>
            <w:vAlign w:val="bottom"/>
            <w:gridSpan w:val="19"/>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8.</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360" w:type="dxa"/>
            <w:vAlign w:val="bottom"/>
            <w:gridSpan w:val="2"/>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4720" w:type="dxa"/>
            <w:vAlign w:val="bottom"/>
            <w:gridSpan w:val="16"/>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5640" w:type="dxa"/>
            <w:vAlign w:val="bottom"/>
            <w:gridSpan w:val="10"/>
            <w:vMerge w:val="restart"/>
          </w:tcPr>
          <w:p>
            <w:pPr>
              <w:ind w:left="240"/>
              <w:spacing w:after="0" w:line="202" w:lineRule="exact"/>
              <w:rPr>
                <w:sz w:val="20"/>
                <w:szCs w:val="20"/>
                <w:color w:val="auto"/>
              </w:rPr>
            </w:pPr>
            <w:r>
              <w:rPr>
                <w:rFonts w:ascii="Arial" w:cs="Arial" w:eastAsia="Arial" w:hAnsi="Arial"/>
                <w:sz w:val="18"/>
                <w:szCs w:val="18"/>
                <w:color w:val="0000FF"/>
              </w:rPr>
              <w:t>on Accounting and Financial Disclosure</w:t>
            </w: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3740" w:type="dxa"/>
            <w:vAlign w:val="bottom"/>
            <w:gridSpan w:val="13"/>
          </w:tcPr>
          <w:p>
            <w:pPr>
              <w:spacing w:after="0" w:line="182" w:lineRule="exact"/>
              <w:rPr>
                <w:sz w:val="20"/>
                <w:szCs w:val="20"/>
                <w:color w:val="auto"/>
              </w:rPr>
            </w:pPr>
            <w:r>
              <w:rPr>
                <w:rFonts w:ascii="Arial" w:cs="Arial" w:eastAsia="Arial" w:hAnsi="Arial"/>
                <w:sz w:val="18"/>
                <w:szCs w:val="18"/>
                <w:color w:val="0000FF"/>
                <w:w w:val="94"/>
              </w:rPr>
              <w:t>Changes in and Disagreements with Accountants</w:t>
            </w:r>
          </w:p>
        </w:tc>
        <w:tc>
          <w:tcPr>
            <w:tcW w:w="5640" w:type="dxa"/>
            <w:vAlign w:val="bottom"/>
            <w:gridSpan w:val="10"/>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9A.</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360" w:type="dxa"/>
            <w:vAlign w:val="bottom"/>
            <w:gridSpan w:val="2"/>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7140" w:type="dxa"/>
            <w:vAlign w:val="bottom"/>
            <w:gridSpan w:val="20"/>
          </w:tcPr>
          <w:p>
            <w:pPr>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gridSpan w:val="3"/>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360" w:type="dxa"/>
            <w:vAlign w:val="bottom"/>
            <w:gridSpan w:val="2"/>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000" w:type="dxa"/>
            <w:vAlign w:val="bottom"/>
            <w:gridSpan w:val="9"/>
          </w:tcPr>
          <w:p>
            <w:pPr>
              <w:spacing w:after="0" w:line="182" w:lineRule="exact"/>
              <w:rPr>
                <w:sz w:val="20"/>
                <w:szCs w:val="20"/>
                <w:color w:val="auto"/>
              </w:rPr>
            </w:pPr>
            <w:r>
              <w:rPr>
                <w:rFonts w:ascii="Arial" w:cs="Arial" w:eastAsia="Arial" w:hAnsi="Arial"/>
                <w:sz w:val="18"/>
                <w:szCs w:val="18"/>
                <w:color w:val="0000FF"/>
              </w:rPr>
              <w:t>Other Information</w:t>
            </w:r>
          </w:p>
        </w:tc>
        <w:tc>
          <w:tcPr>
            <w:tcW w:w="11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9C.</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380" w:type="dxa"/>
            <w:vAlign w:val="bottom"/>
            <w:gridSpan w:val="23"/>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10.</w:t>
            </w:r>
          </w:p>
        </w:tc>
        <w:tc>
          <w:tcPr>
            <w:tcW w:w="9380" w:type="dxa"/>
            <w:vAlign w:val="bottom"/>
            <w:gridSpan w:val="23"/>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5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11.</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580" w:type="dxa"/>
            <w:vAlign w:val="bottom"/>
            <w:gridSpan w:val="3"/>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360" w:type="dxa"/>
            <w:vAlign w:val="bottom"/>
            <w:gridSpan w:val="2"/>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4500" w:type="dxa"/>
            <w:vAlign w:val="bottom"/>
            <w:gridSpan w:val="15"/>
          </w:tcPr>
          <w:p>
            <w:pPr>
              <w:spacing w:after="0" w:line="182" w:lineRule="exact"/>
              <w:rPr>
                <w:sz w:val="20"/>
                <w:szCs w:val="20"/>
                <w:color w:val="auto"/>
              </w:rPr>
            </w:pPr>
            <w:r>
              <w:rPr>
                <w:rFonts w:ascii="Arial" w:cs="Arial" w:eastAsia="Arial" w:hAnsi="Arial"/>
                <w:sz w:val="18"/>
                <w:szCs w:val="18"/>
                <w:color w:val="0000FF"/>
              </w:rPr>
              <w:t>Executive Compensation</w:t>
            </w:r>
          </w:p>
        </w:tc>
        <w:tc>
          <w:tcPr>
            <w:tcW w:w="158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380" w:type="dxa"/>
            <w:vAlign w:val="bottom"/>
            <w:gridSpan w:val="23"/>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13.</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360" w:type="dxa"/>
            <w:vAlign w:val="bottom"/>
            <w:gridSpan w:val="2"/>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8020" w:type="dxa"/>
            <w:vAlign w:val="bottom"/>
            <w:gridSpan w:val="21"/>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3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14.</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3300" w:type="dxa"/>
            <w:vAlign w:val="bottom"/>
            <w:gridSpan w:val="5"/>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6080" w:type="dxa"/>
            <w:vAlign w:val="bottom"/>
            <w:gridSpan w:val="18"/>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3300" w:type="dxa"/>
            <w:vAlign w:val="bottom"/>
            <w:gridSpan w:val="5"/>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15.</w:t>
            </w:r>
          </w:p>
        </w:tc>
        <w:tc>
          <w:tcPr>
            <w:tcW w:w="9380" w:type="dxa"/>
            <w:vAlign w:val="bottom"/>
            <w:gridSpan w:val="23"/>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5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16.</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160" w:type="dxa"/>
            <w:vAlign w:val="bottom"/>
            <w:gridSpan w:val="11"/>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3220" w:type="dxa"/>
            <w:vAlign w:val="bottom"/>
            <w:gridSpan w:val="12"/>
          </w:tcPr>
          <w:p>
            <w:pPr>
              <w:spacing w:after="0" w:line="182" w:lineRule="exact"/>
              <w:rPr>
                <w:sz w:val="20"/>
                <w:szCs w:val="20"/>
                <w:color w:val="auto"/>
              </w:rPr>
            </w:pPr>
            <w:r>
              <w:rPr>
                <w:rFonts w:ascii="Arial" w:cs="Arial" w:eastAsia="Arial" w:hAnsi="Arial"/>
                <w:sz w:val="18"/>
                <w:szCs w:val="18"/>
                <w:color w:val="0000FF"/>
              </w:rPr>
              <w:t>Form 10-K Summary</w:t>
            </w:r>
          </w:p>
        </w:tc>
        <w:tc>
          <w:tcPr>
            <w:tcW w:w="6160" w:type="dxa"/>
            <w:vAlign w:val="bottom"/>
            <w:gridSpan w:val="11"/>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7700" w:type="dxa"/>
            <w:vAlign w:val="bottom"/>
            <w:gridSpan w:val="16"/>
            <w:vMerge w:val="restart"/>
          </w:tcPr>
          <w:p>
            <w:pPr>
              <w:spacing w:after="0" w:line="20" w:lineRule="exact"/>
              <w:rPr>
                <w:sz w:val="1"/>
                <w:szCs w:val="1"/>
                <w:color w:val="auto"/>
              </w:rPr>
            </w:pPr>
          </w:p>
        </w:tc>
        <w:tc>
          <w:tcPr>
            <w:tcW w:w="5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15"/>
                <w:szCs w:val="15"/>
                <w:color w:val="auto"/>
              </w:rPr>
            </w:pPr>
          </w:p>
        </w:tc>
        <w:tc>
          <w:tcPr>
            <w:tcW w:w="1680" w:type="dxa"/>
            <w:vAlign w:val="bottom"/>
            <w:gridSpan w:val="7"/>
          </w:tcPr>
          <w:p>
            <w:pPr>
              <w:spacing w:after="0" w:line="182" w:lineRule="exact"/>
              <w:rPr>
                <w:sz w:val="20"/>
                <w:szCs w:val="20"/>
                <w:color w:val="auto"/>
              </w:rPr>
            </w:pPr>
            <w:r>
              <w:rPr>
                <w:rFonts w:ascii="Arial" w:cs="Arial" w:eastAsia="Arial" w:hAnsi="Arial"/>
                <w:sz w:val="18"/>
                <w:szCs w:val="18"/>
                <w:color w:val="0000FF"/>
              </w:rPr>
              <w:t>Signatures</w:t>
            </w:r>
          </w:p>
        </w:tc>
        <w:tc>
          <w:tcPr>
            <w:tcW w:w="7700" w:type="dxa"/>
            <w:vAlign w:val="bottom"/>
            <w:gridSpan w:val="16"/>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This Annual Report on Form 10-K,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72" w:lineRule="exact"/>
        <w:rPr>
          <w:sz w:val="20"/>
          <w:szCs w:val="20"/>
          <w:color w:val="auto"/>
        </w:rPr>
      </w:pPr>
    </w:p>
    <w:p>
      <w:pPr>
        <w:ind w:left="1020" w:right="4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plan and our ability to effectively manage our growth;</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cross-border expansion plans and ability to expand internationally;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116" w:lineRule="exact"/>
        <w:rPr>
          <w:rFonts w:ascii="Times New Roman" w:cs="Times New Roman" w:eastAsia="Times New Roman" w:hAnsi="Times New Roman"/>
          <w:sz w:val="18"/>
          <w:szCs w:val="18"/>
          <w:color w:val="auto"/>
        </w:rPr>
      </w:pPr>
    </w:p>
    <w:p>
      <w:pPr>
        <w:jc w:val="both"/>
        <w:ind w:left="1020" w:right="4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economic, foreign currency exchange rate, inflation, tariffs, banking, legal, immigration, social and health risks and public health measures that may affect cross-border commerce, education and travel, our business or the global economy;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beliefs and objectives for future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and protect our brand;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grow the payment volume that we process;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client base;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16" w:lineRule="exact"/>
        <w:rPr>
          <w:rFonts w:ascii="Times New Roman" w:cs="Times New Roman" w:eastAsia="Times New Roman" w:hAnsi="Times New Roman"/>
          <w:sz w:val="18"/>
          <w:szCs w:val="18"/>
          <w:color w:val="auto"/>
        </w:rPr>
      </w:pPr>
    </w:p>
    <w:p>
      <w:pPr>
        <w:jc w:val="both"/>
        <w:ind w:left="1020" w:right="2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recent and future acquisitions or investments in complementary companies, products, services, or technologies, including the expected benefits and synergies of the acquisition of Sertifi LLC (Sertifi), the benefits of Sertifi’s platform, financial results and margins;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new client verticals and sub-verticals, including our relatively new business-to-business (B2B) sector;</w:t>
      </w:r>
    </w:p>
    <w:p>
      <w:pPr>
        <w:spacing w:after="0" w:line="116"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litigation and legal and regulatory matters;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16" w:lineRule="exact"/>
        <w:rPr>
          <w:rFonts w:ascii="Times New Roman" w:cs="Times New Roman" w:eastAsia="Times New Roman" w:hAnsi="Times New Roman"/>
          <w:sz w:val="18"/>
          <w:szCs w:val="18"/>
          <w:color w:val="auto"/>
        </w:rPr>
      </w:pPr>
    </w:p>
    <w:p>
      <w:pPr>
        <w:jc w:val="both"/>
        <w:ind w:left="1020" w:right="14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and industry trends, projected growth, or trend analysis;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global events and geopolitical conflict, including without limitation the continuing hostilities in Ukraine and involving Israel;</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3" w:name="page4"/>
    <w:bookmarkEnd w:id="3"/>
    <w:p>
      <w:pPr>
        <w:ind w:left="1020" w:right="3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Inflation Reduction Act of 2022;</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qualified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intellectual property;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security and availability of our solutions;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expenses associated with being a public company;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market price of our common stock.</w:t>
      </w:r>
    </w:p>
    <w:p>
      <w:pPr>
        <w:spacing w:after="0" w:line="18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Annual Report on Form 10-K. Other sections of this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5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6"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Unless otherwise noted or unless the context provides otherwise, all references in this Annual Report on Form 10-K to our “common stock” refer to our voting common stock.</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mission is to deliver the most important and complex payments. In an increasingly digital world, getting paid means Flywire.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38" w:lineRule="exact"/>
        <w:rPr>
          <w:sz w:val="20"/>
          <w:szCs w:val="20"/>
          <w:color w:val="auto"/>
        </w:rPr>
      </w:pPr>
    </w:p>
    <w:p>
      <w:pPr>
        <w:ind w:right="40" w:firstLine="509"/>
        <w:spacing w:after="0" w:line="301" w:lineRule="auto"/>
        <w:rPr>
          <w:sz w:val="20"/>
          <w:szCs w:val="20"/>
          <w:color w:val="auto"/>
        </w:rPr>
      </w:pPr>
      <w:r>
        <w:rPr>
          <w:rFonts w:ascii="Arial" w:cs="Arial" w:eastAsia="Arial" w:hAnsi="Arial"/>
          <w:sz w:val="17"/>
          <w:szCs w:val="17"/>
          <w:color w:val="auto"/>
        </w:rPr>
        <w:t>There have been substantial strides made in payments technology in the retail and e-commerce industries; however, massive sectors of our global economy—including education, healthcare, travel, and B2B payments—are still in the early stages of digital transformation.</w:t>
      </w:r>
    </w:p>
    <w:p>
      <w:pPr>
        <w:spacing w:after="0" w:line="9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58"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3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38"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4" w:right="4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868680</wp:posOffset>
            </wp:positionV>
            <wp:extent cx="4980305" cy="3754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980305"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3" w:right="80" w:hanging="503"/>
        <w:spacing w:after="0" w:line="239"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Next-Gen Payments Platform. </w:t>
      </w:r>
      <w:r>
        <w:rPr>
          <w:rFonts w:ascii="Arial" w:cs="Arial" w:eastAsia="Arial" w:hAnsi="Arial"/>
          <w:sz w:val="18"/>
          <w:szCs w:val="18"/>
          <w:color w:val="auto"/>
        </w:rPr>
        <w:t>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45" w:lineRule="exact"/>
        <w:rPr>
          <w:rFonts w:ascii="Times New Roman" w:cs="Times New Roman" w:eastAsia="Times New Roman" w:hAnsi="Times New Roman"/>
          <w:sz w:val="18"/>
          <w:szCs w:val="18"/>
          <w:color w:val="auto"/>
        </w:rPr>
      </w:pPr>
    </w:p>
    <w:p>
      <w:pPr>
        <w:ind w:left="503" w:right="80" w:hanging="503"/>
        <w:spacing w:after="0" w:line="256"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Proprietary Global Payment Network. </w:t>
      </w:r>
      <w:r>
        <w:rPr>
          <w:rFonts w:ascii="Arial" w:cs="Arial" w:eastAsia="Arial" w:hAnsi="Arial"/>
          <w:sz w:val="17"/>
          <w:szCs w:val="17"/>
          <w:color w:val="auto"/>
        </w:rPr>
        <w:t>At the core of our business is our network of global, regional and local banking</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140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40" w:lineRule="exact"/>
        <w:rPr>
          <w:rFonts w:ascii="Times New Roman" w:cs="Times New Roman" w:eastAsia="Times New Roman" w:hAnsi="Times New Roman"/>
          <w:sz w:val="17"/>
          <w:szCs w:val="17"/>
          <w:color w:val="auto"/>
        </w:rPr>
      </w:pPr>
    </w:p>
    <w:p>
      <w:pPr>
        <w:ind w:left="503" w:hanging="503"/>
        <w:spacing w:after="0" w:line="242"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Vertical-Specific Software Backed by Deep Industry Expertise</w:t>
      </w:r>
      <w:r>
        <w:rPr>
          <w:rFonts w:ascii="Arial" w:cs="Arial" w:eastAsia="Arial" w:hAnsi="Arial"/>
          <w:sz w:val="18"/>
          <w:szCs w:val="18"/>
          <w:color w:val="auto"/>
        </w:rPr>
        <w:t>. We go beyond payments by offering seamless integration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10,000 client payment portals, each built on our shared payments platform and global payment network but tailored to our clients’ brands and</w:t>
      </w:r>
    </w:p>
    <w:p>
      <w:pPr>
        <w:spacing w:after="0" w:line="70"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440" w:right="419" w:bottom="1440" w:gutter="0" w:footer="0" w:header="0"/>
        </w:sectPr>
      </w:pPr>
    </w:p>
    <w:bookmarkStart w:id="6" w:name="page7"/>
    <w:bookmarkEnd w:id="6"/>
    <w:p>
      <w:pPr>
        <w:ind w:left="1020" w:right="140"/>
        <w:spacing w:after="0" w:line="253" w:lineRule="auto"/>
        <w:rPr>
          <w:sz w:val="20"/>
          <w:szCs w:val="20"/>
          <w:color w:val="auto"/>
        </w:rPr>
      </w:pPr>
      <w:r>
        <w:rPr>
          <w:rFonts w:ascii="Arial" w:cs="Arial" w:eastAsia="Arial" w:hAnsi="Arial"/>
          <w:sz w:val="18"/>
          <w:szCs w:val="18"/>
          <w:color w:val="auto"/>
        </w:rPr>
        <w:t>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103505</wp:posOffset>
            </wp:positionV>
            <wp:extent cx="5511800" cy="3154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The benefits of our flywheel are visible in the significant scale we have achieved to date. As of December 31, 2024, we serve approximately 4,500 clients around the world, excluding clients acquired from the acquisition of Invoiced Inc. (Invoiced). In education, we serve more than 3,100 institutions. In healthcare, we serve more than 100 healthcare systems, including four of the top 10 healthcare systems in the United States ranked by hospital size. In our travel and B2B verticals, we have a growing portfolio of approximately 1,300 clients.</w:t>
      </w:r>
    </w:p>
    <w:p>
      <w:pPr>
        <w:spacing w:after="0" w:line="149"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customers with favorable unit economics. For the years ended December 31, 2024 and 2023, we enabled over $29.7 billion and over $24.0 billion, respectively, of total payment volume across more than 140 currencies.</w:t>
      </w:r>
    </w:p>
    <w:p>
      <w:pPr>
        <w:spacing w:after="0" w:line="128"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 xml:space="preserve">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 healthcare. These partnerships promote organic referral and lead generation opportunities and enhance our indirect sales strategy.</w:t>
      </w:r>
    </w:p>
    <w:p>
      <w:pPr>
        <w:spacing w:after="0" w:line="136"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For the year ended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7" w:name="page8"/>
    <w:bookmarkEnd w:id="7"/>
    <w:p>
      <w:pPr>
        <w:ind w:right="80"/>
        <w:spacing w:after="0" w:line="247" w:lineRule="auto"/>
        <w:rPr>
          <w:sz w:val="20"/>
          <w:szCs w:val="20"/>
          <w:color w:val="auto"/>
        </w:rPr>
      </w:pPr>
      <w:r>
        <w:rPr>
          <w:rFonts w:ascii="Arial" w:cs="Arial" w:eastAsia="Arial" w:hAnsi="Arial"/>
          <w:sz w:val="18"/>
          <w:szCs w:val="18"/>
          <w:color w:val="auto"/>
        </w:rPr>
        <w:t>December 31, 2024, our annual net dollar-based retention rate was approximately 114%. For the year ended December 31, 2023, our annual net dollar-based retention rate was approximately 125%. For the year ended December 31, 2022, our annual net dollar-based retention rate was approximately 124%. In addition, our client and customer service combines high-tech and high-touch functions backed by 24x7 multilingual customer support, resulting in high client and customer satisfaction.</w:t>
      </w:r>
    </w:p>
    <w:p>
      <w:pPr>
        <w:spacing w:after="0" w:line="14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have grown rapidly since our founding. We generated revenue of $492.1 million, $403.1 million and $289.4 million for the years ended December 31, 2024, 2023 and 2022, respectively, and incurred net income of $2.9 million for the year ended December 31, 2024 and net losses of $8.6 million and $39.3 million for the years ended December 31, 2023 and 2022, respectively. In February 2025, we acquired Sertifi, a vertical software and payments platform digitizing hospitality-specific workflows and associated payments. In August 2024, we acquired Invoiced, a U.S.-based software as a service (SaaS) B2B company that provides accounts receivable software that automates all aspects of billing, collections, payments, reporting and forecasting within a single online platform. In November 2023, we acquired Learning Information Systems Pty Ltd. (StudyLink),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In July 2022, we acquired Cohort Solutions Pty Ltd. (Cohort Go), an Australian-based education payments provider that simplifies the student recruitment process by bringing together students, agents and essential student services such as health insurance into one platform.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71" w:lineRule="exact"/>
        <w:rPr>
          <w:sz w:val="20"/>
          <w:szCs w:val="20"/>
          <w:color w:val="auto"/>
        </w:rPr>
      </w:pPr>
    </w:p>
    <w:p>
      <w:pPr>
        <w:jc w:val="both"/>
        <w:ind w:right="40" w:firstLine="509"/>
        <w:spacing w:after="0" w:line="275" w:lineRule="auto"/>
        <w:rPr>
          <w:sz w:val="20"/>
          <w:szCs w:val="20"/>
          <w:color w:val="auto"/>
        </w:rPr>
      </w:pPr>
      <w:r>
        <w:rPr>
          <w:rFonts w:ascii="Arial" w:cs="Arial" w:eastAsia="Arial" w:hAnsi="Arial"/>
          <w:sz w:val="17"/>
          <w:szCs w:val="17"/>
          <w:color w:val="auto"/>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69"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28" w:lineRule="exact"/>
        <w:rPr>
          <w:sz w:val="20"/>
          <w:szCs w:val="20"/>
          <w:color w:val="auto"/>
        </w:rPr>
      </w:pPr>
    </w:p>
    <w:p>
      <w:pPr>
        <w:ind w:left="900" w:right="60" w:hanging="263"/>
        <w:spacing w:after="0" w:line="243"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Modern customer-focused payment experience. </w:t>
      </w:r>
      <w:r>
        <w:rPr>
          <w:rFonts w:ascii="Arial" w:cs="Arial" w:eastAsia="Arial" w:hAnsi="Arial"/>
          <w:sz w:val="18"/>
          <w:szCs w:val="18"/>
          <w:color w:val="auto"/>
        </w:rPr>
        <w:t>We enable a convenient and secure online payment experience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be configured by country, currency, client, and vertical. Our personalization engine leverages our data and applies artificial intelligence (AI) and machine learning (ML)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52" w:lineRule="exact"/>
        <w:rPr>
          <w:rFonts w:ascii="Times New Roman" w:cs="Times New Roman" w:eastAsia="Times New Roman" w:hAnsi="Times New Roman"/>
          <w:sz w:val="18"/>
          <w:szCs w:val="18"/>
          <w:color w:val="auto"/>
        </w:rPr>
      </w:pPr>
    </w:p>
    <w:p>
      <w:pPr>
        <w:jc w:val="both"/>
        <w:ind w:left="900" w:right="200" w:hanging="263"/>
        <w:spacing w:after="0" w:line="246"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Simplify payments complexity. </w:t>
      </w:r>
      <w:r>
        <w:rPr>
          <w:rFonts w:ascii="Arial" w:cs="Arial" w:eastAsia="Arial" w:hAnsi="Arial"/>
          <w:sz w:val="18"/>
          <w:szCs w:val="18"/>
          <w:color w:val="auto"/>
        </w:rPr>
        <w:t>We address complexity in payments by providing our clients with a “one-stop shop”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36" w:lineRule="exact"/>
        <w:rPr>
          <w:rFonts w:ascii="Times New Roman" w:cs="Times New Roman" w:eastAsia="Times New Roman" w:hAnsi="Times New Roman"/>
          <w:sz w:val="18"/>
          <w:szCs w:val="18"/>
          <w:color w:val="auto"/>
        </w:rPr>
      </w:pPr>
    </w:p>
    <w:p>
      <w:pPr>
        <w:ind w:left="900" w:right="140" w:hanging="263"/>
        <w:spacing w:after="0" w:line="242"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Processing cost savings and enhanced payments yield. </w:t>
      </w:r>
      <w:r>
        <w:rPr>
          <w:rFonts w:ascii="Arial" w:cs="Arial" w:eastAsia="Arial" w:hAnsi="Arial"/>
          <w:sz w:val="18"/>
          <w:szCs w:val="18"/>
          <w:color w:val="auto"/>
        </w:rPr>
        <w:t>We leverage our significant global volume and in-house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37" w:lineRule="exact"/>
        <w:rPr>
          <w:rFonts w:ascii="Times New Roman" w:cs="Times New Roman" w:eastAsia="Times New Roman" w:hAnsi="Times New Roman"/>
          <w:sz w:val="18"/>
          <w:szCs w:val="18"/>
          <w:color w:val="auto"/>
        </w:rPr>
      </w:pPr>
    </w:p>
    <w:p>
      <w:pPr>
        <w:ind w:left="900" w:hanging="263"/>
        <w:spacing w:after="0" w:line="246"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Ease of integration. </w:t>
      </w:r>
      <w:r>
        <w:rPr>
          <w:rFonts w:ascii="Arial" w:cs="Arial" w:eastAsia="Arial" w:hAnsi="Arial"/>
          <w:sz w:val="18"/>
          <w:szCs w:val="18"/>
          <w:color w:val="auto"/>
        </w:rPr>
        <w:t>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49" w:lineRule="exact"/>
        <w:rPr>
          <w:rFonts w:ascii="Times New Roman" w:cs="Times New Roman" w:eastAsia="Times New Roman" w:hAnsi="Times New Roman"/>
          <w:sz w:val="18"/>
          <w:szCs w:val="18"/>
          <w:color w:val="auto"/>
        </w:rPr>
      </w:pPr>
    </w:p>
    <w:p>
      <w:pPr>
        <w:ind w:left="900" w:right="340" w:hanging="26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Trusted expertise and a trusted brand. </w:t>
      </w:r>
      <w:r>
        <w:rPr>
          <w:rFonts w:ascii="Arial" w:cs="Arial" w:eastAsia="Arial" w:hAnsi="Arial"/>
          <w:sz w:val="18"/>
          <w:szCs w:val="18"/>
          <w:color w:val="auto"/>
        </w:rPr>
        <w:t>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8" w:name="page9"/>
    <w:bookmarkEnd w:id="8"/>
    <w:p>
      <w:pPr>
        <w:ind w:left="900" w:right="60"/>
        <w:spacing w:after="0" w:line="247" w:lineRule="auto"/>
        <w:rPr>
          <w:sz w:val="20"/>
          <w:szCs w:val="20"/>
          <w:color w:val="auto"/>
        </w:rPr>
      </w:pPr>
      <w:r>
        <w:rPr>
          <w:rFonts w:ascii="Arial" w:cs="Arial" w:eastAsia="Arial" w:hAnsi="Arial"/>
          <w:sz w:val="18"/>
          <w:szCs w:val="18"/>
          <w:color w:val="auto"/>
        </w:rPr>
        <w:t>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169"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13" w:lineRule="exact"/>
        <w:rPr>
          <w:sz w:val="20"/>
          <w:szCs w:val="20"/>
          <w:color w:val="auto"/>
        </w:rPr>
      </w:pPr>
    </w:p>
    <w:p>
      <w:pPr>
        <w:ind w:left="900" w:hanging="263"/>
        <w:spacing w:after="0" w:line="243"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Superior and simple payment experiences. </w:t>
      </w:r>
      <w:r>
        <w:rPr>
          <w:rFonts w:ascii="Arial" w:cs="Arial" w:eastAsia="Arial" w:hAnsi="Arial"/>
          <w:sz w:val="18"/>
          <w:szCs w:val="18"/>
          <w:color w:val="auto"/>
        </w:rPr>
        <w:t>Our customer value proposition is simple: we provide a fast and nearly</w:t>
      </w:r>
      <w:r>
        <w:rPr>
          <w:rFonts w:ascii="Arial" w:cs="Arial" w:eastAsia="Arial" w:hAnsi="Arial"/>
          <w:sz w:val="18"/>
          <w:szCs w:val="18"/>
          <w:b w:val="1"/>
          <w:bCs w:val="1"/>
          <w:color w:val="auto"/>
        </w:rPr>
        <w:t xml:space="preserve"> </w:t>
      </w:r>
      <w:r>
        <w:rPr>
          <w:rFonts w:ascii="Arial" w:cs="Arial" w:eastAsia="Arial" w:hAnsi="Arial"/>
          <w:sz w:val="18"/>
          <w:szCs w:val="18"/>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52" w:lineRule="exact"/>
        <w:rPr>
          <w:rFonts w:ascii="Times New Roman" w:cs="Times New Roman" w:eastAsia="Times New Roman" w:hAnsi="Times New Roman"/>
          <w:sz w:val="18"/>
          <w:szCs w:val="18"/>
          <w:color w:val="auto"/>
        </w:rPr>
      </w:pPr>
    </w:p>
    <w:p>
      <w:pPr>
        <w:ind w:left="900" w:right="80" w:hanging="263"/>
        <w:spacing w:after="0" w:line="246"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Customer preference. </w:t>
      </w:r>
      <w:r>
        <w:rPr>
          <w:rFonts w:ascii="Arial" w:cs="Arial" w:eastAsia="Arial" w:hAnsi="Arial"/>
          <w:sz w:val="18"/>
          <w:szCs w:val="18"/>
          <w:color w:val="auto"/>
        </w:rPr>
        <w:t>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140 currencies, so our clients’ customers can choose the way they pay using local payment methods that they are most comfortable using.</w:t>
      </w:r>
    </w:p>
    <w:p>
      <w:pPr>
        <w:spacing w:after="0" w:line="136" w:lineRule="exact"/>
        <w:rPr>
          <w:rFonts w:ascii="Times New Roman" w:cs="Times New Roman" w:eastAsia="Times New Roman" w:hAnsi="Times New Roman"/>
          <w:sz w:val="18"/>
          <w:szCs w:val="18"/>
          <w:color w:val="auto"/>
        </w:rPr>
      </w:pPr>
    </w:p>
    <w:p>
      <w:pPr>
        <w:ind w:left="900" w:right="80" w:hanging="263"/>
        <w:spacing w:after="0" w:line="246"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Flexible on-demand payment options. </w:t>
      </w:r>
      <w:r>
        <w:rPr>
          <w:rFonts w:ascii="Arial" w:cs="Arial" w:eastAsia="Arial" w:hAnsi="Arial"/>
          <w:sz w:val="18"/>
          <w:szCs w:val="18"/>
          <w:color w:val="auto"/>
        </w:rPr>
        <w:t>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36" w:lineRule="exact"/>
        <w:rPr>
          <w:rFonts w:ascii="Times New Roman" w:cs="Times New Roman" w:eastAsia="Times New Roman" w:hAnsi="Times New Roman"/>
          <w:sz w:val="18"/>
          <w:szCs w:val="18"/>
          <w:color w:val="auto"/>
        </w:rPr>
      </w:pPr>
    </w:p>
    <w:p>
      <w:pPr>
        <w:ind w:left="900" w:right="620" w:hanging="263"/>
        <w:spacing w:after="0" w:line="252"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Customer confidence. </w:t>
      </w:r>
      <w:r>
        <w:rPr>
          <w:rFonts w:ascii="Arial" w:cs="Arial" w:eastAsia="Arial" w:hAnsi="Arial"/>
          <w:sz w:val="18"/>
          <w:szCs w:val="18"/>
          <w:color w:val="auto"/>
        </w:rPr>
        <w:t>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experience including around the clock multilingual support, we believe that we give customers the confidence that their payments are delivered securely, accurately, and on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Our Flywire Advantage Works</w:t>
      </w:r>
    </w:p>
    <w:p>
      <w:pPr>
        <w:spacing w:after="0" w:line="17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2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69" w:lineRule="exact"/>
        <w:rPr>
          <w:sz w:val="20"/>
          <w:szCs w:val="20"/>
          <w:color w:val="auto"/>
        </w:rPr>
      </w:pPr>
    </w:p>
    <w:p>
      <w:pPr>
        <w:ind w:right="500" w:firstLine="509"/>
        <w:spacing w:after="0" w:line="253" w:lineRule="auto"/>
        <w:rPr>
          <w:sz w:val="20"/>
          <w:szCs w:val="20"/>
          <w:color w:val="auto"/>
        </w:rPr>
      </w:pPr>
      <w:r>
        <w:rPr>
          <w:rFonts w:ascii="Arial" w:cs="Arial" w:eastAsia="Arial" w:hAnsi="Arial"/>
          <w:sz w:val="18"/>
          <w:szCs w:val="18"/>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28"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For the years ended December 31, 2024 and 2023, we enabled over $29.7 billion and over $24.0 billion, respectively, in total payment volume across multiple payment types, including local bank transfer, credit, debit and other alternative payment methods such as Alipay, Boleto, PayPal / Venmo, and Trustly. The majority of our payment volume is not card related and is completed over our global payment network. This reflects the myriad of payment options enabled by our global payment network that are critical for the larger, more complex payments that we handle.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We designed our next-gen payments platform to be:</w:t>
      </w:r>
    </w:p>
    <w:p>
      <w:pPr>
        <w:spacing w:after="0" w:line="185" w:lineRule="exact"/>
        <w:rPr>
          <w:sz w:val="20"/>
          <w:szCs w:val="20"/>
          <w:color w:val="auto"/>
        </w:rPr>
      </w:pPr>
    </w:p>
    <w:p>
      <w:pPr>
        <w:ind w:left="900" w:right="200" w:hanging="263"/>
        <w:spacing w:after="0" w:line="270"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Integrated</w:t>
      </w:r>
      <w:r>
        <w:rPr>
          <w:rFonts w:ascii="Arial" w:cs="Arial" w:eastAsia="Arial" w:hAnsi="Arial"/>
          <w:sz w:val="18"/>
          <w:szCs w:val="18"/>
          <w:color w:val="auto"/>
        </w:rPr>
        <w:t>. Fully unified and seamlessly connected to a broad range of core operating systems, facilitating easy data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compatibility across a broad range of solutions;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Flexible</w:t>
      </w:r>
      <w:r>
        <w:rPr>
          <w:rFonts w:ascii="Arial" w:cs="Arial" w:eastAsia="Arial" w:hAnsi="Arial"/>
          <w:sz w:val="18"/>
          <w:szCs w:val="18"/>
          <w:color w:val="auto"/>
        </w:rPr>
        <w:t>.  Supports complex workflows and payment experiences for both in-country domestic and cross-border payments; and</w:t>
      </w:r>
    </w:p>
    <w:p>
      <w:pPr>
        <w:spacing w:after="0" w:line="183" w:lineRule="exact"/>
        <w:rPr>
          <w:rFonts w:ascii="Times New Roman" w:cs="Times New Roman" w:eastAsia="Times New Roman" w:hAnsi="Times New Roman"/>
          <w:sz w:val="18"/>
          <w:szCs w:val="18"/>
          <w:color w:val="auto"/>
        </w:rPr>
      </w:pPr>
    </w:p>
    <w:p>
      <w:pPr>
        <w:ind w:left="900" w:right="680" w:hanging="263"/>
        <w:spacing w:after="0" w:line="270"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Secure</w:t>
      </w:r>
      <w:r>
        <w:rPr>
          <w:rFonts w:ascii="Arial" w:cs="Arial" w:eastAsia="Arial" w:hAnsi="Arial"/>
          <w:sz w:val="18"/>
          <w:szCs w:val="18"/>
          <w:color w:val="auto"/>
        </w:rPr>
        <w:t>. Leverages Payment Card Industry-validated Point-to-Point Encryption tokenization and other best-in-class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regulatory-compliant security measures.</w:t>
      </w:r>
    </w:p>
    <w:p>
      <w:pPr>
        <w:spacing w:after="0" w:line="12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By utilizing predictive analytics, ML and AI, we handle the complexities of money movement across borders while providing fast, compliant, and transparent receipt of payments. Our AI and ML enabled fraud detection risk engine has trained against millions of automated clearing house (ACH), check, card, and wire transactions. As a result, the enhanced power of our risk engine enables us to mitigate fraud.</w:t>
      </w:r>
    </w:p>
    <w:p>
      <w:pPr>
        <w:spacing w:after="0" w:line="128"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128" w:lineRule="exact"/>
        <w:rPr>
          <w:sz w:val="20"/>
          <w:szCs w:val="20"/>
          <w:color w:val="auto"/>
        </w:rPr>
      </w:pPr>
    </w:p>
    <w:p>
      <w:pPr>
        <w:ind w:left="900" w:right="120" w:hanging="26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turnkey solution for enhanced and secure single sign-on and checkout;</w:t>
      </w:r>
    </w:p>
    <w:p>
      <w:pPr>
        <w:spacing w:after="0" w:line="183" w:lineRule="exact"/>
        <w:rPr>
          <w:rFonts w:ascii="Times New Roman" w:cs="Times New Roman" w:eastAsia="Times New Roman" w:hAnsi="Times New Roman"/>
          <w:sz w:val="18"/>
          <w:szCs w:val="18"/>
          <w:color w:val="auto"/>
        </w:rPr>
      </w:pPr>
    </w:p>
    <w:p>
      <w:pPr>
        <w:ind w:left="900" w:right="580" w:hanging="26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84"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105410</wp:posOffset>
            </wp:positionV>
            <wp:extent cx="5717540" cy="3000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754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10" w:name="page11"/>
    <w:bookmarkEnd w:id="10"/>
    <w:p>
      <w:pPr>
        <w:ind w:right="20" w:firstLine="509"/>
        <w:spacing w:after="0" w:line="242" w:lineRule="auto"/>
        <w:rPr>
          <w:sz w:val="20"/>
          <w:szCs w:val="20"/>
          <w:color w:val="auto"/>
        </w:rPr>
      </w:pPr>
      <w:r>
        <w:rPr>
          <w:rFonts w:ascii="Arial" w:cs="Arial" w:eastAsia="Arial" w:hAnsi="Arial"/>
          <w:sz w:val="18"/>
          <w:szCs w:val="18"/>
          <w:color w:val="auto"/>
        </w:rPr>
        <w:t>In addition to international expansion, we are accelerating the growth of our in-country domestic accounts receivable business with the goal of both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3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4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 reconciles all their customer payments made via Flywire from around the globe —across approximately 5,000 geographic corridors for 2024 representing transaction flows between payers and payees.</w:t>
      </w:r>
    </w:p>
    <w:p>
      <w:pPr>
        <w:spacing w:after="0" w:line="128"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13" w:lineRule="exact"/>
        <w:rPr>
          <w:sz w:val="20"/>
          <w:szCs w:val="20"/>
          <w:color w:val="auto"/>
        </w:rPr>
      </w:pPr>
    </w:p>
    <w:p>
      <w:pPr>
        <w:ind w:left="900" w:right="20" w:hanging="263"/>
        <w:spacing w:after="0" w:line="246"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Transaction routing optimized for cost, risk and compliance management</w:t>
      </w:r>
      <w:r>
        <w:rPr>
          <w:rFonts w:ascii="Arial" w:cs="Arial" w:eastAsia="Arial" w:hAnsi="Arial"/>
          <w:sz w:val="18"/>
          <w:szCs w:val="18"/>
          <w:color w:val="auto"/>
        </w:rPr>
        <w:t>. We leverage the “plug and play” configuration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49" w:lineRule="exact"/>
        <w:rPr>
          <w:rFonts w:ascii="Times New Roman" w:cs="Times New Roman" w:eastAsia="Times New Roman" w:hAnsi="Times New Roman"/>
          <w:sz w:val="18"/>
          <w:szCs w:val="18"/>
          <w:color w:val="auto"/>
        </w:rPr>
      </w:pPr>
    </w:p>
    <w:p>
      <w:pPr>
        <w:ind w:left="900" w:right="100" w:hanging="263"/>
        <w:spacing w:after="0" w:line="243"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Local clearing capabilities</w:t>
      </w:r>
      <w:r>
        <w:rPr>
          <w:rFonts w:ascii="Arial" w:cs="Arial" w:eastAsia="Arial" w:hAnsi="Arial"/>
          <w:sz w:val="18"/>
          <w:szCs w:val="18"/>
          <w:color w:val="auto"/>
        </w:rPr>
        <w:t>. Our clients’ customers have the ability to authorize and clear transactions in over 240 countries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spacing w:after="0" w:line="139" w:lineRule="exact"/>
        <w:rPr>
          <w:rFonts w:ascii="Times New Roman" w:cs="Times New Roman" w:eastAsia="Times New Roman" w:hAnsi="Times New Roman"/>
          <w:sz w:val="18"/>
          <w:szCs w:val="18"/>
          <w:color w:val="auto"/>
        </w:rPr>
      </w:pPr>
    </w:p>
    <w:p>
      <w:pPr>
        <w:ind w:left="900" w:right="380" w:hanging="263"/>
        <w:spacing w:after="0" w:line="274" w:lineRule="auto"/>
        <w:tabs>
          <w:tab w:leader="none" w:pos="90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Ecosystem of alternative payment methods</w:t>
      </w:r>
      <w:r>
        <w:rPr>
          <w:rFonts w:ascii="Arial" w:cs="Arial" w:eastAsia="Arial" w:hAnsi="Arial"/>
          <w:sz w:val="17"/>
          <w:szCs w:val="17"/>
          <w:color w:val="auto"/>
        </w:rPr>
        <w:t>. We offer a myriad of alternative payment methods, such as Alipay, Boleto,</w:t>
      </w:r>
      <w:r>
        <w:rPr>
          <w:rFonts w:ascii="Arial" w:cs="Arial" w:eastAsia="Arial" w:hAnsi="Arial"/>
          <w:sz w:val="17"/>
          <w:szCs w:val="17"/>
          <w:b w:val="1"/>
          <w:bCs w:val="1"/>
          <w:color w:val="auto"/>
        </w:rPr>
        <w:t xml:space="preserve"> </w:t>
      </w:r>
      <w:r>
        <w:rPr>
          <w:rFonts w:ascii="Arial" w:cs="Arial" w:eastAsia="Arial" w:hAnsi="Arial"/>
          <w:sz w:val="17"/>
          <w:szCs w:val="17"/>
          <w:color w:val="auto"/>
        </w:rPr>
        <w:t>PayPal / Venmo, and Trustly, to allow our clients’ customers to choose how they pay. We believe this helps promote greater adoption of our payments platform, higher levels of engagement and satisfaction, and increased value across our ecosystem.</w:t>
      </w:r>
    </w:p>
    <w:p>
      <w:pPr>
        <w:spacing w:after="0" w:line="112" w:lineRule="exact"/>
        <w:rPr>
          <w:rFonts w:ascii="Times New Roman" w:cs="Times New Roman" w:eastAsia="Times New Roman" w:hAnsi="Times New Roman"/>
          <w:sz w:val="17"/>
          <w:szCs w:val="17"/>
          <w:color w:val="auto"/>
        </w:rPr>
      </w:pPr>
    </w:p>
    <w:p>
      <w:pPr>
        <w:ind w:left="900" w:hanging="263"/>
        <w:spacing w:after="0" w:line="252"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Global pay-out</w:t>
      </w:r>
      <w:r>
        <w:rPr>
          <w:rFonts w:ascii="Arial" w:cs="Arial" w:eastAsia="Arial" w:hAnsi="Arial"/>
          <w:sz w:val="18"/>
          <w:szCs w:val="18"/>
          <w:color w:val="auto"/>
        </w:rPr>
        <w:t>. We enable our clients to automate disbursements and seamlessly settle in over 140 currencies via pay-out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local currency bank deposits. We believe we are able to settle pay-out more quickly given our end-to-end control and visibility of the transaction process.</w:t>
      </w:r>
    </w:p>
    <w:p>
      <w:pPr>
        <w:spacing w:after="0" w:line="143" w:lineRule="exact"/>
        <w:rPr>
          <w:rFonts w:ascii="Times New Roman" w:cs="Times New Roman" w:eastAsia="Times New Roman" w:hAnsi="Times New Roman"/>
          <w:sz w:val="18"/>
          <w:szCs w:val="18"/>
          <w:color w:val="auto"/>
        </w:rPr>
      </w:pPr>
    </w:p>
    <w:p>
      <w:pPr>
        <w:ind w:left="900" w:right="180" w:hanging="263"/>
        <w:spacing w:after="0" w:line="243"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Tailored and scalable regulatory and compliance infrastructure</w:t>
      </w:r>
      <w:r>
        <w:rPr>
          <w:rFonts w:ascii="Arial" w:cs="Arial" w:eastAsia="Arial" w:hAnsi="Arial"/>
          <w:sz w:val="18"/>
          <w:szCs w:val="18"/>
          <w:color w:val="auto"/>
        </w:rPr>
        <w:t>. This foundational element underpins our global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We have fraud and transaction monitoring tools designed to accommodate multiple industry verticals. We combine this with the application of know-your customer (KYC) and anti-money laundering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18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28"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application programming interfaces (APIs), include some of the largest and most recognized accounting and enterprise resource planning (ERP) systems, such as Ellucian Company, L.P. and Tribal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185" w:lineRule="exact"/>
        <w:rPr>
          <w:sz w:val="20"/>
          <w:szCs w:val="20"/>
          <w:color w:val="auto"/>
        </w:rPr>
      </w:pPr>
    </w:p>
    <w:p>
      <w:pPr>
        <w:ind w:left="900" w:right="100" w:hanging="263"/>
        <w:spacing w:after="0" w:line="242"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Vertical-specific digital workflows</w:t>
      </w:r>
      <w:r>
        <w:rPr>
          <w:rFonts w:ascii="Arial" w:cs="Arial" w:eastAsia="Arial" w:hAnsi="Arial"/>
          <w:sz w:val="18"/>
          <w:szCs w:val="18"/>
          <w:color w:val="auto"/>
        </w:rPr>
        <w:t>. We help our clients automate the accounts receivable process from creation of an invoice</w:t>
      </w:r>
      <w:r>
        <w:rPr>
          <w:rFonts w:ascii="Arial" w:cs="Arial" w:eastAsia="Arial" w:hAnsi="Arial"/>
          <w:sz w:val="18"/>
          <w:szCs w:val="18"/>
          <w:b w:val="1"/>
          <w:bCs w:val="1"/>
          <w:color w:val="auto"/>
        </w:rPr>
        <w:t xml:space="preserve"> </w:t>
      </w:r>
      <w:r>
        <w:rPr>
          <w:rFonts w:ascii="Arial" w:cs="Arial" w:eastAsia="Arial" w:hAnsi="Arial"/>
          <w:sz w:val="18"/>
          <w:szCs w:val="18"/>
          <w:color w:val="auto"/>
        </w:rPr>
        <w:t>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137" w:lineRule="exact"/>
        <w:rPr>
          <w:rFonts w:ascii="Times New Roman" w:cs="Times New Roman" w:eastAsia="Times New Roman" w:hAnsi="Times New Roman"/>
          <w:sz w:val="18"/>
          <w:szCs w:val="18"/>
          <w:color w:val="auto"/>
        </w:rPr>
      </w:pPr>
    </w:p>
    <w:p>
      <w:pPr>
        <w:ind w:left="900" w:right="340" w:hanging="263"/>
        <w:spacing w:after="0" w:line="252"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Integration and synchronization to core and industry specific systems</w:t>
      </w:r>
      <w:r>
        <w:rPr>
          <w:rFonts w:ascii="Arial" w:cs="Arial" w:eastAsia="Arial" w:hAnsi="Arial"/>
          <w:sz w:val="18"/>
          <w:szCs w:val="18"/>
          <w:color w:val="auto"/>
        </w:rPr>
        <w:t>. Our software is designed to automate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reconciliation by synchronizing customer transactions with our client’s accounting and ERP systems. Our synchronization capabilities substantially reduce double data-entry and increase efficiency.</w:t>
      </w:r>
    </w:p>
    <w:p>
      <w:pPr>
        <w:spacing w:after="0" w:line="130"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Real-time access</w:t>
      </w:r>
      <w:r>
        <w:rPr>
          <w:rFonts w:ascii="Arial" w:cs="Arial" w:eastAsia="Arial" w:hAnsi="Arial"/>
          <w:sz w:val="18"/>
          <w:szCs w:val="18"/>
          <w:color w:val="auto"/>
        </w:rPr>
        <w:t>. By leveraging our data, our clients can access real-time invoice and payment status updates,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communication with customers and easily track payments from their customers.</w:t>
      </w:r>
    </w:p>
    <w:p>
      <w:pPr>
        <w:spacing w:after="0" w:line="127" w:lineRule="exact"/>
        <w:rPr>
          <w:rFonts w:ascii="Times New Roman" w:cs="Times New Roman" w:eastAsia="Times New Roman" w:hAnsi="Times New Roman"/>
          <w:sz w:val="18"/>
          <w:szCs w:val="18"/>
          <w:color w:val="auto"/>
        </w:rPr>
      </w:pPr>
    </w:p>
    <w:p>
      <w:pPr>
        <w:ind w:left="900" w:right="280" w:hanging="263"/>
        <w:spacing w:after="0" w:line="246"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Predictive analytics</w:t>
      </w:r>
      <w:r>
        <w:rPr>
          <w:rFonts w:ascii="Arial" w:cs="Arial" w:eastAsia="Arial" w:hAnsi="Arial"/>
          <w:sz w:val="18"/>
          <w:szCs w:val="18"/>
          <w:color w:val="auto"/>
        </w:rPr>
        <w:t>. We have robust predictive analytics capabilities to assess payment transactions across our client base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intelligently determine the appropriate pricing or 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spacing w:after="0" w:line="136" w:lineRule="exact"/>
        <w:rPr>
          <w:sz w:val="20"/>
          <w:szCs w:val="20"/>
          <w:color w:val="auto"/>
        </w:rPr>
      </w:pPr>
    </w:p>
    <w:p>
      <w:pPr>
        <w:ind w:right="40" w:firstLine="559"/>
        <w:spacing w:after="0" w:line="244" w:lineRule="auto"/>
        <w:rPr>
          <w:sz w:val="20"/>
          <w:szCs w:val="20"/>
          <w:color w:val="auto"/>
        </w:rPr>
      </w:pPr>
      <w:r>
        <w:rPr>
          <w:rFonts w:ascii="Arial" w:cs="Arial" w:eastAsia="Arial" w:hAnsi="Arial"/>
          <w:sz w:val="18"/>
          <w:szCs w:val="18"/>
          <w:color w:val="auto"/>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1974215</wp:posOffset>
            </wp:positionH>
            <wp:positionV relativeFrom="page">
              <wp:posOffset>869315</wp:posOffset>
            </wp:positionV>
            <wp:extent cx="3917315" cy="3857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391731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7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Globalization—and the rise of a “borderless” economy—requires global, cross-border and local payment and regulatory expertise</w:t>
      </w:r>
    </w:p>
    <w:p>
      <w:pPr>
        <w:spacing w:after="0" w:line="19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4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The shift to software-integrated digital payments is accelerating</w:t>
      </w:r>
    </w:p>
    <w:p>
      <w:pPr>
        <w:spacing w:after="0" w:line="18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We expect these trends will impact all industries and force many businesses to accept new digital payment methods. We believe fully integrated payments and software solutions, including those provided by us, enable businesses to offer seamless payment experiences, minimize friction at the point-of-sale and respond to evolving customer preferences.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payment and accounts receivable management infrastructure has significant limitations and is ripe for innovation</w:t>
      </w:r>
    </w:p>
    <w:p>
      <w:pPr>
        <w:spacing w:after="0" w:line="16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Even in some of the largest industries in the world, such as education, healthcare, and travel, legacy payment and accounts receivable infrastructure has not evolved to streamline complexities nor enhance efficiency as demanded by organizations or their customers. This legacy infrastructure has the following limitations:</w:t>
      </w:r>
    </w:p>
    <w:p>
      <w:pPr>
        <w:spacing w:after="0" w:line="142" w:lineRule="exact"/>
        <w:rPr>
          <w:sz w:val="20"/>
          <w:szCs w:val="20"/>
          <w:color w:val="auto"/>
        </w:rPr>
      </w:pPr>
    </w:p>
    <w:p>
      <w:pPr>
        <w:ind w:left="900" w:right="40" w:hanging="263"/>
        <w:spacing w:after="0" w:line="242"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Paper-based. </w:t>
      </w:r>
      <w:r>
        <w:rPr>
          <w:rFonts w:ascii="Arial" w:cs="Arial" w:eastAsia="Arial" w:hAnsi="Arial"/>
          <w:sz w:val="18"/>
          <w:szCs w:val="18"/>
          <w:color w:val="auto"/>
        </w:rPr>
        <w:t>The accounts receivable process, from creation of an invoice to delivery to the customer, is most often still</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paper. This paper-based workflow not only results in payment flows that are slow, error-prone, and less secure, but is also costly for businesses. According to studies that we commissioned, 55% of businesses surveyed lost 4-5% of revenue each month due to payment inefficiencies and 89% experience lost opportunity cost due to time spent dealing with accounts receivable challenges. We digitize and automate the accounts receivable process from start to finish, allowing clients to rely on our solutions and save on their accounts receivable transaction and processing costs.</w:t>
      </w:r>
    </w:p>
    <w:p>
      <w:pPr>
        <w:spacing w:after="0" w:line="137" w:lineRule="exact"/>
        <w:rPr>
          <w:rFonts w:ascii="Times New Roman" w:cs="Times New Roman" w:eastAsia="Times New Roman" w:hAnsi="Times New Roman"/>
          <w:sz w:val="18"/>
          <w:szCs w:val="18"/>
          <w:color w:val="auto"/>
        </w:rPr>
      </w:pPr>
    </w:p>
    <w:p>
      <w:pPr>
        <w:ind w:left="900" w:right="60" w:hanging="263"/>
        <w:spacing w:after="0"/>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Manual. </w:t>
      </w:r>
      <w:r>
        <w:rPr>
          <w:rFonts w:ascii="Arial" w:cs="Arial" w:eastAsia="Arial" w:hAnsi="Arial"/>
          <w:sz w:val="18"/>
          <w:szCs w:val="18"/>
          <w:color w:val="auto"/>
        </w:rPr>
        <w:t>Legacy workflows require manual input of employees at every stage of the accounts receivable process: from opening</w:t>
      </w:r>
      <w:r>
        <w:rPr>
          <w:rFonts w:ascii="Arial" w:cs="Arial" w:eastAsia="Arial" w:hAnsi="Arial"/>
          <w:sz w:val="18"/>
          <w:szCs w:val="18"/>
          <w:b w:val="1"/>
          <w:bCs w:val="1"/>
          <w:color w:val="auto"/>
        </w:rPr>
        <w:t xml:space="preserve"> </w:t>
      </w:r>
      <w:r>
        <w:rPr>
          <w:rFonts w:ascii="Arial" w:cs="Arial" w:eastAsia="Arial" w:hAnsi="Arial"/>
          <w:sz w:val="18"/>
          <w:szCs w:val="18"/>
          <w:color w:val="auto"/>
        </w:rPr>
        <w:t>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American Productivity and Quality Center (APQC). Our clients can easily leverage our solutions for traditional back-office tasks, with less manual labor involved from start to finish.</w:t>
      </w:r>
    </w:p>
    <w:p>
      <w:pPr>
        <w:spacing w:after="0" w:line="143" w:lineRule="exact"/>
        <w:rPr>
          <w:rFonts w:ascii="Times New Roman" w:cs="Times New Roman" w:eastAsia="Times New Roman" w:hAnsi="Times New Roman"/>
          <w:sz w:val="18"/>
          <w:szCs w:val="18"/>
          <w:color w:val="auto"/>
        </w:rPr>
      </w:pPr>
    </w:p>
    <w:p>
      <w:pPr>
        <w:ind w:left="900" w:right="480" w:hanging="263"/>
        <w:spacing w:after="0" w:line="243"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Disparate. </w:t>
      </w:r>
      <w:r>
        <w:rPr>
          <w:rFonts w:ascii="Arial" w:cs="Arial" w:eastAsia="Arial" w:hAnsi="Arial"/>
          <w:sz w:val="18"/>
          <w:szCs w:val="18"/>
          <w:color w:val="auto"/>
        </w:rPr>
        <w:t>Many businesses deal with multiple accounting and reconciliation systems to process a single transaction flow.</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APQC survey data, inefficient processing of receivables requires almost 2.5 times as many FTE resources compared to top-performing 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spacing w:after="0" w:line="152" w:lineRule="exact"/>
        <w:rPr>
          <w:rFonts w:ascii="Times New Roman" w:cs="Times New Roman" w:eastAsia="Times New Roman" w:hAnsi="Times New Roman"/>
          <w:sz w:val="18"/>
          <w:szCs w:val="18"/>
          <w:color w:val="auto"/>
        </w:rPr>
      </w:pPr>
    </w:p>
    <w:p>
      <w:pPr>
        <w:ind w:left="900" w:right="20" w:hanging="263"/>
        <w:spacing w:after="0"/>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Lacking functionality and capabilities that drive value. </w:t>
      </w:r>
      <w:r>
        <w:rPr>
          <w:rFonts w:ascii="Arial" w:cs="Arial" w:eastAsia="Arial" w:hAnsi="Arial"/>
          <w:sz w:val="18"/>
          <w:szCs w:val="18"/>
          <w:color w:val="auto"/>
        </w:rPr>
        <w:t>A large number of businesses attempt to use their current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Accelerating digitization of B2B payments</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believe the B2B payments market remains one of the largest untapped opportunities in the payments industry.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Our Market Opportunity</w:t>
      </w:r>
    </w:p>
    <w:p>
      <w:pPr>
        <w:spacing w:after="0" w:line="185"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2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along with rising tuition costs, have added financial strain and created collections problems. Despite these shortfalls, the demand for domestic and cross-border money movement continues to accelerate and global payments present one of the largest market opportunities.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8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169" w:lineRule="exact"/>
        <w:rPr>
          <w:sz w:val="20"/>
          <w:szCs w:val="20"/>
          <w:color w:val="auto"/>
        </w:rPr>
      </w:pPr>
    </w:p>
    <w:p>
      <w:pPr>
        <w:ind w:left="900" w:right="160" w:hanging="263"/>
        <w:spacing w:after="0" w:line="243"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Grow with existing clients. </w:t>
      </w:r>
      <w:r>
        <w:rPr>
          <w:rFonts w:ascii="Arial" w:cs="Arial" w:eastAsia="Arial" w:hAnsi="Arial"/>
          <w:sz w:val="18"/>
          <w:szCs w:val="18"/>
          <w:color w:val="auto"/>
        </w:rPr>
        <w:t>We intend to continue to become a more integral part of our clients’ businesses as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clients’ customers who utilize our solutions increases. Our track record of organic growth with our clients is demonstrated by our three-year average annual net dollar-based retention rate, which averaged approximately 121% for the years ended December 31, 2022 through December 31, 2024. As our clients transform and digitize their operational workflows, we plan to encourage them to add additional solutions, such as tailored invoicing, payment plans, and eStore marketplace.</w:t>
      </w:r>
    </w:p>
    <w:p>
      <w:pPr>
        <w:spacing w:after="0" w:line="152" w:lineRule="exact"/>
        <w:rPr>
          <w:rFonts w:ascii="Times New Roman" w:cs="Times New Roman" w:eastAsia="Times New Roman" w:hAnsi="Times New Roman"/>
          <w:sz w:val="18"/>
          <w:szCs w:val="18"/>
          <w:color w:val="auto"/>
        </w:rPr>
      </w:pPr>
    </w:p>
    <w:p>
      <w:pPr>
        <w:jc w:val="both"/>
        <w:ind w:left="900" w:right="260" w:hanging="263"/>
        <w:spacing w:after="0" w:line="252"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Continue to win new clients. </w:t>
      </w:r>
      <w:r>
        <w:rPr>
          <w:rFonts w:ascii="Arial" w:cs="Arial" w:eastAsia="Arial" w:hAnsi="Arial"/>
          <w:sz w:val="18"/>
          <w:szCs w:val="18"/>
          <w:color w:val="auto"/>
        </w:rPr>
        <w:t>We plan to expand our sales and marketing efforts to increase brand awareness and highlight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our solutions. We believe this will attract new clients to Flywire and as we add more clients, we can accelerate the effects of our flywheel.</w:t>
      </w:r>
    </w:p>
    <w:p>
      <w:pPr>
        <w:spacing w:after="0" w:line="130" w:lineRule="exact"/>
        <w:rPr>
          <w:rFonts w:ascii="Times New Roman" w:cs="Times New Roman" w:eastAsia="Times New Roman" w:hAnsi="Times New Roman"/>
          <w:sz w:val="18"/>
          <w:szCs w:val="18"/>
          <w:color w:val="auto"/>
        </w:rPr>
      </w:pPr>
    </w:p>
    <w:p>
      <w:pPr>
        <w:ind w:left="900" w:right="20" w:hanging="263"/>
        <w:spacing w:after="0" w:line="246"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Increase payments platform monetization. </w:t>
      </w:r>
      <w:r>
        <w:rPr>
          <w:rFonts w:ascii="Arial" w:cs="Arial" w:eastAsia="Arial" w:hAnsi="Arial"/>
          <w:sz w:val="18"/>
          <w:szCs w:val="18"/>
          <w:color w:val="auto"/>
        </w:rPr>
        <w:t>We have the opportunity to offer additional complementary payment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36" w:lineRule="exact"/>
        <w:rPr>
          <w:rFonts w:ascii="Times New Roman" w:cs="Times New Roman" w:eastAsia="Times New Roman" w:hAnsi="Times New Roman"/>
          <w:sz w:val="18"/>
          <w:szCs w:val="18"/>
          <w:color w:val="auto"/>
        </w:rPr>
      </w:pPr>
    </w:p>
    <w:p>
      <w:pPr>
        <w:ind w:left="900" w:right="20" w:hanging="263"/>
        <w:spacing w:after="0" w:line="270"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 our solution portfolio. </w:t>
      </w:r>
      <w:r>
        <w:rPr>
          <w:rFonts w:ascii="Arial" w:cs="Arial" w:eastAsia="Arial" w:hAnsi="Arial"/>
          <w:sz w:val="18"/>
          <w:szCs w:val="18"/>
          <w:color w:val="auto"/>
        </w:rPr>
        <w:t>We expect to continue investing in our solution portfolio by expanding the breadth and depth of</w:t>
      </w:r>
      <w:r>
        <w:rPr>
          <w:rFonts w:ascii="Arial" w:cs="Arial" w:eastAsia="Arial" w:hAnsi="Arial"/>
          <w:sz w:val="18"/>
          <w:szCs w:val="18"/>
          <w:b w:val="1"/>
          <w:bCs w:val="1"/>
          <w:color w:val="auto"/>
        </w:rPr>
        <w:t xml:space="preserve"> </w:t>
      </w:r>
      <w:r>
        <w:rPr>
          <w:rFonts w:ascii="Arial" w:cs="Arial" w:eastAsia="Arial" w:hAnsi="Arial"/>
          <w:sz w:val="18"/>
          <w:szCs w:val="18"/>
          <w:color w:val="auto"/>
        </w:rPr>
        <w:t>our payments and software capabilities.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69"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 Additionally, there are other industries, including real estate and government taxes, that we believe are poorly digitized and could benefit from our solutions.</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8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to date nearly all of the clients and employees from our Cohort Go, StudyLink and Invoiced acquisitions. We believe our approach and breadth of experience in integrating culturally-aligned businesses position us to maximize the value we derive from future acquisitions.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1"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We derive revenue from transactions and platform and other revenues. Each new student tuition bill, patient visit, travel journey and business invoice is an opportunity for us to generate fees.</w:t>
      </w:r>
    </w:p>
    <w:p>
      <w:pPr>
        <w:spacing w:after="0" w:line="127"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Illustration of Our Solution</w:t>
      </w:r>
    </w:p>
    <w:p>
      <w:pPr>
        <w:spacing w:after="0" w:line="1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spacing w:after="0" w:line="147" w:lineRule="exact"/>
        <w:rPr>
          <w:sz w:val="20"/>
          <w:szCs w:val="20"/>
          <w:color w:val="auto"/>
        </w:rPr>
      </w:pPr>
    </w:p>
    <w:p>
      <w:pPr>
        <w:ind w:right="200" w:firstLine="509"/>
        <w:spacing w:after="0"/>
        <w:rPr>
          <w:sz w:val="20"/>
          <w:szCs w:val="20"/>
          <w:color w:val="auto"/>
        </w:rPr>
      </w:pPr>
      <w:r>
        <w:rPr>
          <w:rFonts w:ascii="Arial" w:cs="Arial" w:eastAsia="Arial" w:hAnsi="Arial"/>
          <w:sz w:val="18"/>
          <w:szCs w:val="18"/>
          <w:b w:val="1"/>
          <w:bCs w:val="1"/>
          <w:i w:val="1"/>
          <w:iCs w:val="1"/>
          <w:color w:val="auto"/>
        </w:rPr>
        <w:t>International Payment Example</w:t>
      </w:r>
      <w:r>
        <w:rPr>
          <w:rFonts w:ascii="Arial" w:cs="Arial" w:eastAsia="Arial" w:hAnsi="Arial"/>
          <w:sz w:val="18"/>
          <w:szCs w:val="18"/>
          <w:color w:val="auto"/>
        </w:rPr>
        <w:t>: In the first example below, a Chinese student paying their tuition to a Canadian university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 seamless process from start to finish—choosing their 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rate exposure, please see “Management’s Discussion and Analysis of Financial Condition and Results of Operations -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103505</wp:posOffset>
            </wp:positionV>
            <wp:extent cx="4149090" cy="3077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4909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1" w:right="359" w:bottom="1440" w:gutter="0" w:footer="0" w:header="0"/>
        </w:sectPr>
      </w:pPr>
    </w:p>
    <w:bookmarkStart w:id="16" w:name="page17"/>
    <w:bookmarkEnd w:id="16"/>
    <w:p>
      <w:pPr>
        <w:ind w:right="40" w:firstLine="509"/>
        <w:spacing w:after="0" w:line="271" w:lineRule="auto"/>
        <w:rPr>
          <w:sz w:val="20"/>
          <w:szCs w:val="20"/>
          <w:color w:val="auto"/>
        </w:rPr>
      </w:pPr>
      <w:r>
        <w:rPr>
          <w:rFonts w:ascii="Arial" w:cs="Arial" w:eastAsia="Arial" w:hAnsi="Arial"/>
          <w:sz w:val="18"/>
          <w:szCs w:val="18"/>
          <w:b w:val="1"/>
          <w:bCs w:val="1"/>
          <w:i w:val="1"/>
          <w:iCs w:val="1"/>
          <w:color w:val="auto"/>
        </w:rPr>
        <w:t>Domestic Payment Example</w:t>
      </w:r>
      <w:r>
        <w:rPr>
          <w:rFonts w:ascii="Arial" w:cs="Arial" w:eastAsia="Arial" w:hAnsi="Arial"/>
          <w:sz w:val="18"/>
          <w:szCs w:val="18"/>
          <w:color w:val="auto"/>
        </w:rPr>
        <w:t>: The example below illustrates the process of offering payment plans to domestic students, which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100965</wp:posOffset>
            </wp:positionV>
            <wp:extent cx="4131945" cy="2717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3194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 Strategy</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44"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3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4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also reach clients indirectly through our channel partnerships, integrations with workflow software, and other technology providers. Our channel partners include financial institutions, such as Bank of America Corporation, as well as a number of referral partners such as Tribal Group PLC and Oracle Heath, Inc. Additionally, Flywire has integrations with leading accounting and ERP systems, such as Oracle Corporation, Ellucian Company, L.P., Epic Systems Corporation and Rezdy Pty Ltd.</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Our Technology and Architecture</w:t>
      </w:r>
    </w:p>
    <w:p>
      <w:pPr>
        <w:spacing w:after="0" w:line="18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 xml:space="preserve">Our unified technology is at the core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33" w:lineRule="exact"/>
        <w:rPr>
          <w:sz w:val="20"/>
          <w:szCs w:val="20"/>
          <w:color w:val="auto"/>
        </w:rPr>
      </w:pPr>
    </w:p>
    <w:p>
      <w:pPr>
        <w:ind w:right="360" w:firstLine="509"/>
        <w:spacing w:after="0" w:line="247" w:lineRule="auto"/>
        <w:rPr>
          <w:sz w:val="20"/>
          <w:szCs w:val="20"/>
          <w:color w:val="auto"/>
        </w:rPr>
      </w:pPr>
      <w:r>
        <w:rPr>
          <w:rFonts w:ascii="Arial" w:cs="Arial" w:eastAsia="Arial" w:hAnsi="Arial"/>
          <w:sz w:val="18"/>
          <w:szCs w:val="18"/>
          <w:color w:val="auto"/>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172200" cy="3162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Payments-as-a-Service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next-gen payments platform includes the infrastructure required to support more than just simple money flows:</w:t>
      </w:r>
    </w:p>
    <w:p>
      <w:pPr>
        <w:spacing w:after="0" w:line="185" w:lineRule="exact"/>
        <w:rPr>
          <w:sz w:val="20"/>
          <w:szCs w:val="20"/>
          <w:color w:val="auto"/>
        </w:rPr>
      </w:pPr>
    </w:p>
    <w:p>
      <w:pPr>
        <w:ind w:left="900" w:hanging="263"/>
        <w:spacing w:after="0"/>
        <w:tabs>
          <w:tab w:leader="none" w:pos="9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Payment services</w:t>
      </w:r>
      <w:r>
        <w:rPr>
          <w:rFonts w:ascii="Arial" w:cs="Arial" w:eastAsia="Arial" w:hAnsi="Arial"/>
          <w:sz w:val="18"/>
          <w:szCs w:val="18"/>
          <w:color w:val="auto"/>
        </w:rPr>
        <w:t>.  Our technology to capture the payment from our clients’ customers.</w:t>
      </w:r>
    </w:p>
    <w:p>
      <w:pPr>
        <w:spacing w:after="0" w:line="183" w:lineRule="exact"/>
        <w:rPr>
          <w:rFonts w:ascii="Times New Roman" w:cs="Times New Roman" w:eastAsia="Times New Roman" w:hAnsi="Times New Roman"/>
          <w:sz w:val="18"/>
          <w:szCs w:val="18"/>
          <w:color w:val="auto"/>
        </w:rPr>
      </w:pPr>
    </w:p>
    <w:p>
      <w:pPr>
        <w:ind w:left="900" w:right="300" w:hanging="263"/>
        <w:spacing w:after="0" w:line="270" w:lineRule="auto"/>
        <w:tabs>
          <w:tab w:leader="none" w:pos="9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Enabling services</w:t>
      </w:r>
      <w:r>
        <w:rPr>
          <w:rFonts w:ascii="Arial" w:cs="Arial" w:eastAsia="Arial" w:hAnsi="Arial"/>
          <w:sz w:val="18"/>
          <w:szCs w:val="18"/>
          <w:color w:val="auto"/>
        </w:rPr>
        <w:t>. Our proprietary pricing engine, foreign currency exchange hedging infrastructure, and ML technology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fraud and AML risk.</w:t>
      </w:r>
    </w:p>
    <w:p>
      <w:pPr>
        <w:spacing w:after="0" w:line="113"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Transaction processing services</w:t>
      </w:r>
      <w:r>
        <w:rPr>
          <w:rFonts w:ascii="Arial" w:cs="Arial" w:eastAsia="Arial" w:hAnsi="Arial"/>
          <w:sz w:val="18"/>
          <w:szCs w:val="18"/>
          <w:color w:val="auto"/>
        </w:rPr>
        <w:t>. Our routing capabilities enabled by our automated technology to deliver on-time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appropriate destination.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Software-as-a-Service</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is delivered as a software solution and leverages our AI and ML and deep analytics systems.</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Public Application Programming Interface (API)</w:t>
      </w:r>
    </w:p>
    <w:p>
      <w:pPr>
        <w:spacing w:after="0" w:line="18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have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3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Amazon Web Services (AWS) for our cloud redundancy, and tools such Pingdom, Cloudflare, and PagerDuty for an uninterrupted experience for our clients and their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Compliance and Risk Management Foundation</w:t>
      </w:r>
    </w:p>
    <w:p>
      <w:pPr>
        <w:spacing w:after="0" w:line="18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(both SOC 1, Type II and SOC 2, Type II), Payment Card Industry Data Security Standard (PCI DSS), and Americans with Disabilities Act (ADA) compliance, HITRUST Common Security Framework certification (Particularly relevant to our healthcare vertical), as well as systems and processes designed to ensure compliance with the General Data Protection Regulation (GDPR) in Europe, the Data Security Law (DSL) and Personal Information Protection Law (PIPL) in China, the California Consumer Protection Act (CCPA), the Personal Information Protection and Electronic Documents Act in Canada, Family Educational Rights and Privacy Act (FERPA), and Health Insurance Portability and Accountability Act (HIPAA), among others.</w:t>
      </w:r>
    </w:p>
    <w:p>
      <w:pPr>
        <w:spacing w:after="0" w:line="14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Our experienced team, coupled with our advanced technology and software tools, helps us navigate the challenges of global payments in a compliant manner:</w:t>
      </w:r>
    </w:p>
    <w:p>
      <w:pPr>
        <w:spacing w:after="0" w:line="113" w:lineRule="exact"/>
        <w:rPr>
          <w:sz w:val="20"/>
          <w:szCs w:val="20"/>
          <w:color w:val="auto"/>
        </w:rPr>
      </w:pPr>
    </w:p>
    <w:p>
      <w:pPr>
        <w:ind w:left="900" w:right="480" w:hanging="263"/>
        <w:spacing w:after="0" w:line="270"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Local and global regulatory regimes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are able to react nimbly to global and local regulatory changes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our business.</w:t>
      </w:r>
    </w:p>
    <w:p>
      <w:pPr>
        <w:spacing w:after="0" w:line="127" w:lineRule="exact"/>
        <w:rPr>
          <w:rFonts w:ascii="Times New Roman" w:cs="Times New Roman" w:eastAsia="Times New Roman" w:hAnsi="Times New Roman"/>
          <w:sz w:val="18"/>
          <w:szCs w:val="18"/>
          <w:color w:val="auto"/>
        </w:rPr>
      </w:pPr>
    </w:p>
    <w:p>
      <w:pPr>
        <w:ind w:left="900" w:right="220"/>
        <w:spacing w:after="0" w:line="247" w:lineRule="auto"/>
        <w:rPr>
          <w:rFonts w:ascii="Times New Roman" w:cs="Times New Roman" w:eastAsia="Times New Roman" w:hAnsi="Times New Roman"/>
          <w:sz w:val="18"/>
          <w:szCs w:val="18"/>
          <w:color w:val="auto"/>
        </w:rPr>
      </w:pPr>
      <w:r>
        <w:rPr>
          <w:rFonts w:ascii="Arial" w:cs="Arial" w:eastAsia="Arial" w:hAnsi="Arial"/>
          <w:sz w:val="18"/>
          <w:szCs w:val="18"/>
          <w:color w:val="auto"/>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33" w:lineRule="exact"/>
        <w:rPr>
          <w:rFonts w:ascii="Times New Roman" w:cs="Times New Roman" w:eastAsia="Times New Roman" w:hAnsi="Times New Roman"/>
          <w:sz w:val="18"/>
          <w:szCs w:val="18"/>
          <w:color w:val="auto"/>
        </w:rPr>
      </w:pPr>
    </w:p>
    <w:p>
      <w:pPr>
        <w:ind w:left="900" w:hanging="263"/>
        <w:spacing w:after="0" w:line="252"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Currency controls and exemptions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robust controls designed to comply with the requirements of handling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cross-border payments. For example, in certain jurisdictions where it is required, we are able to help track and prove purpose-driven payments through digital document collection and verification integrated with our clients’ systems.</w:t>
      </w:r>
    </w:p>
    <w:p>
      <w:pPr>
        <w:spacing w:after="0" w:line="130" w:lineRule="exact"/>
        <w:rPr>
          <w:rFonts w:ascii="Times New Roman" w:cs="Times New Roman" w:eastAsia="Times New Roman" w:hAnsi="Times New Roman"/>
          <w:sz w:val="18"/>
          <w:szCs w:val="18"/>
          <w:color w:val="auto"/>
        </w:rPr>
      </w:pPr>
    </w:p>
    <w:p>
      <w:pPr>
        <w:ind w:left="900" w:right="240" w:hanging="263"/>
        <w:spacing w:after="0" w:line="243"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Transaction-level risks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payments platform subjects payments to a series of controls, to mitigate the risk of facilitating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52" w:lineRule="exact"/>
        <w:rPr>
          <w:rFonts w:ascii="Times New Roman" w:cs="Times New Roman" w:eastAsia="Times New Roman" w:hAnsi="Times New Roman"/>
          <w:sz w:val="18"/>
          <w:szCs w:val="18"/>
          <w:color w:val="auto"/>
        </w:rPr>
      </w:pPr>
    </w:p>
    <w:p>
      <w:pPr>
        <w:jc w:val="both"/>
        <w:ind w:left="900" w:right="40" w:hanging="263"/>
        <w:spacing w:after="0" w:line="252"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Dedicated, experienced and globally dispersed risk, information/physical security and internal audit function</w:t>
      </w:r>
      <w:r>
        <w:rPr>
          <w:rFonts w:ascii="Arial" w:cs="Arial" w:eastAsia="Arial" w:hAnsi="Arial"/>
          <w:sz w:val="18"/>
          <w:szCs w:val="18"/>
          <w:color w:val="auto"/>
        </w:rPr>
        <w:t>.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consistently maintained a dedicated risk and security team – led by our Chief Information Security Officer – that is global in nature and devises and supports Flywire’s strategy of risk reduction and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9" w:name="page20"/>
    <w:bookmarkEnd w:id="19"/>
    <w:p>
      <w:pPr>
        <w:ind w:left="900" w:right="100"/>
        <w:spacing w:after="0" w:line="247" w:lineRule="auto"/>
        <w:rPr>
          <w:sz w:val="20"/>
          <w:szCs w:val="20"/>
          <w:color w:val="auto"/>
        </w:rPr>
      </w:pPr>
      <w:r>
        <w:rPr>
          <w:rFonts w:ascii="Arial" w:cs="Arial" w:eastAsia="Arial" w:hAnsi="Arial"/>
          <w:sz w:val="18"/>
          <w:szCs w:val="18"/>
          <w:color w:val="auto"/>
        </w:rPr>
        <w:t>business process and information protection excellence by assuring confidentiality, integrity and availability of electronic information. We have also developed an internal audit program utilizing internal and external auditors focused on policies and processes, testing our controls, and reporting on a regular basis to our Audit Committee. Among the focal points are the risk and security program areas:</w:t>
      </w:r>
    </w:p>
    <w:p>
      <w:pPr>
        <w:spacing w:after="0" w:line="66" w:lineRule="exact"/>
        <w:rPr>
          <w:sz w:val="20"/>
          <w:szCs w:val="20"/>
          <w:color w:val="auto"/>
        </w:rPr>
      </w:pPr>
    </w:p>
    <w:p>
      <w:pPr>
        <w:ind w:left="1540" w:right="460" w:hanging="514"/>
        <w:spacing w:after="0" w:line="270" w:lineRule="auto"/>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risk mitigation through outreach, awareness, internal training, assessment, policy development and adoption of best practices;</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building and maintaining secure access protocols and network architecture;</w:t>
      </w:r>
    </w:p>
    <w:p>
      <w:pPr>
        <w:spacing w:after="0" w:line="116" w:lineRule="exact"/>
        <w:rPr>
          <w:rFonts w:ascii="Times New Roman" w:cs="Times New Roman" w:eastAsia="Times New Roman" w:hAnsi="Times New Roman"/>
          <w:sz w:val="18"/>
          <w:szCs w:val="18"/>
          <w:color w:val="auto"/>
        </w:rPr>
      </w:pPr>
    </w:p>
    <w:p>
      <w:pPr>
        <w:ind w:left="1540" w:right="420" w:hanging="514"/>
        <w:spacing w:after="0" w:line="270" w:lineRule="auto"/>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monitoring of networks and systems to protect against, detect and eradicate malicious activity and ensure regulatory compliance;</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managing continuity of operations planning for critical information systems;</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security breaches to contain incidents and improve protocols;</w:t>
      </w:r>
    </w:p>
    <w:p>
      <w:pPr>
        <w:spacing w:after="0" w:line="116" w:lineRule="exact"/>
        <w:rPr>
          <w:rFonts w:ascii="Times New Roman" w:cs="Times New Roman" w:eastAsia="Times New Roman" w:hAnsi="Times New Roman"/>
          <w:sz w:val="18"/>
          <w:szCs w:val="18"/>
          <w:color w:val="auto"/>
        </w:rPr>
      </w:pPr>
    </w:p>
    <w:p>
      <w:pPr>
        <w:ind w:left="1540" w:right="40" w:hanging="514"/>
        <w:spacing w:after="0" w:line="270" w:lineRule="auto"/>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“horizon scanning” and managing and enforcing compliance with global regulations (Sarbanes-Oxley, FERPA, HIPAA, GDPR, ADA and others);</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managing physical security, health and safety (office, business travel and FlyMates);</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enforcing our vendor due diligence program; and</w:t>
      </w:r>
    </w:p>
    <w:p>
      <w:pPr>
        <w:spacing w:after="0" w:line="116" w:lineRule="exact"/>
        <w:rPr>
          <w:rFonts w:ascii="Times New Roman" w:cs="Times New Roman" w:eastAsia="Times New Roman" w:hAnsi="Times New Roman"/>
          <w:sz w:val="18"/>
          <w:szCs w:val="18"/>
          <w:color w:val="auto"/>
        </w:rPr>
      </w:pPr>
    </w:p>
    <w:p>
      <w:pPr>
        <w:ind w:left="1540" w:right="220" w:hanging="514"/>
        <w:spacing w:after="0" w:line="270" w:lineRule="auto"/>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external audits and law enforcement enquiries, conducting internal investigations, and maintaining audit-tested risk and security certifications.</w:t>
      </w:r>
    </w:p>
    <w:p>
      <w:pPr>
        <w:spacing w:after="0" w:line="12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To support these areas of focus, our risk and security team has developed a foundation resting on an appropriate governance and policy structure, robust and scalable security architecture and solutions, frequent internal training of FlyMates and an expansive and continuous cyber security and incident response framework. In addition, we have FlyMates in the compliance and risk management function located around the world where we have operations to address the needs of the business in real-time.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1"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4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128" w:lineRule="exact"/>
        <w:rPr>
          <w:sz w:val="20"/>
          <w:szCs w:val="20"/>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friction in client and customer experiences;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lack of a scaled global network;</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limited software and payments offerings;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adapt to new technology; and</w:t>
      </w:r>
    </w:p>
    <w:p>
      <w:pPr>
        <w:spacing w:after="0" w:line="183" w:lineRule="exact"/>
        <w:rPr>
          <w:rFonts w:ascii="Times New Roman" w:cs="Times New Roman" w:eastAsia="Times New Roman" w:hAnsi="Times New Roman"/>
          <w:sz w:val="18"/>
          <w:szCs w:val="18"/>
          <w:color w:val="auto"/>
        </w:rPr>
      </w:pPr>
    </w:p>
    <w:p>
      <w:pPr>
        <w:ind w:left="520" w:right="5280" w:firstLine="117"/>
        <w:spacing w:after="0" w:line="479" w:lineRule="auto"/>
        <w:tabs>
          <w:tab w:leader="none" w:pos="895"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unsophisticated fraud prevention and risk management tools. We believe that we compete favorably on the basis of these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FlyMates, consultants and contractors and with parties with whom we do business in order to acquire intellectual</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property rights developed as a result of service to Flywire, as well as to limit access to and disclosure of our proprietary information.</w:t>
      </w:r>
    </w:p>
    <w:p>
      <w:pPr>
        <w:spacing w:after="0" w:line="185"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actively pursue registration of our trademarks, logos, service marks, trade dress, and domain names in the United States and in other jurisdictions. As of December 31, 2024, we had 122 registered trademarks and trademark applications, and were the registered holder of a variety of U.S. and international domain names.</w:t>
      </w:r>
    </w:p>
    <w:p>
      <w:pPr>
        <w:spacing w:after="0" w:line="128" w:lineRule="exact"/>
        <w:rPr>
          <w:sz w:val="20"/>
          <w:szCs w:val="20"/>
          <w:color w:val="auto"/>
        </w:rPr>
      </w:pPr>
    </w:p>
    <w:p>
      <w:pPr>
        <w:ind w:right="140" w:firstLine="509"/>
        <w:spacing w:after="0" w:line="301" w:lineRule="auto"/>
        <w:rPr>
          <w:sz w:val="20"/>
          <w:szCs w:val="20"/>
          <w:color w:val="auto"/>
        </w:rPr>
      </w:pPr>
      <w:r>
        <w:rPr>
          <w:rFonts w:ascii="Arial" w:cs="Arial" w:eastAsia="Arial" w:hAnsi="Arial"/>
          <w:sz w:val="17"/>
          <w:szCs w:val="17"/>
          <w:color w:val="auto"/>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9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Regulation and Industry Standards</w:t>
      </w:r>
    </w:p>
    <w:p>
      <w:pPr>
        <w:spacing w:after="0" w:line="1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33"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We are registered as a Money Service Business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47"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BSA is the primary compendium of U.S. laws and regulations regarding AML and countering the financing of terrorism (CFT). As required under the BSA, we have implemented and continue to expand an AML and 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 and 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3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If our compliance programs are found to be deficient, we could lose key relationships with banks, merchant acquirers, and other payment partners on which we rely to carry out our business. Fines, penalties or sanctions for the violation of AML and CFT laws and regulations may be severe and our efforts to remediate issues may be costly, may result in diversion of management and staff time and effort, and may still not guarantee compliance. 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cashflows.</w:t>
      </w:r>
    </w:p>
    <w:p>
      <w:pPr>
        <w:spacing w:after="0" w:line="145"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Most states in the United States require a license to offer money transmission services. We are in the process of procuring money transmitter licenses (or the statutory equivalent) in those U.S. jurisdictions that require them in order to be able to offer additional business lines in the future. We have procured and maintain money transmitter licenses in 45 U.S. jurisdictions, and actively work to comply with new license requirements as they arise. We have taken the position that Flywire’s business to date is exempt from licensure under various state money transmission laws, either expressly as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21" w:name="page22"/>
    <w:bookmarkEnd w:id="21"/>
    <w:p>
      <w:pPr>
        <w:ind w:right="100"/>
        <w:spacing w:after="0" w:line="238" w:lineRule="auto"/>
        <w:rPr>
          <w:sz w:val="20"/>
          <w:szCs w:val="20"/>
          <w:color w:val="auto"/>
        </w:rPr>
      </w:pPr>
      <w:r>
        <w:rPr>
          <w:rFonts w:ascii="Arial" w:cs="Arial" w:eastAsia="Arial" w:hAnsi="Arial"/>
          <w:sz w:val="18"/>
          <w:szCs w:val="18"/>
          <w:color w:val="auto"/>
        </w:rPr>
        <w:t>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 money transmission, and they have been subject to fines and other penalties by regulatory authorities. Regulators and third-party auditors have also identified gaps in how similar businesses have implemented AML and CFT programs. The adoption of new money transmitter or MSB statutes, or changes in regulators’ interpretation of existing state and federal money transmitter or MSB statutes or regulations, could subject Flywire to new registration, licensing or other requirements. Any determination that Flywire is in fact required to be licensed under such state money transmission or MSB statutes may require substantial expenditures of time and money and could lead to liability in the nature of penalties or fines, as well as cause us to be required to cease operations in some of the U.S. jurisdictions we serve.</w:t>
      </w:r>
    </w:p>
    <w:p>
      <w:pPr>
        <w:spacing w:after="0" w:line="159"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With respect to the money transmission licenses we maintain in U.S. jurisdictions, we are subjected to, among other things,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36"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Similar regulatory requirements exist in other markets where we do business. For example, local Flywire entities are licensed as Authorised Payments Institutions in each of the United Kingdom (U.K.) (regulated by the Financial Conduct Authority (FCA)) and Lithuania (regulated by the Bank of Lithuania (BOL)), and Australia (regulated by the Australian Securities &amp; Investments Commission (ASIC)). In addition, we have secured approval for a Major Payment Institution license from the Monetary Authority of Singapore (MAS), and in Canada we are registered as an MSB with the Financial Transactions and Reports Analysis Centre of Canada. We are also registered as a foreign Electronic System Organizer in Indonesia, and licensed in Hong Kong as a Money Services Operator. When serving clients in these regulated markets, we are generally required to implement governance structures, AML and 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4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4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2" w:name="page23"/>
    <w:bookmarkEnd w:id="22"/>
    <w:p>
      <w:pPr>
        <w:ind w:right="20" w:firstLine="509"/>
        <w:spacing w:after="0"/>
        <w:rPr>
          <w:sz w:val="20"/>
          <w:szCs w:val="20"/>
          <w:color w:val="auto"/>
        </w:rPr>
      </w:pPr>
      <w:r>
        <w:rPr>
          <w:rFonts w:ascii="Arial" w:cs="Arial" w:eastAsia="Arial" w:hAnsi="Arial"/>
          <w:sz w:val="18"/>
          <w:szCs w:val="18"/>
          <w:color w:val="auto"/>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 subject to the restrictions imposed by these laws. Should our business or solutions change in a way that did subject us to the CFPB’s jurisdiction, we would be subject to increased scrutiny of our business and consumer compliance practices.</w:t>
      </w:r>
    </w:p>
    <w:p>
      <w:pPr>
        <w:spacing w:after="0" w:line="158"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38"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2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Visa, Mastercard and other card networks set complex and evolving rules and standards with which we must comply—often referred to as “card network rules”. We also have relationships with American Express, Japan Credit Bureau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56" w:lineRule="exact"/>
        <w:rPr>
          <w:sz w:val="20"/>
          <w:szCs w:val="20"/>
          <w:color w:val="auto"/>
        </w:rPr>
      </w:pPr>
    </w:p>
    <w:p>
      <w:pPr>
        <w:ind w:right="460" w:firstLine="509"/>
        <w:spacing w:after="0" w:line="244" w:lineRule="auto"/>
        <w:rPr>
          <w:sz w:val="20"/>
          <w:szCs w:val="20"/>
          <w:color w:val="auto"/>
        </w:rPr>
      </w:pPr>
      <w:r>
        <w:rPr>
          <w:rFonts w:ascii="Arial" w:cs="Arial" w:eastAsia="Arial" w:hAnsi="Arial"/>
          <w:sz w:val="18"/>
          <w:szCs w:val="18"/>
          <w:color w:val="auto"/>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36"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33"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The termination of our registration with the payment networks, or any changes in payment network or issuer rules that limit our ability to provide card payment alternatives to our clients’ customers could 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4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also subject to the National Automated Clearing House Association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23" w:name="page24"/>
    <w:bookmarkEnd w:id="23"/>
    <w:p>
      <w:pPr>
        <w:ind w:right="120" w:firstLine="509"/>
        <w:spacing w:after="0"/>
        <w:rPr>
          <w:sz w:val="20"/>
          <w:szCs w:val="20"/>
          <w:color w:val="auto"/>
        </w:rPr>
      </w:pPr>
      <w:r>
        <w:rPr>
          <w:rFonts w:ascii="Arial" w:cs="Arial" w:eastAsia="Arial" w:hAnsi="Arial"/>
          <w:sz w:val="18"/>
          <w:szCs w:val="18"/>
          <w:color w:val="auto"/>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 requirements, which could require costly remediation efforts and could prevent us from continuing to provide services through such partner financial institutions until we remediate issues to their satisfaction.</w:t>
      </w:r>
    </w:p>
    <w:p>
      <w:pPr>
        <w:spacing w:after="0" w:line="15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collect and use a wide variety of information (including personal information) for various purposes in our business, including: (i) to help ensure the integrity of our services, (ii) to meet KYC, transaction monitoring, AML and 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3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 used, and it imposes other requirements as well. The CCPA provides for civil penalties for violations, as well as a private right of action for data breaches. Several other states have joined California in enacting privacy and data protection legislation that impose additional obligations on businesses related to the collection, storage and utilization of third party information, as well as the reporting of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spacing w:after="0" w:line="14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Many of the foreign jurisdictions where we or our clients do business, including the European Union (E.U.),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5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 xml:space="preserve">Recent legal developments have created compliance uncertainty regarding some transfers of personal information from the U.K. and EEA to locations where we or our clients operate or conduct business, including the United States and potentially Singapore.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24" w:name="page25"/>
    <w:bookmarkEnd w:id="24"/>
    <w:p>
      <w:pPr>
        <w:spacing w:after="0" w:line="244" w:lineRule="auto"/>
        <w:rPr>
          <w:sz w:val="20"/>
          <w:szCs w:val="20"/>
          <w:color w:val="auto"/>
        </w:rPr>
      </w:pPr>
      <w:r>
        <w:rPr>
          <w:rFonts w:ascii="Arial" w:cs="Arial" w:eastAsia="Arial" w:hAnsi="Arial"/>
          <w:sz w:val="18"/>
          <w:szCs w:val="18"/>
          <w:color w:val="auto"/>
        </w:rPr>
        <w:t xml:space="preserve">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spacing w:after="0" w:line="14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w:t>
      </w:r>
    </w:p>
    <w:p>
      <w:pPr>
        <w:spacing w:after="0" w:line="136"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China passed its DSL and its PIPL in 2021. Both new laws impact every business operating in or doing business with China, coupling extensive obligations with respect to the processing of all types of data, with potentially significant penalties for noncompliance. With the promulgation of the DSL and PIPL, China has tightened up regulation on collection, processing, sharing and cross-border transfer of personal data and important data such as financial data. The data security regime has an extraterritorial effect and imposes additional compliance obligations with respect to processing (in and outside China) of personal data of Chinese individuals and other data which may be viewed sensitive or important. These regulations apply not only to our client’s payers who are Chinese nationals (such as students seeking to study abroad) but also China-based employees as well as third party business partners.</w:t>
      </w:r>
    </w:p>
    <w:p>
      <w:pPr>
        <w:spacing w:after="0" w:line="14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As a reaction to data security concerns, the Australian parliament, in 2022,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58"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Australian data security laws but cannot assure you that such steps will be effective, and we may face the risk of increased costs, liability and loss of business.</w:t>
      </w:r>
    </w:p>
    <w:p>
      <w:pPr>
        <w:spacing w:after="0" w:line="12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World Wide Web Consortium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and Employees</w:t>
      </w:r>
    </w:p>
    <w:p>
      <w:pPr>
        <w:spacing w:after="0" w:line="185"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As an organization, our culture is founded on our shared experiences, unique and diverse backgrounds, and belief in our mission to deliver on the most important and complex payments. As of December 31, 2024, a collective team of approximately 1,250 full-time employees and contractors, who we call FlyMates, strive for excellence as one team, guided by our core values.</w:t>
      </w:r>
    </w:p>
    <w:p>
      <w:pPr>
        <w:spacing w:after="0" w:line="12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leadership team defines our culture and strategy and collectively has decades of experience leading companies through rapid growth at scale. As of December 31, 2024, 35% of our FlyMates are located in the Americas, 40% in Europe and the Middle East and 25% in Asia-Pacific. Representing over 50 nationalities and over 40 spoken languages, our diverse team of FlyMates deliver critical domain expertise and regionally tailored skill sets to our clients 24x7.</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25" w:name="page26"/>
    <w:bookmarkEnd w:id="25"/>
    <w:p>
      <w:pPr>
        <w:ind w:firstLine="509"/>
        <w:spacing w:after="0" w:line="253" w:lineRule="auto"/>
        <w:rPr>
          <w:sz w:val="20"/>
          <w:szCs w:val="20"/>
          <w:color w:val="auto"/>
        </w:rPr>
      </w:pPr>
      <w:r>
        <w:rPr>
          <w:rFonts w:ascii="Arial" w:cs="Arial" w:eastAsia="Arial" w:hAnsi="Arial"/>
          <w:sz w:val="18"/>
          <w:szCs w:val="18"/>
          <w:color w:val="auto"/>
        </w:rPr>
        <w:t>We also engage part-time and temporary FlyMates, as well as consultants as needed to support our operations. As an organization, our culture is founded on our shared experiences, unique and diverse backgrounds, and belief in our mission to deliver on the most important and complex payments.</w:t>
      </w:r>
    </w:p>
    <w:p>
      <w:pPr>
        <w:spacing w:after="0" w:line="142"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None of our FlyMates are represented by a labor union or covered by a collective bargaining agreement. We have not experienced any work stoppages and we consider our relations with our FlyMates to be good.</w:t>
      </w:r>
    </w:p>
    <w:p>
      <w:pPr>
        <w:spacing w:after="0" w:line="113"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FlyMates. The principal purposes of our equity incentive plans are to attract, retain and motivate selected FlyMates, consultants and directors through the granting of stock-based compensation awards and cash-based performance bonus awards.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185"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At Flywire, we commit to encourage and reward behaviors that are consistent with our culture, which is founded on our shared experiences, unique and diverse backgrounds, and belief in our mission to deliver on the most important and complex payments. We seek to hold each other accountable when behaviors do not support the culture we aspire to. Our values include:</w:t>
      </w:r>
    </w:p>
    <w:p>
      <w:pPr>
        <w:spacing w:after="0" w:line="61" w:lineRule="exact"/>
        <w:rPr>
          <w:sz w:val="20"/>
          <w:szCs w:val="20"/>
          <w:color w:val="auto"/>
        </w:rPr>
      </w:pPr>
    </w:p>
    <w:p>
      <w:pPr>
        <w:jc w:val="both"/>
        <w:ind w:left="1020" w:right="16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 and that together we are greater than the sum of individual FlyMates, across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location and position. We seek to understand and embrace everyone’s uniqueness, and leverage the power of our FlyMates and clients’ and their customers’ cultural differences and perspectives to create value.</w:t>
      </w:r>
    </w:p>
    <w:p>
      <w:pPr>
        <w:spacing w:after="0" w:line="62" w:lineRule="exact"/>
        <w:rPr>
          <w:rFonts w:ascii="Times New Roman" w:cs="Times New Roman" w:eastAsia="Times New Roman" w:hAnsi="Times New Roman"/>
          <w:sz w:val="18"/>
          <w:szCs w:val="18"/>
          <w:color w:val="auto"/>
        </w:rPr>
      </w:pPr>
    </w:p>
    <w:p>
      <w:pPr>
        <w:ind w:left="1020" w:right="44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value and never compromise on integrity, honesty, and kindness. We believe in staying true to oneself,</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courageous enough to share your voice and humble enough to admit when you are wrong. Above all, we strive for sincerity and encourage both giving and receiving feedback.</w:t>
      </w:r>
    </w:p>
    <w:p>
      <w:pPr>
        <w:spacing w:after="0" w:line="62"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recognize that fulfillment comes from personal and professional satisfaction, from bringing our whole selves to</w:t>
      </w:r>
      <w:r>
        <w:rPr>
          <w:rFonts w:ascii="Arial" w:cs="Arial" w:eastAsia="Arial" w:hAnsi="Arial"/>
          <w:sz w:val="18"/>
          <w:szCs w:val="18"/>
          <w:b w:val="1"/>
          <w:bCs w:val="1"/>
          <w:color w:val="auto"/>
        </w:rPr>
        <w:t xml:space="preserve"> </w:t>
      </w:r>
      <w:r>
        <w:rPr>
          <w:rFonts w:ascii="Arial" w:cs="Arial" w:eastAsia="Arial" w:hAnsi="Arial"/>
          <w:sz w:val="18"/>
          <w:szCs w:val="18"/>
          <w:color w:val="auto"/>
        </w:rPr>
        <w:t>work. It is understanding what ignites our individual passions and gets us excited, while being inclusive and knowing that this is different for everyone. We believe that by engaging with the wider community, giving back and contributing, our greater purpose is fulfilled.</w:t>
      </w:r>
    </w:p>
    <w:p>
      <w:pPr>
        <w:spacing w:after="0" w:line="68" w:lineRule="exact"/>
        <w:rPr>
          <w:rFonts w:ascii="Times New Roman" w:cs="Times New Roman" w:eastAsia="Times New Roman" w:hAnsi="Times New Roman"/>
          <w:sz w:val="18"/>
          <w:szCs w:val="18"/>
          <w:color w:val="auto"/>
        </w:rPr>
      </w:pPr>
    </w:p>
    <w:p>
      <w:pPr>
        <w:jc w:val="both"/>
        <w:ind w:left="1020" w:right="16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Execution. </w:t>
      </w:r>
      <w:r>
        <w:rPr>
          <w:rFonts w:ascii="Arial" w:cs="Arial" w:eastAsia="Arial" w:hAnsi="Arial"/>
          <w:sz w:val="18"/>
          <w:szCs w:val="18"/>
          <w:color w:val="auto"/>
        </w:rPr>
        <w:t>We accomplish our goals through collective support and accountability. We aim to take calculated, sensible risks</w:t>
      </w:r>
      <w:r>
        <w:rPr>
          <w:rFonts w:ascii="Arial" w:cs="Arial" w:eastAsia="Arial" w:hAnsi="Arial"/>
          <w:sz w:val="18"/>
          <w:szCs w:val="18"/>
          <w:b w:val="1"/>
          <w:bCs w:val="1"/>
          <w:color w:val="auto"/>
        </w:rPr>
        <w:t xml:space="preserve"> </w:t>
      </w:r>
      <w:r>
        <w:rPr>
          <w:rFonts w:ascii="Arial" w:cs="Arial" w:eastAsia="Arial" w:hAnsi="Arial"/>
          <w:sz w:val="18"/>
          <w:szCs w:val="18"/>
          <w:color w:val="auto"/>
        </w:rPr>
        <w:t>and make smart decisions quickly to accomplish our objectives. We are helpful and supportive of each other, yet we hold each other accountable to delivering with a sense of urgency in all that we do.</w:t>
      </w:r>
    </w:p>
    <w:p>
      <w:pPr>
        <w:spacing w:after="0" w:line="62" w:lineRule="exact"/>
        <w:rPr>
          <w:rFonts w:ascii="Times New Roman" w:cs="Times New Roman" w:eastAsia="Times New Roman" w:hAnsi="Times New Roman"/>
          <w:sz w:val="18"/>
          <w:szCs w:val="18"/>
          <w:color w:val="auto"/>
        </w:rPr>
      </w:pPr>
    </w:p>
    <w:p>
      <w:pPr>
        <w:ind w:left="1020" w:right="50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for ways to deliver more and new value to our clients and their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and people. We are leaders not followers, curious and open-minded, and we recognize there is always room for improvement and strive for excellence and welcome new ideas.</w:t>
      </w:r>
    </w:p>
    <w:p>
      <w:pPr>
        <w:spacing w:after="0" w:line="62" w:lineRule="exact"/>
        <w:rPr>
          <w:rFonts w:ascii="Times New Roman" w:cs="Times New Roman" w:eastAsia="Times New Roman" w:hAnsi="Times New Roman"/>
          <w:sz w:val="18"/>
          <w:szCs w:val="18"/>
          <w:color w:val="auto"/>
        </w:rPr>
      </w:pPr>
    </w:p>
    <w:p>
      <w:pPr>
        <w:ind w:left="1020" w:right="14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We believe in new challenges and constant growth. The importance of actively listening, questioning,</w:t>
      </w:r>
      <w:r>
        <w:rPr>
          <w:rFonts w:ascii="Arial" w:cs="Arial" w:eastAsia="Arial" w:hAnsi="Arial"/>
          <w:sz w:val="18"/>
          <w:szCs w:val="18"/>
          <w:b w:val="1"/>
          <w:bCs w:val="1"/>
          <w:color w:val="auto"/>
        </w:rPr>
        <w:t xml:space="preserve"> </w:t>
      </w:r>
      <w:r>
        <w:rPr>
          <w:rFonts w:ascii="Arial" w:cs="Arial" w:eastAsia="Arial" w:hAnsi="Arial"/>
          <w:sz w:val="18"/>
          <w:szCs w:val="18"/>
          <w:color w:val="auto"/>
        </w:rPr>
        <w:t>challenging, and accepting is not lost on us. We are a learning organization, eager to expand as individuals, as teams and as a company. We live by the knowledge that there is no endpoint to learning, that there is always room for growth.</w:t>
      </w:r>
    </w:p>
    <w:p>
      <w:pPr>
        <w:spacing w:after="0" w:line="13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We define our values by the virtues and behaviors that shape them, as these values guide us in all that we do: in hiring, performance, and day-to-day interactions with both FlyMates and our clients and their customers.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8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Flywire continues to integrate social impact initiatives into our business and our ESG strategy is underpinned by many pillars, from improving access to education, to supporting local communities in times of crisis, and much more. Our ESG disclosures are based on global best practices, and aligns with metrics set forth by the Sustainability Accounting Standards Boards (SASB) standards as well as the Global Reporting Initiative (GRI) standards.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latest ESG report details our investments across the following ESG disciplines, including:</w:t>
      </w:r>
    </w:p>
    <w:p>
      <w:pPr>
        <w:spacing w:after="0" w:line="171" w:lineRule="exact"/>
        <w:rPr>
          <w:sz w:val="20"/>
          <w:szCs w:val="20"/>
          <w:color w:val="auto"/>
        </w:rPr>
      </w:pPr>
    </w:p>
    <w:p>
      <w:pPr>
        <w:ind w:left="1020" w:right="1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Affordability and accessibility: </w:t>
      </w:r>
      <w:r>
        <w:rPr>
          <w:rFonts w:ascii="Arial" w:cs="Arial" w:eastAsia="Arial" w:hAnsi="Arial"/>
          <w:sz w:val="18"/>
          <w:szCs w:val="18"/>
          <w:color w:val="auto"/>
        </w:rPr>
        <w:t>Flywire’s payments technology and software enables payers to set up payment plans, helping</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high-value transactions like medical bills and education expenses more accessible and affordable.</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6" w:name="page27"/>
    <w:bookmarkEnd w:id="26"/>
    <w:p>
      <w:pPr>
        <w:ind w:left="1020" w:right="30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Diversity, equity and inclusion: </w:t>
      </w:r>
      <w:r>
        <w:rPr>
          <w:rFonts w:ascii="Arial" w:cs="Arial" w:eastAsia="Arial" w:hAnsi="Arial"/>
          <w:sz w:val="18"/>
          <w:szCs w:val="18"/>
          <w:color w:val="auto"/>
        </w:rPr>
        <w:t>Flywire employees represent over 50 nationalities and over 40 spoken languages.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Flywire Employee Resource Groups (ERGs) – open to all FlyMates – are devoted to promoting FlyMate inclusivity and belonging.</w:t>
      </w:r>
    </w:p>
    <w:p>
      <w:pPr>
        <w:spacing w:after="0" w:line="62" w:lineRule="exact"/>
        <w:rPr>
          <w:rFonts w:ascii="Times New Roman" w:cs="Times New Roman" w:eastAsia="Times New Roman" w:hAnsi="Times New Roman"/>
          <w:sz w:val="18"/>
          <w:szCs w:val="18"/>
          <w:color w:val="auto"/>
        </w:rPr>
      </w:pPr>
    </w:p>
    <w:p>
      <w:pPr>
        <w:ind w:left="1020" w:right="120" w:hanging="503"/>
        <w:spacing w:after="0" w:line="300"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Career development and training: </w:t>
      </w:r>
      <w:r>
        <w:rPr>
          <w:rFonts w:ascii="Arial" w:cs="Arial" w:eastAsia="Arial" w:hAnsi="Arial"/>
          <w:sz w:val="17"/>
          <w:szCs w:val="17"/>
          <w:color w:val="auto"/>
        </w:rPr>
        <w:t>In 2024, FlyMates spent more than 6,500 hours on company-sponsored career</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training programs. These initiatives are available to all FlyMates, including part-time and contract employees.</w:t>
      </w:r>
    </w:p>
    <w:p>
      <w:pPr>
        <w:spacing w:after="0" w:line="23" w:lineRule="exact"/>
        <w:rPr>
          <w:rFonts w:ascii="Times New Roman" w:cs="Times New Roman" w:eastAsia="Times New Roman" w:hAnsi="Times New Roman"/>
          <w:sz w:val="17"/>
          <w:szCs w:val="17"/>
          <w:color w:val="auto"/>
        </w:rPr>
      </w:pPr>
    </w:p>
    <w:p>
      <w:pPr>
        <w:ind w:left="1020" w:right="6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Social impact and community engagement: </w:t>
      </w:r>
      <w:r>
        <w:rPr>
          <w:rFonts w:ascii="Arial" w:cs="Arial" w:eastAsia="Arial" w:hAnsi="Arial"/>
          <w:sz w:val="18"/>
          <w:szCs w:val="18"/>
          <w:color w:val="auto"/>
        </w:rPr>
        <w:t>A cornerstone of Flywire's social impact and community engagement efforts is</w:t>
      </w:r>
      <w:r>
        <w:rPr>
          <w:rFonts w:ascii="Arial" w:cs="Arial" w:eastAsia="Arial" w:hAnsi="Arial"/>
          <w:sz w:val="18"/>
          <w:szCs w:val="18"/>
          <w:b w:val="1"/>
          <w:bCs w:val="1"/>
          <w:color w:val="auto"/>
        </w:rPr>
        <w:t xml:space="preserve"> </w:t>
      </w:r>
      <w:r>
        <w:rPr>
          <w:rFonts w:ascii="Arial" w:cs="Arial" w:eastAsia="Arial" w:hAnsi="Arial"/>
          <w:sz w:val="18"/>
          <w:szCs w:val="18"/>
          <w:color w:val="auto"/>
        </w:rPr>
        <w:t>responding to local community needs during times of crisis and offering volunteering and other resources to communities where FlyMates live and work.</w:t>
      </w:r>
    </w:p>
    <w:p>
      <w:pPr>
        <w:spacing w:after="0" w:line="62"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Data privacy, security and compliance: </w:t>
      </w:r>
      <w:r>
        <w:rPr>
          <w:rFonts w:ascii="Arial" w:cs="Arial" w:eastAsia="Arial" w:hAnsi="Arial"/>
          <w:sz w:val="18"/>
          <w:szCs w:val="18"/>
          <w:color w:val="auto"/>
        </w:rPr>
        <w:t>Flywire’s dedicated compliance and risk management function, overseen by our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Officer and Chief Information Security Officer with Board-level oversight, has been built over more than a decade, providing payers and clients confidence in our solutions.</w:t>
      </w:r>
    </w:p>
    <w:p>
      <w:pPr>
        <w:spacing w:after="0" w:line="62" w:lineRule="exact"/>
        <w:rPr>
          <w:rFonts w:ascii="Times New Roman" w:cs="Times New Roman" w:eastAsia="Times New Roman" w:hAnsi="Times New Roman"/>
          <w:sz w:val="18"/>
          <w:szCs w:val="18"/>
          <w:color w:val="auto"/>
        </w:rPr>
      </w:pPr>
    </w:p>
    <w:p>
      <w:pPr>
        <w:ind w:left="1020" w:right="60" w:hanging="503"/>
        <w:spacing w:after="0" w:line="24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Governance and ethics: </w:t>
      </w:r>
      <w:r>
        <w:rPr>
          <w:rFonts w:ascii="Arial" w:cs="Arial" w:eastAsia="Arial" w:hAnsi="Arial"/>
          <w:sz w:val="18"/>
          <w:szCs w:val="18"/>
          <w:color w:val="auto"/>
        </w:rPr>
        <w:t>Flywire is committed to ethical and compliant business practices and good corporate governance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long-term success of our company and stakeholders. We have a Code of Conduct that is actively enforced and mandatory training across a spectrum of important topics, ranging from anti-money laundering to sexual harassment to information security best practices.</w:t>
      </w:r>
    </w:p>
    <w:p>
      <w:pPr>
        <w:spacing w:after="0" w:line="68" w:lineRule="exact"/>
        <w:rPr>
          <w:rFonts w:ascii="Times New Roman" w:cs="Times New Roman" w:eastAsia="Times New Roman" w:hAnsi="Times New Roman"/>
          <w:sz w:val="18"/>
          <w:szCs w:val="18"/>
          <w:color w:val="auto"/>
        </w:rPr>
      </w:pPr>
    </w:p>
    <w:p>
      <w:pPr>
        <w:ind w:left="1020" w:right="140" w:hanging="503"/>
        <w:spacing w:after="0" w:line="24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Environmental sustainability: </w:t>
      </w:r>
      <w:r>
        <w:rPr>
          <w:rFonts w:ascii="Arial" w:cs="Arial" w:eastAsia="Arial" w:hAnsi="Arial"/>
          <w:sz w:val="18"/>
          <w:szCs w:val="18"/>
          <w:color w:val="auto"/>
        </w:rPr>
        <w:t>Flywire conducts an annual greenhouse gas emissions audit, over our own operations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most significant value-chain emissions with a vision to reduce our carbon-intensive activities and improve overall energy efficiencies. Our baseline inventory includes Scope 2 and Scope 3 emissions from purchased electricity, purchased goods and services (cloud services only), business travel and employee commuting and telework.</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reinforced our commitment to ESG by:</w:t>
      </w:r>
    </w:p>
    <w:p>
      <w:pPr>
        <w:spacing w:after="0" w:line="104" w:lineRule="exact"/>
        <w:rPr>
          <w:sz w:val="20"/>
          <w:szCs w:val="20"/>
          <w:color w:val="auto"/>
        </w:rPr>
      </w:pPr>
    </w:p>
    <w:p>
      <w:pPr>
        <w:ind w:left="1020" w:right="220" w:hanging="503"/>
        <w:spacing w:after="0" w:line="24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Codifying ESG as a strategic priority and establishing new management and oversight of ESG priorities.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and Corporate Governance Committee of Flywire’s Board of Directors is responsible for the oversight of company ESG initiatives, supported by Co-Executive Sponsors and a cross-functional task force of employees that comprise the ESG disclosure committee.</w:t>
      </w:r>
    </w:p>
    <w:p>
      <w:pPr>
        <w:spacing w:after="0" w:line="68"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Supporting and growing our Flywire ERGs </w:t>
      </w:r>
      <w:r>
        <w:rPr>
          <w:rFonts w:ascii="Arial" w:cs="Arial" w:eastAsia="Arial" w:hAnsi="Arial"/>
          <w:sz w:val="18"/>
          <w:szCs w:val="18"/>
          <w:color w:val="auto"/>
        </w:rPr>
        <w:t>to better serve our diverse, global community of FlyMates where they live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 and to deliver inclusive and compelling experiences that engage and care for FlyMates.</w:t>
      </w:r>
    </w:p>
    <w:p>
      <w:pPr>
        <w:spacing w:after="0" w:line="46" w:lineRule="exact"/>
        <w:rPr>
          <w:rFonts w:ascii="Times New Roman" w:cs="Times New Roman" w:eastAsia="Times New Roman" w:hAnsi="Times New Roman"/>
          <w:sz w:val="18"/>
          <w:szCs w:val="18"/>
          <w:color w:val="auto"/>
        </w:rPr>
      </w:pPr>
    </w:p>
    <w:p>
      <w:pPr>
        <w:ind w:left="1020" w:right="28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Enhancing our career development and skills training policies </w:t>
      </w:r>
      <w:r>
        <w:rPr>
          <w:rFonts w:ascii="Arial" w:cs="Arial" w:eastAsia="Arial" w:hAnsi="Arial"/>
          <w:sz w:val="18"/>
          <w:szCs w:val="18"/>
          <w:color w:val="auto"/>
        </w:rPr>
        <w:t>by offering new programs focused on enriching FlyMates’</w:t>
      </w:r>
      <w:r>
        <w:rPr>
          <w:rFonts w:ascii="Arial" w:cs="Arial" w:eastAsia="Arial" w:hAnsi="Arial"/>
          <w:sz w:val="18"/>
          <w:szCs w:val="18"/>
          <w:b w:val="1"/>
          <w:bCs w:val="1"/>
          <w:color w:val="auto"/>
        </w:rPr>
        <w:t xml:space="preserve"> </w:t>
      </w:r>
      <w:r>
        <w:rPr>
          <w:rFonts w:ascii="Arial" w:cs="Arial" w:eastAsia="Arial" w:hAnsi="Arial"/>
          <w:sz w:val="18"/>
          <w:szCs w:val="18"/>
          <w:color w:val="auto"/>
        </w:rPr>
        <w:t>careers and growing them both personally and professionally.</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Maximizing our social impact initiatives </w:t>
      </w:r>
      <w:r>
        <w:rPr>
          <w:rFonts w:ascii="Arial" w:cs="Arial" w:eastAsia="Arial" w:hAnsi="Arial"/>
          <w:sz w:val="18"/>
          <w:szCs w:val="18"/>
          <w:color w:val="auto"/>
        </w:rPr>
        <w:t>through purposeful philanthropy to non-profit organizations around the world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Flywire Foundation, and by launching our first-ever corporate matching program to help FlyMates amplify the support they provide to non-profits of their choice.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1" w:lineRule="exact"/>
        <w:rPr>
          <w:sz w:val="20"/>
          <w:szCs w:val="20"/>
          <w:color w:val="auto"/>
        </w:rPr>
      </w:pPr>
    </w:p>
    <w:p>
      <w:pPr>
        <w:ind w:right="380" w:firstLine="509"/>
        <w:spacing w:after="0" w:line="266" w:lineRule="auto"/>
        <w:rPr>
          <w:sz w:val="20"/>
          <w:szCs w:val="20"/>
          <w:color w:val="auto"/>
        </w:rPr>
      </w:pPr>
      <w:r>
        <w:rPr>
          <w:rFonts w:ascii="Arial" w:cs="Arial" w:eastAsia="Arial" w:hAnsi="Arial"/>
          <w:sz w:val="17"/>
          <w:szCs w:val="17"/>
          <w:color w:val="auto"/>
        </w:rPr>
        <w:t>We were initially formed in July 2009 as peerTransfer Corporation, a Delaware corporation. We changed our name to Flywire Corporation in December 2016. Our principal executive offices are located at 141 Tremont St., #10, Boston, MA 02111. Our telephone number is (617) 329-4524. Our internet address is www.flywire.com. The information contained on, or that can be accessed through, our website is not a part of this Annual Report on Form 10-K. We have included our website address as an inactive textual reference only.</w:t>
      </w:r>
    </w:p>
    <w:p>
      <w:pPr>
        <w:spacing w:after="0" w:line="11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Flywire, the Flywire logo, and other registered or common law trade names, trademarks, or service marks of Flywire appearing in this Annual Report on Form 10-K are the property of Flywire. This Annual Report on Form 10-K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Annual Report on Form 10-K are the property of their respective holders.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27" w:name="page28"/>
    <w:bookmarkEnd w:id="27"/>
    <w:p>
      <w:pPr>
        <w:ind w:right="20" w:firstLine="509"/>
        <w:spacing w:after="0" w:line="244" w:lineRule="auto"/>
        <w:rPr>
          <w:sz w:val="20"/>
          <w:szCs w:val="20"/>
          <w:color w:val="auto"/>
        </w:rPr>
      </w:pPr>
      <w:r>
        <w:rPr>
          <w:rFonts w:ascii="Arial" w:cs="Arial" w:eastAsia="Arial" w:hAnsi="Arial"/>
          <w:sz w:val="18"/>
          <w:szCs w:val="18"/>
          <w:color w:val="auto"/>
        </w:rPr>
        <w:t>We make available free of charge, on our website (www.flywire.com),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an internet site that contains reports, proxy and information statements, and other information regarding issuers that file electronically with the SEC at http://www.sec.gov.</w:t>
      </w:r>
    </w:p>
    <w:p>
      <w:pPr>
        <w:spacing w:after="0" w:line="14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 the investor relations page on our website (https://ir.flywire.com), blog posts on our website, press releases, public conference calls, webcasts, and social media channels, including our X (formerly known as Twitter) feed (@flywire), Facebook page (https://www.facebook.com/Flywire) and LinkedIn page (https://www.linkedin.com/company/flywire).</w:t>
      </w:r>
    </w:p>
    <w:p>
      <w:pPr>
        <w:spacing w:after="0" w:line="13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w:t>
      </w:r>
    </w:p>
    <w:p>
      <w:pPr>
        <w:spacing w:after="0" w:line="18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Annual Report on Form 10-K, including “Management’s Discussion and Analysis of Financial Condition and Results of Operations” and our consolidated financial statements and the accompanying notes included elsewhere in this Annual Report on Form 10-K.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69" w:lineRule="exact"/>
        <w:rPr>
          <w:sz w:val="20"/>
          <w:szCs w:val="20"/>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quarterly fluctuations in operating results.</w:t>
      </w:r>
    </w:p>
    <w:p>
      <w:pPr>
        <w:spacing w:after="0" w:line="183" w:lineRule="exact"/>
        <w:rPr>
          <w:rFonts w:ascii="Times New Roman" w:cs="Times New Roman" w:eastAsia="Times New Roman" w:hAnsi="Times New Roman"/>
          <w:sz w:val="18"/>
          <w:szCs w:val="18"/>
          <w:color w:val="auto"/>
        </w:rPr>
      </w:pPr>
    </w:p>
    <w:p>
      <w:pPr>
        <w:ind w:left="900" w:right="40" w:hanging="263"/>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13" w:lineRule="exact"/>
        <w:rPr>
          <w:rFonts w:ascii="Times New Roman" w:cs="Times New Roman" w:eastAsia="Times New Roman" w:hAnsi="Times New Roman"/>
          <w:sz w:val="18"/>
          <w:szCs w:val="18"/>
          <w:color w:val="auto"/>
        </w:rPr>
      </w:pPr>
    </w:p>
    <w:p>
      <w:pPr>
        <w:ind w:left="900" w:right="820" w:hanging="263"/>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operational and business portfolio reviews may not result in improvements to our financial performance, strategy, or operations.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83" w:lineRule="exact"/>
        <w:rPr>
          <w:rFonts w:ascii="Times New Roman" w:cs="Times New Roman" w:eastAsia="Times New Roman" w:hAnsi="Times New Roman"/>
          <w:sz w:val="18"/>
          <w:szCs w:val="18"/>
          <w:color w:val="auto"/>
        </w:rPr>
      </w:pPr>
    </w:p>
    <w:p>
      <w:pPr>
        <w:ind w:left="900" w:hanging="263"/>
        <w:spacing w:after="0" w:line="252"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 or our ability to meet service levels to allow for timely payment processing due to system downtime or other factors.</w:t>
      </w:r>
    </w:p>
    <w:p>
      <w:pPr>
        <w:spacing w:after="0" w:line="14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83" w:lineRule="exact"/>
        <w:rPr>
          <w:rFonts w:ascii="Times New Roman" w:cs="Times New Roman" w:eastAsia="Times New Roman" w:hAnsi="Times New Roman"/>
          <w:sz w:val="18"/>
          <w:szCs w:val="18"/>
          <w:color w:val="auto"/>
        </w:rPr>
      </w:pPr>
    </w:p>
    <w:p>
      <w:pPr>
        <w:ind w:left="900" w:right="200" w:hanging="263"/>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97" w:lineRule="exact"/>
        <w:rPr>
          <w:rFonts w:ascii="Times New Roman" w:cs="Times New Roman" w:eastAsia="Times New Roman" w:hAnsi="Times New Roman"/>
          <w:sz w:val="18"/>
          <w:szCs w:val="18"/>
          <w:color w:val="auto"/>
        </w:rPr>
      </w:pPr>
    </w:p>
    <w:p>
      <w:pPr>
        <w:ind w:left="900" w:right="960" w:hanging="263"/>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markets are highly competitive.</w:t>
      </w:r>
    </w:p>
    <w:p>
      <w:pPr>
        <w:spacing w:after="0" w:line="183" w:lineRule="exact"/>
        <w:rPr>
          <w:rFonts w:ascii="Times New Roman" w:cs="Times New Roman" w:eastAsia="Times New Roman" w:hAnsi="Times New Roman"/>
          <w:sz w:val="18"/>
          <w:szCs w:val="18"/>
          <w:color w:val="auto"/>
        </w:rPr>
      </w:pPr>
    </w:p>
    <w:p>
      <w:pPr>
        <w:ind w:left="900" w:right="640" w:hanging="263"/>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27" w:lineRule="exact"/>
        <w:rPr>
          <w:rFonts w:ascii="Times New Roman" w:cs="Times New Roman" w:eastAsia="Times New Roman" w:hAnsi="Times New Roman"/>
          <w:sz w:val="18"/>
          <w:szCs w:val="18"/>
          <w:color w:val="auto"/>
        </w:rPr>
      </w:pPr>
    </w:p>
    <w:p>
      <w:pPr>
        <w:ind w:left="900" w:right="620" w:hanging="263"/>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education business may be adversely affected by decreases in enrollment or tuition, limitations or other restrictions on student visas to international students or increased operating expenses for our clients.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9" w:name="page30"/>
    <w:bookmarkEnd w:id="29"/>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healthcare industry is rapidly evolving.</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enter or expand into new verticals or sub-verticals, including our B2B vertical.</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There could be consolidation in the payment processing or enablement industry.</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69" w:lineRule="exact"/>
        <w:rPr>
          <w:sz w:val="20"/>
          <w:szCs w:val="20"/>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83"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113" w:lineRule="exact"/>
        <w:rPr>
          <w:rFonts w:ascii="Times New Roman" w:cs="Times New Roman" w:eastAsia="Times New Roman" w:hAnsi="Times New Roman"/>
          <w:sz w:val="18"/>
          <w:szCs w:val="18"/>
          <w:color w:val="auto"/>
        </w:rPr>
      </w:pPr>
    </w:p>
    <w:p>
      <w:pPr>
        <w:ind w:left="900" w:right="10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management of our operating funds and those of our clients may be reliant on a limited number of our banking partners and other financial institutions.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8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payment card networks fees or rules could harm our business.</w:t>
      </w:r>
    </w:p>
    <w:p>
      <w:pPr>
        <w:spacing w:after="0" w:line="183" w:lineRule="exact"/>
        <w:rPr>
          <w:rFonts w:ascii="Times New Roman" w:cs="Times New Roman" w:eastAsia="Times New Roman" w:hAnsi="Times New Roman"/>
          <w:sz w:val="18"/>
          <w:szCs w:val="18"/>
          <w:color w:val="auto"/>
        </w:rPr>
      </w:pPr>
    </w:p>
    <w:p>
      <w:pPr>
        <w:ind w:left="900" w:right="50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83" w:lineRule="exact"/>
        <w:rPr>
          <w:sz w:val="20"/>
          <w:szCs w:val="20"/>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83"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laws and requirements regarding economic and trade sanctions, AML, CFT and those applicable to a MSB.</w:t>
      </w:r>
    </w:p>
    <w:p>
      <w:pPr>
        <w:spacing w:after="0" w:line="113" w:lineRule="exact"/>
        <w:rPr>
          <w:rFonts w:ascii="Times New Roman" w:cs="Times New Roman" w:eastAsia="Times New Roman" w:hAnsi="Times New Roman"/>
          <w:sz w:val="18"/>
          <w:szCs w:val="18"/>
          <w:color w:val="auto"/>
        </w:rPr>
      </w:pPr>
    </w:p>
    <w:p>
      <w:pPr>
        <w:ind w:left="900" w:right="520" w:hanging="263"/>
        <w:spacing w:after="0" w:line="270" w:lineRule="auto"/>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69" w:lineRule="exact"/>
        <w:rPr>
          <w:sz w:val="20"/>
          <w:szCs w:val="20"/>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continue to maintain proper effective internal control over financial reporting.</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incur increased costs as a public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69" w:lineRule="exact"/>
        <w:rPr>
          <w:sz w:val="20"/>
          <w:szCs w:val="20"/>
          <w:color w:val="auto"/>
        </w:rPr>
      </w:pPr>
    </w:p>
    <w:p>
      <w:pPr>
        <w:ind w:left="900" w:right="4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repurchase program may not achieve our goals or meet expectations.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9"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8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were incorporated in 2009 and although we have generated net income for the year ended December 31, 2024, we have incurred net losses in the past, and may continue to incur net losses in the future. We generated net income of $ 2.9 million for the year ended December 31, 2024, and net losses of $8.6 million and $39.3 million for the years ended December 31, 2023 and 2022, respectively. In addition, as of December 31, 2024, we had an accumulated deficit of $ 170.9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invest in headcount, to further develop our solutions, including introducing new functionality, and to expand our marketing programs and sales teams to drive new client adoption, expand strategic partner integrations, and support international and product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54" w:lineRule="exact"/>
        <w:rPr>
          <w:sz w:val="20"/>
          <w:szCs w:val="20"/>
          <w:color w:val="auto"/>
        </w:rPr>
      </w:pPr>
    </w:p>
    <w:p>
      <w:pPr>
        <w:jc w:val="both"/>
        <w:ind w:right="280" w:firstLine="509"/>
        <w:spacing w:after="0" w:line="247"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85" w:lineRule="exact"/>
        <w:rPr>
          <w:sz w:val="20"/>
          <w:szCs w:val="20"/>
          <w:color w:val="auto"/>
        </w:rPr>
      </w:pPr>
    </w:p>
    <w:p>
      <w:pPr>
        <w:ind w:left="900" w:right="260" w:hanging="263"/>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3"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more international markets;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retaining existing clients, attracting new clients and increasing the number of our clients’ customers that use our solutions;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4"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4"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and significantly evolving industry and, as a result, our past results may not be indicative of future operating performance.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31" w:name="page32"/>
    <w:bookmarkEnd w:id="31"/>
    <w:p>
      <w:pPr>
        <w:jc w:val="both"/>
        <w:ind w:right="80" w:firstLine="509"/>
        <w:spacing w:after="0" w:line="253" w:lineRule="auto"/>
        <w:rPr>
          <w:sz w:val="20"/>
          <w:szCs w:val="20"/>
          <w:color w:val="auto"/>
        </w:rPr>
      </w:pPr>
      <w:r>
        <w:rPr>
          <w:rFonts w:ascii="Arial" w:cs="Arial" w:eastAsia="Arial" w:hAnsi="Arial"/>
          <w:sz w:val="18"/>
          <w:szCs w:val="18"/>
          <w:color w:val="auto"/>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04" w:lineRule="exact"/>
        <w:rPr>
          <w:sz w:val="20"/>
          <w:szCs w:val="20"/>
          <w:color w:val="auto"/>
        </w:rPr>
      </w:pPr>
    </w:p>
    <w:p>
      <w:pPr>
        <w:ind w:left="1020" w:right="18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cost-effectively acquire new clients, retain existing clients, increase the number of our clients’ customers that use our solutions and sell additional functionality to our clients;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and increase our market share;</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avoid pricing pressure on our solutions which would compress our margins;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market our solutions;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existing solutions and develop new solutions;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awareness of our brand and maintain our reputation;</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develop new technologies, adapt to technology changes and evolving industry standards and to incorporate new technologies, such as artificial intelligence, into our solutions;</w:t>
      </w:r>
    </w:p>
    <w:p>
      <w:pPr>
        <w:spacing w:after="0" w:line="113"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offer seamless experience for our clients and their customers, including all user facing attributes ranging from the user interface to client and customer support;</w:t>
      </w:r>
    </w:p>
    <w:p>
      <w:pPr>
        <w:spacing w:after="0" w:line="1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microeconomic and macroeconomic changes;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exit certain markets, or our inability to process payments from certain jurisdiction we had previously served;</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compete effectively;</w:t>
      </w:r>
    </w:p>
    <w:p>
      <w:pPr>
        <w:spacing w:after="0" w:line="183"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avoid interruptions in our business from information technology (IT) downtime, an inability to manage emerging technology risks (including those posed by generative AI or other tools), cybersecurity breaches, or labor stoppages;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identify and manage risks, including foreign currency exchange risk;</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maintain the quality of our technology infrastructure;</w:t>
      </w:r>
    </w:p>
    <w:p>
      <w:pPr>
        <w:spacing w:after="0" w:line="183"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workplace and sustainability and other social matters;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w:t>
      </w:r>
    </w:p>
    <w:p>
      <w:pPr>
        <w:spacing w:after="0" w:line="197"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13"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1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2" w:name="page33"/>
    <w:bookmarkEnd w:id="32"/>
    <w:p>
      <w:pPr>
        <w:ind w:right="380"/>
        <w:spacing w:after="0" w:line="278"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4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4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4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45"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9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spacing w:after="0" w:line="147"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28" w:lineRule="exact"/>
        <w:rPr>
          <w:sz w:val="20"/>
          <w:szCs w:val="20"/>
          <w:color w:val="auto"/>
        </w:rPr>
      </w:pPr>
    </w:p>
    <w:p>
      <w:pPr>
        <w:ind w:left="5520" w:right="3400" w:hanging="5003"/>
        <w:spacing w:after="0" w:line="411" w:lineRule="auto"/>
        <w:tabs>
          <w:tab w:leader="none" w:pos="1022"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our solutions and the number, volume and timing of payments processed;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33" w:name="page34"/>
    <w:bookmarkEnd w:id="33"/>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tuition payments;</w:t>
      </w:r>
    </w:p>
    <w:p>
      <w:pPr>
        <w:spacing w:after="0" w:line="197"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restrictions or related limitations on the issuances of visas, such as recently enacted policies in Canada and Australia;</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current and future solutions;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mix in a particular quarter;</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slowdown or delay in spending on IT and software by our current and/or prospective clients;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sales cycles and performance of our direct and indirect sales force;</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budgeting and implementation cycles of our current or potential clients;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renewals of contracts with our clients;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and predict costs, including our operating expenses;</w:t>
      </w:r>
    </w:p>
    <w:p>
      <w:pPr>
        <w:spacing w:after="0" w:line="197" w:lineRule="exact"/>
        <w:rPr>
          <w:rFonts w:ascii="Times New Roman" w:cs="Times New Roman" w:eastAsia="Times New Roman" w:hAnsi="Times New Roman"/>
          <w:sz w:val="18"/>
          <w:szCs w:val="18"/>
          <w:color w:val="auto"/>
        </w:rPr>
      </w:pPr>
    </w:p>
    <w:p>
      <w:pPr>
        <w:ind w:left="1020" w:right="86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seasonality and cyclical nature of our business;</w:t>
      </w:r>
    </w:p>
    <w:p>
      <w:pPr>
        <w:spacing w:after="0" w:line="183"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manage or integrate any acquisitions, including our most recent acquisitions of Sertifi, Cohort Go, StudyLink and Invoiced;</w:t>
      </w:r>
    </w:p>
    <w:p>
      <w:pPr>
        <w:spacing w:after="0" w:line="1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or publicity surrounding any pending or threatened lawsuits or government investigations;</w:t>
      </w:r>
    </w:p>
    <w:p>
      <w:pPr>
        <w:spacing w:after="0" w:line="183" w:lineRule="exact"/>
        <w:rPr>
          <w:rFonts w:ascii="Times New Roman" w:cs="Times New Roman" w:eastAsia="Times New Roman" w:hAnsi="Times New Roman"/>
          <w:sz w:val="18"/>
          <w:szCs w:val="18"/>
          <w:color w:val="auto"/>
        </w:rPr>
      </w:pPr>
    </w:p>
    <w:p>
      <w:pPr>
        <w:ind w:left="1020" w:right="68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and political conditions in our domestic and international markets, including heightened interest rates, imposition of tariffs, inflation and fluctuations in supply chains, and restrictions on cross-border travel or commerce;</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 of scrutiny applied by regulators and investors on our ESG program;</w:t>
      </w:r>
    </w:p>
    <w:p>
      <w:pPr>
        <w:spacing w:after="0" w:line="197"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events, including those resulting from climate change, international or civil conflicts and wars, or other geopolitical events;</w:t>
      </w:r>
    </w:p>
    <w:p>
      <w:pPr>
        <w:spacing w:after="0" w:line="113" w:lineRule="exact"/>
        <w:rPr>
          <w:rFonts w:ascii="Times New Roman" w:cs="Times New Roman" w:eastAsia="Times New Roman" w:hAnsi="Times New Roman"/>
          <w:sz w:val="18"/>
          <w:szCs w:val="18"/>
          <w:color w:val="auto"/>
        </w:rPr>
      </w:pPr>
    </w:p>
    <w:p>
      <w:pPr>
        <w:ind w:left="1020" w:right="260" w:hanging="503"/>
        <w:spacing w:after="0" w:line="252"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U.S. federal government shutdowns, priorities of the U.S. presidential administration and related changes in laws, regulations or policies, which among other things could result in increased limitations on visa issuances, geopolitical uncertainty and impact educational financial aid payments; and</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19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2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34" w:name="page35"/>
    <w:bookmarkEnd w:id="34"/>
    <w:p>
      <w:pPr>
        <w:ind w:right="100"/>
        <w:spacing w:after="0" w:line="278" w:lineRule="auto"/>
        <w:rPr>
          <w:sz w:val="20"/>
          <w:szCs w:val="20"/>
          <w:color w:val="auto"/>
        </w:rPr>
      </w:pPr>
      <w:r>
        <w:rPr>
          <w:rFonts w:ascii="Arial" w:cs="Arial" w:eastAsia="Arial" w:hAnsi="Arial"/>
          <w:sz w:val="18"/>
          <w:szCs w:val="18"/>
          <w:b w:val="1"/>
          <w:bCs w:val="1"/>
          <w:i w:val="1"/>
          <w:iCs w:val="1"/>
          <w:color w:val="auto"/>
        </w:rPr>
        <w:t>Our restructuring plan may not yield its intended efficiencies and could strain resources, negatively impact workforce morale, and slow down execution of our strategic plans.</w:t>
      </w:r>
    </w:p>
    <w:p>
      <w:pPr>
        <w:spacing w:after="0" w:line="11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In February 2025, we announced a restructuring plan that is designed to improve operational efficiencies, reduce operating costs and better align the our workforce with current business needs, top strategic priorities and key growth opportunities (Restructuring Plan). As part of the Restructuring Plan we have reduced our workforce by approximately 10%. This reduction in force, and any other future reductions, and the attrition that may occur following them, result in the loss of institutional knowledge and expertise and the reallocation and combination of certain roles and responsibilities across our company, all of which could adversely affect our operations. These actions and other additional measures we might take to reduce costs may potentially result in a strain our workforce, divert management attention, yield attrition beyond our intended reduction in force, negatively impact employee morale and productivity, cause us to delay, limit, reduce or eliminate certain strategic plans or otherwise interfere with our ability to operate and grow our business effectively, each of which could have an adverse impact on our business, operating results and financial condition. Additionally, as we are operating our business with a different level and mix of employees, we face additional risk that we might not be able to execute on our strategic plans and product roadmap, which may have an adverse effect on our business, financial condition, and operating results. Moreover, the workforce reduction we are implementing, though currently planned to be temporary, may negatively impact our ability to attract, integrate, retain and motivate highly qualified employees, make it difficult for us to pursue new opportunities and initiatives, and may harm our reputation with current or prospective employees.</w:t>
      </w:r>
    </w:p>
    <w:p>
      <w:pPr>
        <w:spacing w:after="0" w:line="151" w:lineRule="exact"/>
        <w:rPr>
          <w:sz w:val="20"/>
          <w:szCs w:val="20"/>
          <w:color w:val="auto"/>
        </w:rPr>
      </w:pPr>
    </w:p>
    <w:p>
      <w:pPr>
        <w:ind w:right="880"/>
        <w:spacing w:after="0" w:line="278" w:lineRule="auto"/>
        <w:rPr>
          <w:sz w:val="20"/>
          <w:szCs w:val="20"/>
          <w:color w:val="auto"/>
        </w:rPr>
      </w:pPr>
      <w:r>
        <w:rPr>
          <w:rFonts w:ascii="Arial" w:cs="Arial" w:eastAsia="Arial" w:hAnsi="Arial"/>
          <w:sz w:val="18"/>
          <w:szCs w:val="18"/>
          <w:b w:val="1"/>
          <w:bCs w:val="1"/>
          <w:i w:val="1"/>
          <w:iCs w:val="1"/>
          <w:color w:val="auto"/>
        </w:rPr>
        <w:t>Our operational and business portfolio reviews may not result in improvements to our financial performance, strategy, or operations, and we face a number of risks related to such reviews.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currently undertaking a comprehensive operational and business portfolio review that is expected to encompass geographies, products, verticals, and cost structure, and explore various options and an operational cost-saving review to identify efficiencies and synergies across all of our business areas, including opportunities to combine and optimize systems and processes. Implementation of a go forward plan and any other cost-saving initiatives, including possible future restructuring efforts, may be costly and disruptive to our business, the expected costs and charges may be greater than forecasted, and the estimated cost savings may be lower than forecasted. We may not achieve the desired strategic, operational, and financial benefits of any actions taken as a result of our operational and business portfolio reviews. Further, we may not be able to successfully execute the desired changes. During the pendency of these reviews or any transaction that may occur as a result of these reviews, we may be subject to risks related to a decline in the business or employee morale and turnover, as well as distraction of management from our business and clients, and investors may not react favorably to our decisions, which could adversely affect our business, results of operations and the market price of our common stock. If we are unable to successfully complete our operational and business portfolio reviews or we are unable to complete the proposed outcomes of these reviews or they do not meet our strategic objectives, our business, results of operations and financial condition could be adversely affected.</w:t>
      </w:r>
    </w:p>
    <w:p>
      <w:pPr>
        <w:spacing w:after="0" w:line="156"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Our operational and business portfolio reviews are ongoing, and we are continuing to carefully consider the full range of options for maximizing value to our shareholders, including potential transactions with third parties and other strategic and financial alternatives. There can be no assurance that the operational and business portfolio reviews will result in any particular action or that a transaction will be consummated, nor can there be any assurance regarding the timing of any action or transaction. We have not set a deadline or definitive timetable for the completion of our reviews, and we can provide no assurance that any actions taken or any transaction or other strategic alternative we may pursue will achieve the anticipated cost savings, operating efficiencies or have a positive impact on our results of operations or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fail to meet or exceed such expectations for these or any other reasons, the market price of our common stock could decline.</w:t>
      </w:r>
    </w:p>
    <w:p>
      <w:pPr>
        <w:spacing w:after="0" w:line="187"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4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strategically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4" w:lineRule="exact"/>
        <w:rPr>
          <w:sz w:val="20"/>
          <w:szCs w:val="20"/>
          <w:color w:val="auto"/>
        </w:rPr>
      </w:pPr>
    </w:p>
    <w:p>
      <w:pPr>
        <w:ind w:right="110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38"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6" w:name="page37"/>
    <w:bookmarkEnd w:id="36"/>
    <w:p>
      <w:pPr>
        <w:ind w:right="380" w:firstLine="509"/>
        <w:spacing w:after="0" w:line="242"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year ended December 31, 2024, as the U.S. Dollar weakened against several currencies, including the British Pound, relative to the prior year, these foreign exchange impacts increased our reported revenue in U.S. Dollars by approximately $2.3 million compared to the year ended December 31, 2023 on a constant currency basis.</w:t>
      </w:r>
    </w:p>
    <w:p>
      <w:pPr>
        <w:spacing w:after="0" w:line="152"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44"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36"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5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9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FX Neutral Revenue Less Ancillary Services, adjusted gross profit, adjusted gross margin, adjusted EBITDA, and adjusted EBITDA margin,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83"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7" w:name="page38"/>
    <w:bookmarkEnd w:id="37"/>
    <w:p>
      <w:pPr>
        <w:ind w:right="20" w:firstLine="509"/>
        <w:spacing w:after="0" w:line="244" w:lineRule="auto"/>
        <w:rPr>
          <w:sz w:val="20"/>
          <w:szCs w:val="20"/>
          <w:color w:val="auto"/>
        </w:rPr>
      </w:pPr>
      <w:r>
        <w:rPr>
          <w:rFonts w:ascii="Arial" w:cs="Arial" w:eastAsia="Arial" w:hAnsi="Arial"/>
          <w:sz w:val="18"/>
          <w:szCs w:val="18"/>
          <w:color w:val="auto"/>
        </w:rPr>
        <w:t>In addition, our existing banking partners may at any time and from time to time cease serving certain categories of payments due to perceived risk or similar reasons as well as payments originating from, or being paid to, certain high 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spacing w:after="0" w:line="14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4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83"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6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8" w:name="page39"/>
    <w:bookmarkEnd w:id="38"/>
    <w:p>
      <w:pPr>
        <w:jc w:val="both"/>
        <w:ind w:right="180" w:firstLine="509"/>
        <w:spacing w:after="0" w:line="253"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1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42"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limitations or other restrictions on student visas, pressure on tuition costs, or increased operating expenses, which may reduce demand for our solutions.</w:t>
      </w:r>
    </w:p>
    <w:p>
      <w:pPr>
        <w:spacing w:after="0" w:line="11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28" w:lineRule="exact"/>
        <w:rPr>
          <w:sz w:val="20"/>
          <w:szCs w:val="20"/>
          <w:color w:val="auto"/>
        </w:rPr>
      </w:pPr>
    </w:p>
    <w:p>
      <w:pPr>
        <w:ind w:left="900" w:right="420" w:hanging="263"/>
        <w:spacing w:after="0" w:line="274" w:lineRule="auto"/>
        <w:tabs>
          <w:tab w:leader="none" w:pos="90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Declines in international student enrollment. Global conflict, geopolitical tensions and restrictions on immigration or increased limitation on the award of student visas (such as those recently announced in Canada and Australia) has and is expected to continue to negatively impact the cross-border education industry and schools that rely on foreign student populations.</w:t>
      </w:r>
    </w:p>
    <w:p>
      <w:pPr>
        <w:spacing w:after="0" w:line="112" w:lineRule="exact"/>
        <w:rPr>
          <w:rFonts w:ascii="Times New Roman" w:cs="Times New Roman" w:eastAsia="Times New Roman" w:hAnsi="Times New Roman"/>
          <w:sz w:val="17"/>
          <w:szCs w:val="17"/>
          <w:color w:val="auto"/>
        </w:rPr>
      </w:pPr>
    </w:p>
    <w:p>
      <w:pPr>
        <w:ind w:left="900" w:right="100" w:hanging="263"/>
        <w:spacing w:after="0" w:line="246"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149" w:lineRule="exact"/>
        <w:rPr>
          <w:rFonts w:ascii="Times New Roman" w:cs="Times New Roman" w:eastAsia="Times New Roman" w:hAnsi="Times New Roman"/>
          <w:sz w:val="18"/>
          <w:szCs w:val="18"/>
          <w:color w:val="auto"/>
        </w:rPr>
      </w:pPr>
    </w:p>
    <w:p>
      <w:pPr>
        <w:ind w:left="900" w:right="360" w:hanging="26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13" w:lineRule="exact"/>
        <w:rPr>
          <w:rFonts w:ascii="Times New Roman" w:cs="Times New Roman" w:eastAsia="Times New Roman" w:hAnsi="Times New Roman"/>
          <w:sz w:val="18"/>
          <w:szCs w:val="18"/>
          <w:color w:val="auto"/>
        </w:rPr>
      </w:pPr>
    </w:p>
    <w:p>
      <w:pPr>
        <w:ind w:left="900" w:right="160" w:hanging="263"/>
        <w:spacing w:after="0" w:line="252"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130"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27" w:lineRule="exact"/>
        <w:rPr>
          <w:rFonts w:ascii="Times New Roman" w:cs="Times New Roman" w:eastAsia="Times New Roman" w:hAnsi="Times New Roman"/>
          <w:sz w:val="18"/>
          <w:szCs w:val="18"/>
          <w:color w:val="auto"/>
        </w:rPr>
      </w:pPr>
    </w:p>
    <w:p>
      <w:pPr>
        <w:jc w:val="both"/>
        <w:ind w:left="900" w:right="580" w:hanging="263"/>
        <w:spacing w:after="0" w:line="252"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30"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as well as between Canada and India, that has from time to time slowed the growth of Chinese students studying in the U.S. and Indian students studying in Canada, and may have resulted in changes in Chinese and Indian student education destinations, have had and may continue to have an impact on our revenue growth. These geopolitical tensions and perceptions regarding potential hostility of host country study destinations may further suppress interest in international study (even at levels below the caps described below set by the governments of Canada and Australia), which would have an adverse effect on our business, operating results and financial condition.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9" w:name="page40"/>
    <w:bookmarkEnd w:id="39"/>
    <w:p>
      <w:pPr>
        <w:ind w:right="60" w:firstLine="509"/>
        <w:spacing w:after="0" w:line="238" w:lineRule="auto"/>
        <w:rPr>
          <w:sz w:val="20"/>
          <w:szCs w:val="20"/>
          <w:color w:val="auto"/>
        </w:rPr>
      </w:pPr>
      <w:r>
        <w:rPr>
          <w:rFonts w:ascii="Arial" w:cs="Arial" w:eastAsia="Arial" w:hAnsi="Arial"/>
          <w:sz w:val="18"/>
          <w:szCs w:val="18"/>
          <w:color w:val="auto"/>
        </w:rPr>
        <w:t>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recent reports indicate that the 2025 and 2026 study permit intake cap will include master’s and doctoral students.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fourth quarter of 2024 and which we anticipate will continue to impact our Canada revenues in 2025.</w:t>
      </w:r>
    </w:p>
    <w:p>
      <w:pPr>
        <w:spacing w:after="0" w:line="15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These new Australian government policies, including university quotas, slower visa processing, higher fees, and stricter financial and language requirements, has had an adverse impact on our business in the fourth quarter of 2024 and we anticipate will continue to impact our Australian revenues in 2025.</w:t>
      </w:r>
    </w:p>
    <w:p>
      <w:pPr>
        <w:spacing w:after="0" w:line="14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Other governments where our client institutions are located, including in the U.S., may introduce measures from time to time to manage the growth of the international student population in their respective countries, which may have adverse effects on our business. Our U.S. market saw slower growth in the fourth quarter of 2024 due to shifting visa trends. In addition, there are reports that the new executive administration in the U.S. is likely to closely scrutinize applications for international student visas, adding to uncertainty around the number of students coming to the U.S. to study in the near future. Delays in issuances of visas or visa denials may discourage prospective international students from choosing U.S. institutions as places for study.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In addition to caps on international students, government changes to other visa or student insurance requirements (for example, no longer requiring a one year tuition deposit as a condition to issuance of a student visa, or eliminating a need to procure insurance) may negatively impact payment volume. The existing rules and any introduction of new rules further limiting potential payment flows or the attractiveness of international study by the governments of countries where our client institutions are located has and could continue to adversely impact our business, operating results, and financial condition.</w:t>
      </w:r>
    </w:p>
    <w:p>
      <w:pPr>
        <w:spacing w:after="0" w:line="14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spacing w:after="0" w:line="149"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1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0" w:name="page41"/>
    <w:bookmarkEnd w:id="40"/>
    <w:p>
      <w:pPr>
        <w:ind w:right="80"/>
        <w:spacing w:after="0" w:line="253" w:lineRule="auto"/>
        <w:rPr>
          <w:sz w:val="20"/>
          <w:szCs w:val="20"/>
          <w:color w:val="auto"/>
        </w:rPr>
      </w:pPr>
      <w:r>
        <w:rPr>
          <w:rFonts w:ascii="Arial" w:cs="Arial" w:eastAsia="Arial" w:hAnsi="Arial"/>
          <w:sz w:val="18"/>
          <w:szCs w:val="18"/>
          <w:color w:val="auto"/>
        </w:rPr>
        <w:t>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spacing w:after="0" w:line="14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spacing w:after="0" w:line="153"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2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8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Events like regional or larger scale conflicts, war or other military conflict, including the conflicts between Russia and Ukraine, and Israel and Hamas,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heightened interest rates and inflation. We are not in a position to evaluate the net effect of these circumstances on our business as these events are largely unpredictable; however, we believe there has been and may continue to be negative impact to our business due to such events. Furthermore, in the longer term, our business might be negatively affected by regulatory changes,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In addition, any hostility towards tourists may depress international travel. The United States has implemented or proposed, or is considering, various changes in laws, regulations or policies that could affect U.S. trade policy or practices, relations with other countries and travel permits, which could also adversely affect travel to or from the United States. If such events result in a long-term negative impact on the travel industry, such impact could have a material adverse effect on our business. The payment volume from our travel vertical represented less than 10% of our total payment volume during the year ended December 31, 2024. Because we seek to grow the payment volume and the revenue from this vertical in the future through various initiatives, including the recently announced Sertifi acquisition, failure to grow our payment volume and resulting revenue from this industry, may have an adverse effect on our business, operating results and financial condition.</w:t>
      </w:r>
    </w:p>
    <w:p>
      <w:pPr>
        <w:spacing w:after="0" w:line="1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1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during the year ended December 31, 2024 represented,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5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28"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42" w:name="page43"/>
    <w:bookmarkEnd w:id="42"/>
    <w:p>
      <w:pPr>
        <w:ind w:right="260"/>
        <w:spacing w:after="0" w:line="271" w:lineRule="auto"/>
        <w:rPr>
          <w:sz w:val="20"/>
          <w:szCs w:val="20"/>
          <w:color w:val="auto"/>
        </w:rPr>
      </w:pPr>
      <w:r>
        <w:rPr>
          <w:rFonts w:ascii="Arial" w:cs="Arial" w:eastAsia="Arial" w:hAnsi="Arial"/>
          <w:sz w:val="18"/>
          <w:szCs w:val="18"/>
          <w:color w:val="auto"/>
        </w:rPr>
        <w:t>acquisition, we may invest significant resources to develop and expand the functionality of our solutions to meet the needs of customers in those verticals, which investments will occur in advance of our realization of revenue from them.</w:t>
      </w:r>
    </w:p>
    <w:p>
      <w:pPr>
        <w:spacing w:after="0" w:line="12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9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heightened interest rates,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diplomatic and trade friction between Canada and India and the U.S. and countries such as Canada, Mexico and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 restructure or reorganize certain portions of our operations, including our restructuring announced in February 2025, in order to align our business with market conditions and our strategies, any of which can result in near term expense and harm to our growth prospects.</w:t>
      </w:r>
    </w:p>
    <w:p>
      <w:pPr>
        <w:spacing w:after="0" w:line="1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Although recent cease-fires have in some instances reduced hostilities, armed conflict is continuing and could intensify if cease-fires are not sustained, and conflict could spread between Israel and Iran, and also further affect Lebanon.</w:t>
      </w:r>
    </w:p>
    <w:p>
      <w:pPr>
        <w:spacing w:after="0" w:line="14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Israel Defense Force (IDF), the national military of Israel, is a conscripted military service, subject to certain exceptions. Since the outbreak of hostilities,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49"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Shelter-in-place and work-from-home measures, government-imposed restrictions on movement and travel and other precautions taken to address the ongoing conflict may temporarily disrupt our employees’ ability to effectively perform their daily tasks.</w:t>
      </w:r>
    </w:p>
    <w:p>
      <w:pPr>
        <w:spacing w:after="0" w:line="11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3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We are actively monitoring the situations in Ukraine and Israel and assessing any potential impact on our business, but to date have not experienced any material impact. We have no way to predict the progress or outcome of the conflicts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3" w:name="page44"/>
    <w:bookmarkEnd w:id="43"/>
    <w:p>
      <w:pPr>
        <w:ind w:right="80"/>
        <w:spacing w:after="0" w:line="239" w:lineRule="auto"/>
        <w:rPr>
          <w:sz w:val="20"/>
          <w:szCs w:val="20"/>
          <w:color w:val="auto"/>
        </w:rPr>
      </w:pPr>
      <w:r>
        <w:rPr>
          <w:rFonts w:ascii="Arial" w:cs="Arial" w:eastAsia="Arial" w:hAnsi="Arial"/>
          <w:sz w:val="18"/>
          <w:szCs w:val="18"/>
          <w:color w:val="auto"/>
        </w:rPr>
        <w:t>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clients,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Annual Report on Form 10-K.</w:t>
      </w:r>
    </w:p>
    <w:p>
      <w:pPr>
        <w:spacing w:after="0" w:line="153"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In addition, political tensions between the U.S. and countries, such as Canada, Mexico and China, have recently escalated due to, among other things, priorities and executive orders from the new U.S. presidential administration, and could have an adverse effect on our operations. Rising political tensions could reduce levels of trade, investments, technological and educational exchanges, travel and other economic activities between the U.S. and such other countries, which would have a material adverse effect on global economic conditions and the stability of global financial markets. For example, the Trump administration recently confirmed its intent to impose heavy tariffs on imports from several nations, including Canada, Mexico, and China. On February 3, 2025, President Trump announced a deal to delay the imposition of tariffs on imports from Canada and Mexico by a month. However, any such tariffs, if and when enacted, and any further legislation or actions taken by the U.S. federal government (and responsive actions adopted by other countries as well) that restrict trade, such as additional tariffs, trade barriers, and other protectionist or retaliatory measures could harm our business, results of operations and financial condition. Any of these factors could have a material adverse effect on our business, prospects, financial condition and results of operations. We cannot assure you that, if the political tension between the U.S. and other countries intensifies and further regulations affecting our business are passed, our business will not be materially and adversely affected.</w:t>
      </w:r>
    </w:p>
    <w:p>
      <w:pPr>
        <w:spacing w:after="0" w:line="1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Inflation and heightened interest rates have and may in the future result in decreased demand for our solutions, increases in our operating costs including our labor costs, constrained credit and liquidity, and volatility in financial markets and the banking ecosystem. Although the Federal Reserve lowered interest rates by 50 basis points on September 18, 2024, interest rates remain elevated and there continues to be uncertainty in the changing market and economic conditions, including the effects of additional measures that have and could be taken by the Trump administration,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87"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9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3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or improve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4" w:name="page45"/>
    <w:bookmarkEnd w:id="44"/>
    <w:p>
      <w:pPr>
        <w:ind w:right="480"/>
        <w:spacing w:after="0" w:line="278" w:lineRule="auto"/>
        <w:rPr>
          <w:sz w:val="20"/>
          <w:szCs w:val="20"/>
          <w:color w:val="auto"/>
        </w:rPr>
      </w:pPr>
      <w:r>
        <w:rPr>
          <w:rFonts w:ascii="Arial" w:cs="Arial" w:eastAsia="Arial" w:hAnsi="Arial"/>
          <w:sz w:val="18"/>
          <w:szCs w:val="18"/>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For the year ended December 31, 2024, we processed over $29.7 billion in payments on our solutions, compared to over $24.0 billion for the year ended December 31, 2023, and approximately $18.1 billion for the year ended December 31, 2022. We have grown rapidly and seek to continue to grow, and our business is subject to the risk of financial losses as a result of chargebacks for client-related losses, credit losses, operational errors, software defects, service disruption, employee or partner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or we are otherwise unable to collect on the chargeback, we will bear the economic loss, which can negatively impact our business.</w:t>
      </w:r>
    </w:p>
    <w:p>
      <w:pPr>
        <w:spacing w:after="0" w:line="145" w:lineRule="exact"/>
        <w:rPr>
          <w:sz w:val="20"/>
          <w:szCs w:val="20"/>
          <w:color w:val="auto"/>
        </w:rPr>
      </w:pPr>
    </w:p>
    <w:p>
      <w:pPr>
        <w:jc w:val="both"/>
        <w:ind w:right="600" w:firstLine="509"/>
        <w:spacing w:after="0" w:line="247"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33" w:lineRule="exact"/>
        <w:rPr>
          <w:sz w:val="20"/>
          <w:szCs w:val="20"/>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lost or delayed market acceptance and acquisition of new clients;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legal claims against us;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 or</w:t>
      </w:r>
    </w:p>
    <w:p>
      <w:pPr>
        <w:spacing w:after="0" w:line="197" w:lineRule="exact"/>
        <w:rPr>
          <w:rFonts w:ascii="Times New Roman" w:cs="Times New Roman" w:eastAsia="Times New Roman" w:hAnsi="Times New Roman"/>
          <w:sz w:val="18"/>
          <w:szCs w:val="18"/>
          <w:color w:val="auto"/>
        </w:rPr>
      </w:pPr>
    </w:p>
    <w:p>
      <w:pPr>
        <w:ind w:left="900" w:right="520" w:hanging="263"/>
        <w:spacing w:after="0" w:line="270"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1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30"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Our management of our operating funds and client funds may be reliant on a limited number of our banking partners and other financial institutions.</w:t>
      </w:r>
    </w:p>
    <w:p>
      <w:pPr>
        <w:spacing w:after="0" w:line="11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or are delayed in accessing,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41"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marketable securities portfolio is subject to credit, liquidity, market, and interest rate risks that could cause its value to decline significantly and materially adversely affect our business, financial condition, results of operations, and prospects.</w:t>
      </w:r>
    </w:p>
    <w:p>
      <w:pPr>
        <w:spacing w:after="0" w:line="9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We maintain an investment portfolio of marketable securities. These investments are subject to general credit, liquidity, market, and interest rate risks that can affect the income that we receive from our investments, the net realizable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45" w:name="page46"/>
    <w:bookmarkEnd w:id="45"/>
    <w:p>
      <w:pPr>
        <w:ind w:right="80"/>
        <w:spacing w:after="0" w:line="244" w:lineRule="auto"/>
        <w:rPr>
          <w:sz w:val="20"/>
          <w:szCs w:val="20"/>
          <w:color w:val="auto"/>
        </w:rPr>
      </w:pPr>
      <w:r>
        <w:rPr>
          <w:rFonts w:ascii="Arial" w:cs="Arial" w:eastAsia="Arial" w:hAnsi="Arial"/>
          <w:sz w:val="18"/>
          <w:szCs w:val="18"/>
          <w:color w:val="auto"/>
        </w:rPr>
        <w:t>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spacing w:after="0" w:line="151"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Volatility in the banking and financial services ecosystems may impact our bank partnerships and relationships, which could adversely affect our operations and liquidity.</w:t>
      </w:r>
    </w:p>
    <w:p>
      <w:pPr>
        <w:spacing w:after="0" w:line="9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spacing w:after="0" w:line="13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spacing w:after="0" w:line="153"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1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5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28"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6" w:name="page47"/>
    <w:bookmarkEnd w:id="46"/>
    <w:p>
      <w:pPr>
        <w:jc w:val="both"/>
        <w:ind w:right="420"/>
        <w:spacing w:after="0" w:line="275" w:lineRule="auto"/>
        <w:rPr>
          <w:sz w:val="20"/>
          <w:szCs w:val="20"/>
          <w:color w:val="auto"/>
        </w:rPr>
      </w:pPr>
      <w:r>
        <w:rPr>
          <w:rFonts w:ascii="Arial" w:cs="Arial" w:eastAsia="Arial" w:hAnsi="Arial"/>
          <w:sz w:val="17"/>
          <w:szCs w:val="17"/>
          <w:color w:val="auto"/>
        </w:rPr>
        <w:t>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1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3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clients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spacing w:after="0" w:line="15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FERPA, the Gramm-Leach-Bliley Act (GLBA), and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spacing w:after="0" w:line="14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7" w:name="page48"/>
    <w:bookmarkEnd w:id="47"/>
    <w:p>
      <w:pPr>
        <w:ind w:right="20" w:firstLine="509"/>
        <w:spacing w:after="0" w:line="238"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5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clients, suppliers or other vendors.</w:t>
      </w:r>
    </w:p>
    <w:p>
      <w:pPr>
        <w:spacing w:after="0" w:line="11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spacing w:after="0" w:line="155"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56"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8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respectively, and potentially other regions of Europe and the Middle East, there is an increased likelihood that escalation of tensions could result in cyberattacks that could either directly or indirectly impact our operations. In addition,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 Because of this, we face additional cybersecurity challenges, including threats to our own IT infrastructure or those of our clients, our clients’ customers,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5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146"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clients, FlyMates or other third parties, which could expose us to material financial losses and liability and otherwise harm our business.</w:t>
      </w:r>
    </w:p>
    <w:p>
      <w:pPr>
        <w:spacing w:after="0" w:line="112"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3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1"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teams to investigate and remediate, or prompt us to reimburse our clients for such losses in order to maintain client business relationships.</w:t>
      </w:r>
    </w:p>
    <w:p>
      <w:pPr>
        <w:spacing w:after="0" w:line="18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1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spacing w:after="0" w:line="15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41" w:lineRule="exact"/>
        <w:rPr>
          <w:sz w:val="20"/>
          <w:szCs w:val="20"/>
          <w:color w:val="auto"/>
        </w:rPr>
      </w:pPr>
    </w:p>
    <w:p>
      <w:pPr>
        <w:ind w:right="260"/>
        <w:spacing w:after="0" w:line="309" w:lineRule="auto"/>
        <w:rPr>
          <w:sz w:val="20"/>
          <w:szCs w:val="20"/>
          <w:color w:val="auto"/>
        </w:rPr>
      </w:pPr>
      <w:r>
        <w:rPr>
          <w:rFonts w:ascii="Arial" w:cs="Arial" w:eastAsia="Arial" w:hAnsi="Arial"/>
          <w:sz w:val="17"/>
          <w:szCs w:val="17"/>
          <w:b w:val="1"/>
          <w:bCs w:val="1"/>
          <w:i w:val="1"/>
          <w:iCs w:val="1"/>
          <w:color w:val="auto"/>
        </w:rPr>
        <w:t>We use artificial intelligence in our solutions and services which may result in operational challenges, legal liability, reputational harm, competitive risks and regulatory concerns that could adversely affect our business and results of operations.</w:t>
      </w:r>
    </w:p>
    <w:p>
      <w:pPr>
        <w:spacing w:after="0" w:line="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incorporate AI, including generative AI, into our solutions and services.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solutions and services could expose us to intellectual property claims or mandatory compliance with open source software or other license terms. Our use of AI may also lead to novel cybersecurity or privacy risks which may adversely affect our operations and reputation. The European Union’s Artificial Intelligence Act, which would apply beyond the European Union's borders, came into force in August 2024, and various other governments have proposed or adopted policy and regulatory responses to oversee the use of AI. Compliance with regulations as well as social and ethical standards relating to AI may require significant research and development costs as well as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0" w:name="page51"/>
    <w:bookmarkEnd w:id="50"/>
    <w:p>
      <w:pPr>
        <w:spacing w:after="0" w:line="253" w:lineRule="auto"/>
        <w:rPr>
          <w:sz w:val="20"/>
          <w:szCs w:val="20"/>
          <w:color w:val="auto"/>
        </w:rPr>
      </w:pPr>
      <w:r>
        <w:rPr>
          <w:rFonts w:ascii="Arial" w:cs="Arial" w:eastAsia="Arial" w:hAnsi="Arial"/>
          <w:sz w:val="18"/>
          <w:szCs w:val="18"/>
          <w:color w:val="auto"/>
        </w:rPr>
        <w:t>management and employee attention. Any actual or perceived failure to comply with these laws, regulations or ethical standards could include severe penalties, reputational harm, and slow adoption of AI in our solutions and services. In addition, our business may be disrupted if any of the third-party AI services we use become unavailable due to extended outages or commercially unreasonable terms of service.</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6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3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33" w:lineRule="exact"/>
        <w:rPr>
          <w:sz w:val="20"/>
          <w:szCs w:val="20"/>
          <w:color w:val="auto"/>
        </w:rPr>
      </w:pPr>
    </w:p>
    <w:p>
      <w:pPr>
        <w:jc w:val="both"/>
        <w:ind w:right="520" w:firstLine="509"/>
        <w:spacing w:after="0" w:line="253"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28"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5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13"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If we fail to maintain, protect and enhance our brand, our ability to expand our client base will be impaired and our business, operating results, and financial condition may suffer.</w:t>
      </w:r>
    </w:p>
    <w:p>
      <w:pPr>
        <w:spacing w:after="0" w:line="9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We believe that further developing, maintaining, protecting and enhancing our brand domestically and on a global basis is important to support the marketing and sale of our existing and future solutions to existing and new clients and to</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our solutions from competitive solutions. Our brand promotion activities may not generate client awareness or yield increased revenue, and even if they do, any increased revenue may not offset the expenses we incur in maintaining and building our brand. If we fail to successfully promote and maintain our brand or if we incur excessive expenses in this effort, our business could suffer.</w:t>
      </w:r>
    </w:p>
    <w:p>
      <w:pPr>
        <w:spacing w:after="0" w:line="158" w:lineRule="exact"/>
        <w:rPr>
          <w:sz w:val="20"/>
          <w:szCs w:val="20"/>
          <w:color w:val="auto"/>
        </w:rPr>
      </w:pPr>
    </w:p>
    <w:p>
      <w:pPr>
        <w:ind w:right="520" w:firstLine="509"/>
        <w:spacing w:after="0" w:line="244" w:lineRule="auto"/>
        <w:rPr>
          <w:sz w:val="20"/>
          <w:szCs w:val="20"/>
          <w:color w:val="auto"/>
        </w:rPr>
      </w:pPr>
      <w:r>
        <w:rPr>
          <w:rFonts w:ascii="Arial" w:cs="Arial" w:eastAsia="Arial" w:hAnsi="Arial"/>
          <w:sz w:val="18"/>
          <w:szCs w:val="18"/>
          <w:color w:val="auto"/>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spacing w:after="0" w:line="136"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clients and their customers with us, our products or services could adversely affect our reputation and the confidence in and use of our solutions. If we do not successfully maintain, protect or enhance our brands, our business could be materially and adversely affected.</w:t>
      </w:r>
    </w:p>
    <w:p>
      <w:pPr>
        <w:spacing w:after="0" w:line="15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1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51"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99" w:lineRule="exact"/>
        <w:rPr>
          <w:sz w:val="20"/>
          <w:szCs w:val="20"/>
          <w:color w:val="auto"/>
        </w:rPr>
      </w:pPr>
    </w:p>
    <w:p>
      <w:pPr>
        <w:jc w:val="both"/>
        <w:ind w:right="280" w:firstLine="509"/>
        <w:spacing w:after="0" w:line="253"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2" w:name="page53"/>
    <w:bookmarkEnd w:id="52"/>
    <w:p>
      <w:pPr>
        <w:spacing w:after="0" w:line="242" w:lineRule="auto"/>
        <w:rPr>
          <w:sz w:val="20"/>
          <w:szCs w:val="20"/>
          <w:color w:val="auto"/>
        </w:rPr>
      </w:pPr>
      <w:r>
        <w:rPr>
          <w:rFonts w:ascii="Arial" w:cs="Arial" w:eastAsia="Arial" w:hAnsi="Arial"/>
          <w:sz w:val="18"/>
          <w:szCs w:val="18"/>
          <w:color w:val="auto"/>
        </w:rPr>
        <w:t>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immigration policy and regulatory changes may also affect our ability to hire, mobilize, or retain some of our global talent. If we fail to identify, attract, develop and integrate new personnel, or fail to retain and motivate our current personnel, our growth prospects would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69"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83"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The sales cycles of our solutions tend to vary depending on the client industry sector which makes forecasting more complex and uncertain.</w:t>
      </w:r>
    </w:p>
    <w:p>
      <w:pPr>
        <w:spacing w:after="0" w:line="11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heightened inflationary conditions, regulatory concerns, recession concerns, priorities of the U.S. presidential administration and related changes in laws, regulations or policies, and the escalation of hostilities between Russia and Ukraine, and Israel and Hamas),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4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5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9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3" w:name="page54"/>
    <w:bookmarkEnd w:id="53"/>
    <w:p>
      <w:pPr>
        <w:ind w:right="80"/>
        <w:spacing w:after="0" w:line="253" w:lineRule="auto"/>
        <w:rPr>
          <w:sz w:val="20"/>
          <w:szCs w:val="20"/>
          <w:color w:val="auto"/>
        </w:rPr>
      </w:pPr>
      <w:r>
        <w:rPr>
          <w:rFonts w:ascii="Arial" w:cs="Arial" w:eastAsia="Arial" w:hAnsi="Arial"/>
          <w:sz w:val="18"/>
          <w:szCs w:val="18"/>
          <w:color w:val="auto"/>
        </w:rPr>
        <w:t>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p>
    <w:p>
      <w:pPr>
        <w:spacing w:after="0" w:line="144"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9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43"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49"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9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8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43"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Any acquisitions we undertake or have recently completed, including the acquisitions of Sertifi in February 2025, Invoiced in August 2024, StudyLink in November 2023 and Cohort Go in July 2022, will likely be accompanied by business risks which may include, among other things:</w:t>
      </w:r>
    </w:p>
    <w:p>
      <w:pPr>
        <w:spacing w:after="0" w:line="128" w:lineRule="exact"/>
        <w:rPr>
          <w:sz w:val="20"/>
          <w:szCs w:val="20"/>
          <w:color w:val="auto"/>
        </w:rPr>
      </w:pPr>
    </w:p>
    <w:p>
      <w:pPr>
        <w:ind w:left="5520" w:right="3800" w:hanging="4883"/>
        <w:spacing w:after="0" w:line="411" w:lineRule="auto"/>
        <w:tabs>
          <w:tab w:leader="none" w:pos="888"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acquisition on our financial results, strategic position or reputation;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4" w:name="page55"/>
    <w:bookmarkEnd w:id="54"/>
    <w:p>
      <w:pPr>
        <w:ind w:left="900" w:right="10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27" w:lineRule="exact"/>
        <w:rPr>
          <w:rFonts w:ascii="Times New Roman" w:cs="Times New Roman" w:eastAsia="Times New Roman" w:hAnsi="Times New Roman"/>
          <w:sz w:val="18"/>
          <w:szCs w:val="18"/>
          <w:color w:val="auto"/>
        </w:rPr>
      </w:pPr>
    </w:p>
    <w:p>
      <w:pPr>
        <w:ind w:left="900" w:right="100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83" w:lineRule="exact"/>
        <w:rPr>
          <w:rFonts w:ascii="Times New Roman" w:cs="Times New Roman" w:eastAsia="Times New Roman" w:hAnsi="Times New Roman"/>
          <w:sz w:val="18"/>
          <w:szCs w:val="18"/>
          <w:color w:val="auto"/>
        </w:rPr>
      </w:pPr>
    </w:p>
    <w:p>
      <w:pPr>
        <w:ind w:left="900" w:right="46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27" w:lineRule="exact"/>
        <w:rPr>
          <w:rFonts w:ascii="Times New Roman" w:cs="Times New Roman" w:eastAsia="Times New Roman" w:hAnsi="Times New Roman"/>
          <w:sz w:val="18"/>
          <w:szCs w:val="18"/>
          <w:color w:val="auto"/>
        </w:rPr>
      </w:pPr>
    </w:p>
    <w:p>
      <w:pPr>
        <w:ind w:left="900" w:right="20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lack of experience in new markets, new geographies, new business culture, products or technologies or an initial dependence on unfamiliar distribution partners;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employees of the acquired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44" w:lineRule="exact"/>
        <w:rPr>
          <w:sz w:val="20"/>
          <w:szCs w:val="20"/>
          <w:color w:val="auto"/>
        </w:rPr>
      </w:pPr>
    </w:p>
    <w:p>
      <w:pPr>
        <w:ind w:right="820"/>
        <w:spacing w:after="0" w:line="278" w:lineRule="auto"/>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and core payment platform could harm our business.</w:t>
      </w:r>
    </w:p>
    <w:p>
      <w:pPr>
        <w:spacing w:after="0" w:line="9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systems and payment platform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are costly and time-consuming to implement, and may divert our resources from other business priorities.</w:t>
      </w:r>
    </w:p>
    <w:p>
      <w:pPr>
        <w:spacing w:after="0" w:line="13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 prolonged interruption in the availability, speed, or functionality of our solutions, payment platform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or platform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5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and payment platform.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55" w:name="page56"/>
    <w:bookmarkEnd w:id="55"/>
    <w:p>
      <w:pPr>
        <w:ind w:right="100" w:firstLine="509"/>
        <w:spacing w:after="0" w:line="237" w:lineRule="auto"/>
        <w:rPr>
          <w:sz w:val="20"/>
          <w:szCs w:val="20"/>
          <w:color w:val="auto"/>
        </w:rPr>
      </w:pPr>
      <w:r>
        <w:rPr>
          <w:rFonts w:ascii="Arial" w:cs="Arial" w:eastAsia="Arial" w:hAnsi="Arial"/>
          <w:sz w:val="18"/>
          <w:szCs w:val="18"/>
          <w:color w:val="auto"/>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Additionally, in July 2024, a software update by CrowdStrike Holdings, Inc., a cybersecurity technology company, caused widespread crashes of Windows systems into which it was integrated, including certain Windows systems used by our vendors and customers. As of the date of this Annual Report on Form 10-K, we have not experienced any significant impacts as a result of the CrowdStrike software update, but we could in the future experience similar software-induced interruptions to our operations.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0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the availability and reliability of our network due to changes to normal operations;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cyber and payment fraud risk, as cybercriminals attempt DDoS related attacks, phishing scams and other disruptive actions, given the shift to online banking, e-commerce and other online activity, as well as more FlyMates working remotely; and</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3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solutions and payment platform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4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49"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We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2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potential implementation of tariffs, the possibility of renegotiated trade deals and international tax law treaties, priorities of the U.S. presidential administration and related changes in laws, regulations or policies, United States-China and Canada-India diplomatic and trade friction, heightened tensions between China and Taiwan and the escalation of the conflicts between Russia and Ukraine, and Israel and Hamas,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45" w:lineRule="exact"/>
        <w:rPr>
          <w:sz w:val="20"/>
          <w:szCs w:val="20"/>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volatility;</w:t>
      </w:r>
    </w:p>
    <w:p>
      <w:pPr>
        <w:spacing w:after="0" w:line="197"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adverse economic conditions in the United States and globally, including economic slowdown, heightened interest rates, inflation, recession concerns and the disruption, volatility and tightening of credit and capital markets;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compliance with multiple complex, potentially conflicting and changing governmental laws and regulations;</w:t>
      </w:r>
    </w:p>
    <w:p>
      <w:pPr>
        <w:spacing w:after="0" w:line="183" w:lineRule="exact"/>
        <w:rPr>
          <w:rFonts w:ascii="Times New Roman" w:cs="Times New Roman" w:eastAsia="Times New Roman" w:hAnsi="Times New Roman"/>
          <w:sz w:val="18"/>
          <w:szCs w:val="18"/>
          <w:color w:val="auto"/>
        </w:rPr>
      </w:pPr>
    </w:p>
    <w:p>
      <w:pPr>
        <w:ind w:left="900" w:right="2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83" w:lineRule="exact"/>
        <w:rPr>
          <w:rFonts w:ascii="Times New Roman" w:cs="Times New Roman" w:eastAsia="Times New Roman" w:hAnsi="Times New Roman"/>
          <w:sz w:val="18"/>
          <w:szCs w:val="18"/>
          <w:color w:val="auto"/>
        </w:rPr>
      </w:pPr>
    </w:p>
    <w:p>
      <w:pPr>
        <w:ind w:left="900" w:right="620" w:hanging="263"/>
        <w:spacing w:after="0" w:line="300" w:lineRule="auto"/>
        <w:tabs>
          <w:tab w:leader="none" w:pos="90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90"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and changes in trade regulations;</w:t>
      </w:r>
    </w:p>
    <w:p>
      <w:pPr>
        <w:spacing w:after="0" w:line="197" w:lineRule="exact"/>
        <w:rPr>
          <w:rFonts w:ascii="Times New Roman" w:cs="Times New Roman" w:eastAsia="Times New Roman" w:hAnsi="Times New Roman"/>
          <w:sz w:val="18"/>
          <w:szCs w:val="18"/>
          <w:color w:val="auto"/>
        </w:rPr>
      </w:pPr>
    </w:p>
    <w:p>
      <w:pPr>
        <w:ind w:left="900" w:right="30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sanctions on our ability to offer services in a region, such as sanctions issued by the U.S. and other countries against Russia;</w:t>
      </w:r>
    </w:p>
    <w:p>
      <w:pPr>
        <w:spacing w:after="0" w:line="113" w:lineRule="exact"/>
        <w:rPr>
          <w:rFonts w:ascii="Times New Roman" w:cs="Times New Roman" w:eastAsia="Times New Roman" w:hAnsi="Times New Roman"/>
          <w:sz w:val="18"/>
          <w:szCs w:val="18"/>
          <w:color w:val="auto"/>
        </w:rPr>
      </w:pPr>
    </w:p>
    <w:p>
      <w:pPr>
        <w:ind w:left="900" w:right="18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97"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13"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diplomatic friction, political or social unrest, war or other military conflict, including an escalation of the conflict between Russia and Ukraine, and between Israel and Hamas, respectively, economic instability, repression, or human rights issues;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9" w:right="419" w:bottom="1440" w:gutter="0" w:footer="0" w:header="0"/>
        </w:sectPr>
      </w:pPr>
    </w:p>
    <w:bookmarkStart w:id="57" w:name="page58"/>
    <w:bookmarkEnd w:id="57"/>
    <w:p>
      <w:pPr>
        <w:ind w:left="900" w:right="38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83" w:lineRule="exact"/>
        <w:rPr>
          <w:rFonts w:ascii="Times New Roman" w:cs="Times New Roman" w:eastAsia="Times New Roman" w:hAnsi="Times New Roman"/>
          <w:sz w:val="18"/>
          <w:szCs w:val="18"/>
          <w:color w:val="auto"/>
        </w:rPr>
      </w:pPr>
    </w:p>
    <w:p>
      <w:pPr>
        <w:ind w:left="900" w:hanging="263"/>
        <w:spacing w:after="0" w:line="252"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regulations or policies in the United States and elsewhere and as described in more detail below;</w:t>
      </w:r>
    </w:p>
    <w:p>
      <w:pPr>
        <w:spacing w:after="0" w:line="13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97" w:lineRule="exact"/>
        <w:rPr>
          <w:rFonts w:ascii="Times New Roman" w:cs="Times New Roman" w:eastAsia="Times New Roman" w:hAnsi="Times New Roman"/>
          <w:sz w:val="18"/>
          <w:szCs w:val="18"/>
          <w:color w:val="auto"/>
        </w:rPr>
      </w:pPr>
    </w:p>
    <w:p>
      <w:pPr>
        <w:ind w:left="900" w:right="280" w:hanging="263"/>
        <w:spacing w:after="0" w:line="266" w:lineRule="auto"/>
        <w:tabs>
          <w:tab w:leader="none" w:pos="90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spacing w:after="0" w:line="118" w:lineRule="exact"/>
        <w:rPr>
          <w:rFonts w:ascii="Times New Roman" w:cs="Times New Roman" w:eastAsia="Times New Roman" w:hAnsi="Times New Roman"/>
          <w:sz w:val="17"/>
          <w:szCs w:val="17"/>
          <w:color w:val="auto"/>
        </w:rPr>
      </w:pPr>
    </w:p>
    <w:p>
      <w:pPr>
        <w:ind w:left="900" w:right="32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federal government shutdowns or the priorities of the U.S. presidential administration and related changes in laws, regulations or policies;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collecting accounts receivable.</w:t>
      </w:r>
    </w:p>
    <w:p>
      <w:pPr>
        <w:spacing w:after="0" w:line="184"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3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56"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38"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99"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58" w:name="page59"/>
    <w:bookmarkEnd w:id="58"/>
    <w:p>
      <w:pPr>
        <w:spacing w:after="0" w:line="239" w:lineRule="auto"/>
        <w:rPr>
          <w:sz w:val="20"/>
          <w:szCs w:val="20"/>
          <w:color w:val="auto"/>
        </w:rPr>
      </w:pPr>
      <w:r>
        <w:rPr>
          <w:rFonts w:ascii="Arial" w:cs="Arial" w:eastAsia="Arial" w:hAnsi="Arial"/>
          <w:sz w:val="18"/>
          <w:szCs w:val="18"/>
          <w:color w:val="auto"/>
        </w:rPr>
        <w:t>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53"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Certain of our subsidiaries are registered with FinCEN. Our subsidiary Flywire Global Corp. has obtained licenses to operate as a money transmitter (or the statutory equivalent) in 45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3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4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4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99"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As a result of the regulations applicable to our business, we could be subject to investigations and resulting liability, including governmental fines, restrictions on our business, or other sanctions, and we could be forced to cease conducting</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9" w:name="page60"/>
    <w:bookmarkEnd w:id="59"/>
    <w:p>
      <w:pPr>
        <w:spacing w:after="0" w:line="242" w:lineRule="auto"/>
        <w:rPr>
          <w:sz w:val="20"/>
          <w:szCs w:val="20"/>
          <w:color w:val="auto"/>
        </w:rPr>
      </w:pPr>
      <w:r>
        <w:rPr>
          <w:rFonts w:ascii="Arial" w:cs="Arial" w:eastAsia="Arial" w:hAnsi="Arial"/>
          <w:sz w:val="18"/>
          <w:szCs w:val="18"/>
          <w:color w:val="auto"/>
        </w:rPr>
        <w:t>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5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113" w:lineRule="exact"/>
        <w:rPr>
          <w:sz w:val="20"/>
          <w:szCs w:val="20"/>
          <w:color w:val="auto"/>
        </w:rPr>
      </w:pPr>
    </w:p>
    <w:p>
      <w:pPr>
        <w:ind w:left="900" w:right="26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client identification and client due diligence requirements;</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83" w:lineRule="exact"/>
        <w:rPr>
          <w:rFonts w:ascii="Times New Roman" w:cs="Times New Roman" w:eastAsia="Times New Roman" w:hAnsi="Times New Roman"/>
          <w:sz w:val="18"/>
          <w:szCs w:val="18"/>
          <w:color w:val="auto"/>
        </w:rPr>
      </w:pPr>
    </w:p>
    <w:p>
      <w:pPr>
        <w:ind w:left="900" w:right="78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impose minimum capital or other financial requirements;</w:t>
      </w:r>
    </w:p>
    <w:p>
      <w:pPr>
        <w:spacing w:after="0" w:line="197" w:lineRule="exact"/>
        <w:rPr>
          <w:rFonts w:ascii="Times New Roman" w:cs="Times New Roman" w:eastAsia="Times New Roman" w:hAnsi="Times New Roman"/>
          <w:sz w:val="18"/>
          <w:szCs w:val="18"/>
          <w:color w:val="auto"/>
        </w:rPr>
      </w:pPr>
    </w:p>
    <w:p>
      <w:pPr>
        <w:ind w:left="900" w:right="400" w:hanging="263"/>
        <w:spacing w:after="0" w:line="252"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3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83"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27"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13" w:lineRule="exact"/>
        <w:rPr>
          <w:rFonts w:ascii="Times New Roman" w:cs="Times New Roman" w:eastAsia="Times New Roman" w:hAnsi="Times New Roman"/>
          <w:sz w:val="18"/>
          <w:szCs w:val="18"/>
          <w:color w:val="auto"/>
        </w:rPr>
      </w:pPr>
    </w:p>
    <w:p>
      <w:pPr>
        <w:ind w:left="900" w:right="50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16"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currently required to comply with U.S. economic and trade sanctions administered by OFAC and we have processes in place designed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spacing w:after="0" w:line="14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60" w:name="page61"/>
    <w:bookmarkEnd w:id="60"/>
    <w:p>
      <w:pPr>
        <w:spacing w:after="0" w:line="247" w:lineRule="auto"/>
        <w:rPr>
          <w:sz w:val="20"/>
          <w:szCs w:val="20"/>
          <w:color w:val="auto"/>
        </w:rPr>
      </w:pPr>
      <w:r>
        <w:rPr>
          <w:rFonts w:ascii="Arial" w:cs="Arial" w:eastAsia="Arial" w:hAnsi="Arial"/>
          <w:sz w:val="18"/>
          <w:szCs w:val="18"/>
          <w:color w:val="auto"/>
        </w:rPr>
        <w:t>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4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4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1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5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4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1" w:name="page62"/>
    <w:bookmarkEnd w:id="61"/>
    <w:p>
      <w:pPr>
        <w:jc w:val="both"/>
        <w:ind w:right="300"/>
        <w:spacing w:after="0" w:line="253" w:lineRule="auto"/>
        <w:rPr>
          <w:sz w:val="20"/>
          <w:szCs w:val="20"/>
          <w:color w:val="auto"/>
        </w:rPr>
      </w:pPr>
      <w:r>
        <w:rPr>
          <w:rFonts w:ascii="Arial" w:cs="Arial" w:eastAsia="Arial" w:hAnsi="Arial"/>
          <w:sz w:val="18"/>
          <w:szCs w:val="18"/>
          <w:color w:val="auto"/>
        </w:rPr>
        <w:t>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4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4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5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2" w:name="page63"/>
    <w:bookmarkEnd w:id="62"/>
    <w:p>
      <w:pPr>
        <w:ind w:right="420"/>
        <w:spacing w:after="0" w:line="271" w:lineRule="auto"/>
        <w:rPr>
          <w:sz w:val="20"/>
          <w:szCs w:val="20"/>
          <w:color w:val="auto"/>
        </w:rPr>
      </w:pPr>
      <w:r>
        <w:rPr>
          <w:rFonts w:ascii="Arial" w:cs="Arial" w:eastAsia="Arial" w:hAnsi="Arial"/>
          <w:sz w:val="18"/>
          <w:szCs w:val="18"/>
          <w:color w:val="auto"/>
        </w:rPr>
        <w:t>SCCs are not immediately in force, compliance with them will be required for new transfer agreements entered into from late September 2021. SCCs then in effect were required to be replaced with the New SCCs by December 27, 2022.</w:t>
      </w:r>
    </w:p>
    <w:p>
      <w:pPr>
        <w:spacing w:after="0" w:line="127"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3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4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53"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38"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33"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3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63" w:name="page64"/>
    <w:bookmarkEnd w:id="63"/>
    <w:p>
      <w:pPr>
        <w:ind w:right="100" w:firstLine="509"/>
        <w:spacing w:after="0"/>
        <w:rPr>
          <w:sz w:val="20"/>
          <w:szCs w:val="20"/>
          <w:color w:val="auto"/>
        </w:rPr>
      </w:pPr>
      <w:r>
        <w:rPr>
          <w:rFonts w:ascii="Arial" w:cs="Arial" w:eastAsia="Arial" w:hAnsi="Arial"/>
          <w:sz w:val="18"/>
          <w:szCs w:val="18"/>
          <w:color w:val="auto"/>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58"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2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4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5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45"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4" w:name="page65"/>
    <w:bookmarkEnd w:id="64"/>
    <w:p>
      <w:pPr>
        <w:ind w:right="40"/>
        <w:spacing w:after="0" w:line="253" w:lineRule="auto"/>
        <w:rPr>
          <w:sz w:val="20"/>
          <w:szCs w:val="20"/>
          <w:color w:val="auto"/>
        </w:rPr>
      </w:pPr>
      <w:r>
        <w:rPr>
          <w:rFonts w:ascii="Arial" w:cs="Arial" w:eastAsia="Arial" w:hAnsi="Arial"/>
          <w:sz w:val="18"/>
          <w:szCs w:val="18"/>
          <w:color w:val="auto"/>
        </w:rPr>
        <w:t>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4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4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1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39"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spacing w:after="0" w:line="139"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65" w:name="page66"/>
    <w:bookmarkEnd w:id="65"/>
    <w:p>
      <w:pPr>
        <w:ind w:right="80"/>
        <w:spacing w:after="0" w:line="247" w:lineRule="auto"/>
        <w:rPr>
          <w:sz w:val="20"/>
          <w:szCs w:val="20"/>
          <w:color w:val="auto"/>
        </w:rPr>
      </w:pPr>
      <w:r>
        <w:rPr>
          <w:rFonts w:ascii="Arial" w:cs="Arial" w:eastAsia="Arial" w:hAnsi="Arial"/>
          <w:sz w:val="18"/>
          <w:szCs w:val="18"/>
          <w:color w:val="auto"/>
        </w:rPr>
        <w:t>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47"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7"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61"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9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4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6" w:name="page67"/>
    <w:bookmarkEnd w:id="66"/>
    <w:p>
      <w:pPr>
        <w:ind w:right="360"/>
        <w:spacing w:after="0" w:line="271" w:lineRule="auto"/>
        <w:rPr>
          <w:sz w:val="20"/>
          <w:szCs w:val="20"/>
          <w:color w:val="auto"/>
        </w:rPr>
      </w:pPr>
      <w:r>
        <w:rPr>
          <w:rFonts w:ascii="Arial" w:cs="Arial" w:eastAsia="Arial" w:hAnsi="Arial"/>
          <w:sz w:val="18"/>
          <w:szCs w:val="18"/>
          <w:color w:val="auto"/>
        </w:rPr>
        <w:t>incorporation of open source software into our solutions, we cannot be certain that we have not incorporated open source software in our solutions in a manner that is inconsistent with such policies.</w:t>
      </w:r>
    </w:p>
    <w:p>
      <w:pPr>
        <w:spacing w:after="0" w:line="129"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4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12"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38"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3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53"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3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7" w:name="page68"/>
    <w:bookmarkEnd w:id="67"/>
    <w:p>
      <w:pPr>
        <w:jc w:val="both"/>
        <w:ind w:right="60"/>
        <w:spacing w:after="0" w:line="247" w:lineRule="auto"/>
        <w:rPr>
          <w:sz w:val="20"/>
          <w:szCs w:val="20"/>
          <w:color w:val="auto"/>
        </w:rPr>
      </w:pPr>
      <w:r>
        <w:rPr>
          <w:rFonts w:ascii="Arial" w:cs="Arial" w:eastAsia="Arial" w:hAnsi="Arial"/>
          <w:sz w:val="18"/>
          <w:szCs w:val="18"/>
          <w:color w:val="auto"/>
        </w:rPr>
        <w:t>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of December 31, 2024, we had U.S. federal NOL carryforwards of approximately $57.9 million and state NOL carryforwards of approximately $88.3 million. The federal and material state NOL carryforwards will begin to expire in 2030 and 2029,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spacing w:after="0" w:line="14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During 2022, the Company completed a Section 382 study and as a result of the ownership changes identified, $1.6 million of Flywire’s NOLs and $0.2 million of Simplee’s NOLs will expire unutilized, assuming sufficient taxable income is generated in the future. In 2024, the Company completed its refresh of the Section 382 study through the 2023 tax year and there are no additional limitations in using federal and state NOL carryforwards.</w:t>
      </w:r>
    </w:p>
    <w:p>
      <w:pPr>
        <w:spacing w:after="0" w:line="147"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Under the Tax Cuts and Jobs Act enacted in 2017 as modified by the Coronavirus Aid, Relief, and Economic Security Act enacted in 2020,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continue to maintain an effective system of disclosure controls and internal control over financial reporting, our ability to produce timely and accurate financial statements or comply with applicable laws and regulations could be impaired.</w:t>
      </w:r>
    </w:p>
    <w:p>
      <w:pPr>
        <w:spacing w:after="0" w:line="13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requires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45"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8" w:name="page69"/>
    <w:bookmarkEnd w:id="68"/>
    <w:p>
      <w:pPr>
        <w:ind w:right="20"/>
        <w:spacing w:after="0" w:line="24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maintain our internal controls,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4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is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36"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38"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are actively engaged in the ongoing costly process of maintaining compliance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4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3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1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management.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6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9" w:name="page70"/>
    <w:bookmarkEnd w:id="69"/>
    <w:p>
      <w:pPr>
        <w:ind w:right="20"/>
        <w:spacing w:after="0"/>
        <w:rPr>
          <w:sz w:val="20"/>
          <w:szCs w:val="20"/>
          <w:color w:val="auto"/>
        </w:rPr>
      </w:pPr>
      <w:r>
        <w:rPr>
          <w:rFonts w:ascii="Arial" w:cs="Arial" w:eastAsia="Arial" w:hAnsi="Arial"/>
          <w:sz w:val="18"/>
          <w:szCs w:val="18"/>
          <w:color w:val="auto"/>
        </w:rPr>
        <w:t>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55"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9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As a public company, we will continue to incur significant legal, accounting, and other expenses as a result of operating as a public company, which increased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active or liquid market in our common stock may not be sustainable.</w:t>
      </w:r>
    </w:p>
    <w:p>
      <w:pPr>
        <w:spacing w:after="0" w:line="171"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2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overall performance of the equity markets;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performance and the performance of other similar companies;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roll out of new solutions;</w:t>
      </w:r>
    </w:p>
    <w:p>
      <w:pPr>
        <w:spacing w:after="0" w:line="197"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payment solutions;</w:t>
      </w:r>
    </w:p>
    <w:p>
      <w:pPr>
        <w:spacing w:after="0" w:line="183" w:lineRule="exact"/>
        <w:rPr>
          <w:rFonts w:ascii="Times New Roman" w:cs="Times New Roman" w:eastAsia="Times New Roman" w:hAnsi="Times New Roman"/>
          <w:sz w:val="18"/>
          <w:szCs w:val="18"/>
          <w:color w:val="auto"/>
        </w:rPr>
      </w:pPr>
    </w:p>
    <w:p>
      <w:pPr>
        <w:ind w:left="1020" w:right="68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including the priorities of the U.S. presidential administration and related changes in laws, regulations or policies;</w:t>
      </w:r>
    </w:p>
    <w:p>
      <w:pPr>
        <w:spacing w:after="0" w:line="1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our solutions;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recruitment or departure of key personnel;</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economy as a whole and market conditions in our industry;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70" w:name="page71"/>
    <w:bookmarkEnd w:id="70"/>
    <w:p>
      <w:pPr>
        <w:ind w:left="1020" w:right="220" w:hanging="503"/>
        <w:spacing w:after="0" w:line="252"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or between Israel and Hamas (or other combatants in the region), respectively, economic instability, repression, or human rights issues;</w:t>
      </w:r>
    </w:p>
    <w:p>
      <w:pPr>
        <w:spacing w:after="0" w:line="14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that negatively impact international travel, study or commerce;</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payment systems;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effects of ongoing United States-China and Canada-India diplomatic and trade friction;</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market float; and</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Annual Report on Form 10-K and our other SEC filings.</w:t>
      </w:r>
    </w:p>
    <w:p>
      <w:pPr>
        <w:spacing w:after="0" w:line="18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2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Concerns over economic recession, heightened interest rates and inflation, supply chain delays and disruptions, priorities of the U.S. presidential administration and Congress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be negatively affected by securities litigation or stockholder activism.</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time to time, we may be subject to securities class actions, derivative suits or other securities-related legal actions.</w:t>
      </w:r>
    </w:p>
    <w:p>
      <w:pPr>
        <w:spacing w:after="0" w:line="18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the past, securities class action litigation have often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clients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4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Any claims or litigation, even if fully indemnified or insured, could adversely affect our relationships with clients and business partners, damage our reputation, decrease client or their customers’ demand for our solutions and make it more difficult to attract and retain qualified personnel, making it more difficult for us to compete effectively. In addition, lawsuits 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71" w:name="page72"/>
    <w:bookmarkEnd w:id="71"/>
    <w:p>
      <w:pPr>
        <w:ind w:right="120"/>
        <w:spacing w:after="0" w:line="253" w:lineRule="auto"/>
        <w:rPr>
          <w:sz w:val="20"/>
          <w:szCs w:val="20"/>
          <w:color w:val="auto"/>
        </w:rPr>
      </w:pPr>
      <w:r>
        <w:rPr>
          <w:rFonts w:ascii="Arial" w:cs="Arial" w:eastAsia="Arial" w:hAnsi="Arial"/>
          <w:sz w:val="18"/>
          <w:szCs w:val="18"/>
          <w:color w:val="auto"/>
        </w:rPr>
        <w:t>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spacing w:after="0" w:line="14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As a result, lawsuits involving us, or our officers or directors, could have a material adverse effect on our business, reputation, financial condition, results of operations, liquidity and the trading price of our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6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which could cause our stock price to decline.</w:t>
      </w:r>
    </w:p>
    <w:p>
      <w:pPr>
        <w:spacing w:after="0" w:line="191"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We cannot guarantee that our repurchase program will be fully implemented or that it will enhance stockholder value, and share repurchases could affect the price of our common stock.</w:t>
      </w:r>
    </w:p>
    <w:p>
      <w:pPr>
        <w:spacing w:after="0" w:line="9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August 2024, we announced that our Board of Directors authorized a share repurchase program, or the Repurchase Program, pursuant to which we may, from time to time, purchase shares of our Voting and Non-voting common stock for an aggregate purchase price not to exceed $150 million. As of December 31, 2024, approximately $104.9 million remained available for repurchases under the Repurchase Program. Repurchases under the Repurchase Program may be made through a variety of methods and are subject to market and business conditions, levels of available liquidity, cash requirements for other purposes, regulatory, and other relevant factors. The timing, pricing, and size of share repurchases will depend on a number of factors, including price, corporate and regulatory requirements, and general market and economic conditions. The Repurchase Program does not obligate us to repurchase any minimum dollar amount or number of shares, and may be suspended or discontinued by our Board of Directors at any time, which may result in a decrease in the price of our common stock.</w:t>
      </w:r>
    </w:p>
    <w:p>
      <w:pPr>
        <w:spacing w:after="0" w:line="14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 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p>
    <w:p>
      <w:pPr>
        <w:spacing w:after="0" w:line="158"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38"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11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122,182,878 shares of our voting common stock and 1,873,320 shares of our non-voting common stock outstanding as of December 31, 2024. Other than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72" w:name="page73"/>
    <w:bookmarkEnd w:id="72"/>
    <w:p>
      <w:pPr>
        <w:jc w:val="both"/>
        <w:ind w:right="100"/>
        <w:spacing w:after="0" w:line="253" w:lineRule="auto"/>
        <w:rPr>
          <w:sz w:val="20"/>
          <w:szCs w:val="20"/>
          <w:color w:val="auto"/>
        </w:rPr>
      </w:pPr>
      <w:r>
        <w:rPr>
          <w:rFonts w:ascii="Arial" w:cs="Arial" w:eastAsia="Arial" w:hAnsi="Arial"/>
          <w:sz w:val="18"/>
          <w:szCs w:val="18"/>
          <w:color w:val="auto"/>
        </w:rPr>
        <w:t>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42"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33" w:lineRule="exact"/>
        <w:rPr>
          <w:sz w:val="20"/>
          <w:szCs w:val="20"/>
          <w:color w:val="auto"/>
        </w:rPr>
      </w:pPr>
    </w:p>
    <w:p>
      <w:pPr>
        <w:ind w:right="340" w:firstLine="509"/>
        <w:spacing w:after="0" w:line="301"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92"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1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As of December 31, 2024,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4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common stock, consequently, your ability to achieve a return on your investment will depend on appreciation in the price of our common stock.</w:t>
      </w:r>
    </w:p>
    <w:p>
      <w:pPr>
        <w:spacing w:after="0" w:line="9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all available funds and any future earnings for reinvestment to fund the development, operation, expansion and growth of our business and to fund our Repurchase Program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58"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36" w:lineRule="exact"/>
        <w:rPr>
          <w:sz w:val="20"/>
          <w:szCs w:val="20"/>
          <w:color w:val="auto"/>
        </w:rPr>
      </w:pPr>
    </w:p>
    <w:p>
      <w:pPr>
        <w:ind w:left="900" w:right="68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27" w:lineRule="exact"/>
        <w:rPr>
          <w:rFonts w:ascii="Times New Roman" w:cs="Times New Roman" w:eastAsia="Times New Roman" w:hAnsi="Times New Roman"/>
          <w:sz w:val="18"/>
          <w:szCs w:val="18"/>
          <w:color w:val="auto"/>
        </w:rPr>
      </w:pPr>
    </w:p>
    <w:p>
      <w:pPr>
        <w:jc w:val="both"/>
        <w:ind w:left="900" w:right="120" w:hanging="263"/>
        <w:spacing w:after="0" w:line="252"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30" w:lineRule="exact"/>
        <w:rPr>
          <w:rFonts w:ascii="Times New Roman" w:cs="Times New Roman" w:eastAsia="Times New Roman" w:hAnsi="Times New Roman"/>
          <w:sz w:val="18"/>
          <w:szCs w:val="18"/>
          <w:color w:val="auto"/>
        </w:rPr>
      </w:pPr>
    </w:p>
    <w:p>
      <w:pPr>
        <w:ind w:left="900" w:hanging="263"/>
        <w:spacing w:after="0" w:line="252"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73" w:name="page74"/>
    <w:bookmarkEnd w:id="73"/>
    <w:p>
      <w:pPr>
        <w:ind w:left="900" w:hanging="263"/>
        <w:spacing w:after="0" w:line="270"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27" w:lineRule="exact"/>
        <w:rPr>
          <w:rFonts w:ascii="Times New Roman" w:cs="Times New Roman" w:eastAsia="Times New Roman" w:hAnsi="Times New Roman"/>
          <w:sz w:val="18"/>
          <w:szCs w:val="18"/>
          <w:color w:val="auto"/>
        </w:rPr>
      </w:pPr>
    </w:p>
    <w:p>
      <w:pPr>
        <w:ind w:left="900" w:right="200" w:hanging="263"/>
        <w:spacing w:after="0" w:line="252"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30" w:lineRule="exact"/>
        <w:rPr>
          <w:rFonts w:ascii="Times New Roman" w:cs="Times New Roman" w:eastAsia="Times New Roman" w:hAnsi="Times New Roman"/>
          <w:sz w:val="18"/>
          <w:szCs w:val="18"/>
          <w:color w:val="auto"/>
        </w:rPr>
      </w:pPr>
    </w:p>
    <w:p>
      <w:pPr>
        <w:ind w:left="900" w:right="180" w:hanging="263"/>
        <w:spacing w:after="0" w:line="246"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36" w:lineRule="exact"/>
        <w:rPr>
          <w:rFonts w:ascii="Times New Roman" w:cs="Times New Roman" w:eastAsia="Times New Roman" w:hAnsi="Times New Roman"/>
          <w:sz w:val="18"/>
          <w:szCs w:val="18"/>
          <w:color w:val="auto"/>
        </w:rPr>
      </w:pPr>
    </w:p>
    <w:p>
      <w:pPr>
        <w:ind w:left="900" w:right="180" w:hanging="263"/>
        <w:spacing w:after="0" w:line="252"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4"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3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3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7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Flywire recognizes the critical importance of developing, implementing and maintaining robust cybersecurity measures to safeguard our information systems and protect the confidentiality, integrity, and availability of our and our client’s data.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Managing Material Risks and Integrated Overall Risk Management</w:t>
      </w:r>
    </w:p>
    <w:p>
      <w:pPr>
        <w:spacing w:after="0" w:line="16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Flywire has strategically integrated cybersecurity risk management into our broader risk management framework to promote a company-wide culture of cybersecurity risk management. This integration is designed to ensure that cybersecurity considerations are an integral part of our decision-making processes at every level. Our security and risk management team works closely with our IT department to continuously evaluate and address cybersecurity risks in alignment with our business objectives and operational needs.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 Third-parties on Risk Management</w:t>
      </w:r>
    </w:p>
    <w:p>
      <w:pPr>
        <w:spacing w:after="0" w:line="16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Recognizing the complexity and evolving nature of cybersecurity threats, Flywire engages with a range of external experts, including cybersecurity assessors, consultants and auditors in evaluating and testing our risk management systems. These partnerships enable us to leverage specialized knowledge and insights to help ensure our cybersecurity strategies and processes remain at the forefront of industry best practices. Our collaboration with these third-parties includes regular audits, threat assessments and consultation on security enhancements.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Oversee Third-party Risk</w:t>
      </w:r>
    </w:p>
    <w:p>
      <w:pPr>
        <w:spacing w:after="0" w:line="183"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Flywire implements stringent processes to oversee and manage the risks associated with third-party service providers. We conduct thorough security assessments of all third-party providers before engagement and maintain ongoing monitoring to ensure compliance with our cybersecurity standards. The monitoring includes annual assessments by our Chief Information Security Officer (CISO) and on an ongoing basis by our security and risk management team and our security engineers. This approach is designed to mitigate risks related to data breaches or other security incidents originating from third-parties.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from Cybersecurity Threats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encountered cybersecurity challenges that have materially impaired our operations or financial 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69"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Our Board of Directors is acutely aware of the critical nature of managing risks associated with cybersecurity threats. Our Board has established robust oversight mechanisms to ensure effective governance in managing risks associated with cybersecurity threats because we recognize the significance of these threats to our operational integrity and stakeholder confidence.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Oversight</w:t>
      </w:r>
    </w:p>
    <w:p>
      <w:pPr>
        <w:spacing w:after="0" w:line="18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Audit Committee is central to the Board’s oversight of cybersecurity risks and bears the primary responsibility for this domain. The Audit Committee is composed of board members with diverse expertise including risk management, technology and finance, which we believe equips them to oversee cybersecurity risks effectively.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Role Managing Risk</w:t>
      </w:r>
    </w:p>
    <w:p>
      <w:pPr>
        <w:spacing w:after="0" w:line="16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CISO, General Counsel &amp; Chief Compliance Officer (GC &amp; CCO), Chief Operating Officer (COO) and the Chief Executive Officer (CEO) play a pivotal role in informing the Audit Committee on cybersecurity risks. They provide</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9" w:right="4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comprehensive briefings to the Audit Committee on a quarterly basis. These briefings encompass a broad range of topics, including:</w:t>
      </w:r>
    </w:p>
    <w:p>
      <w:pPr>
        <w:spacing w:after="0" w:line="185"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Current cybersecurity landscape and emerging threats;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Status of ongoing cybersecurity initiatives and strategies;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Incident reports and learnings from any cybersecurity events;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Risk mitigation efforts and insurance;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regulatory requirements and industry standards.</w:t>
      </w:r>
    </w:p>
    <w:p>
      <w:pPr>
        <w:spacing w:after="0" w:line="184"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In addition to our scheduled meetings, the Audit Committee, CISO, GC &amp; CCO, COO and CEO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Flywire. Our Audit Committee conducts an annual review of our cybersecurity posture and the effectiveness of its risk management strategies. This review helps in identifying areas for improvement and ensuring the alignment of cybersecurity efforts with the overall risk management framework.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Personnel</w:t>
      </w:r>
    </w:p>
    <w:p>
      <w:pPr>
        <w:spacing w:after="0" w:line="183"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Primary responsibility for assessing, monitoring and managing our cybersecurity risks rests with the CISO. With over 30 years of experience in the field of cybersecurity, the CISO brings a wealth of expertise to her role. Her background includes extensive experience as an enterprise CISO and she is well-recognized within the industry. Her in-depth knowledge and experience are instrumental in developing and executing our cybersecurity strategies. Our CISO oversees our governance programs, tests our compliance with standards, remediates known risks, and leads our employee training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 Cybersecurity Incidents</w:t>
      </w:r>
    </w:p>
    <w:p>
      <w:pPr>
        <w:spacing w:after="0" w:line="16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CISO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CISO implements and oversees processes for the regular monitoring of our information systems. This includes the deployment of advanced security measures and regular system audits to identify potential vulnerabilities. In the event of a cybersecurity incident, the CISO is equipped with a well-defined incident response plan. This plan includes immediate actions to mitigate the impact and long-term strategies for remediation and prevention of future incidents and is subject to periodic testing for effectiveness of response and remediation.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to Management and Board of Directors</w:t>
      </w:r>
    </w:p>
    <w:p>
      <w:pPr>
        <w:spacing w:after="0" w:line="169"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Our CISO, in her capacity, regularly informs our Chief Financial Officer (CFO), GC &amp; CCO, COO and CEO of all aspects related to cybersecurity risks and incidents. This ensures that the highest levels of management are kept abreast of the cybersecurity posture and potential risks facing Flywire. Furthermore, our CISO reports to the Board of Directors at a minimum twice a year, ensuring that they have comprehensive oversight and can provide guidance on significant cybersecurity matters, and strategic risk management decisions.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5"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Our corporate headquarters are located in Boston, Massachusetts, where we occupy facilities totaling 10,946 square feet under a lease that expires in June 2027. We use these facilities for administration, finance, legal, compliance, human resources, global payments, IT, sales and marketing, engineering, and customer success.</w:t>
      </w:r>
    </w:p>
    <w:p>
      <w:pPr>
        <w:spacing w:after="0" w:line="12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maintain other leased locations in the United States and throughout the world. We intend to procure additional space as we strategically add FlyMates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76" w:name="page77"/>
    <w:bookmarkEnd w:id="76"/>
    <w:p>
      <w:pPr>
        <w:ind w:firstLine="509"/>
        <w:spacing w:after="0"/>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5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77" w:name="page78"/>
    <w:bookmarkEnd w:id="77"/>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Our voting common stock trades on the Nasdaq Global Select Market under the symbol “FLYW.” Our non-voting common stock is not listed on any stock exchange nor traded on any public market.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5"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As of February 21, 2025, there were approximately 25 holders of record of our voting common stock. This number does not include beneficial owners whose shares are held by nominees in street name. As of February 21, 2025, there was 1 holder of record of our non-voting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have never declared nor paid any cash dividends on our capital stock. We currently intend to retain all available funds and any future earnings for reinvestment to fund the development, operation, expansion and growth of our business and to fund our Repurchase Program,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the terms of our revolving credit syndication loan restrict our ability to pay dividends.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1"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for purposes of Section 18 of the Exchange Act,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3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following graph depicts the total cumulative stockholder return on our common stock from May 26, 2021, the first day of trading of our common stock on the Nasdaq Global Select Market, through December 31, 2024, relative to the performance of the S&amp;P 500 Index and S&amp;P 500 IT Index. The graph assumes an initial investment of $ 100.00 at the close of trading on May 26, 2021 and that all dividends paid by companies included in these indices have been reinvested. The performance shown in the graph below is not intended to forecast or be indicative of future stock price performance.</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1322705</wp:posOffset>
            </wp:positionH>
            <wp:positionV relativeFrom="page">
              <wp:posOffset>868680</wp:posOffset>
            </wp:positionV>
            <wp:extent cx="5254625" cy="27603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25462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During the quarter ended December 31, 2024, we issued an aggregate of 41,998 shares of common stock (the Shares) as a stock-based compensation associated with the retention of a key employee of StudyLink. The key employee was not a “U.S. person”, as defined in Rule 902 of Regulation S under the Securities Act, and the issuance was exempt from the registration requirements of the Securities Act under Regulation S. The certificates evidencing the Shares are endorsed with a restrictive Securities Act legend.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5"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summarizes the repurchases of voting common stock during the three months ended December 31, 2024 (in thousands, except shares and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Dollar</w:t>
            </w:r>
          </w:p>
        </w:tc>
      </w:tr>
      <w:tr>
        <w:trPr>
          <w:trHeight w:val="162"/>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 of Shares</w:t>
            </w:r>
          </w:p>
        </w:tc>
      </w:tr>
      <w:tr>
        <w:trPr>
          <w:trHeight w:val="162"/>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that</w:t>
            </w:r>
          </w:p>
        </w:tc>
      </w:tr>
      <w:tr>
        <w:trPr>
          <w:trHeight w:val="162"/>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May Yet Be</w:t>
            </w:r>
          </w:p>
        </w:tc>
      </w:tr>
      <w:tr>
        <w:trPr>
          <w:trHeight w:val="162"/>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Purchased</w:t>
            </w:r>
          </w:p>
        </w:tc>
      </w:tr>
      <w:tr>
        <w:trPr>
          <w:trHeight w:val="162"/>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Under</w:t>
            </w:r>
          </w:p>
        </w:tc>
      </w:tr>
      <w:tr>
        <w:trPr>
          <w:trHeight w:val="144"/>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Plans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the Plans or</w:t>
            </w:r>
          </w:p>
        </w:tc>
      </w:tr>
      <w:tr>
        <w:trPr>
          <w:trHeight w:val="18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6"/>
              </w:rPr>
              <w:t xml:space="preserve">Purchased </w:t>
            </w:r>
            <w:r>
              <w:rPr>
                <w:rFonts w:ascii="Arial" w:cs="Arial" w:eastAsia="Arial" w:hAnsi="Arial"/>
                <w:sz w:val="19"/>
                <w:szCs w:val="19"/>
                <w:b w:val="1"/>
                <w:bCs w:val="1"/>
                <w:color w:val="auto"/>
                <w:w w:val="96"/>
                <w:vertAlign w:val="superscript"/>
              </w:rPr>
              <w:t>(1)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line="189" w:lineRule="exact"/>
              <w:rPr>
                <w:sz w:val="20"/>
                <w:szCs w:val="20"/>
                <w:color w:val="auto"/>
              </w:rPr>
            </w:pPr>
            <w:r>
              <w:rPr>
                <w:rFonts w:ascii="Arial" w:cs="Arial" w:eastAsia="Arial" w:hAnsi="Arial"/>
                <w:sz w:val="14"/>
                <w:szCs w:val="14"/>
                <w:b w:val="1"/>
                <w:bCs w:val="1"/>
                <w:color w:val="auto"/>
                <w:w w:val="97"/>
              </w:rPr>
              <w:t xml:space="preserve">per Share </w:t>
            </w:r>
            <w:r>
              <w:rPr>
                <w:rFonts w:ascii="Arial" w:cs="Arial" w:eastAsia="Arial" w:hAnsi="Arial"/>
                <w:sz w:val="19"/>
                <w:szCs w:val="19"/>
                <w:b w:val="1"/>
                <w:bCs w:val="1"/>
                <w:color w:val="auto"/>
                <w:w w:val="97"/>
                <w:vertAlign w:val="superscript"/>
              </w:rPr>
              <w:t>(2)</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16"/>
                <w:szCs w:val="16"/>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October 1, 2024 - October 31, 2024</w:t>
            </w: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69,798</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15.83</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69,798</w:t>
            </w:r>
          </w:p>
        </w:tc>
        <w:tc>
          <w:tcPr>
            <w:tcW w:w="360" w:type="dxa"/>
            <w:vAlign w:val="bottom"/>
            <w:gridSpan w:val="2"/>
            <w:shd w:val="clear" w:color="auto" w:fill="CFF0FC"/>
          </w:tcPr>
          <w:p>
            <w:pPr>
              <w:ind w:left="26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126,012</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November 1, 2024 - November 30, 2024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160,912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21.77</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160,912</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122,509</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1, 2024 - December 31, 2024</w:t>
            </w:r>
          </w:p>
        </w:tc>
        <w:tc>
          <w:tcPr>
            <w:tcW w:w="1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864,894</w:t>
            </w:r>
          </w:p>
        </w:tc>
        <w:tc>
          <w:tcPr>
            <w:tcW w:w="3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20.38</w:t>
            </w:r>
          </w:p>
        </w:tc>
        <w:tc>
          <w:tcPr>
            <w:tcW w:w="2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864,894</w:t>
            </w:r>
          </w:p>
        </w:tc>
        <w:tc>
          <w:tcPr>
            <w:tcW w:w="360" w:type="dxa"/>
            <w:vAlign w:val="bottom"/>
            <w:tcBorders>
              <w:bottom w:val="single" w:sz="8" w:color="CFF0FC"/>
            </w:tcBorders>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104,887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140"/>
              <w:spacing w:after="0" w:line="196" w:lineRule="exact"/>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1,095,604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1,095,604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-161925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-161925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ind w:right="20" w:firstLine="8"/>
        <w:spacing w:after="0" w:line="250" w:lineRule="auto"/>
        <w:tabs>
          <w:tab w:leader="none" w:pos="2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All shares were repurchased in open market transactions pursuant to a share repurchase program to repurchase up to $150 million of our outstanding voting and non-voting common stock for an indefinite period (the Repurchase Program). The Repurchase Program was authorized by our board of directors and publicly announced on August 6, 2024. Repurchases under the Repurchase Program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For additional information on our Repurchase Program, see </w:t>
      </w:r>
      <w:r>
        <w:rPr>
          <w:rFonts w:ascii="Arial" w:cs="Arial" w:eastAsia="Arial" w:hAnsi="Arial"/>
          <w:sz w:val="14"/>
          <w:szCs w:val="14"/>
          <w:i w:val="1"/>
          <w:iCs w:val="1"/>
          <w:color w:val="auto"/>
        </w:rPr>
        <w:t>Note 12 - Stockholders’ Equity</w:t>
      </w:r>
      <w:r>
        <w:rPr>
          <w:rFonts w:ascii="Arial" w:cs="Arial" w:eastAsia="Arial" w:hAnsi="Arial"/>
          <w:sz w:val="14"/>
          <w:szCs w:val="14"/>
          <w:color w:val="auto"/>
        </w:rPr>
        <w:t xml:space="preserve"> in our consolidated financial statements included elsewhere in this Annual Report on Form 10-K.</w:t>
      </w:r>
    </w:p>
    <w:p>
      <w:pPr>
        <w:spacing w:after="0" w:line="154" w:lineRule="exact"/>
        <w:rPr>
          <w:rFonts w:ascii="Arial" w:cs="Arial" w:eastAsia="Arial" w:hAnsi="Arial"/>
          <w:sz w:val="14"/>
          <w:szCs w:val="14"/>
          <w:color w:val="auto"/>
        </w:rPr>
      </w:pPr>
    </w:p>
    <w:p>
      <w:pPr>
        <w:ind w:right="220" w:firstLine="8"/>
        <w:spacing w:after="0" w:line="285" w:lineRule="auto"/>
        <w:tabs>
          <w:tab w:leader="none" w:pos="2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Average price paid per share includes related commissions, but excludes the 1% excise tax accrued on our share repurchases as a result of the Inflation Reduction Act of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100"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Annual Report on Form 10-K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5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38"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868680</wp:posOffset>
            </wp:positionV>
            <wp:extent cx="5623560" cy="3703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62356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04" w:lineRule="exact"/>
        <w:rPr>
          <w:sz w:val="20"/>
          <w:szCs w:val="20"/>
          <w:color w:val="auto"/>
        </w:rPr>
      </w:pPr>
    </w:p>
    <w:p>
      <w:pPr>
        <w:ind w:left="1020" w:right="300" w:hanging="503"/>
        <w:spacing w:after="0" w:line="246"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 period-over-period from $24.0 billion during the year ended December 31, 2023 to $29.7 billion during the year ended December 31, 2024. We have grown our total payment volume by approximately 33% period-over-period from $18.1 billion during the year ended December 31, 2022 to $24.0 billion during the year ended December 31, 2023.</w:t>
      </w:r>
    </w:p>
    <w:p>
      <w:pPr>
        <w:spacing w:after="0" w:line="68" w:lineRule="exact"/>
        <w:rPr>
          <w:rFonts w:ascii="Times New Roman" w:cs="Times New Roman" w:eastAsia="Times New Roman" w:hAnsi="Times New Roman"/>
          <w:sz w:val="18"/>
          <w:szCs w:val="18"/>
          <w:color w:val="auto"/>
        </w:rPr>
      </w:pPr>
    </w:p>
    <w:p>
      <w:pPr>
        <w:jc w:val="both"/>
        <w:ind w:left="1020" w:right="100" w:hanging="503"/>
        <w:spacing w:after="0" w:line="252"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62" w:lineRule="exact"/>
        <w:rPr>
          <w:rFonts w:ascii="Times New Roman" w:cs="Times New Roman" w:eastAsia="Times New Roman" w:hAnsi="Times New Roman"/>
          <w:sz w:val="18"/>
          <w:szCs w:val="18"/>
          <w:color w:val="auto"/>
        </w:rPr>
      </w:pPr>
    </w:p>
    <w:p>
      <w:pPr>
        <w:ind w:left="1020" w:right="100" w:hanging="503"/>
        <w:spacing w:after="0" w:line="239"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2024,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114%. For the year ended December 31, 2023, our annual net dollar-based retention rate was approximately 125%. For the year ended December 31, 2022, our annual net dollar-based retention rate was approximately 124%.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4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of December 31, 2024, we serve approximately 4,500 clients around the world, excluding clients acquired from the Invoiced acquisition. In education, we serve more than 3,100 institutions. In healthcare, we power more than 100 healthcare systems, including four of the top 10 healthcare systems in the United States ranked by hospital size as of December 31, 2024. In our travel and B2B verticals, we have a growing portfolio of approximately 1,300 clients as of December 31, 2024.</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ind w:right="80" w:firstLine="509"/>
        <w:spacing w:after="0" w:line="244"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over $29.7 billion and over $24.0 billion in total payment volume during the years ended December 31, 2024 and 2023, respectively. We generated revenue of $492.1 million, $403.1 million and $289.4 million for the years ended December 31, 2024, 2023 and 2022, respectively, and incurred net income of $ 2.9 million for the year ended December 31, 2024 and net losses of $8.6 million and $39.3 million for the years ended December 31, 2023 and 2022.</w:t>
      </w:r>
    </w:p>
    <w:p>
      <w:pPr>
        <w:spacing w:after="0" w:line="14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3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may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45"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We had approximately 1,250 full-time FlyMates as of December 31, 2024, compared to approximately 1,200 full-time FlyMates as of December 31,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Follow-On Public Offering</w:t>
      </w:r>
    </w:p>
    <w:p>
      <w:pPr>
        <w:spacing w:after="0" w:line="17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On August 9, 2023, we entered into an underwriting agreement (Underwriting Agreement) with Goldman Sachs &amp; Co. LLC, as representative of the several underwriters (Underwriters), in connection with the offer and sale of 8,000,000 shares of voting common stock, at a price to the public of $32.00 per share (the Primary Offering). In addition, pursuant to the terms of the Underwriting Agreement, we granted the Underwriters an option to purchase up to 1,200,000 additional shares of common stock (the Option).</w:t>
      </w:r>
    </w:p>
    <w:p>
      <w:pPr>
        <w:spacing w:after="0" w:line="133"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The Primary Offering closed on August 14, 2023 and on September 12, 2023, the Underwriters exercised the Option in part and purchased an additional 500,000 shares of voting common stock at a price to the public of $32.00 per share (the Public Offering). We received $260.1 million in net proceeds from the Public Offering, after deducting underwriting discounts and commissions of $10.9 million and other offering costs of $1.1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171"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In August 2024, we acquired all of the issued and outstanding shares of Invoiced for an estimated total aggregate purchase price of approximately $51.7 million, consisting of approximately $47.2 million in cash consideration, net of cash acquired and up to $7.5 million of contingent consideration, with an estimated fair value of $4.5 million on the date of acquisition. The contingent consideration represents additional payments that we may be required to make in the future dependent on the successful achievement of revenue, cross-selling, product and security and IT milestones. During the year ended December 31, 2024, we made a payment of contingent consideration of $1.1 million based on Invoiced's successful and timely achievement of the contracted milestones. Invoiced is a U.S.-based SaaS B2B company that provides accounts receivable software that automates all aspects of billing, collections, payments, reporting and forecasting within a single online platform. The acquisition of Invoiced was intended to accelerate our global expansion in our B2B vertical. Invoiced contributed $2.4 million in platform revenue during the year ended December 31, 2024.</w:t>
      </w:r>
    </w:p>
    <w:p>
      <w:pPr>
        <w:spacing w:after="0" w:line="143"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In November 2023, we acquired all of the issued and outstanding shares of StudyLink for an estimated total aggregate purchase price of approximately $35.5 million, consisting of approximately $32.8 million in cash consideration, net of cash acquired and up to $3.9 million of contingent consideration, with an estimated fair value of $2.7 million on the date of acquisition. The contingent consideration represents additional payments that we may be required to make in the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82" w:name="page83"/>
    <w:bookmarkEnd w:id="82"/>
    <w:p>
      <w:pPr>
        <w:ind w:right="80"/>
        <w:spacing w:after="0" w:line="238" w:lineRule="auto"/>
        <w:rPr>
          <w:sz w:val="20"/>
          <w:szCs w:val="20"/>
          <w:color w:val="auto"/>
        </w:rPr>
      </w:pPr>
      <w:r>
        <w:rPr>
          <w:rFonts w:ascii="Arial" w:cs="Arial" w:eastAsia="Arial" w:hAnsi="Arial"/>
          <w:sz w:val="18"/>
          <w:szCs w:val="18"/>
          <w:color w:val="auto"/>
        </w:rPr>
        <w:t>future dependent on the successful achievement of revenue, volume, cross-selling and engineering implementation milestones, a portion of which can be paid in the form of cash or shares of common stock, at our option, and is subject to exchange rate fluctuation adjustment between the U.S. Dollar and Australian Dollar. Additional payments in the form of shares of common stock will be made based on the continuing employment of a key employee; accordingly, the fair value of $2.4 million, approximately 84,000 shares of common stock, have been excluded from the purchase consideration. During the years ended December 31, 2024 and 2023, we expensed $1.2 million and $0.2 million, respectively, in stock based compensation associated with retention of the key employee. StudyLink is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our growth in the Australian higher education market and enhance our value proposition to payers, universities and agents in the higher education ecosystem. StudyLink contributed $7.6 million and $1.4 million in platform revenue during the years ended December 31, 2024 and 2023, respectively.</w:t>
      </w:r>
    </w:p>
    <w:p>
      <w:pPr>
        <w:spacing w:after="0" w:line="15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July 2022, we acquired all of the issued and outstanding shares of Cohort Go for an estimated aggregate purchase price of $ 23.1 million, which consisted of $17.1 million in cash consideration, net of cash acquired, $ 4.3 million in shares of common stock and up to $2.2 million of contingent consideration, with an estimated fair value of $1.7 million on the acquisition date. Subsequent to the acquisition date, at each reporting date, the contingent consideration was remeasured and changes in the fair value resulting from a change in the underlying inputs were recognized in general and administrative expense in the consolidated statements of operations and comprehensive loss. Contingent consideration represented additional payments that Flywire was required to make which was dependent upon Cohort Go's achievement of specific post-acquisition milestones and was subject to exchange rate fluctuation adjustment between the U.S. Dollar and Australian Dollar. During the year ended December 31, 2023 and 2022, we paid $1.7 million and $0.5 million, respectively, in contingent consideration based on Cohort Go's successful and timely achievement of contracted milestones. No additional contingent consideration is due or payable with respect to the Cohort Go acquisition. Cohort Go is an Australian-based education payments provider that simplifies the student recruitment process by bringing together students, agents and essential student services such as health insurance into one platform. The acquisition of Cohort Go accelerated the growth of Flywire's agent related revenue and contributed to our global expansion. Cohort Go contributed $14.5 million in transaction revenue and $9.3 million in platform revenue during the year ended December 31, 2024, $16.6 million in transaction revenue and $10.4 million in platform revenue during the year ended December 31, 2023 and $6.4 million in transaction revenue and $3.3 million in platform revenue during the year ended December 31,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below.</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includes fees earned from payment processing services provided to our clients, which is comprised of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and cross-border transactions.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spacing w:after="0" w:line="14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Platform and other revenues </w:t>
      </w:r>
      <w:r>
        <w:rPr>
          <w:rFonts w:ascii="Arial" w:cs="Arial" w:eastAsia="Arial" w:hAnsi="Arial"/>
          <w:sz w:val="18"/>
          <w:szCs w:val="18"/>
          <w:color w:val="auto"/>
        </w:rPr>
        <w:t>primarily include (i) fees earned for the utilization of our platforms to optimize cash collections and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processing, which include revenue earned from software subscription fees and usage 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 based fee revenue in prior filings.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83"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83" w:name="page84"/>
    <w:bookmarkEnd w:id="83"/>
    <w:p>
      <w:pPr>
        <w:ind w:right="740"/>
        <w:spacing w:after="0" w:line="271" w:lineRule="auto"/>
        <w:rPr>
          <w:sz w:val="20"/>
          <w:szCs w:val="20"/>
          <w:color w:val="auto"/>
        </w:rPr>
      </w:pPr>
      <w:r>
        <w:rPr>
          <w:rFonts w:ascii="Arial" w:cs="Arial" w:eastAsia="Arial" w:hAnsi="Arial"/>
          <w:sz w:val="18"/>
          <w:szCs w:val="18"/>
          <w:color w:val="auto"/>
        </w:rPr>
        <w:t>ability to generate revenue from our clients. We define total payment volume as the total amount paid to our clients on our payments platforms in a given period.</w:t>
      </w:r>
    </w:p>
    <w:p>
      <w:pPr>
        <w:spacing w:after="0" w:line="127"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gridSpan w:val="2"/>
            <w:vMerge w:val="restart"/>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5"/>
          </w:tcPr>
          <w:p>
            <w:pPr>
              <w:jc w:val="right"/>
              <w:ind w:right="69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Borders>
              <w:bottom w:val="single" w:sz="8" w:color="auto"/>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1580" w:type="dxa"/>
            <w:vAlign w:val="bottom"/>
            <w:tcBorders>
              <w:bottom w:val="single" w:sz="8" w:color="auto"/>
            </w:tcBorders>
            <w:gridSpan w:val="2"/>
          </w:tcPr>
          <w:p>
            <w:pPr>
              <w:jc w:val="right"/>
              <w:ind w:right="541"/>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Borders>
              <w:bottom w:val="single" w:sz="8" w:color="auto"/>
            </w:tcBorders>
            <w:gridSpan w:val="2"/>
          </w:tcPr>
          <w:p>
            <w:pPr>
              <w:jc w:val="right"/>
              <w:ind w:right="556"/>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640" w:type="dxa"/>
            <w:vAlign w:val="bottom"/>
            <w:tcBorders>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520" w:type="dxa"/>
            <w:vAlign w:val="bottom"/>
            <w:gridSpan w:val="4"/>
            <w:shd w:val="clear" w:color="auto" w:fill="CFF0FC"/>
          </w:tcPr>
          <w:p>
            <w:pPr>
              <w:ind w:left="20"/>
              <w:spacing w:after="0" w:line="196" w:lineRule="exact"/>
              <w:rPr>
                <w:sz w:val="20"/>
                <w:szCs w:val="20"/>
                <w:color w:val="auto"/>
              </w:rPr>
            </w:pPr>
            <w:r>
              <w:rPr>
                <w:rFonts w:ascii="Arial" w:cs="Arial" w:eastAsia="Arial" w:hAnsi="Arial"/>
                <w:sz w:val="18"/>
                <w:szCs w:val="18"/>
                <w:color w:val="auto"/>
              </w:rPr>
              <w:t>Transaction payment volume</w:t>
            </w:r>
          </w:p>
        </w:tc>
        <w:tc>
          <w:tcPr>
            <w:tcW w:w="15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$23,207.6</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$17,670.3</w:t>
            </w:r>
          </w:p>
        </w:tc>
        <w:tc>
          <w:tcPr>
            <w:tcW w:w="16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$5,537.3</w:t>
            </w:r>
          </w:p>
        </w:tc>
        <w:tc>
          <w:tcPr>
            <w:tcW w:w="17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45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Platform and other revenues payment volume</w:t>
            </w:r>
          </w:p>
        </w:tc>
        <w:tc>
          <w:tcPr>
            <w:tcW w:w="1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6,507.7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6,362.5</w:t>
            </w:r>
          </w:p>
        </w:tc>
        <w:tc>
          <w:tcPr>
            <w:tcW w:w="10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145.2</w:t>
            </w:r>
          </w:p>
        </w:tc>
        <w:tc>
          <w:tcPr>
            <w:tcW w:w="100" w:type="dxa"/>
            <w:vAlign w:val="bottom"/>
          </w:tcPr>
          <w:p>
            <w:pPr>
              <w:spacing w:after="0"/>
              <w:rPr>
                <w:sz w:val="17"/>
                <w:szCs w:val="17"/>
                <w:color w:val="auto"/>
              </w:rPr>
            </w:pPr>
          </w:p>
        </w:tc>
        <w:tc>
          <w:tcPr>
            <w:tcW w:w="1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80" w:type="dxa"/>
            <w:vAlign w:val="bottom"/>
            <w:tcBorders>
              <w:bottom w:val="single" w:sz="8" w:color="CFF0FC"/>
            </w:tcBorders>
            <w:shd w:val="clear" w:color="auto" w:fill="CFF0FC"/>
          </w:tcPr>
          <w:p>
            <w:pPr>
              <w:spacing w:after="0"/>
              <w:rPr>
                <w:sz w:val="20"/>
                <w:szCs w:val="20"/>
                <w:color w:val="auto"/>
              </w:rPr>
            </w:pPr>
          </w:p>
        </w:tc>
        <w:tc>
          <w:tcPr>
            <w:tcW w:w="4440" w:type="dxa"/>
            <w:vAlign w:val="bottom"/>
            <w:tcBorders>
              <w:bottom w:val="single" w:sz="8" w:color="CFF0FC"/>
            </w:tcBorders>
            <w:gridSpan w:val="3"/>
            <w:shd w:val="clear" w:color="auto" w:fill="CFF0FC"/>
          </w:tcPr>
          <w:p>
            <w:pPr>
              <w:ind w:left="60"/>
              <w:spacing w:after="0" w:line="196" w:lineRule="exact"/>
              <w:rPr>
                <w:sz w:val="20"/>
                <w:szCs w:val="20"/>
                <w:color w:val="auto"/>
              </w:rPr>
            </w:pPr>
            <w:r>
              <w:rPr>
                <w:rFonts w:ascii="Arial" w:cs="Arial" w:eastAsia="Arial" w:hAnsi="Arial"/>
                <w:sz w:val="18"/>
                <w:szCs w:val="18"/>
                <w:color w:val="auto"/>
              </w:rPr>
              <w:t>Total payment volume</w:t>
            </w:r>
          </w:p>
        </w:tc>
        <w:tc>
          <w:tcPr>
            <w:tcW w:w="15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$29,715.3</w:t>
            </w: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$24,032.8</w:t>
            </w:r>
          </w:p>
        </w:tc>
        <w:tc>
          <w:tcPr>
            <w:tcW w:w="10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$5,682.5</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45"/>
        </w:trPr>
        <w:tc>
          <w:tcPr>
            <w:tcW w:w="80" w:type="dxa"/>
            <w:vAlign w:val="bottom"/>
          </w:tcPr>
          <w:p>
            <w:pPr>
              <w:spacing w:after="0"/>
              <w:rPr>
                <w:sz w:val="24"/>
                <w:szCs w:val="24"/>
                <w:color w:val="auto"/>
              </w:rPr>
            </w:pPr>
          </w:p>
        </w:tc>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400" w:type="dxa"/>
            <w:vAlign w:val="bottom"/>
            <w:tcBorders>
              <w:bottom w:val="single" w:sz="8" w:color="auto"/>
            </w:tcBorders>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4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color w:val="auto"/>
              </w:rPr>
              <w:t>Transaction payment volume</w:t>
            </w:r>
          </w:p>
        </w:tc>
        <w:tc>
          <w:tcPr>
            <w:tcW w:w="16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$17,670.3</w:t>
            </w:r>
          </w:p>
        </w:tc>
        <w:tc>
          <w:tcPr>
            <w:tcW w:w="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$12,242.6</w:t>
            </w:r>
          </w:p>
        </w:tc>
        <w:tc>
          <w:tcPr>
            <w:tcW w:w="16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$5,427.7</w:t>
            </w:r>
          </w:p>
        </w:tc>
        <w:tc>
          <w:tcPr>
            <w:tcW w:w="1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440" w:type="dxa"/>
            <w:vAlign w:val="bottom"/>
            <w:gridSpan w:val="3"/>
          </w:tcPr>
          <w:p>
            <w:pPr>
              <w:spacing w:after="0" w:line="202" w:lineRule="exact"/>
              <w:rPr>
                <w:sz w:val="20"/>
                <w:szCs w:val="20"/>
                <w:color w:val="auto"/>
              </w:rPr>
            </w:pPr>
            <w:r>
              <w:rPr>
                <w:rFonts w:ascii="Arial" w:cs="Arial" w:eastAsia="Arial" w:hAnsi="Arial"/>
                <w:sz w:val="18"/>
                <w:szCs w:val="18"/>
                <w:color w:val="auto"/>
              </w:rPr>
              <w:t>Platform and other revenues payment volume</w:t>
            </w:r>
          </w:p>
        </w:tc>
        <w:tc>
          <w:tcPr>
            <w:tcW w:w="60" w:type="dxa"/>
            <w:vAlign w:val="bottom"/>
          </w:tcPr>
          <w:p>
            <w:pPr>
              <w:spacing w:after="0"/>
              <w:rPr>
                <w:sz w:val="17"/>
                <w:szCs w:val="17"/>
                <w:color w:val="auto"/>
              </w:rPr>
            </w:pPr>
          </w:p>
        </w:tc>
        <w:tc>
          <w:tcPr>
            <w:tcW w:w="158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6,362.5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5,835.9</w:t>
            </w:r>
          </w:p>
        </w:tc>
        <w:tc>
          <w:tcPr>
            <w:tcW w:w="120" w:type="dxa"/>
            <w:vAlign w:val="bottom"/>
            <w:gridSpan w:val="2"/>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526.6</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440" w:type="dxa"/>
            <w:vAlign w:val="bottom"/>
            <w:tcBorders>
              <w:bottom w:val="single" w:sz="8" w:color="CFF0FC"/>
            </w:tcBorders>
            <w:gridSpan w:val="3"/>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payment volume</w:t>
            </w:r>
          </w:p>
        </w:tc>
        <w:tc>
          <w:tcPr>
            <w:tcW w:w="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$24,032.8</w:t>
            </w: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$18,078.5</w:t>
            </w: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$5,954.3</w:t>
            </w:r>
          </w:p>
        </w:tc>
        <w:tc>
          <w:tcPr>
            <w:tcW w:w="10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-796925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-779145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-796925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-779145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-796925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-779145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6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36"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other revenues) depending on the nature of the activity of our clients and our clients’ customers on our platform.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8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33"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mix.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6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Resulting From Government Changes to International Student Visa Policies</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recent reports indicate that the 2025 and 2026 study permit intake cap will include master’s and doctoral students.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fourth quarter of 2024 and which we anticipate will continue to impact our Canada revenues in 2025.</w:t>
      </w:r>
    </w:p>
    <w:p>
      <w:pPr>
        <w:spacing w:after="0" w:line="14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Similarly, since late 2023, the Australian government has taken similar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These new Australian government policies, including university quotas, slower visa processing, higher fees, and stricter financial and language requirements, has had an adverse impact on our business in the fourth quarter of 2024 and we anticipate will continue to impact our Australian revenues in 2025.</w:t>
      </w:r>
    </w:p>
    <w:p>
      <w:pPr>
        <w:spacing w:after="0" w:line="15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Other governments where our client institutions are located, including in the U.S., may introduce measures from time to time to manage the growth of the international student population in their respective countries, which may have adverse effects on our business. Our U.S. market saw slower growth in the fourth quarter of 2024 due to shifting visa trends. In addition, there are reports that the new executive administration in the U.S. is likely to closely scrutinize applications for international student visas, adding to uncertainty around the number of students coming to the U.S. to study in the near future. Delays in issuances of visas or visa denials may discourage prospective international students from choosing U.S. institutions as places for study.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85" w:name="page86"/>
    <w:bookmarkEnd w:id="85"/>
    <w:p>
      <w:pPr>
        <w:ind w:right="340" w:firstLine="509"/>
        <w:spacing w:after="0" w:line="244" w:lineRule="auto"/>
        <w:rPr>
          <w:sz w:val="20"/>
          <w:szCs w:val="20"/>
          <w:color w:val="auto"/>
        </w:rPr>
      </w:pPr>
      <w:r>
        <w:rPr>
          <w:rFonts w:ascii="Arial" w:cs="Arial" w:eastAsia="Arial" w:hAnsi="Arial"/>
          <w:sz w:val="18"/>
          <w:szCs w:val="18"/>
          <w:color w:val="auto"/>
        </w:rPr>
        <w:t>There is still a degree of uncertainty in terms of the impact the changes to international student visa policy will have on our U.S., Canadian and Australian education markets. We continue to see growth in new customers in our U.S., Canada and Australia education markets, providing a lever to offset some of the expected decline in new incoming international student growth resulting from these government changes to international student visa policies. Our business continues to remain strong amid these visa-related policy shifts, benefiting from our increasingly global and diversified footprint across verticals, sub-sectors, countries, currencies and clients.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Inflation did not have a material effect on our cash flows and results of operations during the year ended December 31,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83"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have a history of operating losses and while we have experienced significant revenue growth in recent years and achieved profitability on a GAAP basis in prior quarters,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invest in headcount,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are addressing operating losses by making continued improvements designed to create operating efficiencies and a focus on cost discipline. We believe these improvements along with strong gross margins and cash flows from operations will help us achieve our goal of generating positive annual GAAP net income in the future.</w:t>
      </w:r>
    </w:p>
    <w:p>
      <w:pPr>
        <w:spacing w:after="0" w:line="149"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With the ongoing conflict involving Israel, we continue to engage in active workforce planning to help Israeli FlyMates support the business without interruption and implement safety measures for FlyMates in Israel.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left="5520" w:right="1440" w:hanging="5006"/>
        <w:spacing w:after="0" w:line="396" w:lineRule="auto"/>
        <w:rPr>
          <w:sz w:val="20"/>
          <w:szCs w:val="20"/>
          <w:color w:val="auto"/>
        </w:rPr>
      </w:pPr>
      <w:r>
        <w:rPr>
          <w:rFonts w:ascii="Arial" w:cs="Arial" w:eastAsia="Arial" w:hAnsi="Arial"/>
          <w:sz w:val="18"/>
          <w:szCs w:val="18"/>
          <w:color w:val="auto"/>
        </w:rPr>
        <w:t>We generate revenue from transactions and from platform and other fees as described under “Our Revenue Model”.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8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5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25"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Interest expense consists of interest, amortization of debt issuance costs and unused commitment fees on our five-year senior secured revolving credit syndication loan (2024 Revolving Credit Facility) and three-year senior secured revolving credit syndication loan (2021 Revolving Credit Facility).</w:t>
      </w:r>
    </w:p>
    <w:p>
      <w:pPr>
        <w:spacing w:after="0" w:line="12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February 23, 2024, we entered into our 2024 Revolving Credit Facility for a total commitment of $125.0 million. The 2024 Revolving Credit Facility replaced the 2021 Revolving Credit Facility of $50.0 million, which were entered into in July 2021, under which $50.0 million was available to Flywire as of December 31, 2023. As of December 31, 2024 and 2023, there was no outstanding indebtedness under the 2024 Revolving Credit Facility or 2021 Revolving Credit Facility.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right="940" w:firstLine="509"/>
        <w:spacing w:after="0" w:line="271" w:lineRule="auto"/>
        <w:rPr>
          <w:sz w:val="20"/>
          <w:szCs w:val="20"/>
          <w:color w:val="auto"/>
        </w:rPr>
      </w:pPr>
      <w:r>
        <w:rPr>
          <w:rFonts w:ascii="Arial" w:cs="Arial" w:eastAsia="Arial" w:hAnsi="Arial"/>
          <w:sz w:val="18"/>
          <w:szCs w:val="18"/>
          <w:color w:val="auto"/>
        </w:rPr>
        <w:t>Interest income consists of interest on cash held in interest bearing operating accounts, including money market funds, and investments in available-for-sale debt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from Remeasurement of Foreign Currency</w:t>
      </w:r>
    </w:p>
    <w:p>
      <w:pPr>
        <w:spacing w:after="0" w:line="169" w:lineRule="exact"/>
        <w:rPr>
          <w:sz w:val="20"/>
          <w:szCs w:val="20"/>
          <w:color w:val="auto"/>
        </w:rPr>
      </w:pPr>
    </w:p>
    <w:p>
      <w:pPr>
        <w:ind w:right="720" w:firstLine="509"/>
        <w:spacing w:after="0" w:line="271" w:lineRule="auto"/>
        <w:rPr>
          <w:sz w:val="20"/>
          <w:szCs w:val="20"/>
          <w:color w:val="auto"/>
        </w:rPr>
      </w:pPr>
      <w:r>
        <w:rPr>
          <w:rFonts w:ascii="Arial" w:cs="Arial" w:eastAsia="Arial" w:hAnsi="Arial"/>
          <w:sz w:val="18"/>
          <w:szCs w:val="18"/>
          <w:color w:val="auto"/>
        </w:rPr>
        <w:t>(Loss) gain from remeasurement of foreign currency consists of gains and losses from the remeasurement of foreign currency transactions into its functional currency.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w:t>
      </w:r>
    </w:p>
    <w:p>
      <w:pPr>
        <w:spacing w:after="0" w:line="169"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(Benefit from) provision for income taxes in 2023 and 2024 is primarily driven by foreign and state income taxes and the release of U.S. and foreign valuation allowances, respectively. We have historically generated NOL carryforwards for U.S. Federal and state tax purposes as we expand the scale of our business activities. Changes in the U.S. and foreign tax law may impact our overall (benefit from) provision for income taxes in the future.</w:t>
      </w:r>
    </w:p>
    <w:p>
      <w:pPr>
        <w:spacing w:after="0" w:line="133"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We have a valuation allowance on our net U.S. deferred tax assets, including federal and state NOLs. We expect to maintain these valuation allowances until it becomes more likely than not that the benefit of our deferred tax assets are realized through future taxable income generated in these jurisdictions. The Company released its valuation allowance on its net deferred tax assets in the U.K. as of December 31, 2024.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years ended December 31, 2024 and 2023</w:t>
      </w:r>
    </w:p>
    <w:p>
      <w:pPr>
        <w:spacing w:after="0" w:line="16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All dollar amounts in the tables below are rounded and as a result, certain amounts may not recalculate using the rounded amounts provided.</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9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4"/>
                <w:szCs w:val="14"/>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120" w:type="dxa"/>
            <w:vAlign w:val="bottom"/>
            <w:gridSpan w:val="3"/>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89.0</w:t>
            </w:r>
          </w:p>
        </w:tc>
        <w:tc>
          <w:tcPr>
            <w:tcW w:w="2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2"/>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Payment processing services costs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177.5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22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 and development</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22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w:t>
            </w:r>
          </w:p>
        </w:tc>
        <w:tc>
          <w:tcPr>
            <w:tcW w:w="2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03"/>
        </w:trPr>
        <w:tc>
          <w:tcPr>
            <w:tcW w:w="4840" w:type="dxa"/>
            <w:vAlign w:val="bottom"/>
          </w:tcPr>
          <w:p>
            <w:pPr>
              <w:ind w:left="280"/>
              <w:spacing w:after="0" w:line="202" w:lineRule="exact"/>
              <w:rPr>
                <w:sz w:val="20"/>
                <w:szCs w:val="20"/>
                <w:color w:val="auto"/>
              </w:rPr>
            </w:pPr>
            <w:r>
              <w:rPr>
                <w:rFonts w:ascii="Arial" w:cs="Arial" w:eastAsia="Arial" w:hAnsi="Arial"/>
                <w:sz w:val="18"/>
                <w:szCs w:val="18"/>
                <w:color w:val="auto"/>
              </w:rPr>
              <w:t>Total costs and operating expense</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499.4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424.6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74.8</w:t>
            </w:r>
          </w:p>
        </w:tc>
        <w:tc>
          <w:tcPr>
            <w:tcW w:w="22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Loss from operations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(7.3 )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(21.5 )</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(66.0 )%</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(0.5 )</w:t>
            </w:r>
          </w:p>
        </w:tc>
        <w:tc>
          <w:tcPr>
            <w:tcW w:w="2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(0.4 )</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(0.1 )</w:t>
            </w: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60.9 %</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(Loss) gain from remeasurement of foreign currency</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(11.8 )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(16.0 )</w:t>
            </w: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(381.0 )%</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Total other income (expense), net</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(8.1 )</w:t>
            </w: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184"/>
        </w:trPr>
        <w:tc>
          <w:tcPr>
            <w:tcW w:w="4840" w:type="dxa"/>
            <w:vAlign w:val="bottom"/>
          </w:tcPr>
          <w:p>
            <w:pPr>
              <w:ind w:left="280"/>
              <w:spacing w:after="0" w:line="183" w:lineRule="exact"/>
              <w:rPr>
                <w:sz w:val="20"/>
                <w:szCs w:val="20"/>
                <w:color w:val="auto"/>
              </w:rPr>
            </w:pPr>
            <w:r>
              <w:rPr>
                <w:rFonts w:ascii="Arial" w:cs="Arial" w:eastAsia="Arial" w:hAnsi="Arial"/>
                <w:sz w:val="18"/>
                <w:szCs w:val="18"/>
                <w:color w:val="auto"/>
              </w:rPr>
              <w:t>Income (loss) before (benefit from) provision for</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(143.2 )%</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(Benefit from) provision for income taxes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(1.0 )</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(5.2 )</w:t>
            </w: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(123.8 )%</w:t>
            </w:r>
          </w:p>
        </w:tc>
        <w:tc>
          <w:tcPr>
            <w:tcW w:w="0" w:type="dxa"/>
            <w:vAlign w:val="bottom"/>
          </w:tcPr>
          <w:p>
            <w:pPr>
              <w:spacing w:after="0"/>
              <w:rPr>
                <w:sz w:val="1"/>
                <w:szCs w:val="1"/>
                <w:color w:val="auto"/>
              </w:rPr>
            </w:pPr>
          </w:p>
        </w:tc>
      </w:tr>
      <w:tr>
        <w:trPr>
          <w:trHeight w:val="203"/>
        </w:trPr>
        <w:tc>
          <w:tcPr>
            <w:tcW w:w="4840" w:type="dxa"/>
            <w:vAlign w:val="bottom"/>
          </w:tcPr>
          <w:p>
            <w:pPr>
              <w:ind w:left="280"/>
              <w:spacing w:after="0" w:line="202" w:lineRule="exact"/>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(8.6 )</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220" w:type="dxa"/>
            <w:vAlign w:val="bottom"/>
          </w:tcPr>
          <w:p>
            <w:pPr>
              <w:spacing w:after="0"/>
              <w:rPr>
                <w:sz w:val="17"/>
                <w:szCs w:val="17"/>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(133.7 )%</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(3.6 )</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(6.8 )</w:t>
            </w: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(212.5 )%</w:t>
            </w:r>
          </w:p>
        </w:tc>
        <w:tc>
          <w:tcPr>
            <w:tcW w:w="0" w:type="dxa"/>
            <w:vAlign w:val="bottom"/>
          </w:tcPr>
          <w:p>
            <w:pPr>
              <w:spacing w:after="0"/>
              <w:rPr>
                <w:sz w:val="1"/>
                <w:szCs w:val="1"/>
                <w:color w:val="auto"/>
              </w:rPr>
            </w:pPr>
          </w:p>
        </w:tc>
      </w:tr>
      <w:tr>
        <w:trPr>
          <w:trHeight w:val="184"/>
        </w:trPr>
        <w:tc>
          <w:tcPr>
            <w:tcW w:w="4840" w:type="dxa"/>
            <w:vAlign w:val="bottom"/>
          </w:tcPr>
          <w:p>
            <w:pPr>
              <w:ind w:left="20"/>
              <w:spacing w:after="0" w:line="183" w:lineRule="exact"/>
              <w:rPr>
                <w:sz w:val="20"/>
                <w:szCs w:val="20"/>
                <w:color w:val="auto"/>
              </w:rPr>
            </w:pPr>
            <w:r>
              <w:rPr>
                <w:rFonts w:ascii="Arial" w:cs="Arial" w:eastAsia="Arial" w:hAnsi="Arial"/>
                <w:sz w:val="18"/>
                <w:szCs w:val="18"/>
                <w:color w:val="auto"/>
              </w:rPr>
              <w:t>Unrealized gains on available-for-sale</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180"/>
              <w:spacing w:after="0"/>
              <w:rPr>
                <w:sz w:val="20"/>
                <w:szCs w:val="20"/>
                <w:color w:val="auto"/>
              </w:rPr>
            </w:pPr>
            <w:r>
              <w:rPr>
                <w:rFonts w:ascii="Arial" w:cs="Arial" w:eastAsia="Arial" w:hAnsi="Arial"/>
                <w:sz w:val="18"/>
                <w:szCs w:val="18"/>
                <w:color w:val="auto"/>
              </w:rPr>
              <w:t>debt securities, net of taxes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860" w:type="dxa"/>
            <w:vAlign w:val="bottom"/>
            <w:gridSpan w:val="2"/>
            <w:shd w:val="clear" w:color="auto" w:fill="CFF0FC"/>
          </w:tcPr>
          <w:p>
            <w:pPr>
              <w:spacing w:after="0"/>
              <w:rPr>
                <w:sz w:val="18"/>
                <w:szCs w:val="18"/>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(0.5 )</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(5.3 )</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(90.6 )%</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840" w:type="dxa"/>
            <w:vAlign w:val="bottom"/>
          </w:tcPr>
          <w:p>
            <w:pPr>
              <w:spacing w:after="0"/>
              <w:rPr>
                <w:sz w:val="24"/>
                <w:szCs w:val="24"/>
                <w:color w:val="auto"/>
              </w:rPr>
            </w:pPr>
          </w:p>
        </w:tc>
        <w:tc>
          <w:tcPr>
            <w:tcW w:w="1120" w:type="dxa"/>
            <w:vAlign w:val="bottom"/>
            <w:gridSpan w:val="3"/>
          </w:tcPr>
          <w:p>
            <w:pPr>
              <w:jc w:val="right"/>
              <w:ind w:right="150"/>
              <w:spacing w:after="0"/>
              <w:rPr>
                <w:sz w:val="20"/>
                <w:szCs w:val="20"/>
                <w:color w:val="auto"/>
              </w:rPr>
            </w:pPr>
            <w:r>
              <w:rPr>
                <w:rFonts w:ascii="Arial" w:cs="Arial" w:eastAsia="Arial" w:hAnsi="Arial"/>
                <w:sz w:val="18"/>
                <w:szCs w:val="18"/>
                <w:color w:val="auto"/>
              </w:rPr>
              <w:t>87</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-856615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-839470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-856615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-839470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-856615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-839470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-856615</wp:posOffset>
            </wp:positionV>
            <wp:extent cx="1631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-839470</wp:posOffset>
            </wp:positionV>
            <wp:extent cx="163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Revenue</w:t>
      </w:r>
    </w:p>
    <w:p>
      <w:pPr>
        <w:spacing w:after="0" w:line="183"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Revenue was $492.1 million for the year ended December 31, 2024, compared to $403.1 million for the year ended December 31, 2023, an increase of $89.0 million or 22.1%. Revenue is comprised of transaction revenue and platform and other revenues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Transaction revenue</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410.2</w:t>
            </w:r>
          </w:p>
        </w:tc>
        <w:tc>
          <w:tcPr>
            <w:tcW w:w="50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329.7</w:t>
            </w:r>
          </w:p>
        </w:tc>
        <w:tc>
          <w:tcPr>
            <w:tcW w:w="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80.5</w:t>
            </w:r>
          </w:p>
        </w:tc>
        <w:tc>
          <w:tcPr>
            <w:tcW w:w="158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Platform and other revenues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89.0</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3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Transaction revenue was $410.2 million for the year ended December 31, 2024, compared to $329.7 million for the year ended December 31, 2023, an increase of $ 80.5 million or 24.4%. The increase in transaction revenue was primarily driven by growth in transaction payment volumes for the year ended December 31, 2024 from both our existing clients and new clients added during the year ended December 31, 2024, compared to the year ended December 31, 2023. We experienced strong growth in transaction payment volume across most regions and verticals during the period, excluding Canada, which decreased primarily due to Canada’s international student permit applications cap introduced earlier in calendar year 2024. Transaction payment volume increased approximately 31% during the year ended December 31, 2024 to $23.2 billion compared to $17.7 billion during the year ended December 31, 2023.</w:t>
      </w:r>
    </w:p>
    <w:p>
      <w:pPr>
        <w:spacing w:after="0" w:line="158" w:lineRule="exact"/>
        <w:rPr>
          <w:sz w:val="20"/>
          <w:szCs w:val="20"/>
          <w:color w:val="auto"/>
        </w:rPr>
      </w:pPr>
    </w:p>
    <w:p>
      <w:pPr>
        <w:jc w:val="both"/>
        <w:ind w:right="140" w:firstLine="509"/>
        <w:spacing w:after="0" w:line="244" w:lineRule="auto"/>
        <w:rPr>
          <w:sz w:val="20"/>
          <w:szCs w:val="20"/>
          <w:color w:val="auto"/>
        </w:rPr>
      </w:pPr>
      <w:r>
        <w:rPr>
          <w:rFonts w:ascii="Arial" w:cs="Arial" w:eastAsia="Arial" w:hAnsi="Arial"/>
          <w:sz w:val="18"/>
          <w:szCs w:val="18"/>
          <w:color w:val="auto"/>
        </w:rPr>
        <w:t>Platform and other revenues was $81.9 million for the year ended December 31, 2024, compared to $73.4 million for the year ended December 31, 2023, an increase of $8.5 million or 11.6%. The increase in platform and other revenues was primarily driven by the Invoiced and StudyLink acquisitions and revenue from interest earned on funds held for customers in interest-bearing accounts, offset by a decrease in revenue for printing and mailing and insurance products. Invoiced and StudyLink contributed $2.4 million and $7.6 million in platform and other revenues during the year ended December 31, 2024,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Payment processing services costs were $177.5 million for the year ended December 31, 2024, compared to $ 147.3 million for the year ended December 31, 2023, an increase of $30.2 million or 20.5%. The increase in payment processing services costs is correlated with the increase in total payment volume of approximately 24% over the same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8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Technology and development expenses were $66.6 million for the year ended December 31, 2024, compared to $62.0 million for the year ended December 31, 2023, an increase of $4.6 million or 7.4%. The increase in technology and development cost was primarily driven by an increase in personnel costs and stock-based compensation expense, offset by a decrease in amortization expense. Personnel costs were $42.1 million for the year ended December 31, 2024, compared to $38.5 million for the year ended December 31, 2023, an increase of $3.6 million or 9.4%. The increase in personnel costs was primarily driven by an increase in headcount within our technology and development teams. Stock-based compensation expense was $11.7 million for the year ended December 31, 2024, compared to $9.3 million for the year ended December 31, 2023, an increase of $2.4 million or 25.8%. The increase in stock-based compensation is attributable to an increase in equity grants awarded to existing and new FlyMates. Amortization of intangible assets were $6.2 million during the year ended December 31, 2024, compared to $ 7.8 million for the year ended December 31, 2023, a decrease of $1.6 million or 20.5%. The decrease in amortization expense was primarily due to an increase in acquired technology's useful lives.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Selling and marketing expenses were $129.4 million for the year ended December 31, 2024, compared to $107.6 million for the year ended December 31, 2023, an increase of $21.8 million or 20.3%. The increase in selling and marketing expenses was primarily driven by an increase in personnel costs, stock-based compensation, amortization expense, professional fees and marketing costs. Personnel costs were $66.3 million for the year ended December 31, 2024, compared to $57.0 million for the year ended December 31, 2023, an increase of $9.3 million or 16.3%. The increase in personnel costs was primarily driven by an increase in headcount within our selling and marketing teams and commissions earned on sales during the period. Stock-based compensation was $18.0 million for the year ended December 31, 2024, compared to $ 12.0 million for the year ended December 31, 2023, an increase of $6.0 million or 50.0%. The increase in stock-based compensation is attributable to an increase in equity grants awarded to existing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new FlyMates. Amortization of intangible assets were $8.1 million during the year ended December 31, 2024, compared to $5.1 million for the year ended December 31, 2023, an increase of $3.0 million or 58.8%. The increase in amortization expense was due to a full year of amortization expense related to the acquired intangible assets of StudyLink and amortization expense related to the acquired intangible assets of Invoiced. Professional fees were $21.2 million for the year ended December 31, 2024, compared to $18.5 million for the year ended December 31, 2023, an increase of $2.7 million or 14.6%. The increase in professional fees was primarily due to increases in third party commissions. Marketing costs were $8.2 million for the year ended December 31, 2024, compared to $7.1 million for the year ended December 31, 2023, an increase of $1.1 million or 15.5%. The increase in marketing costs was due to increased marketing initiatives and hosted events.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jc w:val="both"/>
        <w:ind w:right="200" w:firstLine="509"/>
        <w:spacing w:after="0" w:line="254" w:lineRule="auto"/>
        <w:rPr>
          <w:sz w:val="20"/>
          <w:szCs w:val="20"/>
          <w:color w:val="auto"/>
        </w:rPr>
      </w:pPr>
      <w:r>
        <w:rPr>
          <w:rFonts w:ascii="Arial" w:cs="Arial" w:eastAsia="Arial" w:hAnsi="Arial"/>
          <w:sz w:val="17"/>
          <w:szCs w:val="17"/>
          <w:color w:val="auto"/>
        </w:rPr>
        <w:t>General and administrative expenses were $125.8 million for the year ended December 31, 2024, compared to $107.6 million for the year ended December 31, 2023, an increase of $18.2 million or 16.9%. The increase in general and administrative expenses was primarily driven by an increase in stock-based compensation, personnel costs and other costs. Stock-based compensation was $35.3 million for the year ended December 31, 2024, compared to $22.5 million for the year ended December 31, 2023, an increase of $12.8 million or 56.9%.</w:t>
      </w:r>
    </w:p>
    <w:p>
      <w:pPr>
        <w:ind w:right="180"/>
        <w:spacing w:after="0" w:line="239" w:lineRule="auto"/>
        <w:rPr>
          <w:sz w:val="20"/>
          <w:szCs w:val="20"/>
          <w:color w:val="auto"/>
        </w:rPr>
      </w:pPr>
      <w:r>
        <w:rPr>
          <w:rFonts w:ascii="Arial" w:cs="Arial" w:eastAsia="Arial" w:hAnsi="Arial"/>
          <w:sz w:val="18"/>
          <w:szCs w:val="18"/>
          <w:color w:val="auto"/>
        </w:rPr>
        <w:t>The increase in stock-based compensation is attributable to an increase in equity grants awarded to existing and new FlyMates. Personnel costs were $47.9 million for the year ended December 31, 2024, compared to $42.4 million for the year ended December 31, 2023, an increase of $5.5 million or 13.0%. The increase in personnel costs was primarily driven by an increase in headcount. Other costs were $7.0 million for the year ended December 31, 2024, compared to $5.1 million for the year ended December 31, 2023, an increase of $1.9 million or 37.3%. The increase in other costs is primarily due to indirect taxes recorded during the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Interest expense was $0.5 million for the year ended December 31, 2024, compared to $0.4 million for the year ended December 31, 2023, an increase of 0.1 million or 25.0%. As of December 31, 2024 and 2023, there was no outstanding indebtedness under the 2024 Revolving Credit Facility or 2021 Revolving Credit Facility. Interest expense consists primarily of amortization of debt issuance costs and unused commitment fees related to our 2024 Revolving Credit Facility and 2021 Revolving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Interest income was $21.4 million for the year ended December 31, 2024, compared to $13.3 million for the year ended December 31, 2023, an increase of $8.1 million or 60.9%. The increase in interest income is attributable to the increase in our cash balance primarily associated with our Public Offering we completed in August and September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from Remeasurement of Foreign Currency</w:t>
      </w:r>
    </w:p>
    <w:p>
      <w:pPr>
        <w:spacing w:after="0" w:line="169"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Loss from remeasurement of foreign currency was $11.8 million for the year ended December 31, 2024, compared to a gain of $4.2 million for the year ended December 31, 2023, an increase of $16.0 million or 381.0%. The increase was primarily the result of the remeasurement of foreign currency intercompany loans and impact of fluctuations in exchange rates during respective remeasurement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Benefit from income taxes was $1.0 million during the year ended December 31, 2024, compared to a provision for income taxes of $4.2 million during the year ended December 31, 2023, a decrease of $ 5.2 million or 123.8%. The income tax benefit for the year ended December 31, 2024 was primarily attributable to a non-recurring benefit of $4.9 million relating to the release of a portion of our valuation allowance in the U.S. This release was due to taxable temporary differences recorded as part of the Invoiced acquisition which were a source of income to realize certain pre-existing federal and state deferred tax assets. The benefit is offset by income tax expense attributable to our foreign operations and U.S. state taxes. The income tax expense for the year ended December 31, 2023 was primarily attributable to income taxes related to our profitable foreign subsidiaries and U.S. state taxes. Our effective tax rate was (55.9)% for the year ended December 31, 2024, compared to (96.8)% for the year ended December 31, 2023.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Comparison of results for the years ended December 31, 2023 and 2022</w:t>
      </w:r>
    </w:p>
    <w:p>
      <w:pPr>
        <w:spacing w:after="0" w:line="16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All dollar amounts in the tables below are rounded and as a result, certain amounts may not recalculate using the rounded amounts provided.</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113.7</w:t>
            </w:r>
          </w:p>
        </w:tc>
        <w:tc>
          <w:tcPr>
            <w:tcW w:w="166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03"/>
        </w:trPr>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Payment processing services costs</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147.3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16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166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03"/>
        </w:trPr>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29.1</w:t>
            </w:r>
          </w:p>
        </w:tc>
        <w:tc>
          <w:tcPr>
            <w:tcW w:w="16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w:t>
            </w:r>
          </w:p>
        </w:tc>
        <w:tc>
          <w:tcPr>
            <w:tcW w:w="166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03"/>
        </w:trPr>
        <w:tc>
          <w:tcPr>
            <w:tcW w:w="56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Total costs and operating expense</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424.6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16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(21.5 )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(30.2 )</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16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03"/>
        </w:trPr>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(0.4 )</w:t>
            </w:r>
          </w:p>
        </w:tc>
        <w:tc>
          <w:tcPr>
            <w:tcW w:w="2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(1.2 )</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16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w:t>
            </w:r>
          </w:p>
        </w:tc>
        <w:tc>
          <w:tcPr>
            <w:tcW w:w="166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315.6 %</w:t>
            </w:r>
          </w:p>
        </w:tc>
        <w:tc>
          <w:tcPr>
            <w:tcW w:w="0" w:type="dxa"/>
            <w:vAlign w:val="bottom"/>
          </w:tcPr>
          <w:p>
            <w:pPr>
              <w:spacing w:after="0"/>
              <w:rPr>
                <w:sz w:val="1"/>
                <w:szCs w:val="1"/>
                <w:color w:val="auto"/>
              </w:rPr>
            </w:pPr>
          </w:p>
        </w:tc>
      </w:tr>
      <w:tr>
        <w:trPr>
          <w:trHeight w:val="203"/>
        </w:trPr>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Gain (loss) gain from remeasurement of foreign currency</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(9.2 )</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16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(145.7 )%</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Total other income (expense), net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(7.1 )</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w:t>
            </w:r>
          </w:p>
        </w:tc>
        <w:tc>
          <w:tcPr>
            <w:tcW w:w="16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(342.3 )%</w:t>
            </w:r>
          </w:p>
        </w:tc>
        <w:tc>
          <w:tcPr>
            <w:tcW w:w="0" w:type="dxa"/>
            <w:vAlign w:val="bottom"/>
          </w:tcPr>
          <w:p>
            <w:pPr>
              <w:spacing w:after="0"/>
              <w:rPr>
                <w:sz w:val="1"/>
                <w:szCs w:val="1"/>
                <w:color w:val="auto"/>
              </w:rPr>
            </w:pPr>
          </w:p>
        </w:tc>
      </w:tr>
      <w:tr>
        <w:trPr>
          <w:trHeight w:val="203"/>
        </w:trPr>
        <w:tc>
          <w:tcPr>
            <w:tcW w:w="56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(4.4 )</w:t>
            </w:r>
          </w:p>
        </w:tc>
        <w:tc>
          <w:tcPr>
            <w:tcW w:w="2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(37.4 )</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16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(88.2 )%</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66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110.0 %</w:t>
            </w:r>
          </w:p>
        </w:tc>
        <w:tc>
          <w:tcPr>
            <w:tcW w:w="0" w:type="dxa"/>
            <w:vAlign w:val="bottom"/>
          </w:tcPr>
          <w:p>
            <w:pPr>
              <w:spacing w:after="0"/>
              <w:rPr>
                <w:sz w:val="1"/>
                <w:szCs w:val="1"/>
                <w:color w:val="auto"/>
              </w:rPr>
            </w:pPr>
          </w:p>
        </w:tc>
      </w:tr>
      <w:tr>
        <w:trPr>
          <w:trHeight w:val="203"/>
        </w:trPr>
        <w:tc>
          <w:tcPr>
            <w:tcW w:w="56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(8.6 )</w:t>
            </w:r>
          </w:p>
        </w:tc>
        <w:tc>
          <w:tcPr>
            <w:tcW w:w="2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(39.3 )</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16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(78.1 )%</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(1.5 )</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16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(313.3 )%</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(5.3 )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(40.9 )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35.6</w:t>
            </w:r>
          </w:p>
        </w:tc>
        <w:tc>
          <w:tcPr>
            <w:tcW w:w="1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(87.0 )%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-162560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-162560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-162560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-162560</wp:posOffset>
            </wp:positionV>
            <wp:extent cx="1631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3" w:lineRule="exact"/>
        <w:rPr>
          <w:sz w:val="20"/>
          <w:szCs w:val="20"/>
          <w:color w:val="auto"/>
        </w:rPr>
      </w:pPr>
    </w:p>
    <w:p>
      <w:pPr>
        <w:jc w:val="both"/>
        <w:ind w:right="380" w:firstLine="509"/>
        <w:spacing w:after="0" w:line="271" w:lineRule="auto"/>
        <w:rPr>
          <w:sz w:val="20"/>
          <w:szCs w:val="20"/>
          <w:color w:val="auto"/>
        </w:rPr>
      </w:pPr>
      <w:r>
        <w:rPr>
          <w:rFonts w:ascii="Arial" w:cs="Arial" w:eastAsia="Arial" w:hAnsi="Arial"/>
          <w:sz w:val="18"/>
          <w:szCs w:val="18"/>
          <w:color w:val="auto"/>
        </w:rPr>
        <w:t>Revenue was $403.1 million for the year ended December 31, 2023, compared to $289.4 million for the year ended December 31, 2022, an increase of $113.7 million or 39.3%. Revenue is comprised of transaction revenue and platform and other revenues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Transaction revenue</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329.7</w:t>
            </w:r>
          </w:p>
        </w:tc>
        <w:tc>
          <w:tcPr>
            <w:tcW w:w="50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224.2</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105.5</w:t>
            </w:r>
          </w:p>
        </w:tc>
        <w:tc>
          <w:tcPr>
            <w:tcW w:w="16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03"/>
        </w:trPr>
        <w:tc>
          <w:tcPr>
            <w:tcW w:w="5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Platform and other revenues</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73.4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113.7</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37"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Transaction revenue was $329.7 million for the year ended December 31, 2023, compared to $224.2 million for the year ended December 31, 2022, an increase of $105.5 million or 47.1%. The increase in transaction revenue was primarily driven by growth in transaction payment volumes for the year ended December 31, 2023 from both our existing clients and new clients added during the year ended December 31, 2023 compared to the year ended December 31, 2022. We experienced strong growth in transaction payment volume across all regions and verticals during the period. Transaction payment volume increased approximately 44% during the year ended December 31, 2023 to $17.7 billion compared to $12.2 billion during the year ended December 31, 2022. Our marketing services revenue increased as a result of our payments partners using more of our marketing services during the year ended December 31, 2023, compared to the year ended December 31, 2022.</w:t>
      </w:r>
    </w:p>
    <w:p>
      <w:pPr>
        <w:spacing w:after="0" w:line="153"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Platform and other revenues was $73.4 million for the year ended December 31, 2023, compared to $65.2 million for the year ended December 31, 2022, an increase of $ 8.2 million or 12.6%. The increase in platform and other revenues was attributable to increased usage by our clients and new clients signed during the year ended December 31, 2023, compared to the year ended December 31,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Payment processing services costs were $147.3 million for the year ended December 31, 2023, compared to $ 107.9 million for the year ended December 31, 2022, an increase of $39.4 million or 36.5%. The increase in payment processing services costs is correlated with the increase in total payment volume of approximately 33% over the same period as well as increased use of credit cards, which have higher processing costs.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Technology and Development</w:t>
      </w:r>
    </w:p>
    <w:p>
      <w:pPr>
        <w:spacing w:after="0" w:line="18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Technology and development expenses were $ 62.0 million for the year ended December 31, 2023, compared to $50.3 million for the year ended December 31, 2022, an increase of $11.7 million or 23.3%. The increase in technology and development cost was primarily driven by an increase in personnel costs and stock-based compensation expense. Personnel costs were $38.5 million for the year ended December 31, 2023, compared to $32.1 million for the year ended December 31, 2022, an increase of $6.4 million or 19.9%. The increase in personnel costs was primarily driven by an increase in headcount within our technology and development teams. Stock-based compensation expense was $9.3 million for the year ended December 31, 2023, compared to $4.9 million for the year ended December 31, 2022, an increase of $4.4 million or 89.8%. The increase in stock-based compensation is attributable to equity grants awarded to existing and new FlyMates.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Selling and marketing expenses were $107.6 million for the year ended December 31, 2023, compared to $78.5 million for the year ended December 31, 2022, an increase of $29.1 million or 37.1%. The increase in selling and marketing expenses was primarily driven by an increase in personnel costs, professional fees, stock-based compensation, marketing costs, and amortization expense. Personnel costs were $57.0 million for the year ended December 31, 2023, compared to $44.5 million for the year ended December 31, 2022, an increase of $12.5 million or 28.1%. The increase in personnel costs was primarily driven by an increase in headcount within our selling and marketing teams and commissions earned on sales during the period. Professional fees were $18.5 million for the year ended December 31, 2023, compared to $10.2 million for the year ended December 31, 2022, an increase of $8.3 million or 81.4%. The increase in professional fees was due to increases in third party commissions. Stock-based compensation was $ 12.0 million for the year ended December 31, 2023, compared to $7.9 million for the year ended December 31, 2022, an increase of $4.1 million or 51.9%. The increase in stock-based compensation is attributable to equity grants awarded to existing and new FlyMates. Marketing costs were $7.1 million for the year ended December 31, 2023, compared to $5.8 million for the year ended December 31, 2022, an increase of $1.3 million or 22.4%. The increase in marketing costs was due to increased marketing initiatives and hosted events. Amortization of intangible assets were $5.1 million during the year ended December 31, 2023, compared to $3.9 million for the year ended December 31, 2022, an increase of $ 1.2 million or 30.8%. The increase in amortization expense was due to acquired customer relationships related to the Cohort Go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General and administrative expenses were $107.6 million for the year ended December 31, 2023, compared to $82.9 million for the year ended December 31, 2022, an increase of $24.7 million or 29.8%. The increase in general and administrative expenses was primarily driven by an increase in personnel costs, stock-based compensation, professional fees, change in the fair value of contingent consideration, and software and hosting expenses. Personnel costs were $42.4 million for the year ended December 31, 2023, compared to $33.6 million for the year ended December 31, 2022, an increase of $8.8 million or 26.2%. The increase in personnel costs was primarily driven by an increase in headcount. Stock-based compensation was $22.5 million for the year ended December 31, 2023, compared to $17.5 million for the year ended December 31, 2022, an increase of $5.0 million or 28.6%. The increase in stock-based compensation is attributable to equity grants awarded to existing and new FlyMates. Professional fees were $14.8 million for the year ended December 31, 2023, compared to $11.1 million for the year ended December 31, 2022, an increase of $ 3.7 million or 33.3%. The increase in professional fees was due to increased legal, consulting and audit fees. Change in the fair value of contingent consideration related to acquisitions was $0.4 million for the year ended December 31, 2023, compared to $(2.8) million for the year ended December 31, 2022, an increase of $3.2 million or 114.3%. The increase in the fair value of contingent consideration was due to an increase in the fair value of contingent consideration related Cohort Go which was paid in the first quarter of 2023. Software and hosting expenses were $8.3 million for the year ended December 31, 2023, compared to $ 5.6 million for the year ended December 31, 2022, an increase of $2.7 million or 48.2%. The increase in software and hosting expenses was primarily related to increased hosting fees based on payment volumes growth and additional software needs based on headcount growth.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9"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Interest expense was $0.4 million for the year ended December 31, 2023, compared to $ 1.2 million for the year ended December 31, 2022, a decrease of 0.8 million or 66.7%. During July 2021, we entered into a Revolving Credit Facility with three banks for a total commitment of $50.0 million. We drew $25.9 million on the Revolving Credit Facility and used the proceeds to early prepay the existing Loan and Security Agreement (LSA) of $ 25.0 million. During the year ended December 31, 2022, we repaid the $25.9 million outstanding under the Revolving Credit Facility, which resulted in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92" w:name="page93"/>
    <w:bookmarkEnd w:id="92"/>
    <w:p>
      <w:pPr>
        <w:ind w:right="600"/>
        <w:spacing w:after="0" w:line="271" w:lineRule="auto"/>
        <w:rPr>
          <w:sz w:val="20"/>
          <w:szCs w:val="20"/>
          <w:color w:val="auto"/>
        </w:rPr>
      </w:pPr>
      <w:r>
        <w:rPr>
          <w:rFonts w:ascii="Arial" w:cs="Arial" w:eastAsia="Arial" w:hAnsi="Arial"/>
          <w:sz w:val="18"/>
          <w:szCs w:val="18"/>
          <w:color w:val="auto"/>
        </w:rPr>
        <w:t>no interest expense on debt for the year ended December 31, 2023. Interest expense for the year ended December 31, 2023 consists primarily of amortization of debt issuance cost and debt discount from our previous LSA.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Interest income was $13.3 million for the year ended December 31, 2023, compared to $3.2 million for the year ended December 31, 2022, an increase of $10.1 million or 315.6%. The increase in interest income was due to our investment in interest bearing accounts during the second quarter of 2022, an increase in yield earned from our investment in money market funds as interest rates increased during the year ended December 31, 2023, compared to the year ended December 31, 2022 and an increase in our cash balance.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from Remeasurement of Foreign Currency</w:t>
      </w:r>
    </w:p>
    <w:p>
      <w:pPr>
        <w:spacing w:after="0" w:line="183" w:lineRule="exact"/>
        <w:rPr>
          <w:sz w:val="20"/>
          <w:szCs w:val="20"/>
          <w:color w:val="auto"/>
        </w:rPr>
      </w:pPr>
    </w:p>
    <w:p>
      <w:pPr>
        <w:ind w:right="500" w:firstLine="509"/>
        <w:spacing w:after="0" w:line="247" w:lineRule="auto"/>
        <w:rPr>
          <w:sz w:val="20"/>
          <w:szCs w:val="20"/>
          <w:color w:val="auto"/>
        </w:rPr>
      </w:pPr>
      <w:r>
        <w:rPr>
          <w:rFonts w:ascii="Arial" w:cs="Arial" w:eastAsia="Arial" w:hAnsi="Arial"/>
          <w:sz w:val="18"/>
          <w:szCs w:val="18"/>
          <w:color w:val="auto"/>
        </w:rPr>
        <w:t>Gain (loss) from remeasurement of foreign currency was $4.2 million for the year ended December 31, 2023, compared to $(9.2) million for the year ended December 31, 2022, an increase of $13.4 million or 145.7%. The increase was primarily the result of the remeasurement of foreign currency intercompany loans and impact of fluctuations in exchange rates during respective remeasurement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69"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Provision for income taxes was $4.2 million during the year ended December 31, 2023, compared to $2.0 million during the year ended December 31, 2022, an increase of $ 2.2 million or 110.0%. During the year ended December 31, 2023 and 2022, we recorded an income tax expense of $ 4.2 million and $2.0 million, respectively, which was primarily attributable to income taxes related to our profitable foreign subsidiaries and U.S. state taxes. Our effective tax rate was(96.8)% for the year ended December 31, 2023, compared to (5.4)% for the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7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To supplement our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and as a result, certain amounts may not recalculate using the rounded amounts provided.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4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Payment Volume</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29,715.3</w:t>
            </w:r>
          </w:p>
        </w:tc>
        <w:tc>
          <w:tcPr>
            <w:tcW w:w="2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8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24,032.8</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18,078.5</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492.1</w:t>
            </w:r>
          </w:p>
        </w:tc>
        <w:tc>
          <w:tcPr>
            <w:tcW w:w="260" w:type="dxa"/>
            <w:vAlign w:val="bottom"/>
          </w:tcPr>
          <w:p>
            <w:pPr>
              <w:spacing w:after="0"/>
              <w:rPr>
                <w:sz w:val="17"/>
                <w:szCs w:val="17"/>
                <w:color w:val="auto"/>
              </w:rPr>
            </w:pP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403.1</w:t>
            </w:r>
          </w:p>
        </w:tc>
        <w:tc>
          <w:tcPr>
            <w:tcW w:w="34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Less Ancillary Services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474.2</w:t>
            </w:r>
          </w:p>
        </w:tc>
        <w:tc>
          <w:tcPr>
            <w:tcW w:w="2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381.5</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267.1</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FX Neutral Revenue Less Ancillary Services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471.9</w:t>
            </w:r>
          </w:p>
        </w:tc>
        <w:tc>
          <w:tcPr>
            <w:tcW w:w="260" w:type="dxa"/>
            <w:vAlign w:val="bottom"/>
          </w:tcPr>
          <w:p>
            <w:pPr>
              <w:spacing w:after="0"/>
              <w:rPr>
                <w:sz w:val="17"/>
                <w:szCs w:val="17"/>
                <w:color w:val="auto"/>
              </w:rPr>
            </w:pP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381.5</w:t>
            </w:r>
          </w:p>
        </w:tc>
        <w:tc>
          <w:tcPr>
            <w:tcW w:w="34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267.1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306.9</w:t>
            </w:r>
          </w:p>
        </w:tc>
        <w:tc>
          <w:tcPr>
            <w:tcW w:w="2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247.4</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174.9</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Adjusted Gross Profit</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312.8</w:t>
            </w:r>
          </w:p>
        </w:tc>
        <w:tc>
          <w:tcPr>
            <w:tcW w:w="260" w:type="dxa"/>
            <w:vAlign w:val="bottom"/>
          </w:tcPr>
          <w:p>
            <w:pPr>
              <w:spacing w:after="0"/>
              <w:rPr>
                <w:sz w:val="17"/>
                <w:szCs w:val="17"/>
                <w:color w:val="auto"/>
              </w:rPr>
            </w:pP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254.1</w:t>
            </w:r>
          </w:p>
        </w:tc>
        <w:tc>
          <w:tcPr>
            <w:tcW w:w="34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Gross Margin</w:t>
            </w: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62.4 %</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61.4 %</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60.4 %</w:t>
            </w:r>
          </w:p>
        </w:tc>
        <w:tc>
          <w:tcPr>
            <w:tcW w:w="0" w:type="dxa"/>
            <w:vAlign w:val="bottom"/>
          </w:tcPr>
          <w:p>
            <w:pPr>
              <w:spacing w:after="0"/>
              <w:rPr>
                <w:sz w:val="1"/>
                <w:szCs w:val="1"/>
                <w:color w:val="auto"/>
              </w:rPr>
            </w:pPr>
          </w:p>
        </w:tc>
      </w:tr>
      <w:tr>
        <w:trPr>
          <w:trHeight w:val="203"/>
        </w:trPr>
        <w:tc>
          <w:tcPr>
            <w:tcW w:w="64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Adjusted Gross Margin</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66.6 %</w:t>
            </w:r>
          </w:p>
        </w:tc>
        <w:tc>
          <w:tcPr>
            <w:tcW w:w="30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68.1 %</w:t>
            </w: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(8.6 )</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03"/>
        </w:trPr>
        <w:tc>
          <w:tcPr>
            <w:tcW w:w="64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260" w:type="dxa"/>
            <w:vAlign w:val="bottom"/>
          </w:tcPr>
          <w:p>
            <w:pPr>
              <w:spacing w:after="0"/>
              <w:rPr>
                <w:sz w:val="17"/>
                <w:szCs w:val="17"/>
                <w:color w:val="auto"/>
              </w:rPr>
            </w:pP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34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EBITDA Margin</w:t>
            </w: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16.4 %</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11.0 %</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For the year ended December 31, 2024, transaction revenue and platform and other revenues represented 83.4% and 16.6% of our revenue, respectively. For the year ended December 31, 2024, transaction revenue and platform and other revenues represented 86.1% and 13.9% of our total revenue less ancillary services, respectively.</w:t>
      </w:r>
    </w:p>
    <w:p>
      <w:pPr>
        <w:spacing w:after="0" w:line="12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For the year ended December 31, 2023, transaction revenue and platform and other revenues represented 81.8% and 18.2% of our revenue, respectively. For the year ended December 31, 2023, transaction revenue and platform and other revenues represented 85.8% and 14.2% of our total revenue less ancillary services, respectively.</w:t>
      </w:r>
    </w:p>
    <w:p>
      <w:pPr>
        <w:spacing w:after="0" w:line="12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For the year ended December 31, 2022, transaction revenue and platform and other revenues represented 77.5% and 22.5% of our revenue, respectively. For the year ended December 31, 2022, transaction revenue and platform and other revenues represented 83.2% and 16.8% of our total revenue less ancillary services, respectively.</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93" w:name="page94"/>
    <w:bookmarkEnd w:id="93"/>
    <w:p>
      <w:pPr>
        <w:ind w:right="80" w:firstLine="509"/>
        <w:spacing w:after="0" w:line="253" w:lineRule="auto"/>
        <w:rPr>
          <w:sz w:val="20"/>
          <w:szCs w:val="20"/>
          <w:color w:val="auto"/>
        </w:rPr>
      </w:pPr>
      <w:r>
        <w:rPr>
          <w:rFonts w:ascii="Arial" w:cs="Arial" w:eastAsia="Arial" w:hAnsi="Arial"/>
          <w:sz w:val="18"/>
          <w:szCs w:val="18"/>
          <w:color w:val="auto"/>
        </w:rPr>
        <w:t>For the year ended December 31, 2024, our total payment volume was over $29.7 billion, consisting of $23.2 billion of total payment volume from transactions included in transaction revenue and $6.5 billion of total payment volume from transactions included in platform and other revenues.</w:t>
      </w:r>
    </w:p>
    <w:p>
      <w:pPr>
        <w:spacing w:after="0" w:line="14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For the year ended December 31, 2023, our total payment volume was over $24.0 billion, consisting of $17.7 billion of total payment volume from transactions included in transaction revenue and $6.3 billion of total payment volume from transactions included in platform and other revenues.</w:t>
      </w:r>
    </w:p>
    <w:p>
      <w:pPr>
        <w:spacing w:after="0" w:line="128"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For the year ended December 31, 2022, our total payment volume was approximately $18.1 billion, consisting of approximately $12.2 billion of total payment volume from transactions included in transaction revenue and approximately $5.8 billion of total payment volume from transactions included in platform and other revenues.</w:t>
      </w:r>
    </w:p>
    <w:p>
      <w:pPr>
        <w:spacing w:after="0" w:line="130"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Revenue Less Ancillary Services, FX Neutral Revenue Less Ancillary Services, Adjusted Gross Profit, Adjusted Gross Margin, EBITDA, Adjusted EBITDA, Adjusted EBITDA Margin and Non-GAAP Operating Expenses</w:t>
      </w:r>
    </w:p>
    <w:p>
      <w:pPr>
        <w:spacing w:after="0" w:line="11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3"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28" w:lineRule="exact"/>
        <w:rPr>
          <w:sz w:val="20"/>
          <w:szCs w:val="20"/>
          <w:color w:val="auto"/>
        </w:rPr>
      </w:pPr>
    </w:p>
    <w:p>
      <w:pPr>
        <w:ind w:left="900" w:right="200" w:hanging="263"/>
        <w:spacing w:after="0" w:line="246"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 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49" w:lineRule="exact"/>
        <w:rPr>
          <w:rFonts w:ascii="Times New Roman" w:cs="Times New Roman" w:eastAsia="Times New Roman" w:hAnsi="Times New Roman"/>
          <w:sz w:val="18"/>
          <w:szCs w:val="18"/>
          <w:color w:val="auto"/>
        </w:rPr>
      </w:pPr>
    </w:p>
    <w:p>
      <w:pPr>
        <w:ind w:left="900" w:right="60" w:hanging="263"/>
        <w:spacing w:after="0" w:line="243"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FX Neutral Revenue Less Ancillary Services </w:t>
      </w:r>
      <w:r>
        <w:rPr>
          <w:rFonts w:ascii="Arial" w:cs="Arial" w:eastAsia="Arial" w:hAnsi="Arial"/>
          <w:sz w:val="18"/>
          <w:szCs w:val="18"/>
          <w:color w:val="auto"/>
        </w:rPr>
        <w:t>- FX Neutral Revenue Less Ancillary Services represents Revenue Less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adjusted to show presentation on a constant currency basis. The constant currency information presented is calculated by translating current period results using prior period weighted average foreign currency exchange rates. We analyze FX Neutral Revenue Less Ancillary Services to provide a comparable framework for assessing how the business performed excluding the effect of foreign currency fluctuations.</w:t>
      </w:r>
    </w:p>
    <w:p>
      <w:pPr>
        <w:spacing w:after="0" w:line="139" w:lineRule="exact"/>
        <w:rPr>
          <w:rFonts w:ascii="Times New Roman" w:cs="Times New Roman" w:eastAsia="Times New Roman" w:hAnsi="Times New Roman"/>
          <w:sz w:val="18"/>
          <w:szCs w:val="18"/>
          <w:color w:val="auto"/>
        </w:rPr>
      </w:pPr>
    </w:p>
    <w:p>
      <w:pPr>
        <w:ind w:left="900" w:right="120" w:hanging="263"/>
        <w:spacing w:after="0" w:line="243"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color w:val="auto"/>
        </w:rPr>
        <w:t>- 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payment-related services, which are the primary services we provide to our clients.</w:t>
      </w:r>
    </w:p>
    <w:p>
      <w:pPr>
        <w:spacing w:after="0" w:line="139" w:lineRule="exact"/>
        <w:rPr>
          <w:rFonts w:ascii="Times New Roman" w:cs="Times New Roman" w:eastAsia="Times New Roman" w:hAnsi="Times New Roman"/>
          <w:sz w:val="18"/>
          <w:szCs w:val="18"/>
          <w:color w:val="auto"/>
        </w:rPr>
      </w:pPr>
    </w:p>
    <w:p>
      <w:pPr>
        <w:ind w:left="900" w:right="180" w:hanging="263"/>
        <w:spacing w:after="0" w:line="252"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Margin - </w:t>
      </w:r>
      <w:r>
        <w:rPr>
          <w:rFonts w:ascii="Arial" w:cs="Arial" w:eastAsia="Arial" w:hAnsi="Arial"/>
          <w:sz w:val="18"/>
          <w:szCs w:val="18"/>
          <w:color w:val="auto"/>
        </w:rPr>
        <w:t>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w:t>
      </w:r>
    </w:p>
    <w:p>
      <w:pPr>
        <w:spacing w:after="0" w:line="143" w:lineRule="exact"/>
        <w:rPr>
          <w:rFonts w:ascii="Times New Roman" w:cs="Times New Roman" w:eastAsia="Times New Roman" w:hAnsi="Times New Roman"/>
          <w:sz w:val="18"/>
          <w:szCs w:val="18"/>
          <w:color w:val="auto"/>
        </w:rPr>
      </w:pPr>
    </w:p>
    <w:p>
      <w:pPr>
        <w:ind w:left="900" w:right="700" w:hanging="263"/>
        <w:spacing w:after="0" w:line="270"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EBITDA - </w:t>
      </w:r>
      <w:r>
        <w:rPr>
          <w:rFonts w:ascii="Arial" w:cs="Arial" w:eastAsia="Arial" w:hAnsi="Arial"/>
          <w:sz w:val="18"/>
          <w:szCs w:val="18"/>
          <w:color w:val="auto"/>
        </w:rPr>
        <w:t>EBITDA represents our consolidated net income (loss) in accordance with GAAP adjusted to include (i)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(ii) interest income, (iii) (benefit from) provision for income taxes and (iv) depreciation and amortization.</w:t>
      </w:r>
    </w:p>
    <w:p>
      <w:pPr>
        <w:spacing w:after="0" w:line="113" w:lineRule="exact"/>
        <w:rPr>
          <w:rFonts w:ascii="Times New Roman" w:cs="Times New Roman" w:eastAsia="Times New Roman" w:hAnsi="Times New Roman"/>
          <w:sz w:val="18"/>
          <w:szCs w:val="18"/>
          <w:color w:val="auto"/>
        </w:rPr>
      </w:pPr>
    </w:p>
    <w:p>
      <w:pPr>
        <w:ind w:left="900" w:right="300" w:hanging="263"/>
        <w:spacing w:after="0" w:line="270"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the impact from the change in fair value measurement for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94" w:name="page95"/>
    <w:bookmarkEnd w:id="94"/>
    <w:p>
      <w:pPr>
        <w:ind w:left="900" w:right="360"/>
        <w:spacing w:after="0" w:line="247" w:lineRule="auto"/>
        <w:rPr>
          <w:sz w:val="20"/>
          <w:szCs w:val="20"/>
          <w:color w:val="auto"/>
        </w:rPr>
      </w:pPr>
      <w:r>
        <w:rPr>
          <w:rFonts w:ascii="Arial" w:cs="Arial" w:eastAsia="Arial" w:hAnsi="Arial"/>
          <w:sz w:val="18"/>
          <w:szCs w:val="18"/>
          <w:color w:val="auto"/>
        </w:rPr>
        <w:t>contingent consideration associated with acquisitions, (iii) gain (loss) from the remeasurement of foreign currency, (iv) indirect taxes related to intercompany activity, (v) 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66" w:lineRule="exact"/>
        <w:rPr>
          <w:sz w:val="20"/>
          <w:szCs w:val="20"/>
          <w:color w:val="auto"/>
        </w:rPr>
      </w:pPr>
    </w:p>
    <w:p>
      <w:pPr>
        <w:ind w:left="1020" w:right="40" w:hanging="503"/>
        <w:spacing w:after="0" w:line="252"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 Adjusted EBITDA Margin represents Adjusted EBITDA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w:t>
      </w:r>
    </w:p>
    <w:p>
      <w:pPr>
        <w:spacing w:after="0" w:line="14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1"/>
          <w:numId w:val="4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Non-GAAP Operating Expenses - </w:t>
      </w:r>
      <w:r>
        <w:rPr>
          <w:rFonts w:ascii="Arial" w:cs="Arial" w:eastAsia="Arial" w:hAnsi="Arial"/>
          <w:sz w:val="18"/>
          <w:szCs w:val="18"/>
          <w:color w:val="auto"/>
        </w:rPr>
        <w:t>Non-GAAP Operating Expenses represents GAAP Operating Expenses adjusted by excluding</w:t>
      </w:r>
    </w:p>
    <w:p>
      <w:pPr>
        <w:spacing w:after="0" w:line="12" w:lineRule="exact"/>
        <w:rPr>
          <w:rFonts w:ascii="Times New Roman" w:cs="Times New Roman" w:eastAsia="Times New Roman" w:hAnsi="Times New Roman"/>
          <w:sz w:val="18"/>
          <w:szCs w:val="18"/>
          <w:color w:val="auto"/>
        </w:rPr>
      </w:pPr>
    </w:p>
    <w:p>
      <w:pPr>
        <w:ind w:left="900" w:right="120"/>
        <w:spacing w:after="0" w:line="242" w:lineRule="auto"/>
        <w:rPr>
          <w:rFonts w:ascii="Times New Roman" w:cs="Times New Roman" w:eastAsia="Times New Roman" w:hAnsi="Times New Roman"/>
          <w:sz w:val="18"/>
          <w:szCs w:val="18"/>
          <w:color w:val="auto"/>
        </w:rPr>
      </w:pPr>
      <w:r>
        <w:rPr>
          <w:rFonts w:ascii="Arial" w:cs="Arial" w:eastAsia="Arial" w:hAnsi="Arial"/>
          <w:sz w:val="18"/>
          <w:szCs w:val="18"/>
          <w:color w:val="auto"/>
        </w:rPr>
        <w:t>(i) stock-based compensation expense and related payroll taxes, (ii) depreciation and amortization, (iii) acquisition related transaction costs, (iv) employee retention costs, such as incentive compensation associated with acquisition activities and (v) the impact from the change in fair value measurement for contingent consideration associated with acquisitions.</w:t>
      </w:r>
    </w:p>
    <w:p>
      <w:pPr>
        <w:spacing w:after="0" w:line="28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income (loss) prepared in accordance with GAAP and should be read only in conjunction with financial information presented on a GAAP basis. Reconciliations of Revenue Less Ancillary Services, Adjusted Gross Profit, Adjusted Gross Margin, FX Neutral Revenue Less Ancillary Services, EBITDA, Adjusted EBITDA, Adjusted EBITDA Margin and Non-GAAP Operating Expenses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83"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The tables below provide reconciliations of Revenue Less Ancillary Services, Adjusted Gross Profit, Adjusted Gross Margin, FX Neutral Revenue Less Ancillary Services, EBITDA, Adjusted EBITDA, Adjusted EBITDA Margin and Non-GAAP Operating Expenses to the most comparable GAAP figure on a consolidated basis for the periods presented. All dollar amounts are rounded and as a result, certain amounts may not recalculate using the rounded amounts provided.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4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320" w:type="dxa"/>
            <w:vAlign w:val="bottom"/>
            <w:gridSpan w:val="3"/>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492.1</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403.1</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289.4</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gross up for:</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(15.9 )</w:t>
            </w: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(19.4 )</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3"/>
        </w:trPr>
        <w:tc>
          <w:tcPr>
            <w:tcW w:w="5440" w:type="dxa"/>
            <w:vAlign w:val="bottom"/>
          </w:tcPr>
          <w:p>
            <w:pPr>
              <w:ind w:left="280"/>
              <w:spacing w:after="0" w:line="202" w:lineRule="exact"/>
              <w:rPr>
                <w:sz w:val="20"/>
                <w:szCs w:val="20"/>
                <w:color w:val="auto"/>
              </w:rPr>
            </w:pPr>
            <w:r>
              <w:rPr>
                <w:rFonts w:ascii="Arial" w:cs="Arial" w:eastAsia="Arial" w:hAnsi="Arial"/>
                <w:sz w:val="18"/>
                <w:szCs w:val="18"/>
                <w:color w:val="auto"/>
              </w:rPr>
              <w:t>Marketing fees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(2.0 )</w:t>
            </w:r>
          </w:p>
        </w:tc>
        <w:tc>
          <w:tcPr>
            <w:tcW w:w="14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(2.2 )</w:t>
            </w:r>
          </w:p>
        </w:tc>
        <w:tc>
          <w:tcPr>
            <w:tcW w:w="30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Less Ancillary Services</w:t>
            </w:r>
          </w:p>
        </w:tc>
        <w:tc>
          <w:tcPr>
            <w:tcW w:w="1000" w:type="dxa"/>
            <w:vAlign w:val="bottom"/>
            <w:tcBorders>
              <w:bottom w:val="single" w:sz="8" w:color="CFF0FC"/>
            </w:tcBorders>
            <w:gridSpan w:val="2"/>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474.2</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381.5</w:t>
            </w:r>
          </w:p>
        </w:tc>
        <w:tc>
          <w:tcPr>
            <w:tcW w:w="3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267.1</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20"/>
              <w:spacing w:after="0" w:line="183" w:lineRule="exact"/>
              <w:rPr>
                <w:sz w:val="20"/>
                <w:szCs w:val="20"/>
                <w:color w:val="auto"/>
              </w:rPr>
            </w:pPr>
            <w:r>
              <w:rPr>
                <w:rFonts w:ascii="Arial" w:cs="Arial" w:eastAsia="Arial" w:hAnsi="Arial"/>
                <w:sz w:val="18"/>
                <w:szCs w:val="18"/>
                <w:color w:val="auto"/>
              </w:rPr>
              <w:t>Payment processing services costs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177.5</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8"/>
                <w:szCs w:val="18"/>
                <w:color w:val="auto"/>
              </w:rPr>
              <w:t>147.3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8"/>
                <w:szCs w:val="18"/>
                <w:color w:val="auto"/>
              </w:rPr>
              <w:t>107.9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Hosting and amortization costs within technology and development</w:t>
            </w: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line="196" w:lineRule="exact"/>
              <w:rPr>
                <w:sz w:val="20"/>
                <w:szCs w:val="20"/>
                <w:color w:val="auto"/>
              </w:rPr>
            </w:pPr>
            <w:r>
              <w:rPr>
                <w:rFonts w:ascii="Arial" w:cs="Arial" w:eastAsia="Arial" w:hAnsi="Arial"/>
                <w:sz w:val="18"/>
                <w:szCs w:val="18"/>
                <w:color w:val="auto"/>
              </w:rPr>
              <w:t>Cost of Revenue</w:t>
            </w:r>
          </w:p>
        </w:tc>
        <w:tc>
          <w:tcPr>
            <w:tcW w:w="1320" w:type="dxa"/>
            <w:vAlign w:val="bottom"/>
            <w:gridSpan w:val="3"/>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185.2</w:t>
            </w:r>
          </w:p>
        </w:tc>
        <w:tc>
          <w:tcPr>
            <w:tcW w:w="3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155.7</w:t>
            </w:r>
          </w:p>
        </w:tc>
        <w:tc>
          <w:tcPr>
            <w:tcW w:w="34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114.5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Adjusted to:</w:t>
            </w: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80"/>
              <w:spacing w:after="0" w:line="202" w:lineRule="exact"/>
              <w:rPr>
                <w:sz w:val="20"/>
                <w:szCs w:val="20"/>
                <w:color w:val="auto"/>
              </w:rPr>
            </w:pPr>
            <w:r>
              <w:rPr>
                <w:rFonts w:ascii="Arial" w:cs="Arial" w:eastAsia="Arial" w:hAnsi="Arial"/>
                <w:sz w:val="18"/>
                <w:szCs w:val="18"/>
                <w:color w:val="auto"/>
              </w:rPr>
              <w:t>Exclude printing and mailing costs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(15.9 )</w:t>
            </w:r>
          </w:p>
        </w:tc>
        <w:tc>
          <w:tcPr>
            <w:tcW w:w="14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(19.4 )</w:t>
            </w:r>
          </w:p>
        </w:tc>
        <w:tc>
          <w:tcPr>
            <w:tcW w:w="30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Offset marketing fees against related costs</w:t>
            </w: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(2.0 )</w:t>
            </w: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(2.2 )</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5440" w:type="dxa"/>
            <w:vAlign w:val="bottom"/>
          </w:tcPr>
          <w:p>
            <w:pPr>
              <w:ind w:left="280"/>
              <w:spacing w:after="0" w:line="202" w:lineRule="exact"/>
              <w:rPr>
                <w:sz w:val="20"/>
                <w:szCs w:val="20"/>
                <w:color w:val="auto"/>
              </w:rPr>
            </w:pPr>
            <w:r>
              <w:rPr>
                <w:rFonts w:ascii="Arial" w:cs="Arial" w:eastAsia="Arial" w:hAnsi="Arial"/>
                <w:sz w:val="18"/>
                <w:szCs w:val="18"/>
                <w:color w:val="auto"/>
              </w:rPr>
              <w:t>Exclude depreciation and amortization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(5.9 )</w:t>
            </w:r>
          </w:p>
        </w:tc>
        <w:tc>
          <w:tcPr>
            <w:tcW w:w="14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(6.7 )</w:t>
            </w:r>
          </w:p>
        </w:tc>
        <w:tc>
          <w:tcPr>
            <w:tcW w:w="30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Cost of Revenue</w:t>
            </w:r>
          </w:p>
        </w:tc>
        <w:tc>
          <w:tcPr>
            <w:tcW w:w="1000" w:type="dxa"/>
            <w:vAlign w:val="bottom"/>
            <w:gridSpan w:val="2"/>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161.4</w:t>
            </w:r>
          </w:p>
        </w:tc>
        <w:tc>
          <w:tcPr>
            <w:tcW w:w="3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127.4</w:t>
            </w:r>
          </w:p>
        </w:tc>
        <w:tc>
          <w:tcPr>
            <w:tcW w:w="3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85.2</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Gross Profit</w:t>
            </w:r>
          </w:p>
        </w:tc>
        <w:tc>
          <w:tcPr>
            <w:tcW w:w="132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306.9</w:t>
            </w:r>
          </w:p>
        </w:tc>
        <w:tc>
          <w:tcPr>
            <w:tcW w:w="3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247.4</w:t>
            </w:r>
          </w:p>
        </w:tc>
        <w:tc>
          <w:tcPr>
            <w:tcW w:w="34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Margin</w:t>
            </w: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62.4 %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61.4 %</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60.4 %</w:t>
            </w:r>
          </w:p>
        </w:tc>
        <w:tc>
          <w:tcPr>
            <w:tcW w:w="0" w:type="dxa"/>
            <w:vAlign w:val="bottom"/>
          </w:tcPr>
          <w:p>
            <w:pPr>
              <w:spacing w:after="0"/>
              <w:rPr>
                <w:sz w:val="1"/>
                <w:szCs w:val="1"/>
                <w:color w:val="auto"/>
              </w:rPr>
            </w:pPr>
          </w:p>
        </w:tc>
      </w:tr>
      <w:tr>
        <w:trPr>
          <w:trHeight w:val="183"/>
        </w:trPr>
        <w:tc>
          <w:tcPr>
            <w:tcW w:w="54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Adjusted Gross Profit</w:t>
            </w:r>
          </w:p>
        </w:tc>
        <w:tc>
          <w:tcPr>
            <w:tcW w:w="1000" w:type="dxa"/>
            <w:vAlign w:val="bottom"/>
            <w:tcBorders>
              <w:top w:val="single" w:sz="8" w:color="CFF0FC"/>
            </w:tcBorders>
            <w:gridSpan w:val="2"/>
          </w:tcPr>
          <w:p>
            <w:pPr>
              <w:spacing w:after="0"/>
              <w:rPr>
                <w:sz w:val="15"/>
                <w:szCs w:val="15"/>
                <w:color w:val="auto"/>
              </w:rPr>
            </w:pPr>
          </w:p>
        </w:tc>
        <w:tc>
          <w:tcPr>
            <w:tcW w:w="320" w:type="dxa"/>
            <w:vAlign w:val="bottom"/>
            <w:tcBorders>
              <w:top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312.8</w:t>
            </w:r>
          </w:p>
        </w:tc>
        <w:tc>
          <w:tcPr>
            <w:tcW w:w="3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254.1</w:t>
            </w:r>
          </w:p>
        </w:tc>
        <w:tc>
          <w:tcPr>
            <w:tcW w:w="3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181.9</w:t>
            </w:r>
          </w:p>
        </w:tc>
        <w:tc>
          <w:tcPr>
            <w:tcW w:w="1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Gross Margin</w:t>
            </w: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66.0 %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66.6 %</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68.1 %</w:t>
            </w:r>
          </w:p>
        </w:tc>
        <w:tc>
          <w:tcPr>
            <w:tcW w:w="0" w:type="dxa"/>
            <w:vAlign w:val="bottom"/>
          </w:tcPr>
          <w:p>
            <w:pPr>
              <w:spacing w:after="0"/>
              <w:rPr>
                <w:sz w:val="1"/>
                <w:szCs w:val="1"/>
                <w:color w:val="auto"/>
              </w:rPr>
            </w:pPr>
          </w:p>
        </w:tc>
      </w:tr>
      <w:tr>
        <w:trPr>
          <w:trHeight w:val="524"/>
        </w:trPr>
        <w:tc>
          <w:tcPr>
            <w:tcW w:w="544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jc w:val="right"/>
              <w:ind w:right="490"/>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-2613660</wp:posOffset>
            </wp:positionV>
            <wp:extent cx="120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-2596515</wp:posOffset>
            </wp:positionV>
            <wp:extent cx="120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-2613660</wp:posOffset>
            </wp:positionV>
            <wp:extent cx="12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-2596515</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-2613660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-2596515</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-2211070</wp:posOffset>
            </wp:positionV>
            <wp:extent cx="120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-2211070</wp:posOffset>
            </wp:positionV>
            <wp:extent cx="120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-2211070</wp:posOffset>
            </wp:positionV>
            <wp:extent cx="120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-1139190</wp:posOffset>
            </wp:positionV>
            <wp:extent cx="1200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-1122045</wp:posOffset>
            </wp:positionV>
            <wp:extent cx="1200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-1139190</wp:posOffset>
            </wp:positionV>
            <wp:extent cx="120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-1122045</wp:posOffset>
            </wp:positionV>
            <wp:extent cx="1200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-1139190</wp:posOffset>
            </wp:positionV>
            <wp:extent cx="1200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-1122045</wp:posOffset>
            </wp:positionV>
            <wp:extent cx="1200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-856615</wp:posOffset>
            </wp:positionV>
            <wp:extent cx="1200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-839470</wp:posOffset>
            </wp:positionV>
            <wp:extent cx="1200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-856615</wp:posOffset>
            </wp:positionV>
            <wp:extent cx="1200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-839470</wp:posOffset>
            </wp:positionV>
            <wp:extent cx="120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-856615</wp:posOffset>
            </wp:positionV>
            <wp:extent cx="1200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-839470</wp:posOffset>
            </wp:positionV>
            <wp:extent cx="12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Platform and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Transaction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900" w:type="dxa"/>
            <w:vAlign w:val="bottom"/>
            <w:gridSpan w:val="6"/>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410.2</w:t>
            </w: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81.9</w:t>
            </w:r>
          </w:p>
        </w:tc>
        <w:tc>
          <w:tcPr>
            <w:tcW w:w="18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492.1</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gross up for:</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(15.9 )</w:t>
            </w:r>
          </w:p>
        </w:tc>
        <w:tc>
          <w:tcPr>
            <w:tcW w:w="16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03"/>
        </w:trPr>
        <w:tc>
          <w:tcPr>
            <w:tcW w:w="4660" w:type="dxa"/>
            <w:vAlign w:val="bottom"/>
          </w:tcPr>
          <w:p>
            <w:pPr>
              <w:ind w:left="280"/>
              <w:spacing w:after="0" w:line="202" w:lineRule="exact"/>
              <w:rPr>
                <w:sz w:val="20"/>
                <w:szCs w:val="20"/>
                <w:color w:val="auto"/>
              </w:rPr>
            </w:pPr>
            <w:r>
              <w:rPr>
                <w:rFonts w:ascii="Arial" w:cs="Arial" w:eastAsia="Arial" w:hAnsi="Arial"/>
                <w:sz w:val="18"/>
                <w:szCs w:val="18"/>
                <w:color w:val="auto"/>
              </w:rPr>
              <w:t>Marketing fees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Less Ancillary Services</w:t>
            </w:r>
          </w:p>
        </w:tc>
        <w:tc>
          <w:tcPr>
            <w:tcW w:w="1700" w:type="dxa"/>
            <w:vAlign w:val="bottom"/>
            <w:tcBorders>
              <w:bottom w:val="single" w:sz="8" w:color="CFF0FC"/>
            </w:tcBorders>
            <w:gridSpan w:val="4"/>
            <w:shd w:val="clear" w:color="auto" w:fill="CFF0FC"/>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408.2</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66.0</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left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474.2</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Arial" w:cs="Arial" w:eastAsia="Arial" w:hAnsi="Arial"/>
                <w:sz w:val="18"/>
                <w:szCs w:val="18"/>
                <w:color w:val="auto"/>
              </w:rPr>
              <w:t>Percentage of Revenue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jc w:val="right"/>
              <w:ind w:right="60"/>
              <w:spacing w:after="0" w:line="183" w:lineRule="exact"/>
              <w:rPr>
                <w:sz w:val="20"/>
                <w:szCs w:val="20"/>
                <w:color w:val="auto"/>
              </w:rPr>
            </w:pPr>
            <w:r>
              <w:rPr>
                <w:rFonts w:ascii="Arial" w:cs="Arial" w:eastAsia="Arial" w:hAnsi="Arial"/>
                <w:sz w:val="18"/>
                <w:szCs w:val="18"/>
                <w:color w:val="auto"/>
              </w:rPr>
              <w:t>83.4 %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20"/>
              <w:spacing w:after="0" w:line="183" w:lineRule="exact"/>
              <w:rPr>
                <w:sz w:val="20"/>
                <w:szCs w:val="20"/>
                <w:color w:val="auto"/>
              </w:rPr>
            </w:pPr>
            <w:r>
              <w:rPr>
                <w:rFonts w:ascii="Arial" w:cs="Arial" w:eastAsia="Arial" w:hAnsi="Arial"/>
                <w:sz w:val="18"/>
                <w:szCs w:val="18"/>
                <w:color w:val="auto"/>
              </w:rPr>
              <w:t>16.6 %</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Percentage of Revenue Less Ancillary Services</w:t>
            </w: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86.1 %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13.9 %</w:t>
            </w:r>
          </w:p>
        </w:tc>
        <w:tc>
          <w:tcPr>
            <w:tcW w:w="16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69"/>
        </w:trPr>
        <w:tc>
          <w:tcPr>
            <w:tcW w:w="4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Platform and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4"/>
                <w:szCs w:val="14"/>
                <w:b w:val="1"/>
                <w:bCs w:val="1"/>
                <w:color w:val="auto"/>
              </w:rPr>
              <w:t>Transaction</w:t>
            </w:r>
          </w:p>
        </w:tc>
        <w:tc>
          <w:tcPr>
            <w:tcW w:w="34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4"/>
                <w:szCs w:val="14"/>
                <w:b w:val="1"/>
                <w:bCs w:val="1"/>
                <w:color w:val="auto"/>
              </w:rPr>
              <w:t>revenues</w:t>
            </w:r>
          </w:p>
        </w:tc>
        <w:tc>
          <w:tcPr>
            <w:tcW w:w="30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740" w:type="dxa"/>
            <w:vAlign w:val="bottom"/>
            <w:gridSpan w:val="5"/>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329.7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403.1</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gross up for:</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(19.4 )</w:t>
            </w:r>
          </w:p>
        </w:tc>
        <w:tc>
          <w:tcPr>
            <w:tcW w:w="18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03"/>
        </w:trPr>
        <w:tc>
          <w:tcPr>
            <w:tcW w:w="4660" w:type="dxa"/>
            <w:vAlign w:val="bottom"/>
          </w:tcPr>
          <w:p>
            <w:pPr>
              <w:ind w:left="280"/>
              <w:spacing w:after="0" w:line="202" w:lineRule="exact"/>
              <w:rPr>
                <w:sz w:val="20"/>
                <w:szCs w:val="20"/>
                <w:color w:val="auto"/>
              </w:rPr>
            </w:pPr>
            <w:r>
              <w:rPr>
                <w:rFonts w:ascii="Arial" w:cs="Arial" w:eastAsia="Arial" w:hAnsi="Arial"/>
                <w:sz w:val="18"/>
                <w:szCs w:val="18"/>
                <w:color w:val="auto"/>
              </w:rPr>
              <w:t>Marketing fees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Less Ancillary Services</w:t>
            </w:r>
          </w:p>
        </w:tc>
        <w:tc>
          <w:tcPr>
            <w:tcW w:w="1620" w:type="dxa"/>
            <w:vAlign w:val="bottom"/>
            <w:tcBorders>
              <w:bottom w:val="single" w:sz="8" w:color="CFF0FC"/>
            </w:tcBorders>
            <w:gridSpan w:val="3"/>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327.5</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54.0</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left w:val="single" w:sz="8" w:color="CFF0FC"/>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381.5</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Arial" w:cs="Arial" w:eastAsia="Arial" w:hAnsi="Arial"/>
                <w:sz w:val="18"/>
                <w:szCs w:val="18"/>
                <w:color w:val="auto"/>
              </w:rPr>
              <w:t>Percentage of Revenue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jc w:val="right"/>
              <w:ind w:right="160"/>
              <w:spacing w:after="0" w:line="183" w:lineRule="exact"/>
              <w:rPr>
                <w:sz w:val="20"/>
                <w:szCs w:val="20"/>
                <w:color w:val="auto"/>
              </w:rPr>
            </w:pPr>
            <w:r>
              <w:rPr>
                <w:rFonts w:ascii="Arial" w:cs="Arial" w:eastAsia="Arial" w:hAnsi="Arial"/>
                <w:sz w:val="18"/>
                <w:szCs w:val="18"/>
                <w:color w:val="auto"/>
              </w:rPr>
              <w:t>81.8 %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120"/>
              <w:spacing w:after="0" w:line="183" w:lineRule="exact"/>
              <w:rPr>
                <w:sz w:val="20"/>
                <w:szCs w:val="20"/>
                <w:color w:val="auto"/>
              </w:rPr>
            </w:pPr>
            <w:r>
              <w:rPr>
                <w:rFonts w:ascii="Arial" w:cs="Arial" w:eastAsia="Arial" w:hAnsi="Arial"/>
                <w:sz w:val="18"/>
                <w:szCs w:val="18"/>
                <w:color w:val="auto"/>
              </w:rPr>
              <w:t>18.2 %</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Percentage of Revenue Less Ancillary Services</w:t>
            </w: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85.8 %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14.2 %</w:t>
            </w:r>
          </w:p>
        </w:tc>
        <w:tc>
          <w:tcPr>
            <w:tcW w:w="16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Platform and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4"/>
                <w:szCs w:val="14"/>
                <w:b w:val="1"/>
                <w:bCs w:val="1"/>
                <w:color w:val="auto"/>
              </w:rPr>
              <w:t>Transaction</w:t>
            </w:r>
          </w:p>
        </w:tc>
        <w:tc>
          <w:tcPr>
            <w:tcW w:w="34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4"/>
                <w:szCs w:val="14"/>
                <w:b w:val="1"/>
                <w:bCs w:val="1"/>
                <w:color w:val="auto"/>
              </w:rPr>
              <w:t>revenues</w:t>
            </w:r>
          </w:p>
        </w:tc>
        <w:tc>
          <w:tcPr>
            <w:tcW w:w="30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740" w:type="dxa"/>
            <w:vAlign w:val="bottom"/>
            <w:gridSpan w:val="5"/>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224.2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289.4</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gross up for:</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(20.4 )</w:t>
            </w:r>
          </w:p>
        </w:tc>
        <w:tc>
          <w:tcPr>
            <w:tcW w:w="18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3"/>
        </w:trPr>
        <w:tc>
          <w:tcPr>
            <w:tcW w:w="4660" w:type="dxa"/>
            <w:vAlign w:val="bottom"/>
          </w:tcPr>
          <w:p>
            <w:pPr>
              <w:ind w:left="280"/>
              <w:spacing w:after="0" w:line="202" w:lineRule="exact"/>
              <w:rPr>
                <w:sz w:val="20"/>
                <w:szCs w:val="20"/>
                <w:color w:val="auto"/>
              </w:rPr>
            </w:pPr>
            <w:r>
              <w:rPr>
                <w:rFonts w:ascii="Arial" w:cs="Arial" w:eastAsia="Arial" w:hAnsi="Arial"/>
                <w:sz w:val="18"/>
                <w:szCs w:val="18"/>
                <w:color w:val="auto"/>
              </w:rPr>
              <w:t>Marketing fees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Less Ancillary Services</w:t>
            </w:r>
          </w:p>
        </w:tc>
        <w:tc>
          <w:tcPr>
            <w:tcW w:w="1620" w:type="dxa"/>
            <w:vAlign w:val="bottom"/>
            <w:tcBorders>
              <w:bottom w:val="single" w:sz="8" w:color="CFF0FC"/>
            </w:tcBorders>
            <w:gridSpan w:val="3"/>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222.3</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left w:val="single" w:sz="8" w:color="CFF0FC"/>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267.1</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Arial" w:cs="Arial" w:eastAsia="Arial" w:hAnsi="Arial"/>
                <w:sz w:val="18"/>
                <w:szCs w:val="18"/>
                <w:color w:val="auto"/>
              </w:rPr>
              <w:t>Percentage of Revenue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jc w:val="right"/>
              <w:ind w:right="160"/>
              <w:spacing w:after="0" w:line="183" w:lineRule="exact"/>
              <w:rPr>
                <w:sz w:val="20"/>
                <w:szCs w:val="20"/>
                <w:color w:val="auto"/>
              </w:rPr>
            </w:pPr>
            <w:r>
              <w:rPr>
                <w:rFonts w:ascii="Arial" w:cs="Arial" w:eastAsia="Arial" w:hAnsi="Arial"/>
                <w:sz w:val="18"/>
                <w:szCs w:val="18"/>
                <w:color w:val="auto"/>
              </w:rPr>
              <w:t>77.5 %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120"/>
              <w:spacing w:after="0" w:line="183" w:lineRule="exact"/>
              <w:rPr>
                <w:sz w:val="20"/>
                <w:szCs w:val="20"/>
                <w:color w:val="auto"/>
              </w:rPr>
            </w:pPr>
            <w:r>
              <w:rPr>
                <w:rFonts w:ascii="Arial" w:cs="Arial" w:eastAsia="Arial" w:hAnsi="Arial"/>
                <w:sz w:val="18"/>
                <w:szCs w:val="18"/>
                <w:color w:val="auto"/>
              </w:rPr>
              <w:t>22.5 %</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Percentage of Revenue Less Ancillary Services</w:t>
            </w: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83.2 %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16.8 %</w:t>
            </w:r>
          </w:p>
        </w:tc>
        <w:tc>
          <w:tcPr>
            <w:tcW w:w="16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95"/>
        </w:trPr>
        <w:tc>
          <w:tcPr>
            <w:tcW w:w="4660" w:type="dxa"/>
            <w:vAlign w:val="bottom"/>
          </w:tcPr>
          <w:p>
            <w:pPr>
              <w:spacing w:after="0"/>
              <w:rPr>
                <w:sz w:val="20"/>
                <w:szCs w:val="20"/>
                <w:color w:val="auto"/>
              </w:rPr>
            </w:pPr>
            <w:r>
              <w:rPr>
                <w:rFonts w:ascii="Arial" w:cs="Arial" w:eastAsia="Arial" w:hAnsi="Arial"/>
                <w:sz w:val="18"/>
                <w:szCs w:val="18"/>
                <w:i w:val="1"/>
                <w:iCs w:val="1"/>
                <w:color w:val="auto"/>
              </w:rPr>
              <w:t>FX Neutral Revenue Less Ancillary Services: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9"/>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Growth Rate</w:t>
            </w:r>
          </w:p>
        </w:tc>
        <w:tc>
          <w:tcPr>
            <w:tcW w:w="0" w:type="dxa"/>
            <w:vAlign w:val="bottom"/>
          </w:tcPr>
          <w:p>
            <w:pPr>
              <w:spacing w:after="0"/>
              <w:rPr>
                <w:sz w:val="1"/>
                <w:szCs w:val="1"/>
                <w:color w:val="auto"/>
              </w:rPr>
            </w:pPr>
          </w:p>
        </w:tc>
      </w:tr>
      <w:tr>
        <w:trPr>
          <w:trHeight w:val="155"/>
        </w:trPr>
        <w:tc>
          <w:tcPr>
            <w:tcW w:w="4660" w:type="dxa"/>
            <w:vAlign w:val="bottom"/>
            <w:tcBorders>
              <w:bottom w:val="single" w:sz="8" w:color="auto"/>
            </w:tcBorders>
            <w:vMerge w:val="continue"/>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200" w:type="dxa"/>
            <w:vAlign w:val="bottom"/>
            <w:gridSpan w:val="7"/>
            <w:shd w:val="clear" w:color="auto" w:fill="CFF0FC"/>
          </w:tcPr>
          <w:p>
            <w:pPr>
              <w:jc w:val="right"/>
              <w:ind w:right="116"/>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492.1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403.1</w:t>
            </w:r>
          </w:p>
        </w:tc>
        <w:tc>
          <w:tcPr>
            <w:tcW w:w="16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Ancillary services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(17.9 )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(21.6 )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Less Ancillary Services</w:t>
            </w: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474.2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381.5</w:t>
            </w:r>
          </w:p>
        </w:tc>
        <w:tc>
          <w:tcPr>
            <w:tcW w:w="16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Arial" w:cs="Arial" w:eastAsia="Arial" w:hAnsi="Arial"/>
                <w:sz w:val="18"/>
                <w:szCs w:val="18"/>
                <w:color w:val="auto"/>
              </w:rPr>
              <w:t>Effects of foreign currency rate fluctuations</w:t>
            </w:r>
          </w:p>
        </w:tc>
        <w:tc>
          <w:tcPr>
            <w:tcW w:w="1900" w:type="dxa"/>
            <w:vAlign w:val="bottom"/>
            <w:gridSpan w:val="6"/>
          </w:tcPr>
          <w:p>
            <w:pPr>
              <w:spacing w:after="0"/>
              <w:rPr>
                <w:sz w:val="15"/>
                <w:szCs w:val="15"/>
                <w:color w:val="auto"/>
              </w:rPr>
            </w:pPr>
          </w:p>
        </w:tc>
        <w:tc>
          <w:tcPr>
            <w:tcW w:w="300" w:type="dxa"/>
            <w:vAlign w:val="bottom"/>
          </w:tcPr>
          <w:p>
            <w:pPr>
              <w:jc w:val="right"/>
              <w:ind w:right="116"/>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spacing w:after="0" w:line="183" w:lineRule="exact"/>
              <w:rPr>
                <w:sz w:val="20"/>
                <w:szCs w:val="20"/>
                <w:color w:val="auto"/>
              </w:rPr>
            </w:pPr>
            <w:r>
              <w:rPr>
                <w:rFonts w:ascii="Arial" w:cs="Arial" w:eastAsia="Arial" w:hAnsi="Arial"/>
                <w:sz w:val="18"/>
                <w:szCs w:val="18"/>
                <w:color w:val="auto"/>
              </w:rPr>
              <w:t>(2.3 )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FX Neutral Revenue Less Ancillary Services</w:t>
            </w:r>
          </w:p>
        </w:tc>
        <w:tc>
          <w:tcPr>
            <w:tcW w:w="1900" w:type="dxa"/>
            <w:vAlign w:val="bottom"/>
            <w:gridSpan w:val="6"/>
            <w:shd w:val="clear" w:color="auto" w:fill="CFF0FC"/>
          </w:tcPr>
          <w:p>
            <w:pPr>
              <w:spacing w:after="0"/>
              <w:rPr>
                <w:sz w:val="20"/>
                <w:szCs w:val="20"/>
                <w:color w:val="auto"/>
              </w:rPr>
            </w:pPr>
          </w:p>
        </w:tc>
        <w:tc>
          <w:tcPr>
            <w:tcW w:w="300" w:type="dxa"/>
            <w:vAlign w:val="bottom"/>
            <w:shd w:val="clear" w:color="auto" w:fill="CFF0FC"/>
          </w:tcPr>
          <w:p>
            <w:pPr>
              <w:jc w:val="right"/>
              <w:ind w:right="116"/>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471.9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381.5</w:t>
            </w:r>
          </w:p>
        </w:tc>
        <w:tc>
          <w:tcPr>
            <w:tcW w:w="16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525"/>
        </w:trPr>
        <w:tc>
          <w:tcPr>
            <w:tcW w:w="466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jc w:val="right"/>
              <w:ind w:right="330"/>
              <w:spacing w:after="0"/>
              <w:rPr>
                <w:sz w:val="20"/>
                <w:szCs w:val="20"/>
                <w:color w:val="auto"/>
              </w:rPr>
            </w:pPr>
            <w:r>
              <w:rPr>
                <w:rFonts w:ascii="Arial" w:cs="Arial" w:eastAsia="Arial" w:hAnsi="Arial"/>
                <w:sz w:val="18"/>
                <w:szCs w:val="18"/>
                <w:color w:val="auto"/>
              </w:rPr>
              <w:t>95</w:t>
            </w:r>
          </w:p>
        </w:tc>
        <w:tc>
          <w:tcPr>
            <w:tcW w:w="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-5280025</wp:posOffset>
            </wp:positionV>
            <wp:extent cx="120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-5262880</wp:posOffset>
            </wp:positionV>
            <wp:extent cx="1200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-5280025</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-5262880</wp:posOffset>
            </wp:positionV>
            <wp:extent cx="1200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-5280025</wp:posOffset>
            </wp:positionV>
            <wp:extent cx="1200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-5262880</wp:posOffset>
            </wp:positionV>
            <wp:extent cx="1200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-3891280</wp:posOffset>
            </wp:positionV>
            <wp:extent cx="120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-3874135</wp:posOffset>
            </wp:positionV>
            <wp:extent cx="120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-3891280</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-3874135</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-3891280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-3874135</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-2510790</wp:posOffset>
            </wp:positionV>
            <wp:extent cx="1200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-2493645</wp:posOffset>
            </wp:positionV>
            <wp:extent cx="1200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-2510790</wp:posOffset>
            </wp:positionV>
            <wp:extent cx="1200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-2493645</wp:posOffset>
            </wp:positionV>
            <wp:extent cx="1200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-2510790</wp:posOffset>
            </wp:positionV>
            <wp:extent cx="1200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-2493645</wp:posOffset>
            </wp:positionV>
            <wp:extent cx="120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-1148080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-1130935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-1148080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-1130935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-1148080</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-1130935</wp:posOffset>
            </wp:positionV>
            <wp:extent cx="1200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-856615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-839470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-856615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-839470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-856615</wp:posOffset>
            </wp:positionV>
            <wp:extent cx="1200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-839470</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60" w:type="dxa"/>
            <w:vAlign w:val="bottom"/>
            <w:tcBorders>
              <w:bottom w:val="single" w:sz="8" w:color="auto"/>
            </w:tcBorders>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0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(8.6 )</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03"/>
        </w:trPr>
        <w:tc>
          <w:tcPr>
            <w:tcW w:w="66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(21.4 )</w:t>
            </w: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(13.3 )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3"/>
        </w:trPr>
        <w:tc>
          <w:tcPr>
            <w:tcW w:w="66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(Benefit from) provision for income taxes</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(1.0 )</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18.5</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EBITDA</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(0.5 )</w:t>
            </w:r>
          </w:p>
        </w:tc>
        <w:tc>
          <w:tcPr>
            <w:tcW w:w="160" w:type="dxa"/>
            <w:vAlign w:val="bottom"/>
          </w:tcPr>
          <w:p>
            <w:pPr>
              <w:spacing w:after="0"/>
              <w:rPr>
                <w:sz w:val="17"/>
                <w:szCs w:val="17"/>
                <w:color w:val="auto"/>
              </w:rPr>
            </w:pPr>
          </w:p>
        </w:tc>
        <w:tc>
          <w:tcPr>
            <w:tcW w:w="14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(0.9 )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 and related taxes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(1.0 )</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Loss (gain) from remeasurement of foreign currency</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(4.2 )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00" w:type="dxa"/>
            <w:vAlign w:val="bottom"/>
            <w:gridSpan w:val="3"/>
          </w:tcPr>
          <w:p>
            <w:pPr>
              <w:ind w:left="20"/>
              <w:spacing w:after="0" w:line="162" w:lineRule="exact"/>
              <w:rPr>
                <w:sz w:val="20"/>
                <w:szCs w:val="20"/>
                <w:color w:val="auto"/>
              </w:rPr>
            </w:pPr>
            <w:r>
              <w:rPr>
                <w:rFonts w:ascii="Arial" w:cs="Arial" w:eastAsia="Arial" w:hAnsi="Arial"/>
                <w:sz w:val="18"/>
                <w:szCs w:val="18"/>
                <w:color w:val="auto"/>
              </w:rPr>
              <w:t>Indirect taxes related to intercompany activity</w:t>
            </w:r>
          </w:p>
        </w:tc>
        <w:tc>
          <w:tcPr>
            <w:tcW w:w="3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8"/>
                <w:szCs w:val="18"/>
                <w:color w:val="auto"/>
              </w:rPr>
              <w:t>0.7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8"/>
                <w:szCs w:val="18"/>
                <w:color w:val="auto"/>
              </w:rPr>
              <w:t>0.2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ind w:left="20"/>
              <w:spacing w:after="0" w:line="202" w:lineRule="exact"/>
              <w:rPr>
                <w:sz w:val="20"/>
                <w:szCs w:val="20"/>
                <w:color w:val="auto"/>
              </w:rPr>
            </w:pPr>
            <w:r>
              <w:rPr>
                <w:rFonts w:ascii="Arial" w:cs="Arial" w:eastAsia="Arial" w:hAnsi="Arial"/>
                <w:sz w:val="17"/>
                <w:szCs w:val="17"/>
                <w:color w:val="auto"/>
              </w:rPr>
              <w:t xml:space="preserve">Acquisition related transaction costs </w:t>
            </w:r>
            <w:r>
              <w:rPr>
                <w:rFonts w:ascii="Arial" w:cs="Arial" w:eastAsia="Arial" w:hAnsi="Arial"/>
                <w:sz w:val="23"/>
                <w:szCs w:val="23"/>
                <w:color w:val="auto"/>
                <w:vertAlign w:val="superscript"/>
              </w:rPr>
              <w:t>(1)</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24"/>
                <w:szCs w:val="24"/>
                <w:color w:val="auto"/>
                <w:vertAlign w:val="superscript"/>
              </w:rPr>
              <w:t>(2)</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-1165225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-1165225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-119380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-102235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-119380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-102235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520" w:hanging="377"/>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Acquisition related transaction costs consisted of legal and advisory fees incurred in connection with the Invoiced, StudyLink and Cohort Go acquisitions.</w:t>
      </w:r>
    </w:p>
    <w:p>
      <w:pPr>
        <w:spacing w:after="0" w:line="15" w:lineRule="exact"/>
        <w:rPr>
          <w:rFonts w:ascii="Arial" w:cs="Arial" w:eastAsia="Arial" w:hAnsi="Arial"/>
          <w:sz w:val="14"/>
          <w:szCs w:val="14"/>
          <w:color w:val="auto"/>
        </w:rPr>
      </w:pPr>
    </w:p>
    <w:p>
      <w:pPr>
        <w:ind w:left="520" w:right="440" w:hanging="377"/>
        <w:spacing w:after="0" w:line="264"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Invoiced, StudyLink and WPM Group Ltd. (WPM) employees in connection with integration of the business. WPM was acquired on December 14,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(A)</w:t>
            </w:r>
          </w:p>
        </w:tc>
        <w:tc>
          <w:tcPr>
            <w:tcW w:w="20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492.1</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403.1</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289.4</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Revenue less ancillary services (B)</w:t>
            </w: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474.2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381.5</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267.1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(C)</w:t>
            </w:r>
          </w:p>
        </w:tc>
        <w:tc>
          <w:tcPr>
            <w:tcW w:w="1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(8.6 )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EBITDA (D)</w:t>
            </w: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(0.5 )</w:t>
            </w:r>
          </w:p>
        </w:tc>
        <w:tc>
          <w:tcPr>
            <w:tcW w:w="160" w:type="dxa"/>
            <w:vAlign w:val="bottom"/>
          </w:tcPr>
          <w:p>
            <w:pPr>
              <w:spacing w:after="0"/>
              <w:rPr>
                <w:sz w:val="17"/>
                <w:szCs w:val="17"/>
                <w:color w:val="auto"/>
              </w:rPr>
            </w:pPr>
          </w:p>
        </w:tc>
        <w:tc>
          <w:tcPr>
            <w:tcW w:w="15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(0.9 )</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EBITDA (E)</w:t>
            </w:r>
          </w:p>
        </w:tc>
        <w:tc>
          <w:tcPr>
            <w:tcW w:w="1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Net margin (C/A)</w:t>
            </w: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0.6 %</w:t>
            </w:r>
          </w:p>
        </w:tc>
        <w:tc>
          <w:tcPr>
            <w:tcW w:w="16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(2.1 )%</w:t>
            </w:r>
          </w:p>
        </w:tc>
        <w:tc>
          <w:tcPr>
            <w:tcW w:w="30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margin using RLAS (C/B)</w:t>
            </w:r>
          </w:p>
        </w:tc>
        <w:tc>
          <w:tcPr>
            <w:tcW w:w="1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0.6 %</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(2.3 )%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EBITDA Margin (D/A)</w:t>
            </w: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(0.1 )%</w:t>
            </w:r>
          </w:p>
        </w:tc>
        <w:tc>
          <w:tcPr>
            <w:tcW w:w="16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(0.2 )%</w:t>
            </w:r>
          </w:p>
        </w:tc>
        <w:tc>
          <w:tcPr>
            <w:tcW w:w="30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EBITDA Margin (E/A)</w:t>
            </w:r>
          </w:p>
        </w:tc>
        <w:tc>
          <w:tcPr>
            <w:tcW w:w="1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15.8 %</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10.4 %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EBITDA Margin using RLAS (D/B)</w:t>
            </w: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(0.2 )%</w:t>
            </w:r>
          </w:p>
        </w:tc>
        <w:tc>
          <w:tcPr>
            <w:tcW w:w="3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EBITDA Margin using RLAS (E/B)</w:t>
            </w:r>
          </w:p>
        </w:tc>
        <w:tc>
          <w:tcPr>
            <w:tcW w:w="1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16.4 %</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11.0 %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544"/>
        </w:trPr>
        <w:tc>
          <w:tcPr>
            <w:tcW w:w="450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5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Reconciliation of GAAP Operating Expenses to Non-GAAP Operating Expenses: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GAAP Technology and development</w:t>
            </w: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62.0</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00" w:type="dxa"/>
            <w:vAlign w:val="bottom"/>
            <w:gridSpan w:val="2"/>
          </w:tcPr>
          <w:p>
            <w:pPr>
              <w:ind w:left="140"/>
              <w:spacing w:after="0" w:line="183" w:lineRule="exact"/>
              <w:rPr>
                <w:sz w:val="20"/>
                <w:szCs w:val="20"/>
                <w:color w:val="auto"/>
              </w:rPr>
            </w:pPr>
            <w:r>
              <w:rPr>
                <w:rFonts w:ascii="Arial" w:cs="Arial" w:eastAsia="Arial" w:hAnsi="Arial"/>
                <w:sz w:val="18"/>
                <w:szCs w:val="18"/>
                <w:color w:val="auto"/>
              </w:rPr>
              <w:t>(-) Stock-based compensation expense and</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00" w:type="dxa"/>
            <w:vAlign w:val="bottom"/>
            <w:gridSpan w:val="2"/>
          </w:tcPr>
          <w:p>
            <w:pPr>
              <w:ind w:left="400"/>
              <w:spacing w:after="0"/>
              <w:rPr>
                <w:sz w:val="20"/>
                <w:szCs w:val="20"/>
                <w:color w:val="auto"/>
              </w:rPr>
            </w:pPr>
            <w:r>
              <w:rPr>
                <w:rFonts w:ascii="Arial" w:cs="Arial" w:eastAsia="Arial" w:hAnsi="Arial"/>
                <w:sz w:val="18"/>
                <w:szCs w:val="18"/>
                <w:color w:val="auto"/>
              </w:rPr>
              <w:t>related taxes</w:t>
            </w:r>
          </w:p>
        </w:tc>
        <w:tc>
          <w:tcPr>
            <w:tcW w:w="4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(11.8 )</w:t>
            </w:r>
          </w:p>
        </w:tc>
        <w:tc>
          <w:tcPr>
            <w:tcW w:w="2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(9.2 )</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 Depreciation and amortization</w:t>
            </w: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(7.4 )</w:t>
            </w:r>
          </w:p>
        </w:tc>
        <w:tc>
          <w:tcPr>
            <w:tcW w:w="2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(8.4 )</w:t>
            </w:r>
          </w:p>
        </w:tc>
        <w:tc>
          <w:tcPr>
            <w:tcW w:w="4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3"/>
        </w:trPr>
        <w:tc>
          <w:tcPr>
            <w:tcW w:w="5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Acquisition related employee retention costs</w:t>
            </w:r>
          </w:p>
        </w:tc>
        <w:tc>
          <w:tcPr>
            <w:tcW w:w="420" w:type="dxa"/>
            <w:vAlign w:val="bottom"/>
          </w:tcPr>
          <w:p>
            <w:pPr>
              <w:spacing w:after="0"/>
              <w:rPr>
                <w:sz w:val="17"/>
                <w:szCs w:val="17"/>
                <w:color w:val="auto"/>
              </w:rPr>
            </w:pPr>
          </w:p>
        </w:tc>
        <w:tc>
          <w:tcPr>
            <w:tcW w:w="1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(0.5 )</w:t>
            </w:r>
          </w:p>
        </w:tc>
        <w:tc>
          <w:tcPr>
            <w:tcW w:w="4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Non-GAAP Technology and development</w:t>
            </w: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43.9</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GAAP Selling and marketing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107.6</w:t>
            </w:r>
          </w:p>
        </w:tc>
        <w:tc>
          <w:tcPr>
            <w:tcW w:w="24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40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8"/>
                <w:szCs w:val="18"/>
                <w:color w:val="auto"/>
              </w:rPr>
              <w:t>(-) Stock-based compensation expense and</w:t>
            </w:r>
          </w:p>
        </w:tc>
        <w:tc>
          <w:tcPr>
            <w:tcW w:w="4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related taxes</w:t>
            </w: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(18.3 )</w:t>
            </w:r>
          </w:p>
        </w:tc>
        <w:tc>
          <w:tcPr>
            <w:tcW w:w="2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(12.4 )</w:t>
            </w: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3"/>
        </w:trPr>
        <w:tc>
          <w:tcPr>
            <w:tcW w:w="5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Depreciation and amortization</w:t>
            </w:r>
          </w:p>
        </w:tc>
        <w:tc>
          <w:tcPr>
            <w:tcW w:w="42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(8.2 )</w:t>
            </w:r>
          </w:p>
        </w:tc>
        <w:tc>
          <w:tcPr>
            <w:tcW w:w="260" w:type="dxa"/>
            <w:vAlign w:val="bottom"/>
          </w:tcPr>
          <w:p>
            <w:pPr>
              <w:spacing w:after="0"/>
              <w:rPr>
                <w:sz w:val="17"/>
                <w:szCs w:val="17"/>
                <w:color w:val="auto"/>
              </w:rPr>
            </w:pPr>
          </w:p>
        </w:tc>
        <w:tc>
          <w:tcPr>
            <w:tcW w:w="1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(5.2 )</w:t>
            </w:r>
          </w:p>
        </w:tc>
        <w:tc>
          <w:tcPr>
            <w:tcW w:w="4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 Acquisition related employee retention costs</w:t>
            </w: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(0.5 )</w:t>
            </w:r>
          </w:p>
        </w:tc>
        <w:tc>
          <w:tcPr>
            <w:tcW w:w="2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(0.4 )</w:t>
            </w:r>
          </w:p>
        </w:tc>
        <w:tc>
          <w:tcPr>
            <w:tcW w:w="4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196"/>
        </w:trPr>
        <w:tc>
          <w:tcPr>
            <w:tcW w:w="540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Non-GAAP Selling and marketing</w:t>
            </w:r>
          </w:p>
        </w:tc>
        <w:tc>
          <w:tcPr>
            <w:tcW w:w="4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102.4</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w:t>
            </w: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GAAP General and administrative</w:t>
            </w:r>
          </w:p>
        </w:tc>
        <w:tc>
          <w:tcPr>
            <w:tcW w:w="42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107.6</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00" w:type="dxa"/>
            <w:vAlign w:val="bottom"/>
            <w:gridSpan w:val="2"/>
          </w:tcPr>
          <w:p>
            <w:pPr>
              <w:ind w:left="140"/>
              <w:spacing w:after="0" w:line="183" w:lineRule="exact"/>
              <w:rPr>
                <w:sz w:val="20"/>
                <w:szCs w:val="20"/>
                <w:color w:val="auto"/>
              </w:rPr>
            </w:pPr>
            <w:r>
              <w:rPr>
                <w:rFonts w:ascii="Arial" w:cs="Arial" w:eastAsia="Arial" w:hAnsi="Arial"/>
                <w:sz w:val="18"/>
                <w:szCs w:val="18"/>
                <w:color w:val="auto"/>
              </w:rPr>
              <w:t>(-) Stock-based compensation expense and</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00" w:type="dxa"/>
            <w:vAlign w:val="bottom"/>
            <w:gridSpan w:val="2"/>
          </w:tcPr>
          <w:p>
            <w:pPr>
              <w:ind w:left="400"/>
              <w:spacing w:after="0"/>
              <w:rPr>
                <w:sz w:val="20"/>
                <w:szCs w:val="20"/>
                <w:color w:val="auto"/>
              </w:rPr>
            </w:pPr>
            <w:r>
              <w:rPr>
                <w:rFonts w:ascii="Arial" w:cs="Arial" w:eastAsia="Arial" w:hAnsi="Arial"/>
                <w:sz w:val="18"/>
                <w:szCs w:val="18"/>
                <w:color w:val="auto"/>
              </w:rPr>
              <w:t>related taxes</w:t>
            </w:r>
          </w:p>
        </w:tc>
        <w:tc>
          <w:tcPr>
            <w:tcW w:w="4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(35.7 )</w:t>
            </w:r>
          </w:p>
        </w:tc>
        <w:tc>
          <w:tcPr>
            <w:tcW w:w="2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(23.6 )</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 Depreciation and amortization</w:t>
            </w: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(3.0 )</w:t>
            </w:r>
          </w:p>
        </w:tc>
        <w:tc>
          <w:tcPr>
            <w:tcW w:w="2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(2.8 )</w:t>
            </w:r>
          </w:p>
        </w:tc>
        <w:tc>
          <w:tcPr>
            <w:tcW w:w="4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5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Acquisition related transaction costs</w:t>
            </w:r>
          </w:p>
        </w:tc>
        <w:tc>
          <w:tcPr>
            <w:tcW w:w="42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(0.6 )</w:t>
            </w:r>
          </w:p>
        </w:tc>
        <w:tc>
          <w:tcPr>
            <w:tcW w:w="260" w:type="dxa"/>
            <w:vAlign w:val="bottom"/>
          </w:tcPr>
          <w:p>
            <w:pPr>
              <w:spacing w:after="0"/>
              <w:rPr>
                <w:sz w:val="17"/>
                <w:szCs w:val="17"/>
                <w:color w:val="auto"/>
              </w:rPr>
            </w:pPr>
          </w:p>
        </w:tc>
        <w:tc>
          <w:tcPr>
            <w:tcW w:w="1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(0.4 )</w:t>
            </w:r>
          </w:p>
        </w:tc>
        <w:tc>
          <w:tcPr>
            <w:tcW w:w="4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 Acquisition related employee retention costs</w:t>
            </w: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2"/>
        </w:trPr>
        <w:tc>
          <w:tcPr>
            <w:tcW w:w="5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Change in fair value of contingent consideration</w:t>
            </w:r>
          </w:p>
        </w:tc>
        <w:tc>
          <w:tcPr>
            <w:tcW w:w="4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(0.4 )</w:t>
            </w:r>
          </w:p>
        </w:tc>
        <w:tc>
          <w:tcPr>
            <w:tcW w:w="4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0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Non-GAAP General and administrative</w:t>
            </w: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80.4</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-2202815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-2185035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-2202815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-2185035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-1379855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-1379855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-1379855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As of December 31, 2024, our principal source of liquidity is cash and cash equivalents of $495.2 million, short-term available-for-sale debt securities of $115.8 million and the available undrawn balance under our 2024 Revolving Credit Facility of $125.0 million. Cash equivalents is comprised primarily of money market funds and bank deposits. Our short-term available-for-sale debt securities are comprised of corporate bonds, U.S. Government obligations, treasury bills, foreign agency securities and commercial paper.</w:t>
      </w:r>
    </w:p>
    <w:p>
      <w:pPr>
        <w:spacing w:after="0" w:line="14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 xml:space="preserve">On August 6, 2024, the Company announced a share repurchase program of up to $150 million of outstanding voting and non-voting common stock for an indefinite period as part of the Company’s Repurchase Program. For additional information on our Repurchase Program, see </w:t>
      </w:r>
      <w:r>
        <w:rPr>
          <w:rFonts w:ascii="Arial" w:cs="Arial" w:eastAsia="Arial" w:hAnsi="Arial"/>
          <w:sz w:val="18"/>
          <w:szCs w:val="18"/>
          <w:i w:val="1"/>
          <w:iCs w:val="1"/>
          <w:color w:val="auto"/>
        </w:rPr>
        <w:t>Note 12 - Stockholders’ Equity</w:t>
      </w:r>
      <w:r>
        <w:rPr>
          <w:rFonts w:ascii="Arial" w:cs="Arial" w:eastAsia="Arial" w:hAnsi="Arial"/>
          <w:sz w:val="18"/>
          <w:szCs w:val="18"/>
          <w:color w:val="auto"/>
        </w:rPr>
        <w:t xml:space="preserve"> in our consolidated financial statements included elsewhere in this Annual Report on Form 10-K. During the year ended December 31, 2024, the Company repurchased 2,386,856 shares of its common stock for an aggregate amount of $45.6 million under the Repurchase Program, which includes commissions, $1.4 million of common stock repurchase and $0.5 million of excise tax recorded in accrued expense as of December 31, 2024. The repurchased shares are currently being held as treasury stock. As of December 31, 2024, approximately $104.9 million of the originally authorized amount under the Repurchase Program remained available for future repurchases.</w:t>
      </w:r>
    </w:p>
    <w:p>
      <w:pPr>
        <w:spacing w:after="0" w:line="140"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On February 23, 2024, we entered into an Amended and Restated Credit Agreement for a five-year senior secured revolving credit syndication loan with four banks for a total commitment of $125.0 million, which replaced the Revolving Credit Facility of $50.0 that was in effect as of December 31, 2023.</w:t>
      </w:r>
    </w:p>
    <w:p>
      <w:pPr>
        <w:spacing w:after="0" w:line="128"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On August 14, 2023 and September 12, 2023, we completed our Primary Offering which resulted in aggregate net proceeds of $260.1 million, after underwriting discounts and commissions of $10.9 million and other issuance costs of $1.1 million.</w:t>
      </w:r>
    </w:p>
    <w:p>
      <w:pPr>
        <w:spacing w:after="0" w:line="127"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We believe that our existing cash and cash equivalents will be sufficient to support our expected working capital needs and material cash requirements for at least the next 12 months from the issuance of these consolidated financial statements. Our future capital requirements will depend on many factors, including our revenue growth rate, the timing and the amount of cash received from clients, the expansion of sales and marketing activities, the timing and extent of</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In addition, we have, and may in the future, repurchase shares of our voting and non-voting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Contractual obligations consist of operating leases that relate to real estate for our primary facilities.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601"/>
              <w:spacing w:after="0"/>
              <w:rPr>
                <w:sz w:val="20"/>
                <w:szCs w:val="20"/>
                <w:color w:val="auto"/>
              </w:rPr>
            </w:pPr>
            <w:r>
              <w:rPr>
                <w:rFonts w:ascii="Arial" w:cs="Arial" w:eastAsia="Arial" w:hAnsi="Arial"/>
                <w:sz w:val="14"/>
                <w:szCs w:val="14"/>
                <w:b w:val="1"/>
                <w:bCs w:val="1"/>
                <w:color w:val="auto"/>
              </w:rPr>
              <w:t>Payments Due by Year</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81"/>
              <w:spacing w:after="0" w:line="147"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9"/>
              <w:spacing w:after="0" w:line="147" w:lineRule="exact"/>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39"/>
              <w:spacing w:after="0" w:line="147" w:lineRule="exact"/>
              <w:rPr>
                <w:sz w:val="20"/>
                <w:szCs w:val="20"/>
                <w:color w:val="auto"/>
              </w:rPr>
            </w:pPr>
            <w:r>
              <w:rPr>
                <w:rFonts w:ascii="Arial" w:cs="Arial" w:eastAsia="Arial" w:hAnsi="Arial"/>
                <w:sz w:val="14"/>
                <w:szCs w:val="14"/>
                <w:b w:val="1"/>
                <w:bCs w:val="1"/>
                <w:color w:val="auto"/>
              </w:rPr>
              <w:t>4 to 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9"/>
              <w:spacing w:after="0" w:line="147"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2"/>
                <w:szCs w:val="12"/>
                <w:color w:val="auto"/>
              </w:rPr>
            </w:pPr>
          </w:p>
        </w:tc>
      </w:tr>
      <w:tr>
        <w:trPr>
          <w:trHeight w:val="171"/>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4"/>
                <w:szCs w:val="14"/>
                <w:color w:val="auto"/>
              </w:rPr>
            </w:pPr>
          </w:p>
        </w:tc>
      </w:tr>
      <w:tr>
        <w:trPr>
          <w:trHeight w:val="196"/>
        </w:trPr>
        <w:tc>
          <w:tcPr>
            <w:tcW w:w="51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3,877</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1,904</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1,899</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ind w:left="70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3,877</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1,904</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1,899</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700"/>
              <w:spacing w:after="0" w:line="196" w:lineRule="exact"/>
              <w:rPr>
                <w:sz w:val="20"/>
                <w:szCs w:val="20"/>
                <w:color w:val="auto"/>
              </w:rPr>
            </w:pPr>
            <w:r>
              <w:rPr>
                <w:rFonts w:ascii="Arial" w:cs="Arial" w:eastAsia="Arial" w:hAnsi="Arial"/>
                <w:sz w:val="18"/>
                <w:szCs w:val="18"/>
                <w:color w:val="auto"/>
              </w:rPr>
              <w:t>—</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-162560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-162560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-162560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-162560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(215.8 )</w:t>
            </w:r>
          </w:p>
        </w:tc>
        <w:tc>
          <w:tcPr>
            <w:tcW w:w="16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(38.8 )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(37.6 )</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03"/>
        </w:trPr>
        <w:tc>
          <w:tcPr>
            <w:tcW w:w="6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(1.8 )</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gridSpan w:val="2"/>
            <w:shd w:val="clear" w:color="auto" w:fill="CFF0FC"/>
          </w:tcPr>
          <w:p>
            <w:pPr>
              <w:ind w:left="280"/>
              <w:spacing w:after="0" w:line="177" w:lineRule="exact"/>
              <w:rPr>
                <w:sz w:val="20"/>
                <w:szCs w:val="20"/>
                <w:color w:val="auto"/>
              </w:rPr>
            </w:pPr>
            <w:r>
              <w:rPr>
                <w:rFonts w:ascii="Arial" w:cs="Arial" w:eastAsia="Arial" w:hAnsi="Arial"/>
                <w:sz w:val="18"/>
                <w:szCs w:val="18"/>
                <w:color w:val="auto"/>
              </w:rPr>
              <w:t>Net (decrease) increase in cash, cash equivalents and</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(159.4 )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260" w:type="dxa"/>
            <w:vAlign w:val="bottom"/>
            <w:shd w:val="clear" w:color="auto" w:fill="CFF0FC"/>
          </w:tcPr>
          <w:p>
            <w:pPr>
              <w:spacing w:after="0"/>
              <w:rPr>
                <w:sz w:val="15"/>
                <w:szCs w:val="15"/>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01"/>
        </w:trPr>
        <w:tc>
          <w:tcPr>
            <w:tcW w:w="6600" w:type="dxa"/>
            <w:vAlign w:val="bottom"/>
            <w:gridSpan w:val="2"/>
            <w:shd w:val="clear" w:color="auto" w:fill="CFF0FC"/>
          </w:tcPr>
          <w:p>
            <w:pPr>
              <w:ind w:left="420"/>
              <w:spacing w:after="0" w:line="161" w:lineRule="exact"/>
              <w:rPr>
                <w:sz w:val="20"/>
                <w:szCs w:val="20"/>
                <w:color w:val="auto"/>
              </w:rPr>
            </w:pPr>
            <w:r>
              <w:rPr>
                <w:rFonts w:ascii="Arial" w:cs="Arial" w:eastAsia="Arial" w:hAnsi="Arial"/>
                <w:sz w:val="18"/>
                <w:szCs w:val="18"/>
                <w:color w:val="auto"/>
              </w:rPr>
              <w:t>restricted cash</w:t>
            </w:r>
          </w:p>
        </w:tc>
        <w:tc>
          <w:tcPr>
            <w:tcW w:w="320" w:type="dxa"/>
            <w:vAlign w:val="bottom"/>
            <w:vMerge w:val="continue"/>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Net cash provided by operating activities consists of net income (loss) adjusted for certain non-cash items and changes in other assets and liabilities.</w:t>
      </w:r>
    </w:p>
    <w:p>
      <w:pPr>
        <w:spacing w:after="0" w:line="12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During 2024, net cash provided by operating activities of $ 91.5 million was primarily the result of net income of $2.9 million adjusted for non-cash expenses of $72.2 million, which primarily consisted of stock-based compensation expense of $64.9 million and depreciation and amortization of $17.4 million, and the benefit of changes in operating assets and liabilities, net of acquisitions of $16.4 million.</w:t>
      </w:r>
    </w:p>
    <w:p>
      <w:pPr>
        <w:spacing w:after="0" w:line="128"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During 2023, net cash provided by operating activities of $ 80.6 million was primarily the result of net loss of $8.6 million adjusted for non-cash expenses of $62.4 million, which primarily consisted of stock-based compensation expense of$43.7 million and depreciation and amortization of $15.8 million, and the benefit of changes in operating assets and liabilities, net of acquisitions of $26.8 million.</w:t>
      </w:r>
    </w:p>
    <w:p>
      <w:pPr>
        <w:spacing w:after="0" w:line="128" w:lineRule="exact"/>
        <w:rPr>
          <w:sz w:val="20"/>
          <w:szCs w:val="20"/>
          <w:color w:val="auto"/>
        </w:rPr>
      </w:pPr>
    </w:p>
    <w:p>
      <w:pPr>
        <w:ind w:right="280" w:firstLine="509"/>
        <w:spacing w:after="0" w:line="244" w:lineRule="auto"/>
        <w:rPr>
          <w:sz w:val="20"/>
          <w:szCs w:val="20"/>
          <w:color w:val="auto"/>
        </w:rPr>
      </w:pPr>
      <w:r>
        <w:rPr>
          <w:rFonts w:ascii="Arial" w:cs="Arial" w:eastAsia="Arial" w:hAnsi="Arial"/>
          <w:sz w:val="18"/>
          <w:szCs w:val="18"/>
          <w:color w:val="auto"/>
        </w:rPr>
        <w:t>During 2022, net cash provided by operating activities of $5.4 million was primarily the result of net loss of $39.3 million adjusted for noncash expenses of $40.3 million, which primarily include stock-based compensation expense of $30.3 million, depreciation and amortization of $12.3 million and amortization of contract costs of $1.8 million, offset by change in fair value of contingent consideration of $(2.8) million and deferred tax benefit of $(1.7) million, benefited by changes in operating assets and liabilities, net of acquisitions of $4.4 million.</w:t>
      </w:r>
    </w:p>
    <w:p>
      <w:pPr>
        <w:spacing w:after="0" w:line="14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Net cash provided by operating activities was $91.5 million during the year ended December 31, 2024, compared to $80.6 million during the year ended December 31, 2023. The increase of $ 10.8 million in our net cash provided by operating activities was primarily related to a net increase in our operating assets and liabilities, net of acquisitions of $16.4 million during the year ended December 31, 2024, compared to a net increase of $26.8 million during the year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99" w:name="page100"/>
    <w:bookmarkEnd w:id="99"/>
    <w:p>
      <w:pPr>
        <w:spacing w:after="0" w:line="238" w:lineRule="auto"/>
        <w:rPr>
          <w:sz w:val="20"/>
          <w:szCs w:val="20"/>
          <w:color w:val="auto"/>
        </w:rPr>
      </w:pPr>
      <w:r>
        <w:rPr>
          <w:rFonts w:ascii="Arial" w:cs="Arial" w:eastAsia="Arial" w:hAnsi="Arial"/>
          <w:sz w:val="18"/>
          <w:szCs w:val="18"/>
          <w:color w:val="auto"/>
        </w:rPr>
        <w:t>ended December 31, 2023. This increase was driven by an increase in funds receivable from payment partners of $ 74.8 million, as a result of the timing of collections from our partners in the applicable period, partially offset by a decrease in funds payable to clients of $ 79.7 million compared to the prior year as a result of the timing of payments to our clients in the applicable period. The timing of collections from our partners will vary from period to period based on when our clients’ customer payment for a particular transaction is made, as well as the customer’s payment method which impacts the timing of settlement of the payment. The timing of payments to our clients will vary from period to period based on when our client’s customer payment for a particular transaction is made and when we are contractually required to remit such payment to our client. This net increase in cash provided by operating activities was also impacted by our operating cash flows from our net income (after adjustments for an increase in non-cash expenses of $9.9 million) which increased by $21.3 million for the year ended December 31, 2024, compared to the prior period, reflective of the growth in transaction payment volumes, from both our existing clients and new clients, an increase in interest income as a result of our higher cash balances and higher market interest rates, offset by increases in our costs and operating expenses, the largest of which was our payment processing services costs and an increase in losses from the remeasurement of foreign currency due to foreign currency intercompany loans and impact of fluctuations in exchange rates during respective remeasurement periods.</w:t>
      </w:r>
    </w:p>
    <w:p>
      <w:pPr>
        <w:spacing w:after="0" w:line="15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Net cash provided by operating activities was $80.6 million during the year ended December 31, 2023, compared to $5.4 million during the year ended December 31, 2022. The increase of $ 75.2 million in our net cash provided by operating activities was primarily related to a net increase in our operating assets and liabilities, net of acquisitions of $26.8 million during the year ended December 31, 2023, compared to a net increase of $4.4 million during the year ended December 31, 2022. This increase was driven by an increase in funds payable to clients of $37.7 million compared to the prior year primarily as a result of the timing of payments to our clients in the applicable period, partially offset by a decrease in funds receivable from payment partners of $20.1 million, as a result of the timing of collections from our partners in the applicable period. The timing of payments to our clients will vary from period to period based on when our client’s customer payment for a particular transaction is made and when we are contractually required to remit such payment to our client. The timing of collections from our partners will vary from period to period based on when our clients’ customer payment for a particular transaction is made, as well as the customer’s payment method which impacts the timing of settlement of the payment. This net increase in cash provided by operating activities was also impacted by our operating cash flows from our net loss (after adjustments for an increase in non-cash expenses of $22.0 million) which increased by $52.8 million for the year ended December 31, 2023, compared to the prior period, reflective of the growth in transaction payment volumes, from both our existing clients and new clients, an increase in gains from the remeasurement of foreign currency due to foreign currency intercompany loans and impact of fluctuations in exchange rates during respective remeasurement periods and an increase in interest income as a result of our higher cash balances and higher market interest rates, offset by increases in our costs and operating expenses, the largest of which was our payment processing services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During 2024, cash used in investing activities of $215.8 million was primarily the result of purchase of short-term and long-term investments for $193.9 million, our acquisition of Invoiced for a purchase consideration of $45.2 million, net of cash acquired and capitalization of internally developed software costs of $5.3 million, offset primarily by the proceeds from the maturity and sale of short and long-term investments of $29.6 million.</w:t>
      </w:r>
    </w:p>
    <w:p>
      <w:pPr>
        <w:spacing w:after="0" w:line="147" w:lineRule="exact"/>
        <w:rPr>
          <w:sz w:val="20"/>
          <w:szCs w:val="20"/>
          <w:color w:val="auto"/>
        </w:rPr>
      </w:pPr>
    </w:p>
    <w:p>
      <w:pPr>
        <w:ind w:right="540" w:firstLine="509"/>
        <w:spacing w:after="0" w:line="253" w:lineRule="auto"/>
        <w:rPr>
          <w:sz w:val="20"/>
          <w:szCs w:val="20"/>
          <w:color w:val="auto"/>
        </w:rPr>
      </w:pPr>
      <w:r>
        <w:rPr>
          <w:rFonts w:ascii="Arial" w:cs="Arial" w:eastAsia="Arial" w:hAnsi="Arial"/>
          <w:sz w:val="18"/>
          <w:szCs w:val="18"/>
          <w:color w:val="auto"/>
        </w:rPr>
        <w:t>During 2023, cash used in investing activities of $38.8 million was the result of our acquisition of StudyLink for a purchase consideration of $32.8 million, net of cash acquired, capitalization of internally developed software costs of $5.0million and purchase of property and equipment for $1.0 million.</w:t>
      </w:r>
    </w:p>
    <w:p>
      <w:pPr>
        <w:spacing w:after="0" w:line="12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During 2022, cash used in investing activities of $ 24.7 million was primarily the result of our acquisition of Cohort Go for a purchase consideration of $17.1 million, capitalization of internally developed software costs of $5.7 million and purchase of property and equipment for $1.4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3"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During 2024, cash used in financing activities of $ 37.6 million was primarily driven by common stock repurchase of $43.7 million, offset primarily by proceeds from the exercise of stock options of $5.6 million and proceeds from the issuance of stock under the ESPP of $3.1 million.</w:t>
      </w:r>
    </w:p>
    <w:p>
      <w:pPr>
        <w:spacing w:after="0" w:line="128"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During 2023, cash provided by financing activities of $263.4 million was driven by the proceeds from issuance of common stock in our Primary Offering of $261.1 million, proceeds from the exercise of stock options of $10.4million and proceeds from the issuance of stock under the ESPP of $2.7 million, offset by payments of tax withholdings for net settled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0" w:name="page101"/>
    <w:bookmarkEnd w:id="100"/>
    <w:p>
      <w:pPr>
        <w:ind w:right="160"/>
        <w:spacing w:after="0" w:line="271" w:lineRule="auto"/>
        <w:rPr>
          <w:sz w:val="20"/>
          <w:szCs w:val="20"/>
          <w:color w:val="auto"/>
        </w:rPr>
      </w:pPr>
      <w:r>
        <w:rPr>
          <w:rFonts w:ascii="Arial" w:cs="Arial" w:eastAsia="Arial" w:hAnsi="Arial"/>
          <w:sz w:val="18"/>
          <w:szCs w:val="18"/>
          <w:color w:val="auto"/>
        </w:rPr>
        <w:t>option exercises of $8.5 million, payments for contingent consideration of $1.2 million and payments of costs related to the Primary Offering of $1.1 million.</w:t>
      </w:r>
    </w:p>
    <w:p>
      <w:pPr>
        <w:spacing w:after="0" w:line="127"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During 2022, cash used in financing activities of $24.0 million was driven by the repayment of our Revolving Credit Facility of $25.9 million, payments for contingent consideration of $3.7 million primarily related to the acquisition of Simplee, payments of tax withholdings of $2.6 million for net settled option exercises, offset by proceeds from the exercise of stock options of $7.0 million and proceeds from the issuance of stock under the ESPP of $1.3 million.</w:t>
      </w:r>
    </w:p>
    <w:p>
      <w:pPr>
        <w:spacing w:after="0" w:line="133"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As of December 31, 2024 and 2023, there was no outstanding indebtedness under the 2024 Revolving Credit Facility and the 2021 Revolving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consolidated financial statements and the related notes thereto included elsewhere in this Annual Report on Form 10-K are prepared in accordance with GAAP. The preparation of our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i w:val="1"/>
          <w:iCs w:val="1"/>
          <w:color w:val="auto"/>
        </w:rPr>
        <w:t>Note 1 - Business Overview and Summary of Significant Accounting Policies</w:t>
      </w:r>
      <w:r>
        <w:rPr>
          <w:rFonts w:ascii="Arial" w:cs="Arial" w:eastAsia="Arial" w:hAnsi="Arial"/>
          <w:sz w:val="18"/>
          <w:szCs w:val="18"/>
          <w:color w:val="auto"/>
        </w:rPr>
        <w:t xml:space="preserve"> to our consolidated financial statements included elsewhere in this Annual Report on Form 10-K. We believe that the following critical accounting policies are most important to the judgments and estimates used in the preparation of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83" w:lineRule="exact"/>
        <w:rPr>
          <w:sz w:val="20"/>
          <w:szCs w:val="20"/>
          <w:color w:val="auto"/>
        </w:rPr>
      </w:pPr>
    </w:p>
    <w:p>
      <w:pPr>
        <w:jc w:val="both"/>
        <w:ind w:right="480" w:firstLine="509"/>
        <w:spacing w:after="0" w:line="253" w:lineRule="auto"/>
        <w:rPr>
          <w:sz w:val="20"/>
          <w:szCs w:val="20"/>
          <w:color w:val="auto"/>
        </w:rPr>
      </w:pPr>
      <w:r>
        <w:rPr>
          <w:rFonts w:ascii="Arial" w:cs="Arial" w:eastAsia="Arial" w:hAnsi="Arial"/>
          <w:sz w:val="18"/>
          <w:szCs w:val="18"/>
          <w:color w:val="auto"/>
        </w:rPr>
        <w:t>Intangible assets consist of acquired developed technology, acquired relationships and trade names and associated trademarks. Intangible assets are recognized at fair value using generally accepted valuation methods deemed appropriate for the type of intangible asset acquired, and reported net of accumulated amortization, separately from goodwill.</w:t>
      </w:r>
    </w:p>
    <w:p>
      <w:pPr>
        <w:spacing w:after="0" w:line="12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acquired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w:t>
      </w:r>
    </w:p>
    <w:p>
      <w:pPr>
        <w:spacing w:after="0" w:line="13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w:t>
      </w:r>
    </w:p>
    <w:p>
      <w:pPr>
        <w:spacing w:after="0" w:line="147"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404040"/>
        </w:rPr>
        <w:t>In</w:t>
      </w:r>
      <w:r>
        <w:rPr>
          <w:rFonts w:ascii="Arial" w:cs="Arial" w:eastAsia="Arial" w:hAnsi="Arial"/>
          <w:sz w:val="18"/>
          <w:szCs w:val="18"/>
          <w:color w:val="000000"/>
        </w:rPr>
        <w:t>tangible assets are amortized using a method that reflects the pattern in which the economic benefits of the intangible asset are</w:t>
      </w:r>
      <w:r>
        <w:rPr>
          <w:rFonts w:ascii="Arial" w:cs="Arial" w:eastAsia="Arial" w:hAnsi="Arial"/>
          <w:sz w:val="18"/>
          <w:szCs w:val="18"/>
          <w:color w:val="404040"/>
        </w:rPr>
        <w:t xml:space="preserve"> </w:t>
      </w:r>
      <w:r>
        <w:rPr>
          <w:rFonts w:ascii="Arial" w:cs="Arial" w:eastAsia="Arial" w:hAnsi="Arial"/>
          <w:sz w:val="18"/>
          <w:szCs w:val="18"/>
          <w:color w:val="000000"/>
        </w:rPr>
        <w:t>expected to be realized over their estimated useful lives ranging from one to fifteen years. No significant residual value is estimated for intangible assets.</w:t>
      </w:r>
    </w:p>
    <w:p>
      <w:pPr>
        <w:spacing w:after="0" w:line="128"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The estimated fair values of these intangible assets reflect various assumptions including discount rates, revenue growth rates, operating margins, terminal values, attrition, useful lives and other prospective financial information.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1" w:name="page102"/>
    <w:bookmarkEnd w:id="101"/>
    <w:p>
      <w:pPr>
        <w:ind w:right="200" w:firstLine="509"/>
        <w:spacing w:after="0" w:line="253" w:lineRule="auto"/>
        <w:rPr>
          <w:sz w:val="20"/>
          <w:szCs w:val="20"/>
          <w:color w:val="auto"/>
        </w:rPr>
      </w:pPr>
      <w:r>
        <w:rPr>
          <w:rFonts w:ascii="Arial" w:cs="Arial" w:eastAsia="Arial" w:hAnsi="Arial"/>
          <w:sz w:val="18"/>
          <w:szCs w:val="18"/>
          <w:color w:val="auto"/>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Developed for Internal-Use</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capitalize costs incurred in the development of internal-use software during the application development stage including third-party consulting costs and compensation expenses related to FlyMates who devote time to the development of the projects. We also capitalize costs related to specific upgrades and enhancements when it is probable the expenditures will result in additional functionality. Once the additional functionality is available for general use, capitalization ceases and the asset begins being amortized.</w:t>
      </w:r>
    </w:p>
    <w:p>
      <w:pPr>
        <w:spacing w:after="0" w:line="133"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evaluate the useful lives of internal-use software whenever changes in circumstances occur that could impact the recoverability of these assets.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Contingent consideration in business combinations is recognized at fair value on the acquisition date.</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connection with the acquisition of Invoiced, we entered into an agreement to make certain earn-out payments based on Invoiced's achievement of certain targets related to revenue, cross-selling, product and security and IT milestones established through a period ending December 31, 2025. The fair value of the contingent consideration related to the revenue milestones was determined using an option pricing model and the fair value of the contingent consideration related to the cross-selling, product and security and IT milestones was determined using a scenario-based method that reflect our expectation about the probability of payment based on facts and circumstances that existed at the acquisition closing date. The option pricing model includes significant unobservable inputs such as probability of achieving earn-out revenue thresholds and discount rates. The scenario-based method includes significant unobservable inputs such as the probability of achieving earn-out targets and discount rates. Increases or decreases in any of the probabilities of success in which the revenue, cross-selling, product and security and IT milestones are expected to be achieved would result in higher or lower fair value measurement, respectively. Increases or decreases in the discount rate would result in a lower or higher fair value measurement, respectively.</w:t>
      </w:r>
    </w:p>
    <w:p>
      <w:pPr>
        <w:spacing w:after="0" w:line="153"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In connection with the acquisition of StudyLink, we entered into an agreement to make certain earn-out payments based on StudyLink's achievement of revenue, volume, cross-selling and engineering implementation milestones established through a period ending December 31, 2025. The fair value of the contingent consideration related to the revenue milestone was determined using an option pricing model and the fair value of the contingent consideration related to the volume of money movement, cross-selling and engineering implementation milestones was determined using a scenario-based method that reflect our expectation about the probability of payment based on facts and circumstances that existed at the acquisition closing date. The option pricing model includes significant unobservable inputs such as probability of achieving earn-out revenue thresholds and discount rates. The scenario-based method includes significant unobservable inputs such as the probability of achieving earn-out targets and discount rates. Increases or decreases in any of the probabilities of success in which the revenue, volume, cross-selling and the engineering implementation milestones are expected to be achieved would result in higher or lower fair value measurement, respectively. Increases or decreases in the discount rate would result in a lower or higher fair value measurement, respectively.</w:t>
      </w:r>
    </w:p>
    <w:p>
      <w:pPr>
        <w:spacing w:after="0" w:line="145"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In connection with the acquisition of Cohort Go, we entered into an agreement to make certain earn-out payments based on Cohort Go's achievement of specific post-acquisition milestones established through a period ending March 31, 2023. The fair value of the contingent consideration was determined using a scenario-based method formed on the likelihoods of achieving each of the milestones. Increases or decreases in any of the probabilities of success in which the specific post-acquisition milestones were expected to be achieved would result in a higher or lower fair value measurement, respectively. Increases or decreases in the discount rate would result in a lower or higher fair value measurement, respectively.</w:t>
      </w:r>
    </w:p>
    <w:p>
      <w:pPr>
        <w:spacing w:after="0" w:line="138"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The maximum amount we would be required to pay related to the Invoiced acquisition is $7.5 million. The maximum amount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2" w:name="page103"/>
    <w:bookmarkEnd w:id="102"/>
    <w:p>
      <w:pPr>
        <w:spacing w:after="0" w:line="242" w:lineRule="auto"/>
        <w:rPr>
          <w:sz w:val="20"/>
          <w:szCs w:val="20"/>
          <w:color w:val="auto"/>
        </w:rPr>
      </w:pPr>
      <w:r>
        <w:rPr>
          <w:rFonts w:ascii="Arial" w:cs="Arial" w:eastAsia="Arial" w:hAnsi="Arial"/>
          <w:sz w:val="18"/>
          <w:szCs w:val="18"/>
          <w:color w:val="auto"/>
        </w:rPr>
        <w:t>we would be required to pay related to the StudyLink acquisition is $3.9 million. During the year ended December 31, 2024, we made a payment of contingent consideration of $1.1 million based on Invoiced's successful and timely achievement of the contracted milestones. During the year ended December 31, 2023, we made the final Cohort Go payment of contingent consideration of $1.7 million, in the form of cash, based on Cohort Go's successful and timely achievement of the contracted milestones. No additional contingent consideration is due or payable with respect to the Cohort Go acquisition. The fair value of the contingent consideration at December 31, 2024 and 2023 was $5.1 million and $2.9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other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183"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Our transaction revenue is derived from fees charged for payment processing services provided to educational institutions, healthcare entities and other commercial entities, which is comprised of processing domestic and cross-border transactions.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 revenue in the consolidated statements of operations and comprehensive loss, as we are not the responsible party for fulfilling the obligation between the client and client’s customer. Therefore, revenue is only recognized for the fee for which we are entitled for processing the payment.</w:t>
      </w:r>
    </w:p>
    <w:p>
      <w:pPr>
        <w:spacing w:after="0" w:line="139"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p>
    <w:p>
      <w:pPr>
        <w:spacing w:after="0" w:line="133" w:lineRule="exact"/>
        <w:rPr>
          <w:sz w:val="20"/>
          <w:szCs w:val="20"/>
          <w:color w:val="auto"/>
        </w:rPr>
      </w:pPr>
    </w:p>
    <w:p>
      <w:pPr>
        <w:jc w:val="both"/>
        <w:ind w:right="180" w:firstLine="509"/>
        <w:spacing w:after="0" w:line="244" w:lineRule="auto"/>
        <w:rPr>
          <w:sz w:val="20"/>
          <w:szCs w:val="20"/>
          <w:color w:val="auto"/>
        </w:rPr>
      </w:pPr>
      <w:r>
        <w:rPr>
          <w:rFonts w:ascii="Arial" w:cs="Arial" w:eastAsia="Arial" w:hAnsi="Arial"/>
          <w:sz w:val="18"/>
          <w:szCs w:val="18"/>
          <w:color w:val="auto"/>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services costs line in the consolidated statements of operations and comprehensive loss.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and Other Revenues</w:t>
      </w:r>
    </w:p>
    <w:p>
      <w:pPr>
        <w:spacing w:after="0" w:line="16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Our platform and other revenues primarily include (i) fees earned for the utilization of the Company's platforms to optimize cash collections and student application processing, which include revenue earned from software subscription fees and usage-based fees, (ii) fees for the establishment of payment plans on the Company's payment platform, (iii) fees related to printing, mailing, and other services which are ancillary to the solutions the Company provides to its clients, (iv) commissions from insurance providers when an end-user purchases an insurance policy, and (v) revenue from interest earned on funds held for customers in interest-bearing accounts. Platform and other revenues has been referred to as platform and usage-based fee revenue in prior filings.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8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use significant judgment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 whereby the transfer of the service is separately identifiable from other promises in the contract. In addition, we consider whether the arrangements contain a series of distinct services that are substantially the same and whether they have the same pattern of transfer.</w:t>
      </w:r>
    </w:p>
    <w:p>
      <w:pPr>
        <w:spacing w:after="0" w:line="136"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3" w:name="page104"/>
    <w:bookmarkEnd w:id="103"/>
    <w:p>
      <w:pPr>
        <w:ind w:right="40"/>
        <w:spacing w:after="0" w:line="253" w:lineRule="auto"/>
        <w:rPr>
          <w:sz w:val="20"/>
          <w:szCs w:val="20"/>
          <w:color w:val="auto"/>
        </w:rPr>
      </w:pPr>
      <w:r>
        <w:rPr>
          <w:rFonts w:ascii="Arial" w:cs="Arial" w:eastAsia="Arial" w:hAnsi="Arial"/>
          <w:sz w:val="18"/>
          <w:szCs w:val="18"/>
          <w:color w:val="auto"/>
        </w:rPr>
        <w:t>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42"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13"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contracts contain variable consideration as the amount we expect to receive in a contract is based on the occurrence or non-occurrence of future events, such as processing services performed 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Recognition Policies</w:t>
      </w:r>
    </w:p>
    <w:p>
      <w:pPr>
        <w:spacing w:after="0" w:line="169"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Business Overview and Summary of Significant Accounting Policies</w:t>
      </w:r>
      <w:r>
        <w:rPr>
          <w:rFonts w:ascii="Arial" w:cs="Arial" w:eastAsia="Arial" w:hAnsi="Arial"/>
          <w:sz w:val="18"/>
          <w:szCs w:val="18"/>
          <w:color w:val="auto"/>
        </w:rPr>
        <w:t xml:space="preserve"> to our consolidated financial statements included elsewhere in this Annual Report on Form 10-K for accounting pronouncements adopted and accounting pronouncements not yet adopted as of December 31, 2024.</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04" w:name="page105"/>
    <w:bookmarkEnd w:id="104"/>
    <w:p>
      <w:pPr>
        <w:ind w:right="5380"/>
        <w:spacing w:after="0" w:line="446" w:lineRule="auto"/>
        <w:rPr>
          <w:sz w:val="20"/>
          <w:szCs w:val="20"/>
          <w:color w:val="auto"/>
        </w:rPr>
      </w:pPr>
      <w:r>
        <w:rPr>
          <w:rFonts w:ascii="Arial" w:cs="Arial" w:eastAsia="Arial" w:hAnsi="Arial"/>
          <w:sz w:val="18"/>
          <w:szCs w:val="18"/>
          <w:b w:val="1"/>
          <w:bCs w:val="1"/>
          <w:color w:val="auto"/>
        </w:rPr>
        <w:t>Item 7A. Quantitative and Qualitative Disclosures About Market Risk Quantitative and Qualitative Disclosures About Market Risk</w:t>
      </w:r>
    </w:p>
    <w:p>
      <w:pPr>
        <w:ind w:right="200" w:firstLine="509"/>
        <w:spacing w:after="0" w:line="253"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corporate bonds, U.S. government obligations, treasury bill, foreign agency securities, commercial paper, agency bond and asset-backed debt securities.</w:t>
      </w:r>
    </w:p>
    <w:p>
      <w:pPr>
        <w:spacing w:after="0" w:line="136"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We are also exposed to interest rate risk related to our 2024 Revolving Credit Facility. Our 2024 Revolving Credit Facility consists of ABR borrowings or Term SOFR borrowings, at our option.</w:t>
      </w:r>
    </w:p>
    <w:p>
      <w:pPr>
        <w:spacing w:after="0" w:line="11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Revolving Credit Facility incurs a commitment fee ranging from 0.25% to 0.35% based upon our consolidated total net leverage ratio as of the most recent consolidated financial information assessed on the average available commitment.</w:t>
      </w:r>
    </w:p>
    <w:p>
      <w:pPr>
        <w:spacing w:after="0" w:line="158"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As of December 31, 2024 and 2023, there was no outstanding indebtedness under the 2024 Revolving Credit Facility and 2021 Revolving Credit Facility.</w:t>
      </w:r>
    </w:p>
    <w:p>
      <w:pPr>
        <w:spacing w:after="0" w:line="11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An immediate 10% increase or decrease in interest rates on either our cash and cash equivalents and available-for-sale debt securities or our 2024 Revolving Credit Facility would not have a material effect on our financial position, results of operations or cash flows.</w:t>
      </w:r>
    </w:p>
    <w:p>
      <w:pPr>
        <w:spacing w:after="0" w:line="113"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Information provided by the sensitivity analysis is not a prediction of future events and does not necessarily represent the actual changes that would occur.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4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weakened against several currencies, including the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05" w:name="page106"/>
    <w:bookmarkEnd w:id="105"/>
    <w:p>
      <w:pPr>
        <w:ind w:right="360"/>
        <w:spacing w:after="0" w:line="271" w:lineRule="auto"/>
        <w:rPr>
          <w:sz w:val="20"/>
          <w:szCs w:val="20"/>
          <w:color w:val="auto"/>
        </w:rPr>
      </w:pPr>
      <w:r>
        <w:rPr>
          <w:rFonts w:ascii="Arial" w:cs="Arial" w:eastAsia="Arial" w:hAnsi="Arial"/>
          <w:sz w:val="18"/>
          <w:szCs w:val="18"/>
          <w:color w:val="auto"/>
        </w:rPr>
        <w:t>British Pound, relative to the prior year, these foreign exchange impacts increased our reported revenue in U.S. Dollars by approximately $2.3 million compared to the prior year on a constant currency basis.</w:t>
      </w:r>
    </w:p>
    <w:p>
      <w:pPr>
        <w:spacing w:after="0" w:line="12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income in our consolidated balance sheets. Gains and losses from the remeasurement of foreign currencies into functional currencies are recognized in the consolidated statements of operations and comprehensive loss. A potential change in foreign exchange rates of 10% from such remeasurement would have impacted income (loss) before income taxes by approximately $24.7 million and $19.9 million for the years ended December 31, 2024 and 2023,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71"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Inflation did not have a material effect on our cash flows and results of operations during the year ended December 31, 2024. If our costs were to become subject to significant inflationary pressures, we may not be able to fully offset such higher costs through increase in prices of our product offerings.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0460" w:type="dxa"/>
            <w:vAlign w:val="bottom"/>
            <w:gridSpan w:val="27"/>
          </w:tcPr>
          <w:p>
            <w:pPr>
              <w:spacing w:after="0"/>
              <w:rPr>
                <w:sz w:val="20"/>
                <w:szCs w:val="20"/>
                <w:color w:val="auto"/>
              </w:rPr>
            </w:pPr>
            <w:r>
              <w:rPr>
                <w:rFonts w:ascii="Arial" w:cs="Arial" w:eastAsia="Arial" w:hAnsi="Arial"/>
                <w:sz w:val="18"/>
                <w:szCs w:val="18"/>
                <w:color w:val="0000FF"/>
              </w:rPr>
              <w:t>Report of Independent Registered Public Accounting Firm (PCAOB ID 238)</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0000FF"/>
            </w:tcBorders>
            <w:gridSpan w:val="25"/>
          </w:tcPr>
          <w:p>
            <w:pPr>
              <w:spacing w:after="0" w:line="196" w:lineRule="exact"/>
              <w:rPr>
                <w:sz w:val="20"/>
                <w:szCs w:val="20"/>
                <w:color w:val="auto"/>
              </w:rPr>
            </w:pPr>
            <w:r>
              <w:rPr>
                <w:rFonts w:ascii="Arial" w:cs="Arial" w:eastAsia="Arial" w:hAnsi="Arial"/>
                <w:sz w:val="18"/>
                <w:szCs w:val="18"/>
                <w:color w:val="0000FF"/>
              </w:rPr>
              <w:t>Consolidated Balance Sheets</w:t>
            </w:r>
          </w:p>
        </w:tc>
        <w:tc>
          <w:tcPr>
            <w:tcW w:w="4480" w:type="dxa"/>
            <w:vAlign w:val="bottom"/>
            <w:gridSpan w:val="2"/>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524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18"/>
                <w:szCs w:val="18"/>
                <w:color w:val="0000FF"/>
                <w:w w:val="99"/>
              </w:rPr>
              <w:t>Consolidated Statements of Operations and Comprehensive Loss</w:t>
            </w:r>
          </w:p>
        </w:tc>
        <w:tc>
          <w:tcPr>
            <w:tcW w:w="5220" w:type="dxa"/>
            <w:vAlign w:val="bottom"/>
            <w:gridSpan w:val="3"/>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3900" w:type="dxa"/>
            <w:vAlign w:val="bottom"/>
            <w:tcBorders>
              <w:bottom w:val="single" w:sz="8" w:color="0000FF"/>
            </w:tcBorders>
            <w:gridSpan w:val="21"/>
          </w:tcPr>
          <w:p>
            <w:pPr>
              <w:spacing w:after="0" w:line="196" w:lineRule="exact"/>
              <w:rPr>
                <w:sz w:val="20"/>
                <w:szCs w:val="20"/>
                <w:color w:val="auto"/>
              </w:rPr>
            </w:pPr>
            <w:r>
              <w:rPr>
                <w:rFonts w:ascii="Arial" w:cs="Arial" w:eastAsia="Arial" w:hAnsi="Arial"/>
                <w:sz w:val="18"/>
                <w:szCs w:val="18"/>
                <w:color w:val="0000FF"/>
                <w:w w:val="99"/>
              </w:rPr>
              <w:t>Consolidated Statements of Stockholders’ Equity</w:t>
            </w:r>
          </w:p>
        </w:tc>
        <w:tc>
          <w:tcPr>
            <w:tcW w:w="6560" w:type="dxa"/>
            <w:vAlign w:val="bottom"/>
            <w:gridSpan w:val="6"/>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60" w:type="dxa"/>
            <w:vAlign w:val="bottom"/>
            <w:gridSpan w:val="27"/>
          </w:tcPr>
          <w:p>
            <w:pPr>
              <w:spacing w:after="0" w:line="196" w:lineRule="exact"/>
              <w:rPr>
                <w:sz w:val="20"/>
                <w:szCs w:val="20"/>
                <w:color w:val="auto"/>
              </w:rPr>
            </w:pPr>
            <w:r>
              <w:rPr>
                <w:rFonts w:ascii="Arial" w:cs="Arial" w:eastAsia="Arial" w:hAnsi="Arial"/>
                <w:sz w:val="18"/>
                <w:szCs w:val="18"/>
                <w:color w:val="0000FF"/>
              </w:rPr>
              <w:t>Consolidated Statements of Cash Flows</w:t>
            </w: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60" w:type="dxa"/>
            <w:vAlign w:val="bottom"/>
            <w:gridSpan w:val="27"/>
          </w:tcPr>
          <w:p>
            <w:pPr>
              <w:spacing w:after="0" w:line="196" w:lineRule="exact"/>
              <w:rPr>
                <w:sz w:val="20"/>
                <w:szCs w:val="20"/>
                <w:color w:val="auto"/>
              </w:rPr>
            </w:pPr>
            <w:r>
              <w:rPr>
                <w:rFonts w:ascii="Arial" w:cs="Arial" w:eastAsia="Arial" w:hAnsi="Arial"/>
                <w:sz w:val="18"/>
                <w:szCs w:val="18"/>
                <w:color w:val="0000FF"/>
              </w:rPr>
              <w:t>Notes to Consolidated Financial Statements</w:t>
            </w: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6"/>
          </w:tcPr>
          <w:p>
            <w:pPr>
              <w:spacing w:after="0" w:line="196" w:lineRule="exact"/>
              <w:rPr>
                <w:sz w:val="20"/>
                <w:szCs w:val="20"/>
                <w:color w:val="auto"/>
              </w:rPr>
            </w:pPr>
            <w:r>
              <w:rPr>
                <w:rFonts w:ascii="Arial" w:cs="Arial" w:eastAsia="Arial" w:hAnsi="Arial"/>
                <w:sz w:val="18"/>
                <w:szCs w:val="18"/>
                <w:color w:val="0000FF"/>
              </w:rPr>
              <w:t>Note 1. Business Overview and Summary of Significant Accounting Policies</w:t>
            </w: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20" w:type="dxa"/>
            <w:vAlign w:val="bottom"/>
            <w:tcBorders>
              <w:top w:val="single" w:sz="8" w:color="0000FF"/>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9"/>
              </w:rPr>
              <w:t>Note 2. Revenue and Recognition</w:t>
            </w:r>
          </w:p>
        </w:tc>
        <w:tc>
          <w:tcPr>
            <w:tcW w:w="3300" w:type="dxa"/>
            <w:vAlign w:val="bottom"/>
            <w:tcBorders>
              <w:top w:val="single" w:sz="8" w:color="0000FF"/>
            </w:tcBorders>
            <w:gridSpan w:val="11"/>
          </w:tcPr>
          <w:p>
            <w:pPr>
              <w:spacing w:after="0"/>
              <w:rPr>
                <w:sz w:val="17"/>
                <w:szCs w:val="17"/>
                <w:color w:val="auto"/>
              </w:rPr>
            </w:pPr>
          </w:p>
        </w:tc>
        <w:tc>
          <w:tcPr>
            <w:tcW w:w="400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6"/>
          </w:tcPr>
          <w:p>
            <w:pPr>
              <w:spacing w:after="0" w:line="196" w:lineRule="exact"/>
              <w:rPr>
                <w:sz w:val="20"/>
                <w:szCs w:val="20"/>
                <w:color w:val="auto"/>
              </w:rPr>
            </w:pPr>
            <w:r>
              <w:rPr>
                <w:rFonts w:ascii="Arial" w:cs="Arial" w:eastAsia="Arial" w:hAnsi="Arial"/>
                <w:sz w:val="18"/>
                <w:szCs w:val="18"/>
                <w:color w:val="0000FF"/>
              </w:rPr>
              <w:t>Note 3. Segment Information</w:t>
            </w: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Note 4. Investments</w:t>
            </w:r>
          </w:p>
        </w:tc>
        <w:tc>
          <w:tcPr>
            <w:tcW w:w="7720" w:type="dxa"/>
            <w:vAlign w:val="bottom"/>
            <w:gridSpan w:val="18"/>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0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Note 5. Fair Value Measurements</w:t>
            </w:r>
          </w:p>
        </w:tc>
        <w:tc>
          <w:tcPr>
            <w:tcW w:w="60" w:type="dxa"/>
            <w:vAlign w:val="bottom"/>
            <w:tcBorders>
              <w:bottom w:val="single" w:sz="8" w:color="0000EE"/>
            </w:tcBorders>
            <w:gridSpan w:val="2"/>
          </w:tcPr>
          <w:p>
            <w:pPr>
              <w:spacing w:after="0"/>
              <w:rPr>
                <w:sz w:val="17"/>
                <w:szCs w:val="17"/>
                <w:color w:val="auto"/>
              </w:rPr>
            </w:pPr>
          </w:p>
        </w:tc>
        <w:tc>
          <w:tcPr>
            <w:tcW w:w="7260" w:type="dxa"/>
            <w:vAlign w:val="bottom"/>
            <w:gridSpan w:val="11"/>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6"/>
          </w:tcPr>
          <w:p>
            <w:pPr>
              <w:spacing w:after="0" w:line="196" w:lineRule="exact"/>
              <w:rPr>
                <w:sz w:val="20"/>
                <w:szCs w:val="20"/>
                <w:color w:val="auto"/>
              </w:rPr>
            </w:pPr>
            <w:r>
              <w:rPr>
                <w:rFonts w:ascii="Arial" w:cs="Arial" w:eastAsia="Arial" w:hAnsi="Arial"/>
                <w:sz w:val="18"/>
                <w:szCs w:val="18"/>
                <w:color w:val="0000FF"/>
              </w:rPr>
              <w:t>Note 6. Derivative Instruments</w:t>
            </w: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6"/>
          </w:tcPr>
          <w:p>
            <w:pPr>
              <w:spacing w:after="0" w:line="196" w:lineRule="exact"/>
              <w:rPr>
                <w:sz w:val="20"/>
                <w:szCs w:val="20"/>
                <w:color w:val="auto"/>
              </w:rPr>
            </w:pPr>
            <w:r>
              <w:rPr>
                <w:rFonts w:ascii="Arial" w:cs="Arial" w:eastAsia="Arial" w:hAnsi="Arial"/>
                <w:sz w:val="18"/>
                <w:szCs w:val="18"/>
                <w:color w:val="0000FF"/>
              </w:rPr>
              <w:t>Note 7. Accrued Expenses and Other Current Liabilities</w:t>
            </w: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tcBorders>
              <w:top w:val="single" w:sz="8" w:color="0000FF"/>
              <w:bottom w:val="single" w:sz="8" w:color="0000EE"/>
            </w:tcBorders>
            <w:gridSpan w:val="17"/>
          </w:tcPr>
          <w:p>
            <w:pPr>
              <w:spacing w:after="0" w:line="196" w:lineRule="exact"/>
              <w:rPr>
                <w:sz w:val="20"/>
                <w:szCs w:val="20"/>
                <w:color w:val="auto"/>
              </w:rPr>
            </w:pPr>
            <w:r>
              <w:rPr>
                <w:rFonts w:ascii="Arial" w:cs="Arial" w:eastAsia="Arial" w:hAnsi="Arial"/>
                <w:sz w:val="18"/>
                <w:szCs w:val="18"/>
                <w:color w:val="0000FF"/>
              </w:rPr>
              <w:t>Note 8. Property and Equipment, net</w:t>
            </w:r>
          </w:p>
        </w:tc>
        <w:tc>
          <w:tcPr>
            <w:tcW w:w="1420" w:type="dxa"/>
            <w:vAlign w:val="bottom"/>
            <w:tcBorders>
              <w:top w:val="single" w:sz="8" w:color="0000FF"/>
            </w:tcBorders>
            <w:gridSpan w:val="5"/>
          </w:tcPr>
          <w:p>
            <w:pPr>
              <w:spacing w:after="0"/>
              <w:rPr>
                <w:sz w:val="17"/>
                <w:szCs w:val="17"/>
                <w:color w:val="auto"/>
              </w:rPr>
            </w:pPr>
          </w:p>
        </w:tc>
        <w:tc>
          <w:tcPr>
            <w:tcW w:w="5600" w:type="dxa"/>
            <w:vAlign w:val="bottom"/>
            <w:gridSpan w:val="4"/>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9"/>
              </w:rPr>
              <w:t>Note 9. Business Combinations</w:t>
            </w:r>
          </w:p>
        </w:tc>
        <w:tc>
          <w:tcPr>
            <w:tcW w:w="20" w:type="dxa"/>
            <w:vAlign w:val="bottom"/>
            <w:tcBorders>
              <w:bottom w:val="single" w:sz="8" w:color="0000EE"/>
            </w:tcBorders>
          </w:tcPr>
          <w:p>
            <w:pPr>
              <w:spacing w:after="0"/>
              <w:rPr>
                <w:sz w:val="17"/>
                <w:szCs w:val="17"/>
                <w:color w:val="auto"/>
              </w:rPr>
            </w:pPr>
          </w:p>
        </w:tc>
        <w:tc>
          <w:tcPr>
            <w:tcW w:w="7480" w:type="dxa"/>
            <w:vAlign w:val="bottom"/>
            <w:gridSpan w:val="15"/>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FF"/>
              </w:rPr>
              <w:t>Note 10. Goodwill and Acquired Intangible Assets</w:t>
            </w:r>
          </w:p>
        </w:tc>
        <w:tc>
          <w:tcPr>
            <w:tcW w:w="6020" w:type="dxa"/>
            <w:vAlign w:val="bottom"/>
            <w:gridSpan w:val="5"/>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Note 11. Debt</w:t>
            </w:r>
          </w:p>
        </w:tc>
        <w:tc>
          <w:tcPr>
            <w:tcW w:w="40" w:type="dxa"/>
            <w:vAlign w:val="bottom"/>
            <w:tcBorders>
              <w:bottom w:val="single" w:sz="8" w:color="0000EE"/>
            </w:tcBorders>
          </w:tcPr>
          <w:p>
            <w:pPr>
              <w:spacing w:after="0"/>
              <w:rPr>
                <w:sz w:val="17"/>
                <w:szCs w:val="17"/>
                <w:color w:val="auto"/>
              </w:rPr>
            </w:pPr>
          </w:p>
        </w:tc>
        <w:tc>
          <w:tcPr>
            <w:tcW w:w="8860" w:type="dxa"/>
            <w:vAlign w:val="bottom"/>
            <w:gridSpan w:val="24"/>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6"/>
          </w:tcPr>
          <w:p>
            <w:pPr>
              <w:spacing w:after="0" w:line="196" w:lineRule="exact"/>
              <w:rPr>
                <w:sz w:val="20"/>
                <w:szCs w:val="20"/>
                <w:color w:val="auto"/>
              </w:rPr>
            </w:pPr>
            <w:r>
              <w:rPr>
                <w:rFonts w:ascii="Arial" w:cs="Arial" w:eastAsia="Arial" w:hAnsi="Arial"/>
                <w:sz w:val="18"/>
                <w:szCs w:val="18"/>
                <w:color w:val="0000FF"/>
              </w:rPr>
              <w:t>Note 12. Stockholders’ Equity</w:t>
            </w: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6"/>
          </w:tcPr>
          <w:p>
            <w:pPr>
              <w:spacing w:after="0" w:line="196" w:lineRule="exact"/>
              <w:rPr>
                <w:sz w:val="20"/>
                <w:szCs w:val="20"/>
                <w:color w:val="auto"/>
              </w:rPr>
            </w:pPr>
            <w:r>
              <w:rPr>
                <w:rFonts w:ascii="Arial" w:cs="Arial" w:eastAsia="Arial" w:hAnsi="Arial"/>
                <w:sz w:val="18"/>
                <w:szCs w:val="18"/>
                <w:color w:val="0000FF"/>
              </w:rPr>
              <w:t>Note 13. Stock-Based Compensation</w:t>
            </w: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6"/>
          </w:tcPr>
          <w:p>
            <w:pPr>
              <w:spacing w:after="0" w:line="196" w:lineRule="exact"/>
              <w:rPr>
                <w:sz w:val="20"/>
                <w:szCs w:val="20"/>
                <w:color w:val="auto"/>
              </w:rPr>
            </w:pPr>
            <w:r>
              <w:rPr>
                <w:rFonts w:ascii="Arial" w:cs="Arial" w:eastAsia="Arial" w:hAnsi="Arial"/>
                <w:sz w:val="18"/>
                <w:szCs w:val="18"/>
                <w:color w:val="0000FF"/>
              </w:rPr>
              <w:t>Note 14. Net Income (Loss) per Share</w:t>
            </w: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60" w:type="dxa"/>
            <w:vAlign w:val="bottom"/>
            <w:tcBorders>
              <w:top w:val="single" w:sz="8" w:color="0000FF"/>
            </w:tcBorders>
            <w:gridSpan w:val="18"/>
          </w:tcPr>
          <w:p>
            <w:pPr>
              <w:spacing w:after="0" w:line="196" w:lineRule="exact"/>
              <w:rPr>
                <w:sz w:val="20"/>
                <w:szCs w:val="20"/>
                <w:color w:val="auto"/>
              </w:rPr>
            </w:pPr>
            <w:r>
              <w:rPr>
                <w:rFonts w:ascii="Arial" w:cs="Arial" w:eastAsia="Arial" w:hAnsi="Arial"/>
                <w:sz w:val="18"/>
                <w:szCs w:val="18"/>
                <w:color w:val="0000FF"/>
              </w:rPr>
              <w:t>Note 15. Income Taxes</w:t>
            </w:r>
          </w:p>
        </w:tc>
        <w:tc>
          <w:tcPr>
            <w:tcW w:w="6960" w:type="dxa"/>
            <w:vAlign w:val="bottom"/>
            <w:gridSpan w:val="8"/>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9"/>
              </w:rPr>
              <w:t>Note 16. Leases</w:t>
            </w:r>
          </w:p>
        </w:tc>
        <w:tc>
          <w:tcPr>
            <w:tcW w:w="20" w:type="dxa"/>
            <w:vAlign w:val="bottom"/>
            <w:tcBorders>
              <w:top w:val="single" w:sz="8" w:color="0000FF"/>
              <w:bottom w:val="single" w:sz="8" w:color="0000EE"/>
            </w:tcBorders>
          </w:tcPr>
          <w:p>
            <w:pPr>
              <w:spacing w:after="0"/>
              <w:rPr>
                <w:sz w:val="17"/>
                <w:szCs w:val="17"/>
                <w:color w:val="auto"/>
              </w:rPr>
            </w:pPr>
          </w:p>
        </w:tc>
        <w:tc>
          <w:tcPr>
            <w:tcW w:w="600" w:type="dxa"/>
            <w:vAlign w:val="bottom"/>
            <w:tcBorders>
              <w:top w:val="single" w:sz="8" w:color="0000FF"/>
            </w:tcBorders>
            <w:gridSpan w:val="2"/>
          </w:tcPr>
          <w:p>
            <w:pPr>
              <w:spacing w:after="0"/>
              <w:rPr>
                <w:sz w:val="17"/>
                <w:szCs w:val="17"/>
                <w:color w:val="auto"/>
              </w:rPr>
            </w:pPr>
          </w:p>
        </w:tc>
        <w:tc>
          <w:tcPr>
            <w:tcW w:w="8080" w:type="dxa"/>
            <w:vAlign w:val="bottom"/>
            <w:gridSpan w:val="20"/>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6"/>
          </w:tcPr>
          <w:p>
            <w:pPr>
              <w:spacing w:after="0" w:line="196" w:lineRule="exact"/>
              <w:rPr>
                <w:sz w:val="20"/>
                <w:szCs w:val="20"/>
                <w:color w:val="auto"/>
              </w:rPr>
            </w:pPr>
            <w:r>
              <w:rPr>
                <w:rFonts w:ascii="Arial" w:cs="Arial" w:eastAsia="Arial" w:hAnsi="Arial"/>
                <w:sz w:val="18"/>
                <w:szCs w:val="18"/>
                <w:color w:val="0000FF"/>
              </w:rPr>
              <w:t>Note 17. Commitments and Contingencies</w:t>
            </w: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0" w:type="dxa"/>
            <w:vAlign w:val="bottom"/>
            <w:tcBorders>
              <w:top w:val="single" w:sz="8" w:color="0000FF"/>
              <w:bottom w:val="single" w:sz="8" w:color="0000EE"/>
            </w:tcBorders>
            <w:gridSpan w:val="12"/>
          </w:tcPr>
          <w:p>
            <w:pPr>
              <w:spacing w:after="0" w:line="196" w:lineRule="exact"/>
              <w:rPr>
                <w:sz w:val="20"/>
                <w:szCs w:val="20"/>
                <w:color w:val="auto"/>
              </w:rPr>
            </w:pPr>
            <w:r>
              <w:rPr>
                <w:rFonts w:ascii="Arial" w:cs="Arial" w:eastAsia="Arial" w:hAnsi="Arial"/>
                <w:sz w:val="18"/>
                <w:szCs w:val="18"/>
                <w:color w:val="0000FF"/>
              </w:rPr>
              <w:t>Note 18. Employee Benefit Plan</w:t>
            </w:r>
          </w:p>
        </w:tc>
        <w:tc>
          <w:tcPr>
            <w:tcW w:w="780" w:type="dxa"/>
            <w:vAlign w:val="bottom"/>
            <w:tcBorders>
              <w:top w:val="single" w:sz="8" w:color="0000FF"/>
            </w:tcBorders>
            <w:gridSpan w:val="7"/>
          </w:tcPr>
          <w:p>
            <w:pPr>
              <w:spacing w:after="0"/>
              <w:rPr>
                <w:sz w:val="17"/>
                <w:szCs w:val="17"/>
                <w:color w:val="auto"/>
              </w:rPr>
            </w:pPr>
          </w:p>
        </w:tc>
        <w:tc>
          <w:tcPr>
            <w:tcW w:w="6640" w:type="dxa"/>
            <w:vAlign w:val="bottom"/>
            <w:gridSpan w:val="7"/>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6"/>
          </w:tcPr>
          <w:p>
            <w:pPr>
              <w:spacing w:after="0" w:line="196" w:lineRule="exact"/>
              <w:rPr>
                <w:sz w:val="20"/>
                <w:szCs w:val="20"/>
                <w:color w:val="auto"/>
              </w:rPr>
            </w:pPr>
            <w:r>
              <w:rPr>
                <w:rFonts w:ascii="Arial" w:cs="Arial" w:eastAsia="Arial" w:hAnsi="Arial"/>
                <w:sz w:val="18"/>
                <w:szCs w:val="18"/>
                <w:color w:val="0000FF"/>
              </w:rPr>
              <w:t>Note 19. Subsequent Event</w:t>
            </w: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565"/>
        </w:trPr>
        <w:tc>
          <w:tcPr>
            <w:tcW w:w="460" w:type="dxa"/>
            <w:vAlign w:val="bottom"/>
            <w:gridSpan w:val="2"/>
          </w:tcPr>
          <w:p>
            <w:pPr>
              <w:spacing w:after="0"/>
              <w:rPr>
                <w:sz w:val="24"/>
                <w:szCs w:val="24"/>
                <w:color w:val="auto"/>
              </w:rPr>
            </w:pPr>
          </w:p>
        </w:tc>
        <w:tc>
          <w:tcPr>
            <w:tcW w:w="2200" w:type="dxa"/>
            <w:vAlign w:val="bottom"/>
            <w:tcBorders>
              <w:top w:val="single" w:sz="8" w:color="0000FF"/>
            </w:tcBorders>
            <w:gridSpan w:val="7"/>
          </w:tcPr>
          <w:p>
            <w:pPr>
              <w:spacing w:after="0"/>
              <w:rPr>
                <w:sz w:val="24"/>
                <w:szCs w:val="24"/>
                <w:color w:val="auto"/>
              </w:rPr>
            </w:pPr>
          </w:p>
        </w:tc>
        <w:tc>
          <w:tcPr>
            <w:tcW w:w="3340" w:type="dxa"/>
            <w:vAlign w:val="bottom"/>
            <w:gridSpan w:val="17"/>
          </w:tcPr>
          <w:p>
            <w:pPr>
              <w:jc w:val="right"/>
              <w:ind w:right="220"/>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7" w:name="page108"/>
    <w:bookmarkEnd w:id="107"/>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Flywire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6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We have audited the accompanying consolidated balance sheets of Flywire Corporation and its subsidiaries (the "Company") as of December 31, 2024 and 2023, and the related consolidated statements of operations and comprehensive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6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Invoiced Inc. (“Invoiced”) from its assessment of internal control over financial reporting as of December 31, 2024, because it was acquired by the Company in a purchase business combination during 2024. We have also excluded Invoiced from our audit of internal control over financial reporting. Invoiced is a wholly-owned subsidiary whose total assets and revenue excluded from management’s assessment and our audit of internal control over financial reporting represent less than 1% of each of the related consolidated financial statement amounts as of and for the year ended December 31,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69"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7"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2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Transaction Revenue for Cross-Border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Notes 1 and 2 to the consolidated financial statements, the Company’s transaction revenue relates to fees charged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processing services provided to educational institutions, healthcare entities and other commercial entities (each a client), which is</w:t>
      </w:r>
    </w:p>
    <w:p>
      <w:pPr>
        <w:spacing w:after="0" w:line="234" w:lineRule="auto"/>
        <w:rPr>
          <w:sz w:val="20"/>
          <w:szCs w:val="20"/>
          <w:color w:val="auto"/>
        </w:rPr>
      </w:pPr>
      <w:r>
        <w:rPr>
          <w:rFonts w:ascii="Arial" w:cs="Arial" w:eastAsia="Arial" w:hAnsi="Arial"/>
          <w:sz w:val="18"/>
          <w:szCs w:val="18"/>
          <w:color w:val="auto"/>
        </w:rPr>
        <w:t>comprised of processing domestic and cross-border transactions. Total transaction revenue for the year ended December 31, 2024 was</w:t>
      </w:r>
    </w:p>
    <w:p>
      <w:pPr>
        <w:spacing w:after="0" w:line="235" w:lineRule="auto"/>
        <w:rPr>
          <w:sz w:val="20"/>
          <w:szCs w:val="20"/>
          <w:color w:val="auto"/>
        </w:rPr>
      </w:pPr>
      <w:r>
        <w:rPr>
          <w:rFonts w:ascii="Arial" w:cs="Arial" w:eastAsia="Arial" w:hAnsi="Arial"/>
          <w:sz w:val="18"/>
          <w:szCs w:val="18"/>
          <w:color w:val="auto"/>
        </w:rPr>
        <w:t>$410.3 million, of which a significant portion related to cross-border transactions. Revenue is recognized when a customer obtains control of</w:t>
      </w:r>
    </w:p>
    <w:p>
      <w:pPr>
        <w:spacing w:after="0" w:line="235" w:lineRule="auto"/>
        <w:rPr>
          <w:sz w:val="20"/>
          <w:szCs w:val="20"/>
          <w:color w:val="auto"/>
        </w:rPr>
      </w:pPr>
      <w:r>
        <w:rPr>
          <w:rFonts w:ascii="Arial" w:cs="Arial" w:eastAsia="Arial" w:hAnsi="Arial"/>
          <w:sz w:val="18"/>
          <w:szCs w:val="18"/>
          <w:color w:val="auto"/>
        </w:rPr>
        <w:t>the promised goods or services, in an amount that reflects the consideration which the entity expects to receive in exchange for those goods</w:t>
      </w:r>
    </w:p>
    <w:p>
      <w:pPr>
        <w:spacing w:after="0"/>
        <w:rPr>
          <w:sz w:val="20"/>
          <w:szCs w:val="20"/>
          <w:color w:val="auto"/>
        </w:rPr>
      </w:pPr>
      <w:r>
        <w:rPr>
          <w:rFonts w:ascii="Arial" w:cs="Arial" w:eastAsia="Arial" w:hAnsi="Arial"/>
          <w:sz w:val="18"/>
          <w:szCs w:val="18"/>
          <w:color w:val="auto"/>
        </w:rPr>
        <w:t>or services.</w:t>
      </w:r>
    </w:p>
    <w:p>
      <w:pPr>
        <w:spacing w:after="0" w:line="11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recognition of transaction revenue for cross-border transactions is a critical audit matter are a high degree of auditor effort in performing procedures and evaluating audit evidence related to the Company’s revenue recognition for cross-border transactions.</w:t>
      </w:r>
    </w:p>
    <w:p>
      <w:pPr>
        <w:spacing w:after="0" w:line="10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revenue transactions recognized as cross-border transactions. These procedures also included, among others (i) testing revenue recognized for a sample of cross-border revenue transactions by obtaining and inspecting source documents, such as client contracts, cash receipts and cash payments; (ii) testing the revenue recognized for a sample of cross-border revenue transactions near period end by obtaining and inspecting source documents, such as bank statements; and (iii) confirming a sample of balances receivable from third party payment providers outstanding as of December 31,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Invoiced Inc. – Valuation of Acquired Relationships and Developed Technology</w:t>
      </w:r>
    </w:p>
    <w:p>
      <w:pPr>
        <w:spacing w:after="0" w:line="1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described in Notes 1 and 9 to the consolidated financial statements, on August 2, 2024, the Company acquired all of the issued and outstanding shares of Invoiced for estimated total purchase consideration, net of cash acquired, of $51.7 million. Of the acquired intangible assets, $18.6 million of acquired relationships and $7.1 million of developed technology were recorded. Management estimates the fair value of acquired relationships under the income approach using the multi-period excess earnings method and estimates the fair value of acquired developed technology under the income approach using the relief-from-royalty method. Determining the fair value of assets acquired is judgmental in nature and can involve the use of significant estimates and assumptions. Fair value determinations are based on, among other factors, estimates of future expected cash flows, revenue growth rates, royalty rates, operating margins and appropriate discount rates used in computing present values.</w:t>
      </w:r>
    </w:p>
    <w:p>
      <w:pPr>
        <w:spacing w:after="0" w:line="113"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acquired relationships and developed technology acquired in the acquisition of Invoiced is a critical audit matter are (i) the significant judgment by management when developing the fair value estimates of the acquired relationships and developed technology acquired; (ii) a high degree of auditor judgment, subjectivity, and effort in performing procedures and evaluating management’s significant assumptions related to revenue growth rates and discount rates for the acquired relationships and</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developed technology assets acquired; and (iii) the audit effort involved the use of professionals with specialized skill and knowledge.</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acquired relationships and developed technology acquired. These procedures also included, among others (i) reading the purchase agreement; (ii) testing management’s process for developing the fair value estimate of the acquired relationships and developed technology acquired; (iii) evaluating the appropriateness of the multi-period excess earnings and relief from royalty methods used by management; (iv) testing the completeness and accuracy of the underlying data used in the multi-period excess earnings and relief from royalty methods; and (v) evaluating the reasonableness of the significant assumptions used by management related to revenue growth rates and discount rates for the acquired relationships and developed technology. Evaluating management’s assumptions related to revenue growth rates involved considering (i) the current and past performance of the Invoiced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and relief from royalty methods used by management and (ii) the reasonableness of the discount rate assumptions for the acquired relationships and developed technology.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25,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4" w:right="419" w:bottom="1440" w:gutter="0" w:footer="0" w:header="0"/>
        </w:sectPr>
      </w:pPr>
    </w:p>
    <w:bookmarkStart w:id="110" w:name="page111"/>
    <w:bookmarkEnd w:id="110"/>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color w:val="auto"/>
        </w:rPr>
        <w:t>(Amounts in thousands, except par value per share and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9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96"/>
        </w:trPr>
        <w:tc>
          <w:tcPr>
            <w:tcW w:w="7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495,242</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654,608</w:t>
            </w: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80"/>
              <w:spacing w:after="0" w:line="202" w:lineRule="exact"/>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115,848</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7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receivable, net of allowance of $410 and $507, respectively</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23,703</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18,215</w:t>
            </w: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80"/>
              <w:spacing w:after="0" w:line="202" w:lineRule="exact"/>
              <w:rPr>
                <w:sz w:val="20"/>
                <w:szCs w:val="20"/>
                <w:color w:val="auto"/>
              </w:rPr>
            </w:pPr>
            <w:r>
              <w:rPr>
                <w:rFonts w:ascii="Arial" w:cs="Arial" w:eastAsia="Arial" w:hAnsi="Arial"/>
                <w:sz w:val="18"/>
                <w:szCs w:val="18"/>
                <w:color w:val="auto"/>
              </w:rPr>
              <w:t>Unbilled receivables, net of allowance of $36 and $27, respectively</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15,453</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10,689</w:t>
            </w:r>
          </w:p>
        </w:tc>
        <w:tc>
          <w:tcPr>
            <w:tcW w:w="120" w:type="dxa"/>
            <w:vAlign w:val="bottom"/>
          </w:tcPr>
          <w:p>
            <w:pPr>
              <w:spacing w:after="0"/>
              <w:rPr>
                <w:sz w:val="17"/>
                <w:szCs w:val="17"/>
                <w:color w:val="auto"/>
              </w:rPr>
            </w:pPr>
          </w:p>
        </w:tc>
      </w:tr>
      <w:tr>
        <w:trPr>
          <w:trHeight w:val="203"/>
        </w:trPr>
        <w:tc>
          <w:tcPr>
            <w:tcW w:w="7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Funds receivable from payment partners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90,110</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113,945</w:t>
            </w: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22,528</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18,227</w:t>
            </w:r>
          </w:p>
        </w:tc>
        <w:tc>
          <w:tcPr>
            <w:tcW w:w="120" w:type="dxa"/>
            <w:vAlign w:val="bottom"/>
          </w:tcPr>
          <w:p>
            <w:pPr>
              <w:spacing w:after="0"/>
              <w:rPr>
                <w:sz w:val="17"/>
                <w:szCs w:val="17"/>
                <w:color w:val="auto"/>
              </w:rPr>
            </w:pPr>
          </w:p>
        </w:tc>
      </w:tr>
      <w:tr>
        <w:trPr>
          <w:trHeight w:val="196"/>
        </w:trPr>
        <w:tc>
          <w:tcPr>
            <w:tcW w:w="794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762,884</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815,684</w:t>
            </w: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50,125</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7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17,160</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15,134</w:t>
            </w: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118,684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108,178</w:t>
            </w:r>
          </w:p>
        </w:tc>
        <w:tc>
          <w:tcPr>
            <w:tcW w:w="120" w:type="dxa"/>
            <w:vAlign w:val="bottom"/>
          </w:tcPr>
          <w:p>
            <w:pPr>
              <w:spacing w:after="0"/>
              <w:rPr>
                <w:sz w:val="17"/>
                <w:szCs w:val="17"/>
                <w:color w:val="auto"/>
              </w:rPr>
            </w:pPr>
          </w:p>
        </w:tc>
      </w:tr>
      <w:tr>
        <w:trPr>
          <w:trHeight w:val="203"/>
        </w:trPr>
        <w:tc>
          <w:tcPr>
            <w:tcW w:w="7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149,558</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121,646</w:t>
            </w: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24,035</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19,089</w:t>
            </w:r>
          </w:p>
        </w:tc>
        <w:tc>
          <w:tcPr>
            <w:tcW w:w="120" w:type="dxa"/>
            <w:vAlign w:val="bottom"/>
          </w:tcPr>
          <w:p>
            <w:pPr>
              <w:spacing w:after="0"/>
              <w:rPr>
                <w:sz w:val="17"/>
                <w:szCs w:val="17"/>
                <w:color w:val="auto"/>
              </w:rPr>
            </w:pPr>
          </w:p>
        </w:tc>
      </w:tr>
      <w:tr>
        <w:trPr>
          <w:trHeight w:val="236"/>
        </w:trPr>
        <w:tc>
          <w:tcPr>
            <w:tcW w:w="794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1,122,446</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1,079,731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79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15,353</w:t>
            </w:r>
          </w:p>
        </w:tc>
        <w:tc>
          <w:tcPr>
            <w:tcW w:w="260" w:type="dxa"/>
            <w:vAlign w:val="bottom"/>
          </w:tcPr>
          <w:p>
            <w:pPr>
              <w:spacing w:after="0"/>
              <w:rPr>
                <w:sz w:val="17"/>
                <w:szCs w:val="17"/>
                <w:color w:val="auto"/>
              </w:rPr>
            </w:pP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12,587</w:t>
            </w:r>
          </w:p>
        </w:tc>
        <w:tc>
          <w:tcPr>
            <w:tcW w:w="120" w:type="dxa"/>
            <w:vAlign w:val="bottom"/>
          </w:tcPr>
          <w:p>
            <w:pPr>
              <w:spacing w:after="0"/>
              <w:rPr>
                <w:sz w:val="17"/>
                <w:szCs w:val="17"/>
                <w:color w:val="auto"/>
              </w:rPr>
            </w:pPr>
          </w:p>
        </w:tc>
      </w:tr>
      <w:tr>
        <w:trPr>
          <w:trHeight w:val="203"/>
        </w:trPr>
        <w:tc>
          <w:tcPr>
            <w:tcW w:w="7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Funds payable to clients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217,788</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210,922</w:t>
            </w: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49,297</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43,315</w:t>
            </w:r>
          </w:p>
        </w:tc>
        <w:tc>
          <w:tcPr>
            <w:tcW w:w="120" w:type="dxa"/>
            <w:vAlign w:val="bottom"/>
          </w:tcPr>
          <w:p>
            <w:pPr>
              <w:spacing w:after="0"/>
              <w:rPr>
                <w:sz w:val="17"/>
                <w:szCs w:val="17"/>
                <w:color w:val="auto"/>
              </w:rPr>
            </w:pPr>
          </w:p>
        </w:tc>
      </w:tr>
      <w:tr>
        <w:trPr>
          <w:trHeight w:val="203"/>
        </w:trPr>
        <w:tc>
          <w:tcPr>
            <w:tcW w:w="794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7,337</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6,968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520"/>
              <w:spacing w:after="0" w:line="196" w:lineRule="exact"/>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289,775</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273,792</w:t>
            </w:r>
          </w:p>
        </w:tc>
        <w:tc>
          <w:tcPr>
            <w:tcW w:w="120" w:type="dxa"/>
            <w:vAlign w:val="bottom"/>
          </w:tcPr>
          <w:p>
            <w:pPr>
              <w:spacing w:after="0"/>
              <w:rPr>
                <w:sz w:val="17"/>
                <w:szCs w:val="17"/>
                <w:color w:val="auto"/>
              </w:rPr>
            </w:pPr>
          </w:p>
        </w:tc>
      </w:tr>
      <w:tr>
        <w:trPr>
          <w:trHeight w:val="203"/>
        </w:trPr>
        <w:tc>
          <w:tcPr>
            <w:tcW w:w="7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12,643</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15,391</w:t>
            </w: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5,261</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4,431</w:t>
            </w:r>
          </w:p>
        </w:tc>
        <w:tc>
          <w:tcPr>
            <w:tcW w:w="120" w:type="dxa"/>
            <w:vAlign w:val="bottom"/>
          </w:tcPr>
          <w:p>
            <w:pPr>
              <w:spacing w:after="0"/>
              <w:rPr>
                <w:sz w:val="17"/>
                <w:szCs w:val="17"/>
                <w:color w:val="auto"/>
              </w:rPr>
            </w:pPr>
          </w:p>
        </w:tc>
      </w:tr>
      <w:tr>
        <w:trPr>
          <w:trHeight w:val="196"/>
        </w:trPr>
        <w:tc>
          <w:tcPr>
            <w:tcW w:w="794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307,679</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293,614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17)</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4"/>
        </w:trPr>
        <w:tc>
          <w:tcPr>
            <w:tcW w:w="7940" w:type="dxa"/>
            <w:vAlign w:val="bottom"/>
          </w:tcPr>
          <w:p>
            <w:pPr>
              <w:ind w:left="280"/>
              <w:spacing w:after="0" w:line="183" w:lineRule="exact"/>
              <w:rPr>
                <w:sz w:val="20"/>
                <w:szCs w:val="20"/>
                <w:color w:val="auto"/>
              </w:rPr>
            </w:pPr>
            <w:r>
              <w:rPr>
                <w:rFonts w:ascii="Arial" w:cs="Arial" w:eastAsia="Arial" w:hAnsi="Arial"/>
                <w:sz w:val="18"/>
                <w:szCs w:val="18"/>
                <w:color w:val="auto"/>
              </w:rPr>
              <w:t>Preferred stock, $0.0001 par value; 10,000,000 shares authorized as of</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940" w:type="dxa"/>
            <w:vAlign w:val="bottom"/>
          </w:tcPr>
          <w:p>
            <w:pPr>
              <w:ind w:left="420"/>
              <w:spacing w:after="0" w:line="202" w:lineRule="exact"/>
              <w:rPr>
                <w:sz w:val="20"/>
                <w:szCs w:val="20"/>
                <w:color w:val="auto"/>
              </w:rPr>
            </w:pPr>
            <w:r>
              <w:rPr>
                <w:rFonts w:ascii="Arial" w:cs="Arial" w:eastAsia="Arial" w:hAnsi="Arial"/>
                <w:sz w:val="18"/>
                <w:szCs w:val="18"/>
                <w:color w:val="auto"/>
              </w:rPr>
              <w:t>December 31, 2024 and 2023; and no shares issued and outstanding as of</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7940" w:type="dxa"/>
            <w:vAlign w:val="bottom"/>
          </w:tcPr>
          <w:p>
            <w:pPr>
              <w:ind w:left="420"/>
              <w:spacing w:after="0"/>
              <w:rPr>
                <w:sz w:val="20"/>
                <w:szCs w:val="20"/>
                <w:color w:val="auto"/>
              </w:rPr>
            </w:pPr>
            <w:r>
              <w:rPr>
                <w:rFonts w:ascii="Arial" w:cs="Arial" w:eastAsia="Arial" w:hAnsi="Arial"/>
                <w:sz w:val="18"/>
                <w:szCs w:val="18"/>
                <w:color w:val="auto"/>
              </w:rPr>
              <w:t>December 31, 2024 and 2023</w:t>
            </w:r>
          </w:p>
        </w:tc>
        <w:tc>
          <w:tcPr>
            <w:tcW w:w="3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84"/>
        </w:trPr>
        <w:tc>
          <w:tcPr>
            <w:tcW w:w="794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Voting common stock, $0.0001 par value; 2,000,000,000 shares authorized as</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9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of December 31, 2024 and 2023; 126,853,852 shares issued and</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9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122,182,878 shares outstanding as of December 31, 2024; 123,010,207</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1"/>
        </w:trPr>
        <w:tc>
          <w:tcPr>
            <w:tcW w:w="79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shares issued and 120,695,162 shares outstanding as of December 31, 2023</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184"/>
        </w:trPr>
        <w:tc>
          <w:tcPr>
            <w:tcW w:w="7940" w:type="dxa"/>
            <w:vAlign w:val="bottom"/>
          </w:tcPr>
          <w:p>
            <w:pPr>
              <w:ind w:left="280"/>
              <w:spacing w:after="0" w:line="183" w:lineRule="exact"/>
              <w:rPr>
                <w:sz w:val="20"/>
                <w:szCs w:val="20"/>
                <w:color w:val="auto"/>
              </w:rPr>
            </w:pPr>
            <w:r>
              <w:rPr>
                <w:rFonts w:ascii="Arial" w:cs="Arial" w:eastAsia="Arial" w:hAnsi="Arial"/>
                <w:sz w:val="18"/>
                <w:szCs w:val="18"/>
                <w:color w:val="auto"/>
              </w:rPr>
              <w:t>Non-voting common stock, $0.0001 par value; 10,000,000 shares authorized as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940" w:type="dxa"/>
            <w:vAlign w:val="bottom"/>
          </w:tcPr>
          <w:p>
            <w:pPr>
              <w:ind w:left="420"/>
              <w:spacing w:after="0" w:line="202" w:lineRule="exact"/>
              <w:rPr>
                <w:sz w:val="20"/>
                <w:szCs w:val="20"/>
                <w:color w:val="auto"/>
              </w:rPr>
            </w:pPr>
            <w:r>
              <w:rPr>
                <w:rFonts w:ascii="Arial" w:cs="Arial" w:eastAsia="Arial" w:hAnsi="Arial"/>
                <w:sz w:val="18"/>
                <w:szCs w:val="18"/>
                <w:color w:val="auto"/>
              </w:rPr>
              <w:t>of December 31, 2024 and 2023; 1,873,320 shares issued and outstanding</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7940" w:type="dxa"/>
            <w:vAlign w:val="bottom"/>
          </w:tcPr>
          <w:p>
            <w:pPr>
              <w:ind w:left="420"/>
              <w:spacing w:after="0"/>
              <w:rPr>
                <w:sz w:val="20"/>
                <w:szCs w:val="20"/>
                <w:color w:val="auto"/>
              </w:rPr>
            </w:pPr>
            <w:r>
              <w:rPr>
                <w:rFonts w:ascii="Arial" w:cs="Arial" w:eastAsia="Arial" w:hAnsi="Arial"/>
                <w:sz w:val="18"/>
                <w:szCs w:val="18"/>
                <w:color w:val="auto"/>
              </w:rPr>
              <w:t>as of December 31, 2024 and 2023</w:t>
            </w:r>
          </w:p>
        </w:tc>
        <w:tc>
          <w:tcPr>
            <w:tcW w:w="3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184"/>
        </w:trPr>
        <w:tc>
          <w:tcPr>
            <w:tcW w:w="794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Treasury voting common stock, 4,670,974 and 2,315,045 shares as of</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1"/>
        </w:trPr>
        <w:tc>
          <w:tcPr>
            <w:tcW w:w="79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December 31, 2024 and 2023, respectively, held at cost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(46,268 )</w:t>
            </w:r>
          </w:p>
        </w:tc>
        <w:tc>
          <w:tcPr>
            <w:tcW w:w="4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(747 )</w:t>
            </w:r>
          </w:p>
        </w:tc>
      </w:tr>
      <w:tr>
        <w:trPr>
          <w:trHeight w:val="203"/>
        </w:trPr>
        <w:tc>
          <w:tcPr>
            <w:tcW w:w="7940" w:type="dxa"/>
            <w:vAlign w:val="bottom"/>
          </w:tcPr>
          <w:p>
            <w:pPr>
              <w:ind w:left="520"/>
              <w:spacing w:after="0" w:line="202" w:lineRule="exact"/>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1,033,958</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959,302</w:t>
            </w:r>
          </w:p>
        </w:tc>
        <w:tc>
          <w:tcPr>
            <w:tcW w:w="120" w:type="dxa"/>
            <w:vAlign w:val="bottom"/>
          </w:tcPr>
          <w:p>
            <w:pPr>
              <w:spacing w:after="0"/>
              <w:rPr>
                <w:sz w:val="17"/>
                <w:szCs w:val="17"/>
                <w:color w:val="auto"/>
              </w:rPr>
            </w:pPr>
          </w:p>
        </w:tc>
      </w:tr>
      <w:tr>
        <w:trPr>
          <w:trHeight w:val="203"/>
        </w:trPr>
        <w:tc>
          <w:tcPr>
            <w:tcW w:w="79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(2,066 )</w:t>
            </w: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1,320</w:t>
            </w:r>
          </w:p>
        </w:tc>
        <w:tc>
          <w:tcPr>
            <w:tcW w:w="120" w:type="dxa"/>
            <w:vAlign w:val="bottom"/>
            <w:shd w:val="clear" w:color="auto" w:fill="CFF0FC"/>
          </w:tcPr>
          <w:p>
            <w:pPr>
              <w:spacing w:after="0"/>
              <w:rPr>
                <w:sz w:val="17"/>
                <w:szCs w:val="17"/>
                <w:color w:val="auto"/>
              </w:rPr>
            </w:pPr>
          </w:p>
        </w:tc>
      </w:tr>
      <w:tr>
        <w:trPr>
          <w:trHeight w:val="203"/>
        </w:trPr>
        <w:tc>
          <w:tcPr>
            <w:tcW w:w="7940" w:type="dxa"/>
            <w:vAlign w:val="bottom"/>
          </w:tcPr>
          <w:p>
            <w:pPr>
              <w:ind w:left="520"/>
              <w:spacing w:after="0" w:line="202" w:lineRule="exact"/>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7"/>
                <w:szCs w:val="17"/>
                <w:color w:val="auto"/>
              </w:rPr>
            </w:pP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(170,870 )</w:t>
            </w:r>
          </w:p>
        </w:tc>
        <w:tc>
          <w:tcPr>
            <w:tcW w:w="46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(173,770 )</w:t>
            </w:r>
          </w:p>
        </w:tc>
      </w:tr>
      <w:tr>
        <w:trPr>
          <w:trHeight w:val="196"/>
        </w:trPr>
        <w:tc>
          <w:tcPr>
            <w:tcW w:w="7940" w:type="dxa"/>
            <w:vAlign w:val="bottom"/>
            <w:tcBorders>
              <w:bottom w:val="single" w:sz="8" w:color="CFF0FC"/>
            </w:tcBorders>
            <w:shd w:val="clear" w:color="auto" w:fill="CFF0FC"/>
          </w:tcPr>
          <w:p>
            <w:pPr>
              <w:ind w:left="780"/>
              <w:spacing w:after="0" w:line="196" w:lineRule="exact"/>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814,767</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786,117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7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1,122,446</w:t>
            </w:r>
          </w:p>
        </w:tc>
        <w:tc>
          <w:tcPr>
            <w:tcW w:w="26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1,079,731</w:t>
            </w:r>
          </w:p>
        </w:tc>
        <w:tc>
          <w:tcPr>
            <w:tcW w:w="120" w:type="dxa"/>
            <w:vAlign w:val="bottom"/>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-3822700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-3805555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-3822700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-3805555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-3025140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-3025140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-2493645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-2493645</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1" w:name="page112"/>
    <w:bookmarkEnd w:id="111"/>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40"/>
        <w:spacing w:after="0"/>
        <w:rPr>
          <w:sz w:val="20"/>
          <w:szCs w:val="20"/>
          <w:color w:val="auto"/>
        </w:rPr>
      </w:pPr>
      <w:r>
        <w:rPr>
          <w:rFonts w:ascii="Arial" w:cs="Arial" w:eastAsia="Arial" w:hAnsi="Arial"/>
          <w:sz w:val="18"/>
          <w:szCs w:val="18"/>
          <w:color w:val="auto"/>
        </w:rPr>
        <w:t>(Amounts in thousands, except share and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492,144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403,094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289,375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Costs and operating expenses: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Payment processing services costs</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177,490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147,339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107,933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Technology and development</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66,636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62,028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Selling and marketing</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129,435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107,621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125,838</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107,624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costs and operating expenses</w:t>
            </w: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499,399</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424,612</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319,595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(7,255 )</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(21,518 )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(30,220 )</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3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(538 )</w:t>
            </w:r>
          </w:p>
        </w:tc>
        <w:tc>
          <w:tcPr>
            <w:tcW w:w="2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(372 )</w:t>
            </w:r>
          </w:p>
        </w:tc>
        <w:tc>
          <w:tcPr>
            <w:tcW w:w="22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(1,211 )</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21,440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13,349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(Loss) gain from remeasurement of foreign currency</w:t>
            </w:r>
          </w:p>
        </w:tc>
        <w:tc>
          <w:tcPr>
            <w:tcW w:w="220" w:type="dxa"/>
            <w:vAlign w:val="bottom"/>
          </w:tcPr>
          <w:p>
            <w:pPr>
              <w:spacing w:after="0"/>
              <w:rPr>
                <w:sz w:val="17"/>
                <w:szCs w:val="17"/>
                <w:color w:val="auto"/>
              </w:rPr>
            </w:pPr>
          </w:p>
        </w:tc>
        <w:tc>
          <w:tcPr>
            <w:tcW w:w="13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(11,787 )</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4,189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(9,172 )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9,115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17,166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(7,139 )</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Income (loss) before (benefit from) provision for income taxes</w:t>
            </w: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1,860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(4,352 )</w:t>
            </w:r>
          </w:p>
        </w:tc>
        <w:tc>
          <w:tcPr>
            <w:tcW w:w="220" w:type="dxa"/>
            <w:vAlign w:val="bottom"/>
          </w:tcPr>
          <w:p>
            <w:pPr>
              <w:spacing w:after="0"/>
              <w:rPr>
                <w:sz w:val="17"/>
                <w:szCs w:val="17"/>
                <w:color w:val="auto"/>
              </w:rPr>
            </w:pP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(37,359 )</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(Benefit from) provision for income taxes</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(1,040 )</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4,214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2,900</w:t>
            </w:r>
          </w:p>
        </w:tc>
        <w:tc>
          <w:tcPr>
            <w:tcW w:w="260" w:type="dxa"/>
            <w:vAlign w:val="bottom"/>
          </w:tcPr>
          <w:p>
            <w:pPr>
              <w:spacing w:after="0"/>
              <w:rPr>
                <w:sz w:val="17"/>
                <w:szCs w:val="17"/>
                <w:color w:val="auto"/>
              </w:rPr>
            </w:pP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(8,566 )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(39,347 )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40"/>
              <w:spacing w:after="0" w:line="202" w:lineRule="exact"/>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7"/>
                <w:szCs w:val="17"/>
                <w:color w:val="auto"/>
              </w:rPr>
            </w:pPr>
          </w:p>
        </w:tc>
        <w:tc>
          <w:tcPr>
            <w:tcW w:w="13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(3,594 )</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3,232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(1,513 )</w:t>
            </w: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140"/>
              <w:spacing w:after="0" w:line="183" w:lineRule="exact"/>
              <w:rPr>
                <w:sz w:val="20"/>
                <w:szCs w:val="20"/>
                <w:color w:val="auto"/>
              </w:rPr>
            </w:pPr>
            <w:r>
              <w:rPr>
                <w:rFonts w:ascii="Arial" w:cs="Arial" w:eastAsia="Arial" w:hAnsi="Arial"/>
                <w:sz w:val="18"/>
                <w:szCs w:val="18"/>
                <w:color w:val="auto"/>
              </w:rPr>
              <w:t>Unrealized gains on available-for-sale</w:t>
            </w: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6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debt securities, net of taxes</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vMerge w:val="continue"/>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80"/>
              <w:spacing w:after="0" w:line="196" w:lineRule="exact"/>
              <w:rPr>
                <w:sz w:val="20"/>
                <w:szCs w:val="20"/>
                <w:color w:val="auto"/>
              </w:rPr>
            </w:pPr>
            <w:r>
              <w:rPr>
                <w:rFonts w:ascii="Arial" w:cs="Arial" w:eastAsia="Arial" w:hAnsi="Arial"/>
                <w:sz w:val="18"/>
                <w:szCs w:val="18"/>
                <w:color w:val="auto"/>
              </w:rPr>
              <w:t>Total other comprehensive (loss) income</w:t>
            </w:r>
          </w:p>
        </w:tc>
        <w:tc>
          <w:tcPr>
            <w:tcW w:w="220" w:type="dxa"/>
            <w:vAlign w:val="bottom"/>
          </w:tcPr>
          <w:p>
            <w:pPr>
              <w:spacing w:after="0"/>
              <w:rPr>
                <w:sz w:val="17"/>
                <w:szCs w:val="17"/>
                <w:color w:val="auto"/>
              </w:rPr>
            </w:pPr>
          </w:p>
        </w:tc>
        <w:tc>
          <w:tcPr>
            <w:tcW w:w="138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(3,386 )</w:t>
            </w: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3,232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(1,513 )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(486 )</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(5,334 )</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(40,860 )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0" w:type="dxa"/>
            <w:vAlign w:val="bottom"/>
          </w:tcPr>
          <w:p>
            <w:pPr>
              <w:ind w:left="20"/>
              <w:spacing w:after="0" w:line="164" w:lineRule="exact"/>
              <w:rPr>
                <w:sz w:val="20"/>
                <w:szCs w:val="20"/>
                <w:color w:val="auto"/>
              </w:rPr>
            </w:pPr>
            <w:r>
              <w:rPr>
                <w:rFonts w:ascii="Arial" w:cs="Arial" w:eastAsia="Arial" w:hAnsi="Arial"/>
                <w:sz w:val="18"/>
                <w:szCs w:val="18"/>
                <w:color w:val="auto"/>
              </w:rPr>
              <w:t>Net income (loss) attributable to common stockholders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2,900</w:t>
            </w:r>
          </w:p>
        </w:tc>
        <w:tc>
          <w:tcPr>
            <w:tcW w:w="260" w:type="dxa"/>
            <w:vAlign w:val="bottom"/>
          </w:tcPr>
          <w:p>
            <w:pPr>
              <w:spacing w:after="0"/>
              <w:rPr>
                <w:sz w:val="14"/>
                <w:szCs w:val="14"/>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(8,566 )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(39,347 )</w:t>
            </w:r>
          </w:p>
        </w:tc>
        <w:tc>
          <w:tcPr>
            <w:tcW w:w="0" w:type="dxa"/>
            <w:vAlign w:val="bottom"/>
          </w:tcPr>
          <w:p>
            <w:pPr>
              <w:spacing w:after="0"/>
              <w:rPr>
                <w:sz w:val="1"/>
                <w:szCs w:val="1"/>
                <w:color w:val="auto"/>
              </w:rPr>
            </w:pPr>
          </w:p>
        </w:tc>
      </w:tr>
      <w:tr>
        <w:trPr>
          <w:trHeight w:val="181"/>
        </w:trPr>
        <w:tc>
          <w:tcPr>
            <w:tcW w:w="6600" w:type="dxa"/>
            <w:vAlign w:val="bottom"/>
          </w:tcPr>
          <w:p>
            <w:pPr>
              <w:ind w:left="180"/>
              <w:spacing w:after="0" w:line="161" w:lineRule="exact"/>
              <w:rPr>
                <w:sz w:val="20"/>
                <w:szCs w:val="20"/>
                <w:color w:val="auto"/>
              </w:rPr>
            </w:pPr>
            <w:r>
              <w:rPr>
                <w:rFonts w:ascii="Arial" w:cs="Arial" w:eastAsia="Arial" w:hAnsi="Arial"/>
                <w:sz w:val="18"/>
                <w:szCs w:val="18"/>
                <w:color w:val="auto"/>
              </w:rPr>
              <w:t>basic and diluted</w:t>
            </w:r>
          </w:p>
        </w:tc>
        <w:tc>
          <w:tcPr>
            <w:tcW w:w="2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Net income (loss) per share attributable to common</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(0.07 )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(0.36 )</w:t>
            </w:r>
          </w:p>
        </w:tc>
        <w:tc>
          <w:tcPr>
            <w:tcW w:w="0" w:type="dxa"/>
            <w:vAlign w:val="bottom"/>
          </w:tcPr>
          <w:p>
            <w:pPr>
              <w:spacing w:after="0"/>
              <w:rPr>
                <w:sz w:val="1"/>
                <w:szCs w:val="1"/>
                <w:color w:val="auto"/>
              </w:rPr>
            </w:pPr>
          </w:p>
        </w:tc>
      </w:tr>
      <w:tr>
        <w:trPr>
          <w:trHeight w:val="201"/>
        </w:trPr>
        <w:tc>
          <w:tcPr>
            <w:tcW w:w="6600" w:type="dxa"/>
            <w:vAlign w:val="bottom"/>
            <w:shd w:val="clear" w:color="auto" w:fill="CFF0FC"/>
          </w:tcPr>
          <w:p>
            <w:pPr>
              <w:ind w:left="180"/>
              <w:spacing w:after="0" w:line="161" w:lineRule="exact"/>
              <w:rPr>
                <w:sz w:val="20"/>
                <w:szCs w:val="20"/>
                <w:color w:val="auto"/>
              </w:rPr>
            </w:pPr>
            <w:r>
              <w:rPr>
                <w:rFonts w:ascii="Arial" w:cs="Arial" w:eastAsia="Arial" w:hAnsi="Arial"/>
                <w:sz w:val="18"/>
                <w:szCs w:val="18"/>
                <w:color w:val="auto"/>
              </w:rPr>
              <w:t>stockholders – basic</w:t>
            </w:r>
          </w:p>
        </w:tc>
        <w:tc>
          <w:tcPr>
            <w:tcW w:w="220" w:type="dxa"/>
            <w:vAlign w:val="bottom"/>
            <w:vMerge w:val="continue"/>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0" w:type="dxa"/>
            <w:vAlign w:val="bottom"/>
          </w:tcPr>
          <w:p>
            <w:pPr>
              <w:ind w:left="20"/>
              <w:spacing w:after="0" w:line="164" w:lineRule="exact"/>
              <w:rPr>
                <w:sz w:val="20"/>
                <w:szCs w:val="20"/>
                <w:color w:val="auto"/>
              </w:rPr>
            </w:pPr>
            <w:r>
              <w:rPr>
                <w:rFonts w:ascii="Arial" w:cs="Arial" w:eastAsia="Arial" w:hAnsi="Arial"/>
                <w:sz w:val="18"/>
                <w:szCs w:val="18"/>
                <w:color w:val="auto"/>
              </w:rPr>
              <w:t>Net income (loss) per share attributable to common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4"/>
                <w:szCs w:val="14"/>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(0.07 )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(0.36 )</w:t>
            </w:r>
          </w:p>
        </w:tc>
        <w:tc>
          <w:tcPr>
            <w:tcW w:w="0" w:type="dxa"/>
            <w:vAlign w:val="bottom"/>
          </w:tcPr>
          <w:p>
            <w:pPr>
              <w:spacing w:after="0"/>
              <w:rPr>
                <w:sz w:val="1"/>
                <w:szCs w:val="1"/>
                <w:color w:val="auto"/>
              </w:rPr>
            </w:pPr>
          </w:p>
        </w:tc>
      </w:tr>
      <w:tr>
        <w:trPr>
          <w:trHeight w:val="181"/>
        </w:trPr>
        <w:tc>
          <w:tcPr>
            <w:tcW w:w="6600" w:type="dxa"/>
            <w:vAlign w:val="bottom"/>
          </w:tcPr>
          <w:p>
            <w:pPr>
              <w:ind w:left="180"/>
              <w:spacing w:after="0" w:line="161" w:lineRule="exact"/>
              <w:rPr>
                <w:sz w:val="20"/>
                <w:szCs w:val="20"/>
                <w:color w:val="auto"/>
              </w:rPr>
            </w:pPr>
            <w:r>
              <w:rPr>
                <w:rFonts w:ascii="Arial" w:cs="Arial" w:eastAsia="Arial" w:hAnsi="Arial"/>
                <w:sz w:val="18"/>
                <w:szCs w:val="18"/>
                <w:color w:val="auto"/>
              </w:rPr>
              <w:t>stockholders – diluted</w:t>
            </w:r>
          </w:p>
        </w:tc>
        <w:tc>
          <w:tcPr>
            <w:tcW w:w="2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common shares outstanding – basic</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124,269,820</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114,828,494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107,935,514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common shares outstanding – diluted</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129,339,462</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114,828,494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107,935,514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-3110865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-3110865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-2313940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-2313940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-2047875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-2047875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-1379220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-1379220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-1104900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-1087755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-1104900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-1087755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-590550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-574040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-590550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-574040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-179070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-162560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2" w:name="page113"/>
    <w:bookmarkEnd w:id="112"/>
    <w:p>
      <w:pPr>
        <w:jc w:val="center"/>
        <w:ind w:right="40"/>
        <w:spacing w:after="0"/>
        <w:rPr>
          <w:sz w:val="20"/>
          <w:szCs w:val="20"/>
          <w:color w:val="auto"/>
        </w:rPr>
      </w:pPr>
      <w:r>
        <w:rPr>
          <w:rFonts w:ascii="Arial" w:cs="Arial" w:eastAsia="Arial" w:hAnsi="Arial"/>
          <w:sz w:val="16"/>
          <w:szCs w:val="16"/>
          <w:b w:val="1"/>
          <w:bCs w:val="1"/>
          <w:color w:val="auto"/>
        </w:rPr>
        <w:t>FLYWIRE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(Amounts in thousands, except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640"/>
              <w:spacing w:after="0"/>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Non-Voting</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right"/>
              <w:ind w:right="106"/>
              <w:spacing w:after="0" w:line="108" w:lineRule="exact"/>
              <w:rPr>
                <w:sz w:val="20"/>
                <w:szCs w:val="20"/>
                <w:color w:val="auto"/>
              </w:rPr>
            </w:pPr>
            <w:r>
              <w:rPr>
                <w:rFonts w:ascii="Arial" w:cs="Arial" w:eastAsia="Arial" w:hAnsi="Arial"/>
                <w:sz w:val="11"/>
                <w:szCs w:val="11"/>
                <w:b w:val="1"/>
                <w:bCs w:val="1"/>
                <w:color w:val="auto"/>
              </w:rPr>
              <w:t>Additional</w:t>
            </w:r>
          </w:p>
        </w:tc>
        <w:tc>
          <w:tcPr>
            <w:tcW w:w="220" w:type="dxa"/>
            <w:vAlign w:val="bottom"/>
          </w:tcPr>
          <w:p>
            <w:pPr>
              <w:spacing w:after="0"/>
              <w:rPr>
                <w:sz w:val="9"/>
                <w:szCs w:val="9"/>
                <w:color w:val="auto"/>
              </w:rPr>
            </w:pPr>
          </w:p>
        </w:tc>
        <w:tc>
          <w:tcPr>
            <w:tcW w:w="1080" w:type="dxa"/>
            <w:vAlign w:val="bottom"/>
            <w:gridSpan w:val="3"/>
          </w:tcPr>
          <w:p>
            <w:pPr>
              <w:jc w:val="center"/>
              <w:ind w:right="22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4"/>
          </w:tcPr>
          <w:p>
            <w:pPr>
              <w:jc w:val="right"/>
              <w:ind w:right="346"/>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1"/>
                <w:szCs w:val="11"/>
                <w:color w:val="auto"/>
              </w:rPr>
            </w:pPr>
          </w:p>
        </w:tc>
        <w:tc>
          <w:tcPr>
            <w:tcW w:w="1620" w:type="dxa"/>
            <w:vAlign w:val="bottom"/>
            <w:gridSpan w:val="4"/>
          </w:tcPr>
          <w:p>
            <w:pPr>
              <w:jc w:val="right"/>
              <w:ind w:right="34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1"/>
                <w:szCs w:val="11"/>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1"/>
                <w:szCs w:val="11"/>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b w:val="1"/>
                <w:bCs w:val="1"/>
                <w:color w:val="auto"/>
              </w:rPr>
              <w:t>Paid-In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1"/>
                <w:szCs w:val="1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13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top w:val="single" w:sz="8" w:color="auto"/>
            </w:tcBorders>
            <w:gridSpan w:val="2"/>
          </w:tcPr>
          <w:p>
            <w:pPr>
              <w:ind w:left="220"/>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460"/>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86"/>
              <w:spacing w:after="0" w:line="115" w:lineRule="exact"/>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80"/>
              <w:spacing w:after="0" w:line="115" w:lineRule="exact"/>
              <w:rPr>
                <w:sz w:val="20"/>
                <w:szCs w:val="20"/>
                <w:color w:val="auto"/>
              </w:rPr>
            </w:pPr>
            <w:r>
              <w:rPr>
                <w:rFonts w:ascii="Arial" w:cs="Arial" w:eastAsia="Arial" w:hAnsi="Arial"/>
                <w:sz w:val="11"/>
                <w:szCs w:val="11"/>
                <w:b w:val="1"/>
                <w:bCs w:val="1"/>
                <w:color w:val="auto"/>
                <w:w w:val="96"/>
              </w:rPr>
              <w:t>(Loss)</w:t>
            </w:r>
          </w:p>
        </w:tc>
        <w:tc>
          <w:tcPr>
            <w:tcW w:w="80" w:type="dxa"/>
            <w:vAlign w:val="bottom"/>
          </w:tcPr>
          <w:p>
            <w:pPr>
              <w:spacing w:after="0"/>
              <w:rPr>
                <w:sz w:val="10"/>
                <w:szCs w:val="10"/>
                <w:color w:val="auto"/>
              </w:rPr>
            </w:pPr>
          </w:p>
        </w:tc>
        <w:tc>
          <w:tcPr>
            <w:tcW w:w="1000" w:type="dxa"/>
            <w:vAlign w:val="bottom"/>
            <w:gridSpan w:val="2"/>
          </w:tcPr>
          <w:p>
            <w:pPr>
              <w:jc w:val="right"/>
              <w:ind w:right="480"/>
              <w:spacing w:after="0" w:line="115" w:lineRule="exact"/>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02"/>
        </w:trPr>
        <w:tc>
          <w:tcPr>
            <w:tcW w:w="1360" w:type="dxa"/>
            <w:vAlign w:val="bottom"/>
            <w:tcBorders>
              <w:right w:val="single" w:sz="8" w:color="auto"/>
            </w:tcBorders>
            <w:shd w:val="clear" w:color="auto" w:fill="CFF0FC"/>
          </w:tcPr>
          <w:p>
            <w:pPr>
              <w:ind w:left="20"/>
              <w:spacing w:after="0" w:line="102" w:lineRule="exact"/>
              <w:rPr>
                <w:sz w:val="20"/>
                <w:szCs w:val="20"/>
                <w:color w:val="auto"/>
              </w:rPr>
            </w:pPr>
            <w:r>
              <w:rPr>
                <w:rFonts w:ascii="Arial" w:cs="Arial" w:eastAsia="Arial" w:hAnsi="Arial"/>
                <w:sz w:val="11"/>
                <w:szCs w:val="11"/>
                <w:b w:val="1"/>
                <w:bCs w:val="1"/>
                <w:color w:val="auto"/>
              </w:rPr>
              <w:t>Balances at December</w:t>
            </w:r>
          </w:p>
        </w:tc>
        <w:tc>
          <w:tcPr>
            <w:tcW w:w="100" w:type="dxa"/>
            <w:vAlign w:val="bottom"/>
            <w:shd w:val="clear" w:color="auto" w:fill="CFF0FC"/>
          </w:tcPr>
          <w:p>
            <w:pPr>
              <w:spacing w:after="0"/>
              <w:rPr>
                <w:sz w:val="8"/>
                <w:szCs w:val="8"/>
                <w:color w:val="auto"/>
              </w:rPr>
            </w:pPr>
          </w:p>
        </w:tc>
        <w:tc>
          <w:tcPr>
            <w:tcW w:w="8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b w:val="1"/>
                <w:bCs w:val="1"/>
                <w:color w:val="auto"/>
              </w:rPr>
              <w:t>31, 2021</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102,771,899</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5,988,378</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(2,317,722 )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(748 )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609,194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(399 )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(125,857 )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482,201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of stock options, net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tax withheld</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2,507,070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4,745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4,745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Conversion of</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non-voting</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common stock</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to voting common</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stock</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4,115,058</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(4,115,058 )</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settlement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units</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111,549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under</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employee stock</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purchase plan</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84,812</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as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consideration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for acquisition</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200,314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4,287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4,287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Foreign currency</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translation</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adjustment</w:t>
            </w: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(1,513 )</w:t>
            </w: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(1,513 )</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Stock-based</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compensation</w:t>
            </w:r>
          </w:p>
        </w:tc>
        <w:tc>
          <w:tcPr>
            <w:tcW w:w="10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30,259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30,259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20"/>
              <w:spacing w:after="0" w:line="122" w:lineRule="exact"/>
              <w:rPr>
                <w:sz w:val="20"/>
                <w:szCs w:val="20"/>
                <w:color w:val="auto"/>
              </w:rPr>
            </w:pPr>
            <w:r>
              <w:rPr>
                <w:rFonts w:ascii="Arial" w:cs="Arial" w:eastAsia="Arial" w:hAnsi="Arial"/>
                <w:sz w:val="11"/>
                <w:szCs w:val="11"/>
                <w:color w:val="auto"/>
              </w:rPr>
              <w:t>Net loss</w:t>
            </w: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60"/>
              <w:spacing w:after="0" w:line="122" w:lineRule="exact"/>
              <w:rPr>
                <w:sz w:val="20"/>
                <w:szCs w:val="20"/>
                <w:color w:val="auto"/>
              </w:rPr>
            </w:pPr>
            <w:r>
              <w:rPr>
                <w:rFonts w:ascii="Arial" w:cs="Arial" w:eastAsia="Arial" w:hAnsi="Arial"/>
                <w:sz w:val="11"/>
                <w:szCs w:val="11"/>
                <w:color w:val="auto"/>
              </w:rPr>
              <w:t>(39,347 )</w:t>
            </w:r>
          </w:p>
        </w:tc>
        <w:tc>
          <w:tcPr>
            <w:tcW w:w="1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60"/>
              <w:spacing w:after="0" w:line="122" w:lineRule="exact"/>
              <w:rPr>
                <w:sz w:val="20"/>
                <w:szCs w:val="20"/>
                <w:color w:val="auto"/>
              </w:rPr>
            </w:pPr>
            <w:r>
              <w:rPr>
                <w:rFonts w:ascii="Arial" w:cs="Arial" w:eastAsia="Arial" w:hAnsi="Arial"/>
                <w:sz w:val="11"/>
                <w:szCs w:val="11"/>
                <w:color w:val="auto"/>
              </w:rPr>
              <w:t>(39,347 )</w:t>
            </w:r>
          </w:p>
        </w:tc>
        <w:tc>
          <w:tcPr>
            <w:tcW w:w="0" w:type="dxa"/>
            <w:vAlign w:val="bottom"/>
          </w:tcPr>
          <w:p>
            <w:pPr>
              <w:spacing w:after="0"/>
              <w:rPr>
                <w:sz w:val="1"/>
                <w:szCs w:val="1"/>
                <w:color w:val="auto"/>
              </w:rPr>
            </w:pPr>
          </w:p>
        </w:tc>
      </w:tr>
      <w:tr>
        <w:trPr>
          <w:trHeight w:val="102"/>
        </w:trPr>
        <w:tc>
          <w:tcPr>
            <w:tcW w:w="1360" w:type="dxa"/>
            <w:vAlign w:val="bottom"/>
            <w:tcBorders>
              <w:top w:val="single" w:sz="8" w:color="CFF0FC"/>
              <w:right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rPr>
              <w:t>Balances at December</w:t>
            </w:r>
          </w:p>
        </w:tc>
        <w:tc>
          <w:tcPr>
            <w:tcW w:w="100" w:type="dxa"/>
            <w:vAlign w:val="bottom"/>
            <w:tcBorders>
              <w:top w:val="single" w:sz="8" w:color="CFF0FC"/>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b w:val="1"/>
                <w:bCs w:val="1"/>
                <w:color w:val="auto"/>
              </w:rPr>
              <w:t>31, 2022</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109,790,702</w:t>
            </w: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10</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1,873,320</w:t>
            </w: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220" w:type="dxa"/>
            <w:vAlign w:val="bottom"/>
            <w:gridSpan w:val="3"/>
          </w:tcPr>
          <w:p>
            <w:pPr>
              <w:jc w:val="right"/>
              <w:ind w:right="180"/>
              <w:spacing w:after="0"/>
              <w:rPr>
                <w:sz w:val="20"/>
                <w:szCs w:val="20"/>
                <w:color w:val="auto"/>
              </w:rPr>
            </w:pPr>
            <w:r>
              <w:rPr>
                <w:rFonts w:ascii="Arial" w:cs="Arial" w:eastAsia="Arial" w:hAnsi="Arial"/>
                <w:sz w:val="11"/>
                <w:szCs w:val="11"/>
                <w:color w:val="auto"/>
              </w:rPr>
              <w:t>(2,317,722 )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(748 )</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649,756</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(1,912 )</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(165,204 )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481,903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-162560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-162560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-162560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-162560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-162560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-162560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-162560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-162560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-162560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26"/>
        </w:trPr>
        <w:tc>
          <w:tcPr>
            <w:tcW w:w="136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in connection</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with public offering,</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net of</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underwriter</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discounts and</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commissions</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8,500,000</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FF0FC"/>
          </w:tcPr>
          <w:p>
            <w:pPr>
              <w:jc w:val="right"/>
              <w:ind w:right="4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261,119</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261,120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Costs incurred in</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public offering</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(1,062 )</w:t>
            </w:r>
          </w:p>
        </w:tc>
        <w:tc>
          <w:tcPr>
            <w:tcW w:w="3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(1,062 )</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treasury</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under equity</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incentive plans</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2,677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(1 )</w:t>
            </w:r>
          </w:p>
        </w:tc>
        <w:tc>
          <w:tcPr>
            <w:tcW w:w="3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5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of stock options, net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tax withheld</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3,339,587</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1,877</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1,877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settlement</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1,192,362</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FF0FC"/>
          </w:tcPr>
          <w:p>
            <w:pPr>
              <w:jc w:val="right"/>
              <w:ind w:right="4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5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w w:val="99"/>
              </w:rPr>
              <w:t>stock for retention bonus</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42,498</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1,196</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1,196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under</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employee stock</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purchase plan</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145,058</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FF0FC"/>
          </w:tcPr>
          <w:p>
            <w:pPr>
              <w:jc w:val="right"/>
              <w:ind w:right="4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2,691</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Foreign currency</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translation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adjustment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3,232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Stock-based</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compensation</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FF0FC"/>
          </w:tcPr>
          <w:p>
            <w:pPr>
              <w:jc w:val="right"/>
              <w:ind w:right="4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43,726</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43,726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Net loss</w:t>
            </w: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140" w:type="dxa"/>
            <w:vAlign w:val="bottom"/>
            <w:gridSpan w:val="3"/>
          </w:tcPr>
          <w:p>
            <w:pPr>
              <w:jc w:val="right"/>
              <w:ind w:right="3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4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(8,566 )</w:t>
            </w:r>
          </w:p>
        </w:tc>
        <w:tc>
          <w:tcPr>
            <w:tcW w:w="30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(8,566 )</w:t>
            </w:r>
          </w:p>
        </w:tc>
        <w:tc>
          <w:tcPr>
            <w:tcW w:w="0" w:type="dxa"/>
            <w:vAlign w:val="bottom"/>
          </w:tcPr>
          <w:p>
            <w:pPr>
              <w:spacing w:after="0"/>
              <w:rPr>
                <w:sz w:val="1"/>
                <w:szCs w:val="1"/>
                <w:color w:val="auto"/>
              </w:rPr>
            </w:pPr>
          </w:p>
        </w:tc>
      </w:tr>
      <w:tr>
        <w:trPr>
          <w:trHeight w:val="102"/>
        </w:trPr>
        <w:tc>
          <w:tcPr>
            <w:tcW w:w="1360" w:type="dxa"/>
            <w:vAlign w:val="bottom"/>
            <w:tcBorders>
              <w:right w:val="single" w:sz="8" w:color="auto"/>
            </w:tcBorders>
            <w:shd w:val="clear" w:color="auto" w:fill="CFF0FC"/>
          </w:tcPr>
          <w:p>
            <w:pPr>
              <w:ind w:left="20"/>
              <w:spacing w:after="0" w:line="102" w:lineRule="exact"/>
              <w:rPr>
                <w:sz w:val="20"/>
                <w:szCs w:val="20"/>
                <w:color w:val="auto"/>
              </w:rPr>
            </w:pPr>
            <w:r>
              <w:rPr>
                <w:rFonts w:ascii="Arial" w:cs="Arial" w:eastAsia="Arial" w:hAnsi="Arial"/>
                <w:sz w:val="11"/>
                <w:szCs w:val="11"/>
                <w:b w:val="1"/>
                <w:bCs w:val="1"/>
                <w:color w:val="auto"/>
              </w:rPr>
              <w:t>Balances at December</w:t>
            </w:r>
          </w:p>
        </w:tc>
        <w:tc>
          <w:tcPr>
            <w:tcW w:w="100" w:type="dxa"/>
            <w:vAlign w:val="bottom"/>
            <w:shd w:val="clear" w:color="auto" w:fill="CFF0FC"/>
          </w:tcPr>
          <w:p>
            <w:pPr>
              <w:spacing w:after="0"/>
              <w:rPr>
                <w:sz w:val="8"/>
                <w:szCs w:val="8"/>
                <w:color w:val="auto"/>
              </w:rPr>
            </w:pPr>
          </w:p>
        </w:tc>
        <w:tc>
          <w:tcPr>
            <w:tcW w:w="8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b w:val="1"/>
                <w:bCs w:val="1"/>
                <w:color w:val="auto"/>
              </w:rPr>
              <w:t>31, 2023</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123,010,207</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360" w:type="dxa"/>
            <w:vAlign w:val="bottom"/>
            <w:gridSpan w:val="4"/>
            <w:shd w:val="clear" w:color="auto" w:fill="CFF0FC"/>
          </w:tcPr>
          <w:p>
            <w:pPr>
              <w:jc w:val="right"/>
              <w:ind w:right="80"/>
              <w:spacing w:after="0"/>
              <w:rPr>
                <w:sz w:val="20"/>
                <w:szCs w:val="20"/>
                <w:color w:val="auto"/>
              </w:rPr>
            </w:pPr>
            <w:r>
              <w:rPr>
                <w:rFonts w:ascii="Arial" w:cs="Arial" w:eastAsia="Arial" w:hAnsi="Arial"/>
                <w:sz w:val="11"/>
                <w:szCs w:val="11"/>
                <w:color w:val="auto"/>
              </w:rPr>
              <w:t>(2,315,045 )   $</w:t>
            </w: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(747 )   $</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959,302</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1,320</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(173,770 )   $</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786,117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of stock options, net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tax withheld</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1,799,325</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5,613</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5,614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 net of tax withheld</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1,794,743</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FF0FC"/>
          </w:tcPr>
          <w:p>
            <w:pPr>
              <w:jc w:val="right"/>
              <w:ind w:right="4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(798 )</w:t>
            </w:r>
          </w:p>
        </w:tc>
        <w:tc>
          <w:tcPr>
            <w:tcW w:w="3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5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(798 )</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193,413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3,108</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3,108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w w:val="99"/>
              </w:rPr>
              <w:t>stock for retention bonus</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56,164</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FF0FC"/>
          </w:tcPr>
          <w:p>
            <w:pPr>
              <w:jc w:val="right"/>
              <w:ind w:right="4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Common stock</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repurchased</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1"/>
                <w:szCs w:val="11"/>
                <w:color w:val="auto"/>
              </w:rPr>
              <w:t>(2,386,856 )</w:t>
            </w:r>
          </w:p>
        </w:tc>
        <w:tc>
          <w:tcPr>
            <w:tcW w:w="14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(45,564 )</w:t>
            </w:r>
          </w:p>
        </w:tc>
        <w:tc>
          <w:tcPr>
            <w:tcW w:w="2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(45,564 )</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treasury</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under equity</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incentive plans</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30,927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(43 )</w:t>
            </w:r>
          </w:p>
        </w:tc>
        <w:tc>
          <w:tcPr>
            <w:tcW w:w="3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5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Foreign currency</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(3,594 )</w:t>
            </w:r>
          </w:p>
        </w:tc>
        <w:tc>
          <w:tcPr>
            <w:tcW w:w="240" w:type="dxa"/>
            <w:vAlign w:val="bottom"/>
          </w:tcPr>
          <w:p>
            <w:pPr>
              <w:spacing w:after="0"/>
              <w:rPr>
                <w:sz w:val="11"/>
                <w:szCs w:val="1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(3,594 )</w:t>
            </w: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Unrealized gains on</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available-for-sale debt</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securities, net of taxes</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FF0FC"/>
          </w:tcPr>
          <w:p>
            <w:pPr>
              <w:jc w:val="right"/>
              <w:ind w:right="4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208</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40" w:type="dxa"/>
            <w:vAlign w:val="bottom"/>
            <w:gridSpan w:val="3"/>
            <w:shd w:val="clear" w:color="auto" w:fill="CFF0FC"/>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1"/>
                <w:szCs w:val="11"/>
                <w:color w:val="auto"/>
              </w:rPr>
              <w:t>Stock-based</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compensation</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66,452</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66,452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60" w:type="dxa"/>
            <w:vAlign w:val="bottom"/>
            <w:tcBorders>
              <w:bottom w:val="single" w:sz="8" w:color="CFF0FC"/>
              <w:right w:val="single" w:sz="8" w:color="auto"/>
            </w:tcBorders>
            <w:shd w:val="clear" w:color="auto" w:fill="CFF0FC"/>
          </w:tcPr>
          <w:p>
            <w:pPr>
              <w:ind w:left="20"/>
              <w:spacing w:after="0" w:line="122" w:lineRule="exact"/>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2,900</w:t>
            </w:r>
          </w:p>
        </w:tc>
        <w:tc>
          <w:tcPr>
            <w:tcW w:w="2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2,900</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360" w:type="dxa"/>
            <w:vAlign w:val="bottom"/>
            <w:tcBorders>
              <w:right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rPr>
              <w:t>Balances at December</w:t>
            </w:r>
          </w:p>
        </w:tc>
        <w:tc>
          <w:tcPr>
            <w:tcW w:w="10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126,853,852</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13</w:t>
            </w:r>
          </w:p>
        </w:tc>
        <w:tc>
          <w:tcPr>
            <w:tcW w:w="1040" w:type="dxa"/>
            <w:vAlign w:val="bottom"/>
            <w:gridSpan w:val="3"/>
            <w:vMerge w:val="restart"/>
          </w:tcPr>
          <w:p>
            <w:pPr>
              <w:jc w:val="right"/>
              <w:spacing w:after="0"/>
              <w:rPr>
                <w:sz w:val="20"/>
                <w:szCs w:val="20"/>
                <w:color w:val="auto"/>
              </w:rPr>
            </w:pPr>
            <w:r>
              <w:rPr>
                <w:rFonts w:ascii="Arial" w:cs="Arial" w:eastAsia="Arial" w:hAnsi="Arial"/>
                <w:sz w:val="11"/>
                <w:szCs w:val="11"/>
                <w:color w:val="auto"/>
              </w:rPr>
              <w:t>1,873,320</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1"/>
                <w:szCs w:val="11"/>
                <w:color w:val="auto"/>
              </w:rPr>
              <w:t>(4,670,974 )</w:t>
            </w:r>
          </w:p>
        </w:tc>
        <w:tc>
          <w:tcPr>
            <w:tcW w:w="140" w:type="dxa"/>
            <w:vAlign w:val="bottom"/>
          </w:tcPr>
          <w:p>
            <w:pPr>
              <w:spacing w:after="0"/>
              <w:rPr>
                <w:sz w:val="8"/>
                <w:szCs w:val="8"/>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(46,268 )</w:t>
            </w:r>
          </w:p>
        </w:tc>
        <w:tc>
          <w:tcPr>
            <w:tcW w:w="2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1,033,958</w:t>
            </w: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(2,066 )</w:t>
            </w:r>
          </w:p>
        </w:tc>
        <w:tc>
          <w:tcPr>
            <w:tcW w:w="24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(170,870 )</w:t>
            </w:r>
          </w:p>
        </w:tc>
        <w:tc>
          <w:tcPr>
            <w:tcW w:w="30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814,767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360" w:type="dxa"/>
            <w:vAlign w:val="bottom"/>
            <w:tcBorders>
              <w:right w:val="single" w:sz="8" w:color="auto"/>
            </w:tcBorders>
          </w:tcPr>
          <w:p>
            <w:pPr>
              <w:ind w:left="120"/>
              <w:spacing w:after="0" w:line="88" w:lineRule="exact"/>
              <w:rPr>
                <w:sz w:val="20"/>
                <w:szCs w:val="20"/>
                <w:color w:val="auto"/>
              </w:rPr>
            </w:pPr>
            <w:r>
              <w:rPr>
                <w:rFonts w:ascii="Arial" w:cs="Arial" w:eastAsia="Arial" w:hAnsi="Arial"/>
                <w:sz w:val="10"/>
                <w:szCs w:val="10"/>
                <w:b w:val="1"/>
                <w:bCs w:val="1"/>
                <w:color w:val="auto"/>
              </w:rPr>
              <w:t>31, 2024</w:t>
            </w: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-187960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-187960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-187960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-187960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-187960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-187960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-187960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-187960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left="100" w:hanging="92"/>
        <w:spacing w:after="0"/>
        <w:tabs>
          <w:tab w:leader="none" w:pos="100" w:val="left"/>
        </w:tabs>
        <w:numPr>
          <w:ilvl w:val="0"/>
          <w:numId w:val="50"/>
        </w:numPr>
        <w:rPr>
          <w:rFonts w:ascii="Arial" w:cs="Arial" w:eastAsia="Arial" w:hAnsi="Arial"/>
          <w:sz w:val="14"/>
          <w:szCs w:val="14"/>
          <w:color w:val="auto"/>
        </w:rPr>
      </w:pPr>
      <w:r>
        <w:rPr>
          <w:rFonts w:ascii="Arial" w:cs="Arial" w:eastAsia="Arial" w:hAnsi="Arial"/>
          <w:sz w:val="11"/>
          <w:szCs w:val="11"/>
          <w:color w:val="auto"/>
        </w:rPr>
        <w:t>All dollar amounts are rounded and as a result, certain amounts may not recalculate using the rounded amounts provided.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4" w:name="page115"/>
    <w:bookmarkEnd w:id="114"/>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40"/>
        <w:spacing w:after="0"/>
        <w:rPr>
          <w:sz w:val="20"/>
          <w:szCs w:val="20"/>
          <w:color w:val="auto"/>
        </w:rPr>
      </w:pPr>
      <w:r>
        <w:rPr>
          <w:rFonts w:ascii="Arial" w:cs="Arial" w:eastAsia="Arial" w:hAnsi="Arial"/>
          <w:sz w:val="18"/>
          <w:szCs w:val="18"/>
          <w:color w:val="auto"/>
        </w:rPr>
        <w:t>(Amounts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r>
      <w:tr>
        <w:trPr>
          <w:trHeight w:val="183"/>
        </w:trPr>
        <w:tc>
          <w:tcPr>
            <w:tcW w:w="6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2,900</w:t>
            </w:r>
          </w:p>
        </w:tc>
        <w:tc>
          <w:tcPr>
            <w:tcW w:w="240" w:type="dxa"/>
            <w:vAlign w:val="bottom"/>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(8,566 )</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(39,347 )</w:t>
            </w:r>
          </w:p>
        </w:tc>
      </w:tr>
      <w:tr>
        <w:trPr>
          <w:trHeight w:val="175"/>
        </w:trPr>
        <w:tc>
          <w:tcPr>
            <w:tcW w:w="664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Adjustments to reconcile net income (loss) to net cash provided by</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17,363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15,764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12,304</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64,933</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43,726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30,259</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Amortization of deferred contract costs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fair value of contingent consideration</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(978 )</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(2,805 )</w:t>
            </w: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Deferred tax (benefit) provision</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(8,794 )</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(1,708 )</w:t>
            </w: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Provision for uncollectible accounts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(83 )</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Non-cash interest income</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(1,435 )</w:t>
            </w:r>
          </w:p>
        </w:tc>
        <w:tc>
          <w:tcPr>
            <w:tcW w:w="3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interest expense</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acquisitions: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(5,292 )</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(2,082 )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(323 )</w:t>
            </w:r>
          </w:p>
        </w:tc>
      </w:tr>
      <w:tr>
        <w:trPr>
          <w:trHeight w:val="189"/>
        </w:trPr>
        <w:tc>
          <w:tcPr>
            <w:tcW w:w="6640" w:type="dxa"/>
            <w:vAlign w:val="bottom"/>
          </w:tcPr>
          <w:p>
            <w:pPr>
              <w:ind w:left="380"/>
              <w:spacing w:after="0"/>
              <w:rPr>
                <w:sz w:val="20"/>
                <w:szCs w:val="20"/>
                <w:color w:val="auto"/>
              </w:rPr>
            </w:pPr>
            <w:r>
              <w:rPr>
                <w:rFonts w:ascii="Arial" w:cs="Arial" w:eastAsia="Arial" w:hAnsi="Arial"/>
                <w:sz w:val="16"/>
                <w:szCs w:val="16"/>
                <w:color w:val="auto"/>
              </w:rPr>
              <w:t>Unbilled receivables</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(4,764 )</w:t>
            </w:r>
          </w:p>
        </w:tc>
        <w:tc>
          <w:tcPr>
            <w:tcW w:w="3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(5,394 )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(1,928 )</w:t>
            </w: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Funds receivable from payment partners</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23,835</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(50,975 )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(30,917 )</w:t>
            </w:r>
          </w:p>
        </w:tc>
      </w:tr>
      <w:tr>
        <w:trPr>
          <w:trHeight w:val="189"/>
        </w:trPr>
        <w:tc>
          <w:tcPr>
            <w:tcW w:w="6640" w:type="dxa"/>
            <w:vAlign w:val="bottom"/>
          </w:tcPr>
          <w:p>
            <w:pPr>
              <w:ind w:left="380"/>
              <w:spacing w:after="0"/>
              <w:rPr>
                <w:sz w:val="20"/>
                <w:szCs w:val="20"/>
                <w:color w:val="auto"/>
              </w:rPr>
            </w:pPr>
            <w:r>
              <w:rPr>
                <w:rFonts w:ascii="Arial" w:cs="Arial" w:eastAsia="Arial" w:hAnsi="Arial"/>
                <w:sz w:val="16"/>
                <w:szCs w:val="16"/>
                <w:color w:val="auto"/>
              </w:rPr>
              <w:t>Prepaid expenses, other current assets and other assets</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(5,322 )</w:t>
            </w:r>
          </w:p>
        </w:tc>
        <w:tc>
          <w:tcPr>
            <w:tcW w:w="3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(4,279 )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(11,318 )</w:t>
            </w: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Funds payable to clients</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6,867</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86,616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48,932</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6,761</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Contingent consideration</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(93 )</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(467 )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(4,510 )</w:t>
            </w:r>
          </w:p>
        </w:tc>
      </w:tr>
      <w:tr>
        <w:trPr>
          <w:trHeight w:val="189"/>
        </w:trPr>
        <w:tc>
          <w:tcPr>
            <w:tcW w:w="664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(1,543 )</w:t>
            </w:r>
          </w:p>
        </w:tc>
        <w:tc>
          <w:tcPr>
            <w:tcW w:w="3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(1,260 )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(1,872 )</w:t>
            </w: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(630 )</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(871 )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(400 )</w:t>
            </w:r>
          </w:p>
        </w:tc>
      </w:tr>
      <w:tr>
        <w:trPr>
          <w:trHeight w:val="183"/>
        </w:trPr>
        <w:tc>
          <w:tcPr>
            <w:tcW w:w="6640" w:type="dxa"/>
            <w:vAlign w:val="bottom"/>
            <w:tcBorders>
              <w:top w:val="single" w:sz="8" w:color="CFF0FC"/>
            </w:tcBorders>
          </w:tcPr>
          <w:p>
            <w:pPr>
              <w:ind w:left="5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91,468</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80,625</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5,427</w:t>
            </w:r>
          </w:p>
        </w:tc>
        <w:tc>
          <w:tcPr>
            <w:tcW w:w="100" w:type="dxa"/>
            <w:vAlign w:val="bottom"/>
            <w:tcBorders>
              <w:top w:val="single" w:sz="8" w:color="CFF0FC"/>
            </w:tcBorders>
          </w:tcPr>
          <w:p>
            <w:pPr>
              <w:spacing w:after="0"/>
              <w:rPr>
                <w:sz w:val="15"/>
                <w:szCs w:val="15"/>
                <w:color w:val="auto"/>
              </w:rPr>
            </w:pPr>
          </w:p>
        </w:tc>
      </w:tr>
      <w:tr>
        <w:trPr>
          <w:trHeight w:val="183"/>
        </w:trPr>
        <w:tc>
          <w:tcPr>
            <w:tcW w:w="6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Purchase of short-term and long-term investments</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(193,927 )</w:t>
            </w:r>
          </w:p>
        </w:tc>
        <w:tc>
          <w:tcPr>
            <w:tcW w:w="3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5"/>
        </w:trPr>
        <w:tc>
          <w:tcPr>
            <w:tcW w:w="664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Proceeds from the maturity and sale of short-term and long-term</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investments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29,598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(5,317 )</w:t>
            </w:r>
          </w:p>
        </w:tc>
        <w:tc>
          <w:tcPr>
            <w:tcW w:w="3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(5,004 )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(5,717 )</w:t>
            </w: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(924 )</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(1,009 )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(1,353 )</w:t>
            </w: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(45,230 )</w:t>
            </w:r>
          </w:p>
        </w:tc>
        <w:tc>
          <w:tcPr>
            <w:tcW w:w="3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(32,764 )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(17,140 )</w:t>
            </w: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Contingent consideration paid for acquisitions</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(453 )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40" w:type="dxa"/>
            <w:vAlign w:val="bottom"/>
          </w:tcPr>
          <w:p>
            <w:pPr>
              <w:ind w:left="560"/>
              <w:spacing w:after="0" w:line="183" w:lineRule="exact"/>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5"/>
                <w:szCs w:val="15"/>
                <w:color w:val="auto"/>
              </w:rPr>
            </w:pPr>
          </w:p>
        </w:tc>
        <w:tc>
          <w:tcPr>
            <w:tcW w:w="1280" w:type="dxa"/>
            <w:vAlign w:val="bottom"/>
            <w:gridSpan w:val="2"/>
          </w:tcPr>
          <w:p>
            <w:pPr>
              <w:jc w:val="right"/>
              <w:ind w:right="108"/>
              <w:spacing w:after="0" w:line="183" w:lineRule="exact"/>
              <w:rPr>
                <w:sz w:val="20"/>
                <w:szCs w:val="20"/>
                <w:color w:val="auto"/>
              </w:rPr>
            </w:pPr>
            <w:r>
              <w:rPr>
                <w:rFonts w:ascii="Arial" w:cs="Arial" w:eastAsia="Arial" w:hAnsi="Arial"/>
                <w:sz w:val="16"/>
                <w:szCs w:val="16"/>
                <w:color w:val="auto"/>
              </w:rPr>
              <w:t>(215,800 )</w:t>
            </w:r>
          </w:p>
        </w:tc>
        <w:tc>
          <w:tcPr>
            <w:tcW w:w="320" w:type="dxa"/>
            <w:vAlign w:val="bottom"/>
          </w:tcPr>
          <w:p>
            <w:pPr>
              <w:spacing w:after="0"/>
              <w:rPr>
                <w:sz w:val="15"/>
                <w:szCs w:val="15"/>
                <w:color w:val="auto"/>
              </w:rPr>
            </w:pPr>
          </w:p>
        </w:tc>
        <w:tc>
          <w:tcPr>
            <w:tcW w:w="126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(38,777 )</w:t>
            </w:r>
          </w:p>
        </w:tc>
        <w:tc>
          <w:tcPr>
            <w:tcW w:w="320" w:type="dxa"/>
            <w:vAlign w:val="bottom"/>
          </w:tcPr>
          <w:p>
            <w:pPr>
              <w:spacing w:after="0"/>
              <w:rPr>
                <w:sz w:val="15"/>
                <w:szCs w:val="15"/>
                <w:color w:val="auto"/>
              </w:rPr>
            </w:pPr>
          </w:p>
        </w:tc>
        <w:tc>
          <w:tcPr>
            <w:tcW w:w="11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(24,663 )</w:t>
            </w:r>
          </w:p>
        </w:tc>
      </w:tr>
      <w:tr>
        <w:trPr>
          <w:trHeight w:val="183"/>
        </w:trPr>
        <w:tc>
          <w:tcPr>
            <w:tcW w:w="6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20"/>
              <w:spacing w:after="0" w:line="175" w:lineRule="exact"/>
              <w:rPr>
                <w:sz w:val="20"/>
                <w:szCs w:val="20"/>
                <w:color w:val="auto"/>
              </w:rPr>
            </w:pPr>
            <w:r>
              <w:rPr>
                <w:rFonts w:ascii="Arial" w:cs="Arial" w:eastAsia="Arial" w:hAnsi="Arial"/>
                <w:sz w:val="16"/>
                <w:szCs w:val="16"/>
                <w:color w:val="auto"/>
              </w:rPr>
              <w:t>Proceeds from issuance of common stock under public offering,</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40" w:type="dxa"/>
            <w:vAlign w:val="bottom"/>
          </w:tcPr>
          <w:p>
            <w:pPr>
              <w:ind w:left="160"/>
              <w:spacing w:after="0"/>
              <w:rPr>
                <w:sz w:val="20"/>
                <w:szCs w:val="20"/>
                <w:color w:val="auto"/>
              </w:rPr>
            </w:pPr>
            <w:r>
              <w:rPr>
                <w:rFonts w:ascii="Arial" w:cs="Arial" w:eastAsia="Arial" w:hAnsi="Arial"/>
                <w:sz w:val="16"/>
                <w:szCs w:val="16"/>
                <w:color w:val="auto"/>
              </w:rPr>
              <w:t>net of underwriting discount and commissions</w:t>
            </w:r>
          </w:p>
        </w:tc>
        <w:tc>
          <w:tcPr>
            <w:tcW w:w="300" w:type="dxa"/>
            <w:vAlign w:val="bottom"/>
          </w:tcPr>
          <w:p>
            <w:pPr>
              <w:spacing w:after="0"/>
              <w:rPr>
                <w:sz w:val="17"/>
                <w:szCs w:val="17"/>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261,119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costs related to public offering</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(1,062 )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Repayment of long-term debt</w:t>
            </w:r>
          </w:p>
        </w:tc>
        <w:tc>
          <w:tcPr>
            <w:tcW w:w="300" w:type="dxa"/>
            <w:vAlign w:val="bottom"/>
          </w:tcPr>
          <w:p>
            <w:pPr>
              <w:spacing w:after="0"/>
              <w:rPr>
                <w:sz w:val="16"/>
                <w:szCs w:val="16"/>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(25,939 )</w:t>
            </w: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Contingent consideration paid for acquisitions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(1,032 )</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(1,207 )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(3,701 )</w:t>
            </w: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Payment of long-term debt issuance costs</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(783 )</w:t>
            </w:r>
          </w:p>
        </w:tc>
        <w:tc>
          <w:tcPr>
            <w:tcW w:w="3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tax withholdings for net settled option exercises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(797 )</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(8,483 )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(2,564 )</w:t>
            </w:r>
          </w:p>
        </w:tc>
      </w:tr>
      <w:tr>
        <w:trPr>
          <w:trHeight w:val="175"/>
        </w:trPr>
        <w:tc>
          <w:tcPr>
            <w:tcW w:w="6640" w:type="dxa"/>
            <w:vAlign w:val="bottom"/>
          </w:tcPr>
          <w:p>
            <w:pPr>
              <w:ind w:left="20"/>
              <w:spacing w:after="0" w:line="175" w:lineRule="exact"/>
              <w:rPr>
                <w:sz w:val="20"/>
                <w:szCs w:val="20"/>
                <w:color w:val="auto"/>
              </w:rPr>
            </w:pPr>
            <w:r>
              <w:rPr>
                <w:rFonts w:ascii="Arial" w:cs="Arial" w:eastAsia="Arial" w:hAnsi="Arial"/>
                <w:sz w:val="16"/>
                <w:szCs w:val="16"/>
                <w:color w:val="auto"/>
              </w:rPr>
              <w:t>Proceeds from the issuance of stock under Employee Stock</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40" w:type="dxa"/>
            <w:vAlign w:val="bottom"/>
          </w:tcPr>
          <w:p>
            <w:pPr>
              <w:ind w:left="160"/>
              <w:spacing w:after="0"/>
              <w:rPr>
                <w:sz w:val="20"/>
                <w:szCs w:val="20"/>
                <w:color w:val="auto"/>
              </w:rPr>
            </w:pPr>
            <w:r>
              <w:rPr>
                <w:rFonts w:ascii="Arial" w:cs="Arial" w:eastAsia="Arial" w:hAnsi="Arial"/>
                <w:sz w:val="16"/>
                <w:szCs w:val="16"/>
                <w:color w:val="auto"/>
              </w:rPr>
              <w:t>Purchase Plan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3,108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7"/>
                <w:szCs w:val="17"/>
                <w:color w:val="auto"/>
              </w:rPr>
            </w:pP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5,613</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10,360</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6,963</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6"/>
                <w:szCs w:val="16"/>
                <w:color w:val="auto"/>
              </w:rPr>
              <w:t>(43,740 )</w:t>
            </w:r>
          </w:p>
        </w:tc>
        <w:tc>
          <w:tcPr>
            <w:tcW w:w="3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ind w:left="560"/>
              <w:spacing w:after="0" w:line="183" w:lineRule="exact"/>
              <w:rPr>
                <w:sz w:val="20"/>
                <w:szCs w:val="20"/>
                <w:color w:val="auto"/>
              </w:rPr>
            </w:pPr>
            <w:r>
              <w:rPr>
                <w:rFonts w:ascii="Arial" w:cs="Arial" w:eastAsia="Arial" w:hAnsi="Arial"/>
                <w:sz w:val="16"/>
                <w:szCs w:val="16"/>
                <w:color w:val="auto"/>
              </w:rPr>
              <w:t>Net cash (used in) provided by financing activities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8"/>
              <w:spacing w:after="0" w:line="183" w:lineRule="exact"/>
              <w:rPr>
                <w:sz w:val="20"/>
                <w:szCs w:val="20"/>
                <w:color w:val="auto"/>
              </w:rPr>
            </w:pPr>
            <w:r>
              <w:rPr>
                <w:rFonts w:ascii="Arial" w:cs="Arial" w:eastAsia="Arial" w:hAnsi="Arial"/>
                <w:sz w:val="16"/>
                <w:szCs w:val="16"/>
                <w:color w:val="auto"/>
              </w:rPr>
              <w:t>(37,631 )</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263,418</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(23,970 )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40" w:type="dxa"/>
            <w:vAlign w:val="bottom"/>
          </w:tcPr>
          <w:p>
            <w:pPr>
              <w:ind w:left="20"/>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30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2,597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(1,835 )</w:t>
            </w:r>
          </w:p>
        </w:tc>
        <w:tc>
          <w:tcPr>
            <w:tcW w:w="32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5,023</w:t>
            </w:r>
          </w:p>
        </w:tc>
        <w:tc>
          <w:tcPr>
            <w:tcW w:w="100" w:type="dxa"/>
            <w:vAlign w:val="bottom"/>
          </w:tcPr>
          <w:p>
            <w:pPr>
              <w:spacing w:after="0"/>
              <w:rPr>
                <w:sz w:val="15"/>
                <w:szCs w:val="15"/>
                <w:color w:val="auto"/>
              </w:rPr>
            </w:pPr>
          </w:p>
        </w:tc>
      </w:tr>
      <w:tr>
        <w:trPr>
          <w:trHeight w:val="168"/>
        </w:trPr>
        <w:tc>
          <w:tcPr>
            <w:tcW w:w="6640" w:type="dxa"/>
            <w:vAlign w:val="bottom"/>
            <w:shd w:val="clear" w:color="auto" w:fill="CFF0FC"/>
          </w:tcPr>
          <w:p>
            <w:pPr>
              <w:ind w:left="20"/>
              <w:spacing w:after="0" w:line="168" w:lineRule="exact"/>
              <w:rPr>
                <w:sz w:val="20"/>
                <w:szCs w:val="20"/>
                <w:color w:val="auto"/>
              </w:rPr>
            </w:pPr>
            <w:r>
              <w:rPr>
                <w:rFonts w:ascii="Arial" w:cs="Arial" w:eastAsia="Arial" w:hAnsi="Arial"/>
                <w:sz w:val="16"/>
                <w:szCs w:val="16"/>
                <w:b w:val="1"/>
                <w:bCs w:val="1"/>
                <w:color w:val="auto"/>
              </w:rPr>
              <w:t>Net (decrease) increase in cash, cash equivalents and</w:t>
            </w: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6640" w:type="dxa"/>
            <w:vAlign w:val="bottom"/>
            <w:shd w:val="clear" w:color="auto" w:fill="CFF0FC"/>
          </w:tcPr>
          <w:p>
            <w:pPr>
              <w:ind w:left="160"/>
              <w:spacing w:after="0"/>
              <w:rPr>
                <w:sz w:val="20"/>
                <w:szCs w:val="20"/>
                <w:color w:val="auto"/>
              </w:rPr>
            </w:pPr>
            <w:r>
              <w:rPr>
                <w:rFonts w:ascii="Arial" w:cs="Arial" w:eastAsia="Arial" w:hAnsi="Arial"/>
                <w:sz w:val="16"/>
                <w:szCs w:val="16"/>
                <w:b w:val="1"/>
                <w:bCs w:val="1"/>
                <w:color w:val="auto"/>
              </w:rPr>
              <w:t>restricted cash</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(159,366 )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303,431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(38,183 )</w:t>
            </w: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beginning of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654,608</w:t>
            </w:r>
          </w:p>
        </w:tc>
        <w:tc>
          <w:tcPr>
            <w:tcW w:w="24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351,177</w:t>
            </w:r>
          </w:p>
        </w:tc>
        <w:tc>
          <w:tcPr>
            <w:tcW w:w="24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389,360</w:t>
            </w:r>
          </w:p>
        </w:tc>
        <w:tc>
          <w:tcPr>
            <w:tcW w:w="100" w:type="dxa"/>
            <w:vAlign w:val="bottom"/>
          </w:tcPr>
          <w:p>
            <w:pPr>
              <w:spacing w:after="0"/>
              <w:rPr>
                <w:sz w:val="16"/>
                <w:szCs w:val="16"/>
                <w:color w:val="auto"/>
              </w:rPr>
            </w:pPr>
          </w:p>
        </w:tc>
      </w:tr>
      <w:tr>
        <w:trPr>
          <w:trHeight w:val="223"/>
        </w:trPr>
        <w:tc>
          <w:tcPr>
            <w:tcW w:w="6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cash equivalents and restricted cash, end of year</w:t>
            </w: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495,242</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654,608</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351,177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-3453765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-3453765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-2356485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-2356485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-650875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-650875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40"/>
        <w:spacing w:after="0"/>
        <w:rPr>
          <w:sz w:val="20"/>
          <w:szCs w:val="20"/>
          <w:color w:val="auto"/>
        </w:rPr>
      </w:pPr>
      <w:r>
        <w:rPr>
          <w:rFonts w:ascii="Arial" w:cs="Arial" w:eastAsia="Arial" w:hAnsi="Arial"/>
          <w:sz w:val="18"/>
          <w:szCs w:val="18"/>
          <w:color w:val="auto"/>
        </w:rPr>
        <w:t>(Amounts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r>
      <w:tr>
        <w:trPr>
          <w:trHeight w:val="183"/>
        </w:trPr>
        <w:tc>
          <w:tcPr>
            <w:tcW w:w="6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Supplemental disclosures of cash flow and noncash information</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for acquisition</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4,287</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Accrued excise tax related to common stock repurchase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and equipment in accounts payable</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Capitalized stock-based compensation expense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for retention bonus</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495,242</w:t>
            </w:r>
          </w:p>
        </w:tc>
        <w:tc>
          <w:tcPr>
            <w:tcW w:w="5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654,608</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349,177</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6"/>
                <w:szCs w:val="16"/>
                <w:color w:val="auto"/>
              </w:rPr>
            </w:pPr>
          </w:p>
        </w:tc>
      </w:tr>
      <w:tr>
        <w:trPr>
          <w:trHeight w:val="223"/>
        </w:trPr>
        <w:tc>
          <w:tcPr>
            <w:tcW w:w="664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Cash, cash equivalents and restricted cash</w:t>
            </w: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495,242</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654,608</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351,177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FLYWIRE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Overview and Summary of Significant Accounting Policies</w:t>
      </w:r>
    </w:p>
    <w:p>
      <w:pPr>
        <w:spacing w:after="0" w:line="1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16 countries across 5 continents.</w:t>
      </w:r>
    </w:p>
    <w:p>
      <w:pPr>
        <w:spacing w:after="0" w:line="128"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Follow-On Public Offering</w:t>
      </w:r>
    </w:p>
    <w:p>
      <w:pPr>
        <w:spacing w:after="0" w:line="18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August 9, 2023, the Company entered into an Underwriting Agreement with Goldman Sachs &amp; Co. LLC, as representative of the several Underwriters, in connection with the offer and sale of 8,000,000 shares of voting common stock, at a price to the public of $32.00 per share. In addition, pursuant to the terms of the Underwriting Agreement, the Company granted the Option to purchase up to 1,200,000 additional shares of voting common stock.</w:t>
      </w:r>
    </w:p>
    <w:p>
      <w:pPr>
        <w:spacing w:after="0" w:line="13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Primary Offering closed on August 14, 2023 and on September 12, 2023, the Underwriters exercised the Option in part and purchased an additional 500,000 shares of voting common stock at a price to the public of $32.00 per share. The Company received $260.1 million in net proceeds from the Public Offering, after deducting underwriting discounts and commissions of $10.9 million and other offering costs of $1.1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and have been prepared in accordance with generally accepted accounting principles in the United States (GAAP). Intercompany accounts and transactions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 xml:space="preserve">The Company has a single operating and reportable segment. See </w:t>
      </w:r>
      <w:r>
        <w:rPr>
          <w:rFonts w:ascii="Arial" w:cs="Arial" w:eastAsia="Arial" w:hAnsi="Arial"/>
          <w:sz w:val="18"/>
          <w:szCs w:val="18"/>
          <w:i w:val="1"/>
          <w:iCs w:val="1"/>
          <w:color w:val="auto"/>
        </w:rPr>
        <w:t>Note 3 - Segment Information</w:t>
      </w:r>
      <w:r>
        <w:rPr>
          <w:rFonts w:ascii="Arial" w:cs="Arial" w:eastAsia="Arial" w:hAnsi="Arial"/>
          <w:sz w:val="18"/>
          <w:szCs w:val="18"/>
          <w:color w:val="auto"/>
        </w:rPr>
        <w:t xml:space="preserve"> for additional details regarding the Company's significant segment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and disclosed in the consolidated financial statements and the accompanying notes. Significant estimates and assumptions reflected in these financial statements include, but are not limited to, the valuation of certain stock-based compensation awards, the valuation of contingent consideration, the valuation of acquired intangible assets and their useful lives, the estimate of credit losses on accounts receivable, unbilled receivables and available-for-sale debt securities, the assessment of other-than-temporary impairment of available-for-sale debt securities,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Inflation did not have a material effect on the Company's cash flows and results of operations during the year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69" w:lineRule="exact"/>
        <w:rPr>
          <w:sz w:val="20"/>
          <w:szCs w:val="20"/>
          <w:color w:val="auto"/>
        </w:rPr>
      </w:pPr>
    </w:p>
    <w:p>
      <w:pPr>
        <w:ind w:firstLine="509"/>
        <w:spacing w:after="0" w:line="301" w:lineRule="auto"/>
        <w:rPr>
          <w:sz w:val="20"/>
          <w:szCs w:val="20"/>
          <w:color w:val="auto"/>
        </w:rPr>
      </w:pPr>
      <w:r>
        <w:rPr>
          <w:rFonts w:ascii="Arial" w:cs="Arial" w:eastAsia="Arial" w:hAnsi="Arial"/>
          <w:sz w:val="17"/>
          <w:szCs w:val="17"/>
          <w:color w:val="auto"/>
        </w:rPr>
        <w:t>Financial instruments that potentially subject the Company to concentration of credit risk consists principally of cash, cash equivalents, investments in available-for-sale debt securities, accounts receivable, unbilled receivables and funds receivable from payment partners.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117" w:name="page118"/>
    <w:bookmarkEnd w:id="117"/>
    <w:p>
      <w:pPr>
        <w:ind w:right="160" w:firstLine="509"/>
        <w:spacing w:after="0" w:line="239" w:lineRule="auto"/>
        <w:rPr>
          <w:sz w:val="20"/>
          <w:szCs w:val="20"/>
          <w:color w:val="auto"/>
        </w:rPr>
      </w:pPr>
      <w:r>
        <w:rPr>
          <w:rFonts w:ascii="Arial" w:cs="Arial" w:eastAsia="Arial" w:hAnsi="Arial"/>
          <w:sz w:val="18"/>
          <w:szCs w:val="18"/>
          <w:color w:val="auto"/>
        </w:rPr>
        <w:t>The Company maintains its cash and cash equivalents with financial institutions that management believes are of high credit quality. Our cash equivalents include money market funds, which are AAA-rated and comprised of liquid, high 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our concentration in government money market funds.</w:t>
      </w:r>
    </w:p>
    <w:p>
      <w:pPr>
        <w:spacing w:after="0" w:line="156"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To manage credit risk associated with investments in available-for-sale debt securities, the Company monitors credit ratings of the issuers of the securities and diversifies its investments by limiting its holding in any one security or issuer.</w:t>
      </w:r>
    </w:p>
    <w:p>
      <w:pPr>
        <w:spacing w:after="0" w:line="113"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during the years ended December 31, 2024, 2023 and 2022.</w:t>
      </w:r>
    </w:p>
    <w:p>
      <w:pPr>
        <w:spacing w:after="0" w:line="136"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of December 31, 2024 and 2023, there was no client that represented 10% or more of accounts receivable, net.</w:t>
      </w:r>
    </w:p>
    <w:p>
      <w:pPr>
        <w:spacing w:after="0" w:line="142" w:lineRule="exact"/>
        <w:rPr>
          <w:sz w:val="20"/>
          <w:szCs w:val="20"/>
          <w:color w:val="auto"/>
        </w:rPr>
      </w:pPr>
    </w:p>
    <w:p>
      <w:pPr>
        <w:jc w:val="both"/>
        <w:ind w:right="400" w:firstLine="509"/>
        <w:spacing w:after="0" w:line="253"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38"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6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r>
      <w:tr>
        <w:trPr>
          <w:trHeight w:val="196"/>
        </w:trPr>
        <w:tc>
          <w:tcPr>
            <w:tcW w:w="87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Partner A</w:t>
            </w:r>
          </w:p>
        </w:tc>
        <w:tc>
          <w:tcPr>
            <w:tcW w:w="7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19 %</w:t>
            </w:r>
          </w:p>
        </w:tc>
        <w:tc>
          <w:tcPr>
            <w:tcW w:w="1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14 %</w:t>
            </w:r>
          </w:p>
        </w:tc>
      </w:tr>
      <w:tr>
        <w:trPr>
          <w:trHeight w:val="203"/>
        </w:trPr>
        <w:tc>
          <w:tcPr>
            <w:tcW w:w="8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Partner B</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11 %</w:t>
            </w: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15 %</w:t>
            </w:r>
          </w:p>
        </w:tc>
      </w:tr>
      <w:tr>
        <w:trPr>
          <w:trHeight w:val="203"/>
        </w:trPr>
        <w:tc>
          <w:tcPr>
            <w:tcW w:w="87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Partner C</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13 %</w:t>
            </w:r>
          </w:p>
        </w:tc>
      </w:tr>
      <w:tr>
        <w:trPr>
          <w:trHeight w:val="203"/>
        </w:trPr>
        <w:tc>
          <w:tcPr>
            <w:tcW w:w="8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Partner D</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11 %</w:t>
            </w:r>
          </w:p>
        </w:tc>
      </w:tr>
      <w:tr>
        <w:trPr>
          <w:trHeight w:val="203"/>
        </w:trPr>
        <w:tc>
          <w:tcPr>
            <w:tcW w:w="87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Partner E</w:t>
            </w: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28 %</w:t>
            </w:r>
          </w:p>
        </w:tc>
        <w:tc>
          <w:tcPr>
            <w:tcW w:w="1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2024, 2023 and 2022, no client accounted for 10% or more of total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Restricted Cash</w:t>
      </w:r>
    </w:p>
    <w:p>
      <w:pPr>
        <w:spacing w:after="0" w:line="183" w:lineRule="exact"/>
        <w:rPr>
          <w:sz w:val="20"/>
          <w:szCs w:val="20"/>
          <w:color w:val="auto"/>
        </w:rPr>
      </w:pPr>
    </w:p>
    <w:p>
      <w:pPr>
        <w:ind w:right="520" w:firstLine="509"/>
        <w:spacing w:after="0" w:line="253" w:lineRule="auto"/>
        <w:rPr>
          <w:sz w:val="20"/>
          <w:szCs w:val="20"/>
          <w:color w:val="auto"/>
        </w:rPr>
      </w:pPr>
      <w:r>
        <w:rPr>
          <w:rFonts w:ascii="Arial" w:cs="Arial" w:eastAsia="Arial" w:hAnsi="Arial"/>
          <w:sz w:val="18"/>
          <w:szCs w:val="18"/>
          <w:color w:val="auto"/>
        </w:rPr>
        <w:t>Cash equivalents consist of short-term, highly liquid investments with stated maturities of three months or less from the date of purchase. Our cash equivalents include money market funds, which are AAA-rated and comprised of liquid, high-quality debt securities issued by the U.S. government.</w:t>
      </w:r>
    </w:p>
    <w:p>
      <w:pPr>
        <w:spacing w:after="0" w:line="128" w:lineRule="exact"/>
        <w:rPr>
          <w:sz w:val="20"/>
          <w:szCs w:val="20"/>
          <w:color w:val="auto"/>
        </w:rPr>
      </w:pPr>
    </w:p>
    <w:p>
      <w:pPr>
        <w:ind w:right="680" w:firstLine="509"/>
        <w:spacing w:after="0" w:line="271" w:lineRule="auto"/>
        <w:rPr>
          <w:sz w:val="20"/>
          <w:szCs w:val="20"/>
          <w:color w:val="auto"/>
        </w:rPr>
      </w:pPr>
      <w:r>
        <w:rPr>
          <w:rFonts w:ascii="Arial" w:cs="Arial" w:eastAsia="Arial" w:hAnsi="Arial"/>
          <w:sz w:val="18"/>
          <w:szCs w:val="18"/>
          <w:color w:val="auto"/>
        </w:rPr>
        <w:t>Restricted cash consists of amounts required to be maintained to cover certain banks’ or clients’ credit risk exposure related to facilitating payments for the Company. The Company did not have any restricted cash as of December 31, 2024 and 2023.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During the year ended December 31, 2024, the Company began investing in a diversified portfolio of highly rated marketable debt securities, all of which are classified as available-for-sale. Available-for-sale debt securities with remaining maturities of greater than three months but less than one year and those identified by management at the time of purchase to be used to fund operations within one year are classified as short-term. All other available-for-sale securities are classified as long-term. Available-for-sale debt securities with readily determinable market values are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18" w:name="page119"/>
    <w:bookmarkEnd w:id="118"/>
    <w:p>
      <w:pPr>
        <w:ind w:right="1240"/>
        <w:spacing w:after="0" w:line="271" w:lineRule="auto"/>
        <w:rPr>
          <w:sz w:val="20"/>
          <w:szCs w:val="20"/>
          <w:color w:val="auto"/>
        </w:rPr>
      </w:pPr>
      <w:r>
        <w:rPr>
          <w:rFonts w:ascii="Arial" w:cs="Arial" w:eastAsia="Arial" w:hAnsi="Arial"/>
          <w:sz w:val="18"/>
          <w:szCs w:val="18"/>
          <w:color w:val="auto"/>
        </w:rPr>
        <w:t>recorded at fair value, and unrealized holding gains and temporary losses are recorded as a component of accumulated other comprehensive (loss) income, net of related estimated tax.</w:t>
      </w:r>
    </w:p>
    <w:p>
      <w:pPr>
        <w:spacing w:after="0" w:line="12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evaluates its available-for-sale debt securities for other-than-temporary impairment on a quarterly basis. When a decline in fair value is determined to be other-than-temporary, the cost of the investment is adjusted to fair value by recording a loss on investments in the consolidated statements of operations and comprehensive loss. Gains and losses on investments are calculated on the basis of specific identification. The Company reviews several factors to determine whether a loss is other-than-temporary, such as the length and extent of the fair value decline, the financial condition and near-term prospects of the issuer, market conditions and trends and whether the Company has the intent to sell or will more likely than not be required to sell before the securities' anticipated recovery, which may be at maturity.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69"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Accounts receivable represent client obligations that are unconditional. The Company’s accounts receivable do not bear interest and generally does not require collateral or other security to support related receivables. Unbilled receivables represent the Company's unconditional right to payment. Accounts receivable and unbilled receivables are presented net of an estimated allowance for credit losses for amounts that may not be collectible over the estimated life of the assets.</w:t>
      </w:r>
    </w:p>
    <w:p>
      <w:pPr>
        <w:spacing w:after="0" w:line="14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allowance for credit losses is determined by applying a loss-rate method based on an aging schedule using the Company's historical loss rates. The Company also considers reasonable and supportable current and forecasted information in determining its estimated loss rates, such as external forecasts, macroeconomic trends, or other factors that are associated with the credit quality of the Company’s customer base. The adequacy of the allowance for credit losses is evaluated on a regular basis. Account balances are written off after all means of collection are exhausted and the balance is deemed uncollectible. Subsequent recoveries, if any, are credited to the allowance. Adjustments to the allowance for credit losses are recorded within general and administrative expenses in the consolidated statements of operations and comprehensive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Property and equipment consist primarily of computer equipment and software, internal-use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income (loss) from operations in the consolidated statements of operations and comprehensive loss.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continually evaluates the recoverability of long-lived asset (asset group) when events and changes in circumstances indicate that the carrying amount of the long-lived asset group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83" w:lineRule="exact"/>
        <w:rPr>
          <w:sz w:val="20"/>
          <w:szCs w:val="20"/>
          <w:color w:val="auto"/>
        </w:rPr>
      </w:pPr>
    </w:p>
    <w:p>
      <w:pPr>
        <w:jc w:val="both"/>
        <w:ind w:right="480" w:firstLine="509"/>
        <w:spacing w:after="0" w:line="253" w:lineRule="auto"/>
        <w:rPr>
          <w:sz w:val="20"/>
          <w:szCs w:val="20"/>
          <w:color w:val="auto"/>
        </w:rPr>
      </w:pPr>
      <w:r>
        <w:rPr>
          <w:rFonts w:ascii="Arial" w:cs="Arial" w:eastAsia="Arial" w:hAnsi="Arial"/>
          <w:sz w:val="18"/>
          <w:szCs w:val="18"/>
          <w:color w:val="auto"/>
        </w:rPr>
        <w:t>Intangible assets consist of acquired developed technology, acquired relationships and trade names and associated trademarks. Intangible assets are recognized at fair value using generally accepted valuation methods deemed appropriate for the type of intangible asset acquired, and reported net of accumulated amortization, separately from goodwill.</w:t>
      </w:r>
    </w:p>
    <w:p>
      <w:pPr>
        <w:spacing w:after="0" w:line="128"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Company estimates the fair value of acquired developed technology and trade name and associated trademarks under the income approach using the relief-from-royalty method. The relief-from-royalty method estimates the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cost savings that accrue to the owner of an intangible asset who would otherwise have to 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Company estimates the fair value of acquired relationships under the income approach using the multi-period excess earnings method. The multi-period excess earnings method estimates the present value of the incremental after-tax cash flows solely attributable to the intangible asset. The estimated fair values of these intangible assets reflect various assumptions including discount rates, revenue growth rates, operating margins, terminal values and other prospective financial information.</w:t>
      </w:r>
    </w:p>
    <w:p>
      <w:pPr>
        <w:spacing w:after="0" w:line="158"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fifteen years. 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 useful lives of definite-lived trademarks and trade names are based on the Company’s plans to phase out the trademarks and trade names in the applicable markets.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significant residual value is estimated for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Developed for Internal-Use</w:t>
      </w:r>
    </w:p>
    <w:p>
      <w:pPr>
        <w:spacing w:after="0" w:line="18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FlyMates who devote time to the development of the projects. The Company records software development costs in property and equipment. Costs incurred in the preliminary stages of development activities and post implementation activities are expensed in the period incurred and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periodically assesses whether triggering events are present to review the useful lives of internal-use software.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Software developed for internal-use is amortized straight-line over its estimated useful life of five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tests goodwill for impairment on an annual basis on the first day of the fourth quarter or more frequently if events or changes in circumstances indicate that goodwill may be impaired. The Company’s goodwill impairment test is performed at the enterprise level given it is the sole reporting unit. Events that could indicate goodwill impairment and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including goodwill.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 There were no impairments of goodwill during any of the periods presented.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Company recognizes leases on its consolidated balance sheets as right-of-use (ROU) assets and lease liabilities. ROU assets represent the Company's right to use underlying assets for the lease terms and lease liabilities represent obligations to make lease payments arising from the leases. ROU assets are included in Other assets and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20" w:name="page121"/>
    <w:bookmarkEnd w:id="120"/>
    <w:p>
      <w:pPr>
        <w:ind w:right="20"/>
        <w:spacing w:after="0" w:line="239" w:lineRule="auto"/>
        <w:rPr>
          <w:sz w:val="20"/>
          <w:szCs w:val="20"/>
          <w:color w:val="auto"/>
        </w:rPr>
      </w:pPr>
      <w:r>
        <w:rPr>
          <w:rFonts w:ascii="Arial" w:cs="Arial" w:eastAsia="Arial" w:hAnsi="Arial"/>
          <w:sz w:val="18"/>
          <w:szCs w:val="18"/>
          <w:color w:val="auto"/>
        </w:rPr>
        <w:t>lease liabilities are included in Other liabilities. Lease classification is determined at commencement date. All of the Company's leases are accounted for as operating leases. ROU assets and lease liabilities are recognized at the lease commencement date based on the estimated present value of lease payments over the lease term. As the implicit rate of the leases is not determinable, the Company uses its incremental borrowing rate in determining the present value of the lease payments. ROU assets are adjusted for deferred rent and any lease incentives. Variable lease payments for maintenance, property taxes and other operating expenses are recognized as expense in the period in which the obligation for the payment is incurred. The Company elected not to separate lease and non-lease components, as well as the short-term lease recognition exemption and will not recognize ROU assets or lease liabilities for leases with a term less than 12 months. The operating lease expense associated with operating leases is recognized as a single lease cost on a straight-line basis over the lease term and is included in general and administrative expenses in the consolidated statements of operations and comprehensive loss.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9"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In determining whether an acquisition should be accounted for as a business combination or an asset acquisition, the Company first determines whether substantially all of the fair value of the gross assets acquired is concentrated in a single identifiable asset or a group of similar identifiable assets. If substantially all of the fair value of the gross assets acquired is concentrated in a single identifiable asset or group of similar identifiable assets, the set is not considered a business acquisition. If substantially all of the fair value of the gross assets acquired is not concentrated in a single identifiable asset or group of similar identifiable assets, the Company further evaluates whether the integrated set of assets and activities include, at a minimum, an input and a substantive process that together significantly contribute to the ability to create outputs. If so, the Company concludes that the integrated set of assets and activities is a business acquisition.</w:t>
      </w:r>
    </w:p>
    <w:p>
      <w:pPr>
        <w:spacing w:after="0" w:line="14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 Contract assets and contract liabilities acquired in a business combination are recognized and measured as if the acquirer entered into the original contract at the same time and same date as the acquiree in accordance with Topic 606.</w:t>
      </w:r>
    </w:p>
    <w:p>
      <w:pPr>
        <w:spacing w:after="0" w:line="152"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 royalty rates, 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140"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Subsequent to the acquisition date, at each reporting date, the contingent consideration is remeasured and changes in the fair value resulting from changes in the underlying inputs are recognized in general and administrative expense in the consolidated statements of operations and comprehensive loss until the contingent consideration is settled.</w:t>
      </w:r>
    </w:p>
    <w:p>
      <w:pPr>
        <w:spacing w:after="0" w:line="133"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 xml:space="preserve">The fair value of the contingent consideration in the Company's consolidated balance sheets was determined using either an option pricing model that reflects the Company’s expectations about the probability of payment based on facts and circumstances that existed at the acquisition closing date or a scenario-based method formed on the likelihoods of achieving each of the milestones. See </w:t>
      </w:r>
      <w:r>
        <w:rPr>
          <w:rFonts w:ascii="Arial" w:cs="Arial" w:eastAsia="Arial" w:hAnsi="Arial"/>
          <w:sz w:val="18"/>
          <w:szCs w:val="18"/>
          <w:i w:val="1"/>
          <w:iCs w:val="1"/>
          <w:color w:val="auto"/>
        </w:rPr>
        <w:t>Note 5 -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inputs used to fair value contingent consideration.</w:t>
      </w:r>
    </w:p>
    <w:p>
      <w:pPr>
        <w:spacing w:after="0" w:line="14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Transaction costs related to business combinations are expensed as incurred and are included in general and administrative expense in consolidated statements of operations and comprehensive loss.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left="640" w:right="20"/>
        <w:spacing w:after="0" w:line="25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2" w:lineRule="exact"/>
        <w:rPr>
          <w:sz w:val="20"/>
          <w:szCs w:val="20"/>
          <w:color w:val="auto"/>
        </w:rPr>
      </w:pPr>
    </w:p>
    <w:p>
      <w:pPr>
        <w:ind w:left="640" w:right="100"/>
        <w:spacing w:after="0" w:line="27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1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Company's investments in available-for-sale debt securities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8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and Australian subsidiaries, is the U.S. Dollar. The functional currency for the U.K. and the Australian subsidiaries is considered to be the local currency and, accordingly, translation adjustments for these entities are included as a component of accumulated other comprehensive (loss) income in the Company’s consolidated balance sheets. Gains and losses from the remeasurement of foreign currency transactions into the functional currency are recognized as in the consolidated statements of operations and comprehensive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generates revenues and incurs expenses by processing payments in foreign currencies. Changes in the value of foreign currencies could impact the Company’s consolidated statements of operations and comprehensive loss. To mitigate the volatility related to fluctuations in the foreign exchange rates, the Company enters into non-deliverable forward foreign currency contracts.</w:t>
      </w:r>
    </w:p>
    <w:p>
      <w:pPr>
        <w:spacing w:after="0" w:line="142" w:lineRule="exact"/>
        <w:rPr>
          <w:sz w:val="20"/>
          <w:szCs w:val="20"/>
          <w:color w:val="auto"/>
        </w:rPr>
      </w:pPr>
    </w:p>
    <w:p>
      <w:pPr>
        <w:ind w:right="120" w:firstLine="559"/>
        <w:spacing w:after="0" w:line="247" w:lineRule="auto"/>
        <w:rPr>
          <w:sz w:val="20"/>
          <w:szCs w:val="20"/>
          <w:color w:val="auto"/>
        </w:rPr>
      </w:pPr>
      <w:r>
        <w:rPr>
          <w:rFonts w:ascii="Arial" w:cs="Arial" w:eastAsia="Arial" w:hAnsi="Arial"/>
          <w:sz w:val="18"/>
          <w:szCs w:val="18"/>
          <w:color w:val="auto"/>
        </w:rPr>
        <w:t>The Company’s foreign currency forward contracts economically hedge certain risk but are not designated as hedges for financial reporting purposes. All changes in the fair value of these derivative instruments are recorded as foreign currency transaction gains or losses and are included as a component of general and administrative in the consolidated statements of operations and comprehensive loss. The Company records all derivative instruments in the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22" w:name="page123"/>
    <w:bookmarkEnd w:id="122"/>
    <w:p>
      <w:pPr>
        <w:ind w:right="640"/>
        <w:spacing w:after="0" w:line="271" w:lineRule="auto"/>
        <w:rPr>
          <w:sz w:val="20"/>
          <w:szCs w:val="20"/>
          <w:color w:val="auto"/>
        </w:rPr>
      </w:pPr>
      <w:r>
        <w:rPr>
          <w:rFonts w:ascii="Arial" w:cs="Arial" w:eastAsia="Arial" w:hAnsi="Arial"/>
          <w:sz w:val="18"/>
          <w:szCs w:val="18"/>
          <w:color w:val="auto"/>
        </w:rPr>
        <w:t>consolidated balance sheet at their fair values in prepaid expenses and other current assets and accrued expenses and other current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760" w:firstLine="509"/>
        <w:spacing w:after="0" w:line="253" w:lineRule="auto"/>
        <w:rPr>
          <w:sz w:val="20"/>
          <w:szCs w:val="20"/>
          <w:color w:val="auto"/>
        </w:rPr>
      </w:pPr>
      <w:r>
        <w:rPr>
          <w:rFonts w:ascii="Arial" w:cs="Arial" w:eastAsia="Arial" w:hAnsi="Arial"/>
          <w:sz w:val="18"/>
          <w:szCs w:val="18"/>
          <w:color w:val="auto"/>
        </w:rPr>
        <w:t>Revenue is recognized when a customer obtains control of the promised goods or services, in an amount that reflects the consideration which the entity expects to receive in exchange for those goods or services. In order to achieve this core principle, the Company applies the following five steps:</w:t>
      </w:r>
    </w:p>
    <w:p>
      <w:pPr>
        <w:spacing w:after="0" w:line="128" w:lineRule="exact"/>
        <w:rPr>
          <w:sz w:val="20"/>
          <w:szCs w:val="20"/>
          <w:color w:val="auto"/>
        </w:rPr>
      </w:pPr>
    </w:p>
    <w:p>
      <w:pPr>
        <w:ind w:left="2040" w:hanging="640"/>
        <w:spacing w:after="0"/>
        <w:tabs>
          <w:tab w:leader="none" w:pos="2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84" w:lineRule="exact"/>
        <w:rPr>
          <w:rFonts w:ascii="Arial" w:cs="Arial" w:eastAsia="Arial" w:hAnsi="Arial"/>
          <w:sz w:val="18"/>
          <w:szCs w:val="18"/>
          <w:color w:val="auto"/>
        </w:rPr>
      </w:pPr>
    </w:p>
    <w:p>
      <w:pPr>
        <w:ind w:left="2040" w:hanging="640"/>
        <w:spacing w:after="0"/>
        <w:tabs>
          <w:tab w:leader="none" w:pos="2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2040" w:hanging="640"/>
        <w:spacing w:after="0"/>
        <w:tabs>
          <w:tab w:leader="none" w:pos="2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2040" w:hanging="640"/>
        <w:spacing w:after="0"/>
        <w:tabs>
          <w:tab w:leader="none" w:pos="2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84" w:lineRule="exact"/>
        <w:rPr>
          <w:rFonts w:ascii="Arial" w:cs="Arial" w:eastAsia="Arial" w:hAnsi="Arial"/>
          <w:sz w:val="18"/>
          <w:szCs w:val="18"/>
          <w:color w:val="auto"/>
        </w:rPr>
      </w:pPr>
    </w:p>
    <w:p>
      <w:pPr>
        <w:ind w:left="2040" w:hanging="640"/>
        <w:spacing w:after="0"/>
        <w:tabs>
          <w:tab w:leader="none" w:pos="2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derives revenue primarily from transactions and platform and other revenues.</w:t>
      </w:r>
    </w:p>
    <w:p>
      <w:pPr>
        <w:spacing w:after="0" w:line="171" w:lineRule="exact"/>
        <w:rPr>
          <w:sz w:val="20"/>
          <w:szCs w:val="20"/>
          <w:color w:val="auto"/>
        </w:rPr>
      </w:pPr>
    </w:p>
    <w:p>
      <w:pPr>
        <w:ind w:left="640" w:firstLine="509"/>
        <w:spacing w:after="0" w:line="239"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 relates to fees charged for payment processing services provided to educational institutions,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and other commercial entities (each a client), which is comprised of processing domestic and cross-border transactions.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153" w:lineRule="exact"/>
        <w:rPr>
          <w:sz w:val="20"/>
          <w:szCs w:val="20"/>
          <w:color w:val="auto"/>
        </w:rPr>
      </w:pPr>
    </w:p>
    <w:p>
      <w:pPr>
        <w:ind w:left="640" w:right="160" w:firstLine="509"/>
        <w:spacing w:after="0" w:line="242" w:lineRule="auto"/>
        <w:rPr>
          <w:sz w:val="20"/>
          <w:szCs w:val="20"/>
          <w:color w:val="auto"/>
        </w:rPr>
      </w:pPr>
      <w:r>
        <w:rPr>
          <w:rFonts w:ascii="Arial" w:cs="Arial" w:eastAsia="Arial" w:hAnsi="Arial"/>
          <w:sz w:val="18"/>
          <w:szCs w:val="18"/>
          <w:color w:val="auto"/>
        </w:rPr>
        <w:t>The money can be wired directly from the client’s customer to the Company; however, in certain situations when the client’s customer resides in a country where the Company does not have an active bank account, the Company uses third-party service providers (Partners) to collect wired funds before remitting the funds to the Company. On a recurring basis, the Partner invoices the Company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38" w:lineRule="exact"/>
        <w:rPr>
          <w:sz w:val="20"/>
          <w:szCs w:val="20"/>
          <w:color w:val="auto"/>
        </w:rPr>
      </w:pPr>
    </w:p>
    <w:p>
      <w:pPr>
        <w:ind w:left="640" w:right="160" w:firstLine="509"/>
        <w:spacing w:after="0" w:line="242" w:lineRule="auto"/>
        <w:rPr>
          <w:sz w:val="20"/>
          <w:szCs w:val="20"/>
          <w:color w:val="auto"/>
        </w:rPr>
      </w:pPr>
      <w:r>
        <w:rPr>
          <w:rFonts w:ascii="Arial" w:cs="Arial" w:eastAsia="Arial" w:hAnsi="Arial"/>
          <w:sz w:val="18"/>
          <w:szCs w:val="18"/>
          <w:color w:val="auto"/>
        </w:rPr>
        <w:t>Once a Partner receives funds from a client’s customer,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clients,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138" w:lineRule="exact"/>
        <w:rPr>
          <w:sz w:val="20"/>
          <w:szCs w:val="20"/>
          <w:color w:val="auto"/>
        </w:rPr>
      </w:pPr>
    </w:p>
    <w:p>
      <w:pPr>
        <w:ind w:left="640" w:right="40" w:firstLine="509"/>
        <w:spacing w:after="0" w:line="244" w:lineRule="auto"/>
        <w:rPr>
          <w:sz w:val="20"/>
          <w:szCs w:val="20"/>
          <w:color w:val="auto"/>
        </w:rPr>
      </w:pPr>
      <w:r>
        <w:rPr>
          <w:rFonts w:ascii="Arial" w:cs="Arial" w:eastAsia="Arial" w:hAnsi="Arial"/>
          <w:sz w:val="18"/>
          <w:szCs w:val="18"/>
          <w:color w:val="auto"/>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149" w:lineRule="exact"/>
        <w:rPr>
          <w:sz w:val="20"/>
          <w:szCs w:val="20"/>
          <w:color w:val="auto"/>
        </w:rPr>
      </w:pPr>
    </w:p>
    <w:p>
      <w:pPr>
        <w:ind w:left="640" w:right="280" w:firstLine="509"/>
        <w:spacing w:after="0" w:line="253" w:lineRule="auto"/>
        <w:rPr>
          <w:sz w:val="20"/>
          <w:szCs w:val="20"/>
          <w:color w:val="auto"/>
        </w:rPr>
      </w:pPr>
      <w:r>
        <w:rPr>
          <w:rFonts w:ascii="Arial" w:cs="Arial" w:eastAsia="Arial" w:hAnsi="Arial"/>
          <w:sz w:val="18"/>
          <w:szCs w:val="18"/>
          <w:color w:val="auto"/>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23" w:name="page124"/>
    <w:bookmarkEnd w:id="123"/>
    <w:p>
      <w:pPr>
        <w:ind w:left="640" w:right="860"/>
        <w:spacing w:after="0" w:line="271" w:lineRule="auto"/>
        <w:rPr>
          <w:sz w:val="20"/>
          <w:szCs w:val="20"/>
          <w:color w:val="auto"/>
        </w:rPr>
      </w:pPr>
      <w:r>
        <w:rPr>
          <w:rFonts w:ascii="Arial" w:cs="Arial" w:eastAsia="Arial" w:hAnsi="Arial"/>
          <w:sz w:val="18"/>
          <w:szCs w:val="18"/>
          <w:color w:val="auto"/>
        </w:rPr>
        <w:t>therefore, fees included in the marketing arrangements are accounted for as revenue, while fees paid by the Company are accounted for as payment processing services cost.</w:t>
      </w:r>
    </w:p>
    <w:p>
      <w:pPr>
        <w:spacing w:after="0" w:line="127" w:lineRule="exact"/>
        <w:rPr>
          <w:sz w:val="20"/>
          <w:szCs w:val="20"/>
          <w:color w:val="auto"/>
        </w:rPr>
      </w:pPr>
    </w:p>
    <w:p>
      <w:pPr>
        <w:ind w:left="640" w:firstLine="509"/>
        <w:spacing w:after="0" w:line="245" w:lineRule="auto"/>
        <w:rPr>
          <w:sz w:val="20"/>
          <w:szCs w:val="20"/>
          <w:color w:val="auto"/>
        </w:rPr>
      </w:pPr>
      <w:r>
        <w:rPr>
          <w:rFonts w:ascii="Arial" w:cs="Arial" w:eastAsia="Arial" w:hAnsi="Arial"/>
          <w:sz w:val="18"/>
          <w:szCs w:val="18"/>
          <w:i w:val="1"/>
          <w:iCs w:val="1"/>
          <w:color w:val="auto"/>
        </w:rPr>
        <w:t xml:space="preserve">Platform and other revenues </w:t>
      </w:r>
      <w:r>
        <w:rPr>
          <w:rFonts w:ascii="Arial" w:cs="Arial" w:eastAsia="Arial" w:hAnsi="Arial"/>
          <w:sz w:val="18"/>
          <w:szCs w:val="18"/>
          <w:color w:val="auto"/>
        </w:rPr>
        <w:t>- primarily includes (i) fees earned for the utilization of the Company's platforms to optimize cash</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and student application processing, which include revenue earned from software subscription fees and usage-based fees,</w:t>
      </w:r>
    </w:p>
    <w:p>
      <w:pPr>
        <w:ind w:left="640" w:right="80" w:firstLine="4"/>
        <w:spacing w:after="0"/>
        <w:tabs>
          <w:tab w:leader="none" w:pos="8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for the establishment of payment plans on the Company's payment platform, (iii) fees related to printing, mailing, and other services which are ancillary to the solutions the Company provides to its clients, (iv) commissions from insurance providers when an end-user purchases an insurance policy, and (v) revenue from interest earned on funds held for customers in interest-bearing accounts. Platform and other revenues has been referred to as platform and usage-based fee revenue in prior filings.</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Performance Obligations</w:t>
      </w:r>
    </w:p>
    <w:p>
      <w:pPr>
        <w:spacing w:after="0" w:line="169"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14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128"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13"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69"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Terms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payment terms vary by type of client, client’s customers and services offered and ranges between one and 60 days.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Typically, the Company charges either a fixed fee, a fixed fee per transaction or percentage of transaction value or a combination of both.</w:t>
      </w:r>
    </w:p>
    <w:p>
      <w:pPr>
        <w:spacing w:after="0" w:line="15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Company does not assess whether a significant financing component exists if the period between performance obligations under the contract and payment is one year or less. None of the Company’s contracts contain a significant financing component as of December 31, 2024, 2023 and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18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related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6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24" w:name="page125"/>
    <w:bookmarkEnd w:id="124"/>
    <w:p>
      <w:pPr>
        <w:ind w:right="440"/>
        <w:spacing w:after="0" w:line="253" w:lineRule="auto"/>
        <w:rPr>
          <w:sz w:val="20"/>
          <w:szCs w:val="20"/>
          <w:color w:val="auto"/>
        </w:rPr>
      </w:pPr>
      <w:r>
        <w:rPr>
          <w:rFonts w:ascii="Arial" w:cs="Arial" w:eastAsia="Arial" w:hAnsi="Arial"/>
          <w:sz w:val="18"/>
          <w:szCs w:val="18"/>
          <w:color w:val="auto"/>
        </w:rPr>
        <w:t>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additional information on revenue recognition.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to our FlyMates who provide implementation services to the Company’s clients.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83"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customer relationship intangible assets, marketing program expenses, travel-related expenses and costs to market and promote the Company's solutions through advertisements, marketing events, partnership arrangements, and direct client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$7.5 million, $6.6 million and $4.9 million for the years ended December 31, 2024, 2023 and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3" w:lineRule="exact"/>
        <w:rPr>
          <w:sz w:val="20"/>
          <w:szCs w:val="20"/>
          <w:color w:val="auto"/>
        </w:rPr>
      </w:pPr>
    </w:p>
    <w:p>
      <w:pPr>
        <w:jc w:val="both"/>
        <w:ind w:right="560" w:firstLine="509"/>
        <w:spacing w:after="0" w:line="271" w:lineRule="auto"/>
        <w:rPr>
          <w:sz w:val="20"/>
          <w:szCs w:val="20"/>
          <w:color w:val="auto"/>
        </w:rPr>
      </w:pPr>
      <w:r>
        <w:rPr>
          <w:rFonts w:ascii="Arial" w:cs="Arial" w:eastAsia="Arial" w:hAnsi="Arial"/>
          <w:sz w:val="18"/>
          <w:szCs w:val="18"/>
          <w:color w:val="auto"/>
        </w:rPr>
        <w:t>The Company recognizes compensation cost for all stock-based compensation awards made to employees, net of an estimated forfeiture rate and recognizes compensation cost only for those shares expected to vest over the requisite service period of the award.</w:t>
      </w:r>
    </w:p>
    <w:p>
      <w:pPr>
        <w:spacing w:after="0" w:line="113"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The Company determines compensation expense associated with restricted stock units based on the fair value of the Company's common stock on the date of the grant.</w:t>
      </w:r>
    </w:p>
    <w:p>
      <w:pPr>
        <w:spacing w:after="0" w:line="113"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Company determines compensation expense associated with options to purchase shares of common stock and Employee Stock Purchase Plan (ESPP) based on the grant date fair value method using the Black-Scholes valuation model.</w:t>
      </w:r>
    </w:p>
    <w:p>
      <w:pPr>
        <w:spacing w:after="0" w:line="127"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The Black-Scholes valuation model requires judgments and estimates. Such estimates include the exercise price, expected volatility, expected term, risk free rate and expected dividend yield. Any changes to those estimates may have a significant impact on the stock-based compensation expense recorded and could materially impact the Company’s results of operations.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25" w:name="page126"/>
    <w:bookmarkEnd w:id="125"/>
    <w:p>
      <w:pPr>
        <w:ind w:left="520"/>
        <w:spacing w:after="0"/>
        <w:rPr>
          <w:sz w:val="20"/>
          <w:szCs w:val="20"/>
          <w:color w:val="auto"/>
        </w:rPr>
      </w:pPr>
      <w:r>
        <w:rPr>
          <w:rFonts w:ascii="Arial" w:cs="Arial" w:eastAsia="Arial" w:hAnsi="Arial"/>
          <w:sz w:val="18"/>
          <w:szCs w:val="18"/>
          <w:color w:val="auto"/>
        </w:rPr>
        <w:t>The fair value of the Company’s common stock is determined based on the closing quoted market price of the Company’s common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67"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The expected volatility is estimated based on the historical volatility of the Company’s common stock. However, since the Company’s initial public offering occurred in 2021, the Company lacked sufficient Company-specific historical and implied volatility information for its stock options granted in 2022; therefore, the Company estimated its expected stock volatility based on the historical volatility of publicly traded peer companies.</w:t>
      </w:r>
    </w:p>
    <w:p>
      <w:pPr>
        <w:spacing w:after="0" w:line="133" w:lineRule="exact"/>
        <w:rPr>
          <w:sz w:val="20"/>
          <w:szCs w:val="20"/>
          <w:color w:val="auto"/>
        </w:rPr>
      </w:pPr>
    </w:p>
    <w:p>
      <w:pPr>
        <w:jc w:val="both"/>
        <w:ind w:right="360" w:firstLine="509"/>
        <w:spacing w:after="0" w:line="253" w:lineRule="auto"/>
        <w:rPr>
          <w:sz w:val="20"/>
          <w:szCs w:val="20"/>
          <w:color w:val="auto"/>
        </w:rPr>
      </w:pPr>
      <w:r>
        <w:rPr>
          <w:rFonts w:ascii="Arial" w:cs="Arial" w:eastAsia="Arial" w:hAnsi="Arial"/>
          <w:sz w:val="18"/>
          <w:szCs w:val="18"/>
          <w:color w:val="auto"/>
        </w:rPr>
        <w:t>The expected term represents the period that stock-based awards are expected to be outstanding. The expected term for options grants is determined using the simplified method. The simplified method deems the term to be the average of the time-to-vesting and the contractual life of the stock-based awards.</w:t>
      </w:r>
    </w:p>
    <w:p>
      <w:pPr>
        <w:spacing w:after="0" w:line="128"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risk-free interest rate is determined by reference to the U.S. Treasury yield curve in effect at the time of grant of the award for time periods approximately equal to the expected term of the award.</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Expected dividend yield is zero based on the fact that the Company does not have a history of declaring or paying cash dividends.</w:t>
      </w:r>
    </w:p>
    <w:p>
      <w:pPr>
        <w:spacing w:after="0" w:line="1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Compensation expense is recognized using a straight-line amortization method over the requisite service period of the award, which is generally the vesting term of four years for stock options, one to four years for restricted stock units and the offering period of 6 months for ESPP. The Company has elected to estimate the expected forfeiture rate and recognize expense only for those shares expected to vest. The expected forfeiture rate is estimated based on historical experience, which was determined to be 5% for the year ending December 31, 2024.</w:t>
      </w:r>
    </w:p>
    <w:p>
      <w:pPr>
        <w:spacing w:after="0" w:line="133"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the tax basis of assets and liabilities, as measured by enacted tax rates anticipated to be in effect when these differences are expected to reverse.</w:t>
      </w:r>
    </w:p>
    <w:p>
      <w:pPr>
        <w:spacing w:after="0" w:line="128"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14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Interest and penalties related to uncertain tax positions are recognized in the provision for income taxes.</w:t>
      </w:r>
    </w:p>
    <w:p>
      <w:pPr>
        <w:spacing w:after="0" w:line="136"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Company accounts for the earnings of its foreign subsidiaries, if any, as permanently reinvested and therefore does not provide for U.S. income taxes that could result from the distribution of those earnings to the U.S. parent.</w:t>
      </w:r>
    </w:p>
    <w:p>
      <w:pPr>
        <w:spacing w:after="0" w:line="113" w:lineRule="exact"/>
        <w:rPr>
          <w:sz w:val="20"/>
          <w:szCs w:val="20"/>
          <w:color w:val="auto"/>
        </w:rPr>
      </w:pPr>
    </w:p>
    <w:p>
      <w:pPr>
        <w:ind w:right="100" w:firstLine="509"/>
        <w:spacing w:after="0" w:line="301" w:lineRule="auto"/>
        <w:rPr>
          <w:sz w:val="20"/>
          <w:szCs w:val="20"/>
          <w:color w:val="auto"/>
        </w:rPr>
      </w:pPr>
      <w:r>
        <w:rPr>
          <w:rFonts w:ascii="Arial" w:cs="Arial" w:eastAsia="Arial" w:hAnsi="Arial"/>
          <w:sz w:val="17"/>
          <w:szCs w:val="17"/>
          <w:color w:val="auto"/>
        </w:rPr>
        <w:t>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9"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Comprehensive loss includes net income (loss) as well as other changes in stockholders’ equity that result from transactions and economic events other than those with stockholders. The comprehensive loss for the Company equals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26" w:name="page127"/>
    <w:bookmarkEnd w:id="126"/>
    <w:p>
      <w:pPr>
        <w:ind w:right="300"/>
        <w:spacing w:after="0" w:line="271" w:lineRule="auto"/>
        <w:rPr>
          <w:sz w:val="20"/>
          <w:szCs w:val="20"/>
          <w:color w:val="auto"/>
        </w:rPr>
      </w:pPr>
      <w:r>
        <w:rPr>
          <w:rFonts w:ascii="Arial" w:cs="Arial" w:eastAsia="Arial" w:hAnsi="Arial"/>
          <w:sz w:val="18"/>
          <w:szCs w:val="18"/>
          <w:color w:val="auto"/>
        </w:rPr>
        <w:t>its net income (loss) plus changes in foreign currency translation and unrealized gains (losses) on available-for-sale debt securities, net of taxes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69"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 The dilutive effect of outstanding equity incentive awards is reflected in diluted net income (loss) per share by application of the treasury stock method.</w:t>
      </w:r>
    </w:p>
    <w:p>
      <w:pPr>
        <w:spacing w:after="0" w:line="144" w:lineRule="exact"/>
        <w:rPr>
          <w:sz w:val="20"/>
          <w:szCs w:val="20"/>
          <w:color w:val="auto"/>
        </w:rPr>
      </w:pPr>
    </w:p>
    <w:p>
      <w:pPr>
        <w:ind w:right="300" w:firstLine="509"/>
        <w:spacing w:after="0" w:line="242"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net income attributable to common stockholders for the year ended December 31, 2024. The Company reported net loss attributable to common stockholders for the years ended December 31, 2023 and 2022; accordingly, basic net loss per share attributable to common stockholders was the same as diluted net loss per share attributable to common stockholders.</w:t>
      </w:r>
    </w:p>
    <w:p>
      <w:pPr>
        <w:spacing w:after="0" w:line="15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following Accounting Standards Update (ASU) was issued by the Financial Accounting Standards Board and adopted by Flywire during the year ended December 31, 2024:</w:t>
      </w:r>
    </w:p>
    <w:p>
      <w:pPr>
        <w:spacing w:after="0" w:line="12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ASU 2023-07</w:t>
      </w:r>
      <w:r>
        <w:rPr>
          <w:rFonts w:ascii="Arial" w:cs="Arial" w:eastAsia="Arial" w:hAnsi="Arial"/>
          <w:sz w:val="18"/>
          <w:szCs w:val="18"/>
          <w:i w:val="1"/>
          <w:iCs w:val="1"/>
          <w:color w:val="auto"/>
        </w:rPr>
        <w:t>, Segment Reporting (Topic 280): Improvements to Reportable Segment Disclosures:</w:t>
      </w:r>
      <w:r>
        <w:rPr>
          <w:rFonts w:ascii="Arial" w:cs="Arial" w:eastAsia="Arial" w:hAnsi="Arial"/>
          <w:sz w:val="18"/>
          <w:szCs w:val="18"/>
          <w:color w:val="auto"/>
        </w:rPr>
        <w:t xml:space="preserve"> ASU 2023-07 improves reportable segment disclosure requirements, primarily through enhanced disclosures about significant segment expenses. ASU 2023-07 also enhances interim disclosure requirements, clarifies circumstances in which an entity can disclose multiple segment measures of profit or loss, provides new segment disclosure requirements for entities with a single reportable and contains other disclosure requirements. The Company adopted ASU 2023-07 retrospectively for the annual period during the year ended December 31, 2024. The adoption of this standard resulted in additional disclosures for segment reporting. Refer to </w:t>
      </w:r>
      <w:r>
        <w:rPr>
          <w:rFonts w:ascii="Arial" w:cs="Arial" w:eastAsia="Arial" w:hAnsi="Arial"/>
          <w:sz w:val="18"/>
          <w:szCs w:val="18"/>
          <w:i w:val="1"/>
          <w:iCs w:val="1"/>
          <w:color w:val="auto"/>
        </w:rPr>
        <w:t>Note 3 - Segment Reporting</w:t>
      </w:r>
      <w:r>
        <w:rPr>
          <w:rFonts w:ascii="Arial" w:cs="Arial" w:eastAsia="Arial" w:hAnsi="Arial"/>
          <w:sz w:val="18"/>
          <w:szCs w:val="18"/>
          <w:color w:val="auto"/>
        </w:rPr>
        <w:t xml:space="preserve"> for additional details on the adoption of ASU 2023-07.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 as of December 31, 2024</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 xml:space="preserve">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Early adoption is permitted. ASU 2023-09 should be applied on a prospective basis. However, companies have the option to apply the standard retrospectively. The Company is currently evaluating the impact of this standard on its consolidated financial statements and disclosures.</w:t>
      </w:r>
    </w:p>
    <w:p>
      <w:pPr>
        <w:spacing w:after="0" w:line="15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 - Reporting Comprehensive Income - 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of Income Statement Expenses: </w:t>
      </w:r>
      <w:r>
        <w:rPr>
          <w:rFonts w:ascii="Arial" w:cs="Arial" w:eastAsia="Arial" w:hAnsi="Arial"/>
          <w:sz w:val="18"/>
          <w:szCs w:val="18"/>
          <w:color w:val="auto"/>
        </w:rPr>
        <w:t>ASU 2024-03 is intended to improve the disclosures of expenses by providing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27" w:name="page128"/>
    <w:bookmarkEnd w:id="127"/>
    <w:p>
      <w:pPr>
        <w:ind w:right="80"/>
        <w:spacing w:after="0" w:line="247" w:lineRule="auto"/>
        <w:rPr>
          <w:sz w:val="20"/>
          <w:szCs w:val="20"/>
          <w:color w:val="auto"/>
        </w:rPr>
      </w:pPr>
      <w:r>
        <w:rPr>
          <w:rFonts w:ascii="Arial" w:cs="Arial" w:eastAsia="Arial" w:hAnsi="Arial"/>
          <w:sz w:val="18"/>
          <w:szCs w:val="18"/>
          <w:color w:val="auto"/>
        </w:rPr>
        <w:t>The amendment also requires disclosure of the total amount of selling expense and, in annual reporting periods, an entity’s definition of selling expenses. ASU 2024-03 is effective for the Company for the annual period beginning on January 1, 2027, and interim reporting periods within annual reporting periods beginning January 1, 2028. Early adoption is permitted. The ASU can be applied either prospectively or retrospectively. The Company is currently evaluating the impact of this standard on its consolidated financial statements and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and Recognition</w:t>
      </w:r>
    </w:p>
    <w:p>
      <w:pPr>
        <w:spacing w:after="0" w:line="171"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presents revenue disaggregated by geographical area and major solutions. The categorization of revenue by geographical location is determined based on the location of where the client resides.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Primary geographical markets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Americas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221,616</w:t>
            </w:r>
          </w:p>
        </w:tc>
        <w:tc>
          <w:tcPr>
            <w:tcW w:w="5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222,580</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194,429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EMEA</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188,869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120,840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69,185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APAC</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81,659</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59,674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492,144</w:t>
            </w:r>
          </w:p>
        </w:tc>
        <w:tc>
          <w:tcPr>
            <w:tcW w:w="58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403,094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289,375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b w:val="1"/>
                <w:bCs w:val="1"/>
                <w:color w:val="auto"/>
              </w:rPr>
              <w:t>Major solutions</w:t>
            </w: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Transaction</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410,256</w:t>
            </w:r>
          </w:p>
        </w:tc>
        <w:tc>
          <w:tcPr>
            <w:tcW w:w="5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329,721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224,149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Platform and other revenues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81,888</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73,373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492,144</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403,094</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289,375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-573405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-556895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-573405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-556895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timing of revenue recognition, billing and cash collection results in billed receivables, unbilled receivables and deferred revenue on the consolidated balance sheet.</w:t>
      </w:r>
    </w:p>
    <w:p>
      <w:pPr>
        <w:spacing w:after="0" w:line="11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w:t>
      </w:r>
    </w:p>
    <w:p>
      <w:pPr>
        <w:spacing w:after="0" w:line="142"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In certain instances, the Company delivers services in advance of billing. In this case the Company recognizes unbilled receivables which is not a contract asset as the Company has an unconditional right for payment.</w:t>
      </w:r>
    </w:p>
    <w:p>
      <w:pPr>
        <w:spacing w:after="0" w:line="113"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 net</w:t>
            </w:r>
          </w:p>
        </w:tc>
        <w:tc>
          <w:tcPr>
            <w:tcW w:w="1000" w:type="dxa"/>
            <w:vAlign w:val="bottom"/>
            <w:shd w:val="clear" w:color="auto" w:fill="CFF0FC"/>
          </w:tcPr>
          <w:p>
            <w:pPr>
              <w:jc w:val="right"/>
              <w:ind w:right="802"/>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23,703</w:t>
            </w:r>
          </w:p>
        </w:tc>
        <w:tc>
          <w:tcPr>
            <w:tcW w:w="128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18,215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Unbilled receivables, net</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15,453</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10,689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 current</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7,337</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6,968</w:t>
            </w:r>
          </w:p>
        </w:tc>
        <w:tc>
          <w:tcPr>
            <w:tcW w:w="100" w:type="dxa"/>
            <w:vAlign w:val="bottom"/>
            <w:shd w:val="clear" w:color="auto" w:fill="CFF0FC"/>
          </w:tcPr>
          <w:p>
            <w:pPr>
              <w:spacing w:after="0"/>
              <w:rPr>
                <w:sz w:val="17"/>
                <w:szCs w:val="17"/>
                <w:color w:val="auto"/>
              </w:rPr>
            </w:pPr>
          </w:p>
        </w:tc>
      </w:tr>
      <w:tr>
        <w:trPr>
          <w:trHeight w:val="239"/>
        </w:trPr>
        <w:tc>
          <w:tcPr>
            <w:tcW w:w="768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r>
    </w:tbl>
    <w:p>
      <w:pPr>
        <w:spacing w:after="0" w:line="13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For the year ended December 31, 2024, the Company recognized $5.8 million in revenue from amounts that were included in deferred revenue as of December 31, 2023.</w:t>
      </w:r>
    </w:p>
    <w:p>
      <w:pPr>
        <w:spacing w:after="0" w:line="11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For the year ended December 31, 2023, the Company recognized $4.8 million in revenue from amounts that were included in deferred revenue as of December 31,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3"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 has performance obligations associated with certain clients' contracts for future services that have not yet been recognized as revenue. As of December 31, 2024, the aggregate amount of transaction price allocated to performance obligations that are unsatisfied or partially unsatisfied, including deferred revenue, was approximately $10.8 million. Of the total remaining performance obligations, the Company expects to recognize approximately 62.0% within the next year, 23.6% after one year through year two and 14.4% over the next three to five years thereafter. Actual amounts and timing of revenue recognized may differ due to subsequent contract modifications, renewals and/or terminations.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83"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Incremental costs for obtaining contracts that are deemed recoverable are capitalized as contract costs and are included in other assets in the consolidated balance sheets. Such costs result from the payment of sales incentives and totaled $3.4 million, $3.5 million and $4.0 million as of December 31, 2024, 2023 and 2022, respectively. Capitalized sales incentives are amortized over the period of benefits, which the Company has determined to be three years. The amortization is included in selling and marketing expense line in the consolidated statements of operations and comprehensive loss, and totaled $2.0 million, $1.2 million and $0.4 million for the years ended December 31, 2024, 2023 and 2022, respectively.</w:t>
      </w:r>
    </w:p>
    <w:p>
      <w:pPr>
        <w:spacing w:after="0" w:line="138"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$3.0 million, $2.3 million and $2.0 million of costs in 2024, 2023 and 2022, respectively within other assets on the consolidated balance sheets. These capitalized costs are amortized on a straight-line basis over the expected contract life, which generally is five years, starting on go-live date. The amortization is included in technology and development expense line in the consolidated statements of operations and comprehensive loss, and totaled $1.2 million, $0.6 million and $1.8 million for the years ended December 31, 2024, 2023 and 2022, respectively. Included in the amortization expense for the year ended December 31, 2022 is $1.5 million resulting from the impairment of customer set-up costs associated with technology integration.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185" w:lineRule="exact"/>
        <w:rPr>
          <w:sz w:val="20"/>
          <w:szCs w:val="20"/>
          <w:color w:val="auto"/>
        </w:rPr>
      </w:pPr>
    </w:p>
    <w:p>
      <w:pPr>
        <w:ind w:right="380" w:firstLine="509"/>
        <w:spacing w:after="0" w:line="253" w:lineRule="auto"/>
        <w:rPr>
          <w:sz w:val="20"/>
          <w:szCs w:val="20"/>
          <w:color w:val="auto"/>
        </w:rPr>
      </w:pPr>
      <w:r>
        <w:rPr>
          <w:rFonts w:ascii="Arial" w:cs="Arial" w:eastAsia="Arial" w:hAnsi="Arial"/>
          <w:sz w:val="18"/>
          <w:szCs w:val="18"/>
          <w:color w:val="auto"/>
        </w:rPr>
        <w:t>The Company has a single operating and reportable segment. The Company’s chief operating decision maker (CODM) is its Chief Executive Officer, who reviews financial information presented on a consolidated basis for purposes of making operating decisions, assessing financial performance and allocating resources.</w:t>
      </w:r>
    </w:p>
    <w:p>
      <w:pPr>
        <w:spacing w:after="0" w:line="128"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Beginning in 2024 annual reporting, we adopted ASU 2023-07 retrospectively. The following table presents the Company's significant segment expenses and other segment items for the years ended December 31, 2024, 2023 and 2022. The CODM does not regularly review segment asset information for the purpose of assessing performance and making resource allocation decisions; therefore, such information is not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Revenue Less Ancillary Services </w:t>
            </w:r>
            <w:r>
              <w:rPr>
                <w:rFonts w:ascii="Arial" w:cs="Arial" w:eastAsia="Arial" w:hAnsi="Arial"/>
                <w:sz w:val="22"/>
                <w:szCs w:val="22"/>
                <w:color w:val="auto"/>
                <w:vertAlign w:val="superscript"/>
              </w:rPr>
              <w:t>(a)</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474,311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381,506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267,047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Less: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Payment processing services costs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161,086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127,303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85,512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400"/>
              <w:spacing w:after="0" w:line="202" w:lineRule="exact"/>
              <w:rPr>
                <w:sz w:val="20"/>
                <w:szCs w:val="20"/>
                <w:color w:val="auto"/>
              </w:rPr>
            </w:pPr>
            <w:r>
              <w:rPr>
                <w:rFonts w:ascii="Arial" w:cs="Arial" w:eastAsia="Arial" w:hAnsi="Arial"/>
                <w:sz w:val="17"/>
                <w:szCs w:val="17"/>
                <w:color w:val="auto"/>
              </w:rPr>
              <w:t xml:space="preserve">Personnel expense </w:t>
            </w:r>
            <w:r>
              <w:rPr>
                <w:rFonts w:ascii="Arial" w:cs="Arial" w:eastAsia="Arial" w:hAnsi="Arial"/>
                <w:sz w:val="23"/>
                <w:szCs w:val="23"/>
                <w:color w:val="auto"/>
                <w:vertAlign w:val="superscript"/>
              </w:rPr>
              <w:t>(b)</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154,969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137,127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109,486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400"/>
              <w:spacing w:after="0" w:line="202"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3"/>
                <w:szCs w:val="23"/>
                <w:color w:val="auto"/>
                <w:vertAlign w:val="superscript"/>
              </w:rPr>
              <w:t>(c)</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81,247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77,014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18,541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16,368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65,754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45,215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538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372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21,440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13,349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Gain (loss) from remeasurement of foreign currency</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(11,756 )</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4,192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(9,168 )</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(Benefit from) provision for income taxes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(1,040 )</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4,214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Pr>
          <w:p>
            <w:pPr>
              <w:ind w:left="520"/>
              <w:spacing w:after="0" w:line="196" w:lineRule="exact"/>
              <w:rPr>
                <w:sz w:val="20"/>
                <w:szCs w:val="20"/>
                <w:color w:val="auto"/>
              </w:rPr>
            </w:pPr>
            <w:r>
              <w:rPr>
                <w:rFonts w:ascii="Arial" w:cs="Arial" w:eastAsia="Arial" w:hAnsi="Arial"/>
                <w:sz w:val="18"/>
                <w:szCs w:val="18"/>
                <w:color w:val="auto"/>
              </w:rPr>
              <w:t>Segment income (loss)</w:t>
            </w: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2,900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(8,566 )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(39,347 )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-162560</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23742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84"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18"/>
          <w:szCs w:val="18"/>
          <w:color w:val="1F1F1F"/>
          <w:vertAlign w:val="superscript"/>
        </w:rPr>
      </w:pPr>
      <w:r>
        <w:rPr>
          <w:rFonts w:ascii="Arial" w:cs="Arial" w:eastAsia="Arial" w:hAnsi="Arial"/>
          <w:sz w:val="14"/>
          <w:szCs w:val="14"/>
          <w:color w:val="1F1F1F"/>
        </w:rPr>
        <w:t>Revenue less Ancillary Services represents segment revenue.</w:t>
      </w:r>
    </w:p>
    <w:p>
      <w:pPr>
        <w:spacing w:after="0" w:line="160" w:lineRule="exact"/>
        <w:rPr>
          <w:rFonts w:ascii="Arial" w:cs="Arial" w:eastAsia="Arial" w:hAnsi="Arial"/>
          <w:sz w:val="18"/>
          <w:szCs w:val="18"/>
          <w:color w:val="1F1F1F"/>
          <w:vertAlign w:val="superscript"/>
        </w:rPr>
      </w:pPr>
    </w:p>
    <w:p>
      <w:pPr>
        <w:ind w:right="300" w:firstLine="8"/>
        <w:spacing w:after="0"/>
        <w:tabs>
          <w:tab w:leader="none" w:pos="144" w:val="left"/>
        </w:tabs>
        <w:numPr>
          <w:ilvl w:val="0"/>
          <w:numId w:val="53"/>
        </w:numPr>
        <w:rPr>
          <w:rFonts w:ascii="Arial" w:cs="Arial" w:eastAsia="Arial" w:hAnsi="Arial"/>
          <w:sz w:val="16"/>
          <w:szCs w:val="16"/>
          <w:color w:val="1F1F1F"/>
          <w:vertAlign w:val="superscript"/>
        </w:rPr>
      </w:pPr>
      <w:r>
        <w:rPr>
          <w:rFonts w:ascii="Arial" w:cs="Arial" w:eastAsia="Arial" w:hAnsi="Arial"/>
          <w:sz w:val="12"/>
          <w:szCs w:val="12"/>
          <w:color w:val="1F1F1F"/>
        </w:rPr>
        <w:t>Personnel expense includes employees' and contractors' compensation in Technology and development, Selling and marketing and General and administrative operating expenses.</w:t>
      </w:r>
    </w:p>
    <w:p>
      <w:pPr>
        <w:spacing w:after="0" w:line="329" w:lineRule="exact"/>
        <w:rPr>
          <w:rFonts w:ascii="Arial" w:cs="Arial" w:eastAsia="Arial" w:hAnsi="Arial"/>
          <w:sz w:val="16"/>
          <w:szCs w:val="16"/>
          <w:color w:val="1F1F1F"/>
          <w:vertAlign w:val="superscript"/>
        </w:rPr>
      </w:pPr>
    </w:p>
    <w:p>
      <w:pPr>
        <w:ind w:right="480" w:firstLine="8"/>
        <w:spacing w:after="0"/>
        <w:tabs>
          <w:tab w:leader="none" w:pos="139" w:val="left"/>
        </w:tabs>
        <w:numPr>
          <w:ilvl w:val="0"/>
          <w:numId w:val="53"/>
        </w:numPr>
        <w:rPr>
          <w:rFonts w:ascii="Arial" w:cs="Arial" w:eastAsia="Arial" w:hAnsi="Arial"/>
          <w:sz w:val="16"/>
          <w:szCs w:val="16"/>
          <w:color w:val="1F1F1F"/>
          <w:vertAlign w:val="superscript"/>
        </w:rPr>
      </w:pPr>
      <w:r>
        <w:rPr>
          <w:rFonts w:ascii="Arial" w:cs="Arial" w:eastAsia="Arial" w:hAnsi="Arial"/>
          <w:sz w:val="12"/>
          <w:szCs w:val="12"/>
          <w:color w:val="1F1F1F"/>
        </w:rPr>
        <w:t>Other segments items included in segment income (loss) includes the following expenses: professional fees, marketing, travel, facilities, software, acquisition and other general and administrative.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Note 4. Investments</w:t>
      </w:r>
    </w:p>
    <w:p>
      <w:pPr>
        <w:spacing w:after="0" w:line="185"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following table summarizes the estimated fair value of available-for-sale debt securities included within short-term and long-term investments as of December 31, 2024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4"/>
              <w:spacing w:after="0" w:line="147"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30"/>
              <w:spacing w:after="0" w:line="147" w:lineRule="exact"/>
              <w:rPr>
                <w:sz w:val="20"/>
                <w:szCs w:val="20"/>
                <w:color w:val="auto"/>
              </w:rPr>
            </w:pPr>
            <w:r>
              <w:rPr>
                <w:rFonts w:ascii="Arial" w:cs="Arial" w:eastAsia="Arial" w:hAnsi="Arial"/>
                <w:sz w:val="14"/>
                <w:szCs w:val="14"/>
                <w:b w:val="1"/>
                <w:bCs w:val="1"/>
                <w:color w:val="auto"/>
              </w:rPr>
              <w:t>Gross</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4"/>
              <w:spacing w:after="0" w:line="147" w:lineRule="exact"/>
              <w:rPr>
                <w:sz w:val="20"/>
                <w:szCs w:val="20"/>
                <w:color w:val="auto"/>
              </w:rPr>
            </w:pPr>
            <w:r>
              <w:rPr>
                <w:rFonts w:ascii="Arial" w:cs="Arial" w:eastAsia="Arial" w:hAnsi="Arial"/>
                <w:sz w:val="14"/>
                <w:szCs w:val="14"/>
                <w:b w:val="1"/>
                <w:bCs w:val="1"/>
                <w:color w:val="auto"/>
              </w:rPr>
              <w:t>Accrued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4"/>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rPr>
              <w:t>Unrealized</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Allowance for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14"/>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Aggregate Fair</w:t>
            </w:r>
          </w:p>
        </w:tc>
      </w:tr>
      <w:tr>
        <w:trPr>
          <w:trHeight w:val="171"/>
        </w:trPr>
        <w:tc>
          <w:tcPr>
            <w:tcW w:w="3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Credit Losses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Receivable</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r>
      <w:tr>
        <w:trPr>
          <w:trHeight w:val="196"/>
        </w:trPr>
        <w:tc>
          <w:tcPr>
            <w:tcW w:w="33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61,941</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(3 )</w:t>
            </w:r>
          </w:p>
        </w:tc>
        <w:tc>
          <w:tcPr>
            <w:tcW w:w="720" w:type="dxa"/>
            <w:vAlign w:val="bottom"/>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4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62,625</w:t>
            </w:r>
          </w:p>
        </w:tc>
        <w:tc>
          <w:tcPr>
            <w:tcW w:w="100" w:type="dxa"/>
            <w:vAlign w:val="bottom"/>
          </w:tcPr>
          <w:p>
            <w:pPr>
              <w:spacing w:after="0"/>
              <w:rPr>
                <w:sz w:val="17"/>
                <w:szCs w:val="17"/>
                <w:color w:val="auto"/>
              </w:rPr>
            </w:pPr>
          </w:p>
        </w:tc>
      </w:tr>
      <w:tr>
        <w:trPr>
          <w:trHeight w:val="202"/>
        </w:trPr>
        <w:tc>
          <w:tcPr>
            <w:tcW w:w="334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U.S. Government obligations</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36,358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(4 )</w:t>
            </w:r>
          </w:p>
        </w:tc>
        <w:tc>
          <w:tcPr>
            <w:tcW w:w="720" w:type="dxa"/>
            <w:vAlign w:val="bottom"/>
            <w:shd w:val="clear" w:color="auto" w:fill="CFF0FC"/>
          </w:tcPr>
          <w:p>
            <w:pPr>
              <w:spacing w:after="0"/>
              <w:rPr>
                <w:sz w:val="17"/>
                <w:szCs w:val="17"/>
                <w:color w:val="auto"/>
              </w:rPr>
            </w:pP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36,755</w:t>
            </w:r>
          </w:p>
        </w:tc>
        <w:tc>
          <w:tcPr>
            <w:tcW w:w="100" w:type="dxa"/>
            <w:vAlign w:val="bottom"/>
            <w:shd w:val="clear" w:color="auto" w:fill="CFF0FC"/>
          </w:tcPr>
          <w:p>
            <w:pPr>
              <w:spacing w:after="0"/>
              <w:rPr>
                <w:sz w:val="17"/>
                <w:szCs w:val="17"/>
                <w:color w:val="auto"/>
              </w:rPr>
            </w:pPr>
          </w:p>
        </w:tc>
      </w:tr>
      <w:tr>
        <w:trPr>
          <w:trHeight w:val="203"/>
        </w:trPr>
        <w:tc>
          <w:tcPr>
            <w:tcW w:w="3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Treasury bill</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6,979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6,983</w:t>
            </w:r>
          </w:p>
        </w:tc>
        <w:tc>
          <w:tcPr>
            <w:tcW w:w="100" w:type="dxa"/>
            <w:vAlign w:val="bottom"/>
          </w:tcPr>
          <w:p>
            <w:pPr>
              <w:spacing w:after="0"/>
              <w:rPr>
                <w:sz w:val="17"/>
                <w:szCs w:val="17"/>
                <w:color w:val="auto"/>
              </w:rPr>
            </w:pPr>
          </w:p>
        </w:tc>
      </w:tr>
      <w:tr>
        <w:trPr>
          <w:trHeight w:val="203"/>
        </w:trPr>
        <w:tc>
          <w:tcPr>
            <w:tcW w:w="334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Foreign agency securities</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17"/>
                <w:szCs w:val="17"/>
                <w:color w:val="auto"/>
              </w:rPr>
            </w:pP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2,607</w:t>
            </w:r>
          </w:p>
        </w:tc>
        <w:tc>
          <w:tcPr>
            <w:tcW w:w="100" w:type="dxa"/>
            <w:vAlign w:val="bottom"/>
            <w:shd w:val="clear" w:color="auto" w:fill="CFF0FC"/>
          </w:tcPr>
          <w:p>
            <w:pPr>
              <w:spacing w:after="0"/>
              <w:rPr>
                <w:sz w:val="17"/>
                <w:szCs w:val="17"/>
                <w:color w:val="auto"/>
              </w:rPr>
            </w:pPr>
          </w:p>
        </w:tc>
      </w:tr>
      <w:tr>
        <w:trPr>
          <w:trHeight w:val="203"/>
        </w:trPr>
        <w:tc>
          <w:tcPr>
            <w:tcW w:w="3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6,877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6,878</w:t>
            </w:r>
          </w:p>
        </w:tc>
        <w:tc>
          <w:tcPr>
            <w:tcW w:w="100" w:type="dxa"/>
            <w:vAlign w:val="bottom"/>
          </w:tcPr>
          <w:p>
            <w:pPr>
              <w:spacing w:after="0"/>
              <w:rPr>
                <w:sz w:val="17"/>
                <w:szCs w:val="17"/>
                <w:color w:val="auto"/>
              </w:rPr>
            </w:pPr>
          </w:p>
        </w:tc>
      </w:tr>
      <w:tr>
        <w:trPr>
          <w:trHeight w:val="236"/>
        </w:trPr>
        <w:tc>
          <w:tcPr>
            <w:tcW w:w="3340" w:type="dxa"/>
            <w:vAlign w:val="bottom"/>
            <w:tcBorders>
              <w:top w:val="single" w:sz="8" w:color="CFF0FC"/>
              <w:bottom w:val="single" w:sz="8" w:color="CFF0FC"/>
            </w:tcBorders>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short-term investments</w:t>
            </w:r>
          </w:p>
        </w:tc>
        <w:tc>
          <w:tcPr>
            <w:tcW w:w="22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114,738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240" w:type="dxa"/>
            <w:vAlign w:val="bottom"/>
            <w:tcBorders>
              <w:top w:val="single" w:sz="8" w:color="CFF0FC"/>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ind w:right="53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890</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115,848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183"/>
        </w:trPr>
        <w:tc>
          <w:tcPr>
            <w:tcW w:w="334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34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22,797</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(23 )</w:t>
            </w:r>
          </w:p>
        </w:tc>
        <w:tc>
          <w:tcPr>
            <w:tcW w:w="720" w:type="dxa"/>
            <w:vAlign w:val="bottom"/>
            <w:shd w:val="clear" w:color="auto" w:fill="CFF0FC"/>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w:t>
            </w:r>
          </w:p>
        </w:tc>
        <w:tc>
          <w:tcPr>
            <w:tcW w:w="4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23,100</w:t>
            </w:r>
          </w:p>
        </w:tc>
        <w:tc>
          <w:tcPr>
            <w:tcW w:w="100" w:type="dxa"/>
            <w:vAlign w:val="bottom"/>
            <w:shd w:val="clear" w:color="auto" w:fill="CFF0FC"/>
          </w:tcPr>
          <w:p>
            <w:pPr>
              <w:spacing w:after="0"/>
              <w:rPr>
                <w:sz w:val="17"/>
                <w:szCs w:val="17"/>
                <w:color w:val="auto"/>
              </w:rPr>
            </w:pPr>
          </w:p>
        </w:tc>
      </w:tr>
      <w:tr>
        <w:trPr>
          <w:trHeight w:val="203"/>
        </w:trPr>
        <w:tc>
          <w:tcPr>
            <w:tcW w:w="3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U.S. Government obligations</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21,174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(67 )</w:t>
            </w:r>
          </w:p>
        </w:tc>
        <w:tc>
          <w:tcPr>
            <w:tcW w:w="72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21,384</w:t>
            </w:r>
          </w:p>
        </w:tc>
        <w:tc>
          <w:tcPr>
            <w:tcW w:w="100" w:type="dxa"/>
            <w:vAlign w:val="bottom"/>
          </w:tcPr>
          <w:p>
            <w:pPr>
              <w:spacing w:after="0"/>
              <w:rPr>
                <w:sz w:val="17"/>
                <w:szCs w:val="17"/>
                <w:color w:val="auto"/>
              </w:rPr>
            </w:pPr>
          </w:p>
        </w:tc>
      </w:tr>
      <w:tr>
        <w:trPr>
          <w:trHeight w:val="203"/>
        </w:trPr>
        <w:tc>
          <w:tcPr>
            <w:tcW w:w="334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Agency bond</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17"/>
                <w:szCs w:val="17"/>
                <w:color w:val="auto"/>
              </w:rPr>
            </w:pP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2,469</w:t>
            </w:r>
          </w:p>
        </w:tc>
        <w:tc>
          <w:tcPr>
            <w:tcW w:w="100" w:type="dxa"/>
            <w:vAlign w:val="bottom"/>
            <w:shd w:val="clear" w:color="auto" w:fill="CFF0FC"/>
          </w:tcPr>
          <w:p>
            <w:pPr>
              <w:spacing w:after="0"/>
              <w:rPr>
                <w:sz w:val="17"/>
                <w:szCs w:val="17"/>
                <w:color w:val="auto"/>
              </w:rPr>
            </w:pPr>
          </w:p>
        </w:tc>
      </w:tr>
      <w:tr>
        <w:trPr>
          <w:trHeight w:val="203"/>
        </w:trPr>
        <w:tc>
          <w:tcPr>
            <w:tcW w:w="3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(2 )</w:t>
            </w:r>
          </w:p>
        </w:tc>
        <w:tc>
          <w:tcPr>
            <w:tcW w:w="72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3,172</w:t>
            </w:r>
          </w:p>
        </w:tc>
        <w:tc>
          <w:tcPr>
            <w:tcW w:w="10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4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long-term investments</w:t>
            </w:r>
          </w:p>
        </w:tc>
        <w:tc>
          <w:tcPr>
            <w:tcW w:w="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49,592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(92 )</w:t>
            </w:r>
          </w:p>
        </w:tc>
        <w:tc>
          <w:tcPr>
            <w:tcW w:w="720" w:type="dxa"/>
            <w:vAlign w:val="bottom"/>
            <w:shd w:val="clear" w:color="auto" w:fill="CFF0FC"/>
          </w:tcPr>
          <w:p>
            <w:pPr>
              <w:jc w:val="right"/>
              <w:ind w:right="53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545</w:t>
            </w:r>
          </w:p>
        </w:tc>
        <w:tc>
          <w:tcPr>
            <w:tcW w:w="46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50,125</w:t>
            </w:r>
          </w:p>
        </w:tc>
        <w:tc>
          <w:tcPr>
            <w:tcW w:w="100" w:type="dxa"/>
            <w:vAlign w:val="bottom"/>
            <w:shd w:val="clear" w:color="auto" w:fill="CFF0FC"/>
          </w:tcPr>
          <w:p>
            <w:pPr>
              <w:spacing w:after="0"/>
              <w:rPr>
                <w:sz w:val="18"/>
                <w:szCs w:val="18"/>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-830580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-814070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-968375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-830580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-814070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-968375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-830580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-814070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-968375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-830580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-814070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-968375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-830580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-814070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-968375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following table summarizes the fair value of the Company's available-for-sale debt securities by remaining contractual maturity as of December 31, 2024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within one year</w:t>
            </w: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115,848</w:t>
            </w:r>
          </w:p>
        </w:tc>
        <w:tc>
          <w:tcPr>
            <w:tcW w:w="100" w:type="dxa"/>
            <w:vAlign w:val="bottom"/>
            <w:shd w:val="clear" w:color="auto" w:fill="CFF0FC"/>
          </w:tcPr>
          <w:p>
            <w:pPr>
              <w:spacing w:after="0"/>
              <w:rPr>
                <w:sz w:val="17"/>
                <w:szCs w:val="17"/>
                <w:color w:val="auto"/>
              </w:rPr>
            </w:pPr>
          </w:p>
        </w:tc>
      </w:tr>
      <w:tr>
        <w:trPr>
          <w:trHeight w:val="203"/>
        </w:trPr>
        <w:tc>
          <w:tcPr>
            <w:tcW w:w="9180" w:type="dxa"/>
            <w:vAlign w:val="bottom"/>
          </w:tcPr>
          <w:p>
            <w:pPr>
              <w:ind w:left="140"/>
              <w:spacing w:after="0" w:line="202" w:lineRule="exact"/>
              <w:rPr>
                <w:sz w:val="20"/>
                <w:szCs w:val="20"/>
                <w:color w:val="auto"/>
              </w:rPr>
            </w:pPr>
            <w:r>
              <w:rPr>
                <w:rFonts w:ascii="Arial" w:cs="Arial" w:eastAsia="Arial" w:hAnsi="Arial"/>
                <w:sz w:val="18"/>
                <w:szCs w:val="18"/>
                <w:color w:val="auto"/>
              </w:rPr>
              <w:t>Due after one year through five years</w:t>
            </w:r>
          </w:p>
        </w:tc>
        <w:tc>
          <w:tcPr>
            <w:tcW w:w="7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50,125</w:t>
            </w:r>
          </w:p>
        </w:tc>
        <w:tc>
          <w:tcPr>
            <w:tcW w:w="100" w:type="dxa"/>
            <w:vAlign w:val="bottom"/>
          </w:tcPr>
          <w:p>
            <w:pPr>
              <w:spacing w:after="0"/>
              <w:rPr>
                <w:sz w:val="17"/>
                <w:szCs w:val="17"/>
                <w:color w:val="auto"/>
              </w:rPr>
            </w:pPr>
          </w:p>
        </w:tc>
      </w:tr>
      <w:tr>
        <w:trPr>
          <w:trHeight w:val="236"/>
        </w:trPr>
        <w:tc>
          <w:tcPr>
            <w:tcW w:w="91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investments</w:t>
            </w:r>
          </w:p>
        </w:tc>
        <w:tc>
          <w:tcPr>
            <w:tcW w:w="70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165,973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As of December 31, 2024, approximately 28 out of approximately 152 investments in available-for-sale debt securities were in an unrealized loss position. The following table shows fair values and gross unrealized losses for available-for-sale debt securities that were in an unrealized loss position, for which an allowance for credit losses has not been recorded, as of December 31, 2024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jc w:val="right"/>
              <w:ind w:right="430"/>
              <w:spacing w:after="0" w:line="155" w:lineRule="exact"/>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3"/>
                <w:szCs w:val="13"/>
                <w:color w:val="auto"/>
              </w:rPr>
            </w:pPr>
          </w:p>
        </w:tc>
        <w:tc>
          <w:tcPr>
            <w:tcW w:w="16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12 Months or Longer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94"/>
              <w:spacing w:after="0" w:line="147" w:lineRule="exact"/>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left="84"/>
              <w:spacing w:after="0" w:line="147"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14"/>
              <w:spacing w:after="0" w:line="147"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2"/>
                <w:szCs w:val="12"/>
                <w:color w:val="auto"/>
              </w:rPr>
            </w:pPr>
          </w:p>
        </w:tc>
      </w:tr>
      <w:tr>
        <w:trPr>
          <w:trHeight w:val="162"/>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rPr>
              <w:t>Unrealized</w:t>
            </w:r>
          </w:p>
        </w:tc>
      </w:tr>
      <w:tr>
        <w:trPr>
          <w:trHeight w:val="171"/>
        </w:trPr>
        <w:tc>
          <w:tcPr>
            <w:tcW w:w="4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99"/>
              </w:rPr>
              <w:t>Losses</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4"/>
                <w:szCs w:val="14"/>
                <w:color w:val="auto"/>
              </w:rPr>
            </w:pPr>
          </w:p>
        </w:tc>
      </w:tr>
      <w:tr>
        <w:trPr>
          <w:trHeight w:val="196"/>
        </w:trPr>
        <w:tc>
          <w:tcPr>
            <w:tcW w:w="46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6,002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(3 )</w:t>
            </w:r>
          </w:p>
        </w:tc>
        <w:tc>
          <w:tcPr>
            <w:tcW w:w="22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ind w:left="50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2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6,002</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r>
      <w:tr>
        <w:trPr>
          <w:trHeight w:val="203"/>
        </w:trPr>
        <w:tc>
          <w:tcPr>
            <w:tcW w:w="462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U.S. Government obligations</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(4 )</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r>
      <w:tr>
        <w:trPr>
          <w:trHeight w:val="196"/>
        </w:trPr>
        <w:tc>
          <w:tcPr>
            <w:tcW w:w="46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Total short-term investments</w:t>
            </w:r>
          </w:p>
        </w:tc>
        <w:tc>
          <w:tcPr>
            <w:tcW w:w="22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8,012</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2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ind w:left="50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24"/>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8,012</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2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6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12,648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(23 )</w:t>
            </w:r>
          </w:p>
        </w:tc>
        <w:tc>
          <w:tcPr>
            <w:tcW w:w="22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ind w:left="50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2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12,648</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203"/>
        </w:trPr>
        <w:tc>
          <w:tcPr>
            <w:tcW w:w="462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U.S. Government obligations</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13,845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(67 )</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13,845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(67 )</w:t>
            </w:r>
          </w:p>
        </w:tc>
      </w:tr>
      <w:tr>
        <w:trPr>
          <w:trHeight w:val="202"/>
        </w:trPr>
        <w:tc>
          <w:tcPr>
            <w:tcW w:w="46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999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(2 )</w:t>
            </w:r>
          </w:p>
        </w:tc>
        <w:tc>
          <w:tcPr>
            <w:tcW w:w="220" w:type="dxa"/>
            <w:vAlign w:val="bottom"/>
          </w:tcPr>
          <w:p>
            <w:pPr>
              <w:spacing w:after="0"/>
              <w:rPr>
                <w:sz w:val="17"/>
                <w:szCs w:val="17"/>
                <w:color w:val="auto"/>
              </w:rPr>
            </w:pPr>
          </w:p>
        </w:tc>
        <w:tc>
          <w:tcPr>
            <w:tcW w:w="700" w:type="dxa"/>
            <w:vAlign w:val="bottom"/>
          </w:tcPr>
          <w:p>
            <w:pPr>
              <w:ind w:left="5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999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long-term investments</w:t>
            </w:r>
          </w:p>
        </w:tc>
        <w:tc>
          <w:tcPr>
            <w:tcW w:w="2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(92 )</w:t>
            </w:r>
          </w:p>
        </w:tc>
        <w:tc>
          <w:tcPr>
            <w:tcW w:w="2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ind w:left="50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524"/>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27,492</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(92 )</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Unrealized losses have not been recognized into income (loss)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 Based on the evaluation of available evidence, the Company does not believe any unrealized losses represent other than temporary impairments.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30" w:name="page131"/>
    <w:bookmarkEnd w:id="130"/>
    <w:p>
      <w:pPr>
        <w:ind w:right="160" w:firstLine="509"/>
        <w:spacing w:after="0" w:line="253" w:lineRule="auto"/>
        <w:rPr>
          <w:sz w:val="20"/>
          <w:szCs w:val="20"/>
          <w:color w:val="auto"/>
        </w:rPr>
      </w:pPr>
      <w:r>
        <w:rPr>
          <w:rFonts w:ascii="Arial" w:cs="Arial" w:eastAsia="Arial" w:hAnsi="Arial"/>
          <w:sz w:val="18"/>
          <w:szCs w:val="18"/>
          <w:color w:val="auto"/>
        </w:rPr>
        <w:t>During the year ended December 31, 2024, the Company received proceeds of $29.6 million from the sale and maturity of short-term and long-term investments. There have been no significant realized gains or losses on the sale of short-term and long-term investments during the year ended December 31,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December 31, 2024 and 2023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Measured at NAV</w:t>
            </w:r>
          </w:p>
        </w:tc>
        <w:tc>
          <w:tcPr>
            <w:tcW w:w="860" w:type="dxa"/>
            <w:vAlign w:val="bottom"/>
          </w:tcPr>
          <w:p>
            <w:pPr>
              <w:spacing w:after="0"/>
              <w:rPr>
                <w:sz w:val="14"/>
                <w:szCs w:val="14"/>
                <w:color w:val="auto"/>
              </w:rPr>
            </w:pPr>
          </w:p>
        </w:tc>
        <w:tc>
          <w:tcPr>
            <w:tcW w:w="3480" w:type="dxa"/>
            <w:vAlign w:val="bottom"/>
            <w:gridSpan w:val="9"/>
            <w:vMerge w:val="restart"/>
          </w:tcPr>
          <w:p>
            <w:pPr>
              <w:ind w:left="60"/>
              <w:spacing w:after="0"/>
              <w:rPr>
                <w:sz w:val="20"/>
                <w:szCs w:val="20"/>
                <w:color w:val="auto"/>
              </w:rPr>
            </w:pPr>
            <w:r>
              <w:rPr>
                <w:rFonts w:ascii="Arial" w:cs="Arial" w:eastAsia="Arial" w:hAnsi="Arial"/>
                <w:sz w:val="14"/>
                <w:szCs w:val="14"/>
                <w:b w:val="1"/>
                <w:bCs w:val="1"/>
                <w:color w:val="auto"/>
              </w:rPr>
              <w:t>Measured at Fair Value as of December 31, 2024:</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4"/>
                <w:szCs w:val="14"/>
                <w:color w:val="auto"/>
              </w:rPr>
            </w:pPr>
          </w:p>
        </w:tc>
        <w:tc>
          <w:tcPr>
            <w:tcW w:w="3480" w:type="dxa"/>
            <w:vAlign w:val="bottom"/>
            <w:gridSpan w:val="9"/>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center"/>
              <w:ind w:right="232"/>
              <w:spacing w:after="0" w:line="158"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Money market funds</w:t>
            </w:r>
          </w:p>
        </w:tc>
        <w:tc>
          <w:tcPr>
            <w:tcW w:w="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139,545</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54"/>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139,545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contracts</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62,625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62,625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U.S. Government obligations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36,755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Treasury bill</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6,983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Foreign agency securities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6,878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Borders>
              <w:top w:val="single" w:sz="8" w:color="CFF0FC"/>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115,848</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115,848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line="196" w:lineRule="exact"/>
              <w:rPr>
                <w:sz w:val="20"/>
                <w:szCs w:val="20"/>
                <w:color w:val="auto"/>
              </w:rPr>
            </w:pPr>
            <w:r>
              <w:rPr>
                <w:rFonts w:ascii="Arial" w:cs="Arial" w:eastAsia="Arial" w:hAnsi="Arial"/>
                <w:sz w:val="18"/>
                <w:szCs w:val="18"/>
                <w:color w:val="auto"/>
              </w:rPr>
              <w:t>Long-term investments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Corporate bonds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U.S. Government obligations</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21,384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21,384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Agency bond</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3,172</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50,125</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50,125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139,545</w:t>
            </w:r>
          </w:p>
        </w:tc>
        <w:tc>
          <w:tcPr>
            <w:tcW w:w="220" w:type="dxa"/>
            <w:vAlign w:val="bottom"/>
          </w:tcPr>
          <w:p>
            <w:pPr>
              <w:spacing w:after="0"/>
              <w:rPr>
                <w:sz w:val="17"/>
                <w:szCs w:val="17"/>
                <w:color w:val="auto"/>
              </w:rPr>
            </w:pPr>
          </w:p>
        </w:tc>
        <w:tc>
          <w:tcPr>
            <w:tcW w:w="860" w:type="dxa"/>
            <w:vAlign w:val="bottom"/>
          </w:tcPr>
          <w:p>
            <w:pPr>
              <w:jc w:val="right"/>
              <w:ind w:right="654"/>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Pr>
          <w:p>
            <w:pPr>
              <w:ind w:left="6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165,973</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5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305,567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Financial Liabilities:</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654"/>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5,094</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financial liabilities</w:t>
            </w:r>
          </w:p>
        </w:tc>
        <w:tc>
          <w:tcPr>
            <w:tcW w:w="3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54"/>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4340" w:type="dxa"/>
            <w:vAlign w:val="bottom"/>
          </w:tcPr>
          <w:p>
            <w:pPr>
              <w:spacing w:after="0"/>
              <w:rPr>
                <w:sz w:val="24"/>
                <w:szCs w:val="2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Measured at NAV</w:t>
            </w:r>
          </w:p>
        </w:tc>
        <w:tc>
          <w:tcPr>
            <w:tcW w:w="860" w:type="dxa"/>
            <w:vAlign w:val="bottom"/>
          </w:tcPr>
          <w:p>
            <w:pPr>
              <w:spacing w:after="0"/>
              <w:rPr>
                <w:sz w:val="24"/>
                <w:szCs w:val="24"/>
                <w:color w:val="auto"/>
              </w:rPr>
            </w:pPr>
          </w:p>
        </w:tc>
        <w:tc>
          <w:tcPr>
            <w:tcW w:w="3480" w:type="dxa"/>
            <w:vAlign w:val="bottom"/>
            <w:gridSpan w:val="9"/>
            <w:vMerge w:val="restart"/>
          </w:tcPr>
          <w:p>
            <w:pPr>
              <w:ind w:left="60"/>
              <w:spacing w:after="0"/>
              <w:rPr>
                <w:sz w:val="20"/>
                <w:szCs w:val="20"/>
                <w:color w:val="auto"/>
              </w:rPr>
            </w:pPr>
            <w:r>
              <w:rPr>
                <w:rFonts w:ascii="Arial" w:cs="Arial" w:eastAsia="Arial" w:hAnsi="Arial"/>
                <w:sz w:val="14"/>
                <w:szCs w:val="14"/>
                <w:b w:val="1"/>
                <w:bCs w:val="1"/>
                <w:color w:val="auto"/>
              </w:rPr>
              <w:t>Measured at Fair Value as of December 31, 2023: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4"/>
                <w:szCs w:val="14"/>
                <w:color w:val="auto"/>
              </w:rPr>
            </w:pPr>
          </w:p>
        </w:tc>
        <w:tc>
          <w:tcPr>
            <w:tcW w:w="3480" w:type="dxa"/>
            <w:vAlign w:val="bottom"/>
            <w:gridSpan w:val="9"/>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center"/>
              <w:ind w:right="232"/>
              <w:spacing w:after="0" w:line="158"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Money market funds</w:t>
            </w:r>
          </w:p>
        </w:tc>
        <w:tc>
          <w:tcPr>
            <w:tcW w:w="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372,912</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54"/>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372,912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contracts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372,912</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54"/>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5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372,928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3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b w:val="1"/>
                <w:bCs w:val="1"/>
                <w:color w:val="auto"/>
              </w:rPr>
              <w:t>Financial Liabilities:</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654"/>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2,882</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line="196" w:lineRule="exact"/>
              <w:rPr>
                <w:sz w:val="20"/>
                <w:szCs w:val="20"/>
                <w:color w:val="auto"/>
              </w:rPr>
            </w:pPr>
            <w:r>
              <w:rPr>
                <w:rFonts w:ascii="Arial" w:cs="Arial" w:eastAsia="Arial" w:hAnsi="Arial"/>
                <w:sz w:val="18"/>
                <w:szCs w:val="18"/>
                <w:color w:val="auto"/>
              </w:rPr>
              <w:t>Total financial liabilities</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654"/>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Pr>
          <w:p>
            <w:pPr>
              <w:ind w:left="6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2,882</w:t>
            </w:r>
          </w:p>
        </w:tc>
        <w:tc>
          <w:tcPr>
            <w:tcW w:w="5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-3295015</wp:posOffset>
            </wp:positionV>
            <wp:extent cx="93980" cy="1708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-3295015</wp:posOffset>
            </wp:positionV>
            <wp:extent cx="93980" cy="1708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-3295015</wp:posOffset>
            </wp:positionV>
            <wp:extent cx="93980" cy="1708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-3295015</wp:posOffset>
            </wp:positionV>
            <wp:extent cx="93980" cy="1708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-3295015</wp:posOffset>
            </wp:positionV>
            <wp:extent cx="93980" cy="1708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-2357120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-2357120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-2357120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-2357120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-1799590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-1782445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-1799590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-1782445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-1799590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-1782445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-1799590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-1782445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-445135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-427990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-445135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-427990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-445135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-427990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-445135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-427990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-162560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-162560</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-162560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-162560</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2024, 2023 and 2022, there were no transfers between Level 1, Level 2 or Level 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Invoiced</w:t>
      </w:r>
    </w:p>
    <w:p>
      <w:pPr>
        <w:spacing w:after="0" w:line="169"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The fair value of the contingent consideration related to the revenue milestones from the Company’s acquisition of Invoiced was determined using an option pricing model and the fair value of the contingent consideration related to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31" w:name="page132"/>
    <w:bookmarkEnd w:id="131"/>
    <w:p>
      <w:pPr>
        <w:ind w:right="100"/>
        <w:spacing w:after="0" w:line="247" w:lineRule="auto"/>
        <w:rPr>
          <w:sz w:val="20"/>
          <w:szCs w:val="20"/>
          <w:color w:val="auto"/>
        </w:rPr>
      </w:pPr>
      <w:r>
        <w:rPr>
          <w:rFonts w:ascii="Arial" w:cs="Arial" w:eastAsia="Arial" w:hAnsi="Arial"/>
          <w:sz w:val="18"/>
          <w:szCs w:val="18"/>
          <w:color w:val="auto"/>
        </w:rPr>
        <w:t xml:space="preserve">cross-selling, product and security and IT milestones was determined using a scenario-based method. During the year ended December 31, 2024, the Company made a payment of contingent consideration of $1.1 million based on Invoiced's successful and timely achievement of the contracted milestones. Refer to </w:t>
      </w:r>
      <w:r>
        <w:rPr>
          <w:rFonts w:ascii="Arial" w:cs="Arial" w:eastAsia="Arial" w:hAnsi="Arial"/>
          <w:sz w:val="18"/>
          <w:szCs w:val="18"/>
          <w:i w:val="1"/>
          <w:iCs w:val="1"/>
          <w:color w:val="auto"/>
        </w:rPr>
        <w:t>Note 9 - Business Combinations</w:t>
      </w:r>
      <w:r>
        <w:rPr>
          <w:rFonts w:ascii="Arial" w:cs="Arial" w:eastAsia="Arial" w:hAnsi="Arial"/>
          <w:sz w:val="18"/>
          <w:szCs w:val="18"/>
          <w:color w:val="auto"/>
        </w:rPr>
        <w:t xml:space="preserve"> for additional details on the Invoiced acquisition. The following table presents the unobservable inputs incorporated into the valuation of contingent consideration as of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3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Year Ended December 31, 2024</w:t>
            </w:r>
          </w:p>
        </w:tc>
      </w:tr>
      <w:tr>
        <w:trPr>
          <w:trHeight w:val="196"/>
        </w:trPr>
        <w:tc>
          <w:tcPr>
            <w:tcW w:w="8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3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6.47% - 6.59%</w:t>
            </w:r>
          </w:p>
        </w:tc>
      </w:tr>
      <w:tr>
        <w:trPr>
          <w:trHeight w:val="207"/>
        </w:trPr>
        <w:tc>
          <w:tcPr>
            <w:tcW w:w="8220" w:type="dxa"/>
            <w:vAlign w:val="bottom"/>
          </w:tcPr>
          <w:p>
            <w:pPr>
              <w:ind w:left="20"/>
              <w:spacing w:after="0"/>
              <w:rPr>
                <w:sz w:val="20"/>
                <w:szCs w:val="20"/>
                <w:color w:val="auto"/>
              </w:rPr>
            </w:pPr>
            <w:r>
              <w:rPr>
                <w:rFonts w:ascii="Arial" w:cs="Arial" w:eastAsia="Arial" w:hAnsi="Arial"/>
                <w:sz w:val="18"/>
                <w:szCs w:val="18"/>
                <w:color w:val="auto"/>
              </w:rPr>
              <w:t>Probability of successful achievement*</w:t>
            </w:r>
          </w:p>
        </w:tc>
        <w:tc>
          <w:tcPr>
            <w:tcW w:w="3020" w:type="dxa"/>
            <w:vAlign w:val="bottom"/>
          </w:tcPr>
          <w:p>
            <w:pPr>
              <w:jc w:val="right"/>
              <w:spacing w:after="0"/>
              <w:rPr>
                <w:sz w:val="20"/>
                <w:szCs w:val="20"/>
                <w:color w:val="auto"/>
              </w:rPr>
            </w:pPr>
            <w:r>
              <w:rPr>
                <w:rFonts w:ascii="Arial" w:cs="Arial" w:eastAsia="Arial" w:hAnsi="Arial"/>
                <w:sz w:val="18"/>
                <w:szCs w:val="18"/>
                <w:color w:val="auto"/>
              </w:rPr>
              <w:t>4% - 100%</w:t>
            </w:r>
          </w:p>
        </w:tc>
      </w:tr>
    </w:tbl>
    <w:p>
      <w:pPr>
        <w:spacing w:after="0"/>
        <w:rPr>
          <w:sz w:val="20"/>
          <w:szCs w:val="20"/>
          <w:color w:val="auto"/>
        </w:rPr>
      </w:pPr>
      <w:r>
        <w:rPr>
          <w:rFonts w:ascii="Arial" w:cs="Arial" w:eastAsia="Arial" w:hAnsi="Arial"/>
          <w:sz w:val="14"/>
          <w:szCs w:val="14"/>
          <w:color w:val="auto"/>
        </w:rPr>
        <w:t>_____________________________</w:t>
      </w:r>
    </w:p>
    <w:p>
      <w:pPr>
        <w:spacing w:after="0" w:line="1" w:lineRule="exact"/>
        <w:rPr>
          <w:sz w:val="20"/>
          <w:szCs w:val="20"/>
          <w:color w:val="auto"/>
        </w:rPr>
      </w:pPr>
    </w:p>
    <w:p>
      <w:pPr>
        <w:ind w:right="440" w:firstLine="8"/>
        <w:spacing w:after="0" w:line="264" w:lineRule="auto"/>
        <w:tabs>
          <w:tab w:leader="none" w:pos="96" w:val="left"/>
        </w:tabs>
        <w:numPr>
          <w:ilvl w:val="0"/>
          <w:numId w:val="54"/>
        </w:numPr>
        <w:rPr>
          <w:rFonts w:ascii="Arial" w:cs="Arial" w:eastAsia="Arial" w:hAnsi="Arial"/>
          <w:sz w:val="14"/>
          <w:szCs w:val="14"/>
          <w:color w:val="auto"/>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as of December 31, 2024 was 65.1%.</w:t>
      </w:r>
    </w:p>
    <w:p>
      <w:pPr>
        <w:spacing w:after="0" w:line="122"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cross-selling, product and security and IT milestones are expected to be achieved would result in higher or lower fair value measurement,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StudyLink</w:t>
      </w:r>
    </w:p>
    <w:p>
      <w:pPr>
        <w:spacing w:after="0" w:line="183"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 xml:space="preserve">The fair value of the contingent consideration related to the revenue milestone from the Company’s acquisition of StudyLink was determined using an option pricing model and the fair value of the contingent consideration related to the volume of money movement, the cross-selling and engineering implementation milestones was determined using a scenario-based method. Refer to </w:t>
      </w:r>
      <w:r>
        <w:rPr>
          <w:rFonts w:ascii="Arial" w:cs="Arial" w:eastAsia="Arial" w:hAnsi="Arial"/>
          <w:sz w:val="18"/>
          <w:szCs w:val="18"/>
          <w:i w:val="1"/>
          <w:iCs w:val="1"/>
          <w:color w:val="auto"/>
        </w:rPr>
        <w:t>Note 9 -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for additional details on the StudyLink acquisition. The following table presents the unobservable inputs incorporated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of contingent consideration as of December 31, 2024 and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3140" w:type="dxa"/>
            <w:vAlign w:val="bottom"/>
            <w:gridSpan w:val="3"/>
          </w:tcPr>
          <w:p>
            <w:pPr>
              <w:ind w:left="132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spacing w:after="0"/>
              <w:rPr>
                <w:sz w:val="17"/>
                <w:szCs w:val="17"/>
                <w:color w:val="auto"/>
              </w:rPr>
            </w:pPr>
          </w:p>
        </w:tc>
      </w:tr>
      <w:tr>
        <w:trPr>
          <w:trHeight w:val="178"/>
        </w:trPr>
        <w:tc>
          <w:tcPr>
            <w:tcW w:w="6820" w:type="dxa"/>
            <w:vAlign w:val="bottom"/>
          </w:tcPr>
          <w:p>
            <w:pPr>
              <w:spacing w:after="0"/>
              <w:rPr>
                <w:sz w:val="15"/>
                <w:szCs w:val="15"/>
                <w:color w:val="auto"/>
              </w:rPr>
            </w:pPr>
          </w:p>
        </w:tc>
        <w:tc>
          <w:tcPr>
            <w:tcW w:w="214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2023</w:t>
            </w: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2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 - 8.2%</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 - 7.5%</w:t>
            </w:r>
          </w:p>
        </w:tc>
      </w:tr>
      <w:tr>
        <w:trPr>
          <w:trHeight w:val="207"/>
        </w:trPr>
        <w:tc>
          <w:tcPr>
            <w:tcW w:w="6820" w:type="dxa"/>
            <w:vAlign w:val="bottom"/>
          </w:tcPr>
          <w:p>
            <w:pPr>
              <w:ind w:left="20"/>
              <w:spacing w:after="0"/>
              <w:rPr>
                <w:sz w:val="20"/>
                <w:szCs w:val="20"/>
                <w:color w:val="auto"/>
              </w:rPr>
            </w:pPr>
            <w:r>
              <w:rPr>
                <w:rFonts w:ascii="Arial" w:cs="Arial" w:eastAsia="Arial" w:hAnsi="Arial"/>
                <w:sz w:val="18"/>
                <w:szCs w:val="18"/>
                <w:color w:val="auto"/>
              </w:rPr>
              <w:t>Probability of successful achievement*</w:t>
            </w:r>
          </w:p>
        </w:tc>
        <w:tc>
          <w:tcPr>
            <w:tcW w:w="2140" w:type="dxa"/>
            <w:vAlign w:val="bottom"/>
          </w:tcPr>
          <w:p>
            <w:pPr>
              <w:jc w:val="right"/>
              <w:spacing w:after="0"/>
              <w:rPr>
                <w:sz w:val="20"/>
                <w:szCs w:val="20"/>
                <w:color w:val="auto"/>
              </w:rPr>
            </w:pPr>
            <w:r>
              <w:rPr>
                <w:rFonts w:ascii="Arial" w:cs="Arial" w:eastAsia="Arial" w:hAnsi="Arial"/>
                <w:sz w:val="18"/>
                <w:szCs w:val="18"/>
                <w:color w:val="auto"/>
              </w:rPr>
              <w:t>0% - 100%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 - 95%</w:t>
            </w:r>
          </w:p>
        </w:tc>
      </w:tr>
    </w:tbl>
    <w:p>
      <w:pPr>
        <w:spacing w:after="0"/>
        <w:rPr>
          <w:sz w:val="20"/>
          <w:szCs w:val="20"/>
          <w:color w:val="auto"/>
        </w:rPr>
      </w:pPr>
      <w:r>
        <w:rPr>
          <w:rFonts w:ascii="Arial" w:cs="Arial" w:eastAsia="Arial" w:hAnsi="Arial"/>
          <w:sz w:val="14"/>
          <w:szCs w:val="14"/>
          <w:color w:val="auto"/>
        </w:rPr>
        <w:t>_____________________________</w:t>
      </w:r>
    </w:p>
    <w:p>
      <w:pPr>
        <w:spacing w:after="0" w:line="1" w:lineRule="exact"/>
        <w:rPr>
          <w:sz w:val="20"/>
          <w:szCs w:val="20"/>
          <w:color w:val="auto"/>
        </w:rPr>
      </w:pPr>
    </w:p>
    <w:p>
      <w:pPr>
        <w:ind w:right="440" w:firstLine="8"/>
        <w:spacing w:after="0" w:line="264" w:lineRule="auto"/>
        <w:tabs>
          <w:tab w:leader="none" w:pos="96"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as of December 31, 2024 was 42.3%.</w:t>
      </w:r>
    </w:p>
    <w:p>
      <w:pPr>
        <w:spacing w:after="0" w:line="122"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volume, cross-selling and the engineering implementation milestones are expected to be achieved would result in higher or lower fair value measurement, respectively.</w:t>
      </w:r>
    </w:p>
    <w:p>
      <w:pPr>
        <w:spacing w:after="0" w:line="14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value of the contingent consideration for the years ended December 31, 2024, 2023 and 2022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r>
      <w:tr>
        <w:trPr>
          <w:trHeight w:val="196"/>
        </w:trPr>
        <w:tc>
          <w:tcPr>
            <w:tcW w:w="66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11,309</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4,508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2,703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1,695</w:t>
            </w:r>
          </w:p>
        </w:tc>
        <w:tc>
          <w:tcPr>
            <w:tcW w:w="100" w:type="dxa"/>
            <w:vAlign w:val="bottom"/>
          </w:tcPr>
          <w:p>
            <w:pPr>
              <w:spacing w:after="0"/>
              <w:rPr>
                <w:sz w:val="17"/>
                <w:szCs w:val="17"/>
                <w:color w:val="auto"/>
              </w:rPr>
            </w:pPr>
          </w:p>
        </w:tc>
      </w:tr>
      <w:tr>
        <w:trPr>
          <w:trHeight w:val="203"/>
        </w:trPr>
        <w:tc>
          <w:tcPr>
            <w:tcW w:w="66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(978 )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(2,805 )</w:t>
            </w:r>
          </w:p>
        </w:tc>
      </w:tr>
      <w:tr>
        <w:trPr>
          <w:trHeight w:val="203"/>
        </w:trPr>
        <w:tc>
          <w:tcPr>
            <w:tcW w:w="6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Contingent consideration paid*</w:t>
            </w:r>
          </w:p>
        </w:tc>
        <w:tc>
          <w:tcPr>
            <w:tcW w:w="320" w:type="dxa"/>
            <w:vAlign w:val="bottom"/>
          </w:tcPr>
          <w:p>
            <w:pPr>
              <w:spacing w:after="0"/>
              <w:rPr>
                <w:sz w:val="17"/>
                <w:szCs w:val="17"/>
                <w:color w:val="auto"/>
              </w:rPr>
            </w:pPr>
          </w:p>
        </w:tc>
        <w:tc>
          <w:tcPr>
            <w:tcW w:w="12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(1,125 )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(1,674 )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(8,664 )</w:t>
            </w:r>
          </w:p>
        </w:tc>
      </w:tr>
      <w:tr>
        <w:trPr>
          <w:trHeight w:val="203"/>
        </w:trPr>
        <w:tc>
          <w:tcPr>
            <w:tcW w:w="66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(193 )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(203 )</w:t>
            </w:r>
          </w:p>
        </w:tc>
      </w:tr>
      <w:tr>
        <w:trPr>
          <w:trHeight w:val="196"/>
        </w:trPr>
        <w:tc>
          <w:tcPr>
            <w:tcW w:w="660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5,094</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2,882</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w:t>
            </w:r>
          </w:p>
        </w:tc>
        <w:tc>
          <w:tcPr>
            <w:tcW w:w="100" w:type="dxa"/>
            <w:vAlign w:val="bottom"/>
            <w:tcBorders>
              <w:top w:val="single" w:sz="8" w:color="CFF0FC"/>
            </w:tcBorders>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-256540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-256540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120" w:right="20" w:firstLine="8"/>
        <w:spacing w:after="0" w:line="248" w:lineRule="auto"/>
        <w:tabs>
          <w:tab w:leader="none" w:pos="216"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the years ended December 31, 2024 and 2023, contingent consideration paid has been bifurcated between the financing and operating sections of the consolidated statement of cash flows. Amounts paid up to the fair value initially recorded in purchase accounting is reported in the financing section of the consolidated statement of cash flows, while any excess is reported in the operating section of the consolidated statement of cash flows. For the year ended December 31, 2022, contingent consideration paid has been bifurcated among the investing, financing and operating sections of the consolidated statement of cash flows. Contingent consideration paid within three months after the acquisition date of Cohort Go is reported in the investing section of the consolidated statement of cash flows given the proximity to the acquisition date. Amounts paid up to the fair value initially recorded in purchase accounting is reported in the financing section of the consolidated statement of cash flows, while any excess is reported in the operating section of the consolidated statement of cash flows.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18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2024 and 2023, the Company had 18,858 and 12,737 open foreign exchange contracts, respectively. As of December 31, 2024 and 2023, the Company had foreign currency forward contracts outstanding with a notional amount of $43.3 million and $36.1 million, respectively.</w:t>
      </w:r>
    </w:p>
    <w:p>
      <w:pPr>
        <w:spacing w:after="0" w:line="14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Company records all derivative instruments in the consolidated balance sheets at their fair values. For the years ended December 31, 2024 and 2023, the Company recorded an asset of less than $0.1 million, respectively, related to outstanding foreign exchange contracts. The Company recognized a loss of $1.7 million, $2.0 million and $1.6 million during the years ended December 31, 2024, 2023 and 2022, respectively, which was included in the general and administrative line within the consolidated statements of operations and comprehensive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employee compensation and related taxes</w:t>
            </w:r>
          </w:p>
        </w:tc>
        <w:tc>
          <w:tcPr>
            <w:tcW w:w="1000" w:type="dxa"/>
            <w:vAlign w:val="bottom"/>
            <w:shd w:val="clear" w:color="auto" w:fill="CFF0FC"/>
          </w:tcPr>
          <w:p>
            <w:pPr>
              <w:jc w:val="right"/>
              <w:ind w:right="799"/>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17,950</w:t>
            </w:r>
          </w:p>
        </w:tc>
        <w:tc>
          <w:tcPr>
            <w:tcW w:w="128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19,748</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vendor liabilities</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3,992</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4,193</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income and other non-employee related taxes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8,699</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6,270</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1,879</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2,139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1,719</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portion of contingent consideration</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4,113</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2,053</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10,945</w:t>
            </w:r>
          </w:p>
        </w:tc>
        <w:tc>
          <w:tcPr>
            <w:tcW w:w="3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7,447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00" w:type="dxa"/>
            <w:vAlign w:val="bottom"/>
          </w:tcPr>
          <w:p>
            <w:pPr>
              <w:jc w:val="right"/>
              <w:ind w:right="799"/>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49,297</w:t>
            </w:r>
          </w:p>
        </w:tc>
        <w:tc>
          <w:tcPr>
            <w:tcW w:w="1280" w:type="dxa"/>
            <w:vAlign w:val="bottom"/>
            <w:gridSpan w:val="2"/>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43,315</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Estimated Useful Life</w:t>
            </w: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960" w:type="dxa"/>
            <w:vAlign w:val="bottom"/>
            <w:gridSpan w:val="2"/>
          </w:tcPr>
          <w:p>
            <w:pPr>
              <w:jc w:val="center"/>
              <w:ind w:right="160"/>
              <w:spacing w:after="0" w:line="155" w:lineRule="exact"/>
              <w:rPr>
                <w:sz w:val="20"/>
                <w:szCs w:val="20"/>
                <w:color w:val="auto"/>
              </w:rPr>
            </w:pPr>
            <w:r>
              <w:rPr>
                <w:rFonts w:ascii="Arial" w:cs="Arial" w:eastAsia="Arial" w:hAnsi="Arial"/>
                <w:sz w:val="14"/>
                <w:szCs w:val="14"/>
                <w:i w:val="1"/>
                <w:iCs w:val="1"/>
                <w:color w:val="auto"/>
              </w:rPr>
              <w:t>(Years)</w:t>
            </w:r>
          </w:p>
        </w:tc>
        <w:tc>
          <w:tcPr>
            <w:tcW w:w="280" w:type="dxa"/>
            <w:vAlign w:val="bottom"/>
          </w:tcPr>
          <w:p>
            <w:pPr>
              <w:spacing w:after="0"/>
              <w:rPr>
                <w:sz w:val="13"/>
                <w:szCs w:val="13"/>
                <w:color w:val="auto"/>
              </w:rPr>
            </w:pPr>
          </w:p>
        </w:tc>
        <w:tc>
          <w:tcPr>
            <w:tcW w:w="100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Computer equipment and software</w:t>
            </w:r>
          </w:p>
        </w:tc>
        <w:tc>
          <w:tcPr>
            <w:tcW w:w="18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3 - 5</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3,907</w:t>
            </w:r>
          </w:p>
        </w:tc>
        <w:tc>
          <w:tcPr>
            <w:tcW w:w="2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Internal-use software</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23,378</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8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3</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904</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3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Leasehold improvements</w:t>
            </w:r>
          </w:p>
        </w:tc>
        <w:tc>
          <w:tcPr>
            <w:tcW w:w="1960" w:type="dxa"/>
            <w:vAlign w:val="bottom"/>
            <w:gridSpan w:val="2"/>
          </w:tcPr>
          <w:p>
            <w:pPr>
              <w:jc w:val="center"/>
              <w:ind w:right="160"/>
              <w:spacing w:after="0" w:line="183" w:lineRule="exact"/>
              <w:rPr>
                <w:sz w:val="20"/>
                <w:szCs w:val="20"/>
                <w:color w:val="auto"/>
              </w:rPr>
            </w:pPr>
            <w:r>
              <w:rPr>
                <w:rFonts w:ascii="Arial" w:cs="Arial" w:eastAsia="Arial" w:hAnsi="Arial"/>
                <w:sz w:val="18"/>
                <w:szCs w:val="18"/>
                <w:color w:val="auto"/>
                <w:w w:val="99"/>
              </w:rPr>
              <w:t>Shorter of lease term</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5,456</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7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or useful life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rPr>
                <w:sz w:val="17"/>
                <w:szCs w:val="17"/>
                <w:color w:val="auto"/>
              </w:rPr>
            </w:pPr>
          </w:p>
        </w:tc>
        <w:tc>
          <w:tcPr>
            <w:tcW w:w="26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33,645</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28,159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(16,485 )</w:t>
            </w:r>
          </w:p>
        </w:tc>
        <w:tc>
          <w:tcPr>
            <w:tcW w:w="42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(13,025 )</w:t>
            </w:r>
          </w:p>
        </w:tc>
        <w:tc>
          <w:tcPr>
            <w:tcW w:w="0" w:type="dxa"/>
            <w:vAlign w:val="bottom"/>
          </w:tcPr>
          <w:p>
            <w:pPr>
              <w:spacing w:after="0"/>
              <w:rPr>
                <w:sz w:val="1"/>
                <w:szCs w:val="1"/>
                <w:color w:val="auto"/>
              </w:rPr>
            </w:pPr>
          </w:p>
        </w:tc>
      </w:tr>
      <w:tr>
        <w:trPr>
          <w:trHeight w:val="236"/>
        </w:trPr>
        <w:tc>
          <w:tcPr>
            <w:tcW w:w="3740" w:type="dxa"/>
            <w:vAlign w:val="bottom"/>
            <w:tcBorders>
              <w:bottom w:val="single" w:sz="8" w:color="CFF0FC"/>
            </w:tcBorders>
            <w:shd w:val="clear" w:color="auto" w:fill="CFF0FC"/>
          </w:tcPr>
          <w:p>
            <w:pPr>
              <w:spacing w:after="0"/>
              <w:rPr>
                <w:sz w:val="20"/>
                <w:szCs w:val="20"/>
                <w:color w:val="auto"/>
              </w:rPr>
            </w:pPr>
          </w:p>
        </w:tc>
        <w:tc>
          <w:tcPr>
            <w:tcW w:w="262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17,160</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-119380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-102235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 For the year ended December 31, 2024, accumulated depreciation and amortization expense included $(348) thousand of computer disposals</w:t>
      </w:r>
    </w:p>
    <w:p>
      <w:pPr>
        <w:spacing w:after="0" w:line="15" w:lineRule="exact"/>
        <w:rPr>
          <w:sz w:val="20"/>
          <w:szCs w:val="20"/>
          <w:color w:val="auto"/>
        </w:rPr>
      </w:pPr>
    </w:p>
    <w:p>
      <w:pPr>
        <w:ind w:right="460"/>
        <w:spacing w:after="0" w:line="264" w:lineRule="auto"/>
        <w:rPr>
          <w:sz w:val="20"/>
          <w:szCs w:val="20"/>
          <w:color w:val="auto"/>
        </w:rPr>
      </w:pPr>
      <w:r>
        <w:rPr>
          <w:rFonts w:ascii="Arial" w:cs="Arial" w:eastAsia="Arial" w:hAnsi="Arial"/>
          <w:sz w:val="14"/>
          <w:szCs w:val="14"/>
          <w:color w:val="auto"/>
        </w:rPr>
        <w:t>and $(1,290) thousand of foreign currency translation adjustments. For the year ended December 31, 2023, accumulated depreciation and amortization expense included $(167) thousand of computer disposals and $54 thousand of foreign currency translation adjustments.</w:t>
      </w:r>
    </w:p>
    <w:p>
      <w:pPr>
        <w:spacing w:after="0" w:line="135"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Depreciation of property and equipment and amortization of internal-used software was $5.1 million, $4.2 million and $3.2 million for the years ended December 31, 2024, 2023 and 2022, respectively.</w:t>
      </w:r>
    </w:p>
    <w:p>
      <w:pPr>
        <w:spacing w:after="0" w:line="113"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Company capitalized $5.2 million and $5.0 million in costs related to internal-use software during the years ended December 31, 2024 and 2023.</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33" w:name="page134"/>
    <w:bookmarkEnd w:id="133"/>
    <w:p>
      <w:pPr>
        <w:jc w:val="both"/>
        <w:ind w:right="400" w:firstLine="509"/>
        <w:spacing w:after="0" w:line="253" w:lineRule="auto"/>
        <w:rPr>
          <w:sz w:val="20"/>
          <w:szCs w:val="20"/>
          <w:color w:val="auto"/>
        </w:rPr>
      </w:pPr>
      <w:r>
        <w:rPr>
          <w:rFonts w:ascii="Arial" w:cs="Arial" w:eastAsia="Arial" w:hAnsi="Arial"/>
          <w:sz w:val="18"/>
          <w:szCs w:val="18"/>
          <w:color w:val="auto"/>
        </w:rPr>
        <w:t>As of December 31, 2024 and 2023, the carrying value of internal-used software was $15.4 million and $12.7 million, respectively. Amortization expense related to internal-used software was $3.6 million, $2.9 million and $1.6 million for the years ended December 31, 2024, 2023 and 2022,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property and equipment, net based on geography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Long-lived assets: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1000" w:type="dxa"/>
            <w:vAlign w:val="bottom"/>
          </w:tcPr>
          <w:p>
            <w:pPr>
              <w:jc w:val="right"/>
              <w:ind w:right="796"/>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15,903</w:t>
            </w:r>
          </w:p>
        </w:tc>
        <w:tc>
          <w:tcPr>
            <w:tcW w:w="78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13,503</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U.K.</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1,204</w:t>
            </w: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1,526</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17,160</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15,134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Business Combinations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Invoiced</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On August 2, 2024, Flywire acquired all of the issued and outstanding shares of Invoiced, a U.S.-based SaaS B2B company that provides accounts receivable software that automates all aspects of billing, collections, payments, reporting and forecasting within a single online platform. The acquisition of Invoiced was intended to accelerate the Company's global expansion in its B2B vertical. The acquisition of Invoiced has been accounted for as a business combination.</w:t>
      </w:r>
    </w:p>
    <w:p>
      <w:pPr>
        <w:spacing w:after="0" w:line="147"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During the fourth quarter of 2024, the cash consideration, net of cash acquired and the purchase price allocation was adjusted to reflect a working capital true-up. This resulted in a $0.1 million decrease in the cash consideration, net of cash acquired and a $0.1 million decrease to goodwill from the quarter ended September 30, 2024 to the year ended December 31, 2024. The adjusted purchase price allocation is reflected in the consolidated balance sheet as of December 31, 2024 and purchase price allocation below.</w:t>
      </w:r>
    </w:p>
    <w:p>
      <w:pPr>
        <w:spacing w:after="0" w:line="133" w:lineRule="exact"/>
        <w:rPr>
          <w:sz w:val="20"/>
          <w:szCs w:val="20"/>
          <w:color w:val="auto"/>
        </w:rPr>
      </w:pPr>
    </w:p>
    <w:p>
      <w:pPr>
        <w:ind w:right="92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Invoiced for estimated total purchase consideration of approximately $53.2 million or $51.7 million, net of cash acquired, which consisted of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47,229</w:t>
            </w:r>
          </w:p>
        </w:tc>
        <w:tc>
          <w:tcPr>
            <w:tcW w:w="100" w:type="dxa"/>
            <w:vAlign w:val="bottom"/>
            <w:shd w:val="clear" w:color="auto" w:fill="CFF0FC"/>
          </w:tcPr>
          <w:p>
            <w:pPr>
              <w:spacing w:after="0"/>
              <w:rPr>
                <w:sz w:val="18"/>
                <w:szCs w:val="18"/>
                <w:color w:val="auto"/>
              </w:rPr>
            </w:pPr>
          </w:p>
        </w:tc>
      </w:tr>
      <w:tr>
        <w:trPr>
          <w:trHeight w:val="203"/>
        </w:trPr>
        <w:tc>
          <w:tcPr>
            <w:tcW w:w="9300" w:type="dxa"/>
            <w:vAlign w:val="bottom"/>
          </w:tcPr>
          <w:p>
            <w:pPr>
              <w:ind w:left="20"/>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4,508</w:t>
            </w:r>
          </w:p>
        </w:tc>
        <w:tc>
          <w:tcPr>
            <w:tcW w:w="100" w:type="dxa"/>
            <w:vAlign w:val="bottom"/>
          </w:tcPr>
          <w:p>
            <w:pPr>
              <w:spacing w:after="0"/>
              <w:rPr>
                <w:sz w:val="17"/>
                <w:szCs w:val="17"/>
                <w:color w:val="auto"/>
              </w:rPr>
            </w:pPr>
          </w:p>
        </w:tc>
      </w:tr>
      <w:tr>
        <w:trPr>
          <w:trHeight w:val="236"/>
        </w:trPr>
        <w:tc>
          <w:tcPr>
            <w:tcW w:w="93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purchase consideration, net of cash acquired</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51,737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8"/>
          <w:szCs w:val="18"/>
          <w:color w:val="auto"/>
        </w:rPr>
        <w:t>The purchase consideration includes $2.0 million of acquisition holdback payments payable on the first and second anniversary dates of the acquisition.</w:t>
      </w:r>
    </w:p>
    <w:p>
      <w:pPr>
        <w:spacing w:after="0" w:line="11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business combination agreement provides for contingent consideration of up to $7.5 million, with an estimated fair value of $4.5 million on the date of acquisition, and represents additional payments that Flywire may be required to make in the future which are dependent upon the successful achievement of certain targets related to revenue and cross-selling of the Invoiced software as well as milestones related to the Invoiced software product and security and IT integration. During the year ended December 31, 2024, the Company made a contingent consideration payment of $1.1 million based on Invoiced's successful and timely achievement of the contracted milestones.</w:t>
      </w:r>
    </w:p>
    <w:p>
      <w:pPr>
        <w:spacing w:after="0" w:line="13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During the year ended December 31, 2024, the Company incurred $0.6 million in transaction costs, which are included in general and administrative expenses in the consolidated statements of operations and comprehensive loss.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FF0FC"/>
          </w:tcPr>
          <w:p>
            <w:pPr>
              <w:spacing w:after="0"/>
              <w:rPr>
                <w:sz w:val="17"/>
                <w:szCs w:val="17"/>
                <w:color w:val="auto"/>
              </w:rPr>
            </w:pPr>
          </w:p>
        </w:tc>
      </w:tr>
      <w:tr>
        <w:trPr>
          <w:trHeight w:val="203"/>
        </w:trPr>
        <w:tc>
          <w:tcPr>
            <w:tcW w:w="930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7"/>
                <w:szCs w:val="17"/>
                <w:color w:val="auto"/>
              </w:rPr>
            </w:pPr>
          </w:p>
        </w:tc>
      </w:tr>
      <w:tr>
        <w:trPr>
          <w:trHeight w:val="203"/>
        </w:trPr>
        <w:tc>
          <w:tcPr>
            <w:tcW w:w="9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6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r>
        <w:trPr>
          <w:trHeight w:val="203"/>
        </w:trPr>
        <w:tc>
          <w:tcPr>
            <w:tcW w:w="9300" w:type="dxa"/>
            <w:vAlign w:val="bottom"/>
          </w:tcPr>
          <w:p>
            <w:pPr>
              <w:ind w:left="20"/>
              <w:spacing w:after="0" w:line="202" w:lineRule="exact"/>
              <w:rPr>
                <w:sz w:val="20"/>
                <w:szCs w:val="20"/>
                <w:color w:val="auto"/>
              </w:rPr>
            </w:pPr>
            <w:r>
              <w:rPr>
                <w:rFonts w:ascii="Arial" w:cs="Arial" w:eastAsia="Arial" w:hAnsi="Arial"/>
                <w:sz w:val="18"/>
                <w:szCs w:val="18"/>
                <w:color w:val="auto"/>
              </w:rPr>
              <w:t>Identifiable intangible assets</w:t>
            </w:r>
          </w:p>
        </w:tc>
        <w:tc>
          <w:tcPr>
            <w:tcW w:w="6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26,100</w:t>
            </w:r>
          </w:p>
        </w:tc>
        <w:tc>
          <w:tcPr>
            <w:tcW w:w="100" w:type="dxa"/>
            <w:vAlign w:val="bottom"/>
          </w:tcPr>
          <w:p>
            <w:pPr>
              <w:spacing w:after="0"/>
              <w:rPr>
                <w:sz w:val="17"/>
                <w:szCs w:val="17"/>
                <w:color w:val="auto"/>
              </w:rPr>
            </w:pPr>
          </w:p>
        </w:tc>
      </w:tr>
      <w:tr>
        <w:trPr>
          <w:trHeight w:val="203"/>
        </w:trPr>
        <w:tc>
          <w:tcPr>
            <w:tcW w:w="93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6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31,818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300" w:type="dxa"/>
            <w:vAlign w:val="bottom"/>
          </w:tcPr>
          <w:p>
            <w:pPr>
              <w:ind w:left="280"/>
              <w:spacing w:after="0" w:line="196" w:lineRule="exact"/>
              <w:rPr>
                <w:sz w:val="20"/>
                <w:szCs w:val="20"/>
                <w:color w:val="auto"/>
              </w:rPr>
            </w:pPr>
            <w:r>
              <w:rPr>
                <w:rFonts w:ascii="Arial" w:cs="Arial" w:eastAsia="Arial" w:hAnsi="Arial"/>
                <w:sz w:val="18"/>
                <w:szCs w:val="18"/>
                <w:color w:val="auto"/>
              </w:rPr>
              <w:t>Total assets acquired</w:t>
            </w: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59,566</w:t>
            </w:r>
          </w:p>
        </w:tc>
        <w:tc>
          <w:tcPr>
            <w:tcW w:w="100" w:type="dxa"/>
            <w:vAlign w:val="bottom"/>
          </w:tcPr>
          <w:p>
            <w:pPr>
              <w:spacing w:after="0"/>
              <w:rPr>
                <w:sz w:val="17"/>
                <w:szCs w:val="17"/>
                <w:color w:val="auto"/>
              </w:rPr>
            </w:pPr>
          </w:p>
        </w:tc>
      </w:tr>
      <w:tr>
        <w:trPr>
          <w:trHeight w:val="196"/>
        </w:trPr>
        <w:tc>
          <w:tcPr>
            <w:tcW w:w="9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6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4,923</w:t>
            </w:r>
          </w:p>
        </w:tc>
        <w:tc>
          <w:tcPr>
            <w:tcW w:w="100" w:type="dxa"/>
            <w:vAlign w:val="bottom"/>
            <w:shd w:val="clear" w:color="auto" w:fill="CFF0FC"/>
          </w:tcPr>
          <w:p>
            <w:pPr>
              <w:spacing w:after="0"/>
              <w:rPr>
                <w:sz w:val="17"/>
                <w:szCs w:val="17"/>
                <w:color w:val="auto"/>
              </w:rPr>
            </w:pPr>
          </w:p>
        </w:tc>
      </w:tr>
      <w:tr>
        <w:trPr>
          <w:trHeight w:val="203"/>
        </w:trPr>
        <w:tc>
          <w:tcPr>
            <w:tcW w:w="930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6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1,037</w:t>
            </w:r>
          </w:p>
        </w:tc>
        <w:tc>
          <w:tcPr>
            <w:tcW w:w="100" w:type="dxa"/>
            <w:vAlign w:val="bottom"/>
          </w:tcPr>
          <w:p>
            <w:pPr>
              <w:spacing w:after="0"/>
              <w:rPr>
                <w:sz w:val="17"/>
                <w:szCs w:val="17"/>
                <w:color w:val="auto"/>
              </w:rPr>
            </w:pPr>
          </w:p>
        </w:tc>
      </w:tr>
      <w:tr>
        <w:trPr>
          <w:trHeight w:val="203"/>
        </w:trPr>
        <w:tc>
          <w:tcPr>
            <w:tcW w:w="93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 and accrued expenses</w:t>
            </w:r>
          </w:p>
        </w:tc>
        <w:tc>
          <w:tcPr>
            <w:tcW w:w="6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30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 assumed</w:t>
            </w: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6,411</w:t>
            </w:r>
          </w:p>
        </w:tc>
        <w:tc>
          <w:tcPr>
            <w:tcW w:w="100" w:type="dxa"/>
            <w:vAlign w:val="bottom"/>
          </w:tcPr>
          <w:p>
            <w:pPr>
              <w:spacing w:after="0"/>
              <w:rPr>
                <w:sz w:val="17"/>
                <w:szCs w:val="17"/>
                <w:color w:val="auto"/>
              </w:rPr>
            </w:pPr>
          </w:p>
        </w:tc>
      </w:tr>
      <w:tr>
        <w:trPr>
          <w:trHeight w:val="196"/>
        </w:trPr>
        <w:tc>
          <w:tcPr>
            <w:tcW w:w="9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6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53,155</w:t>
            </w:r>
          </w:p>
        </w:tc>
        <w:tc>
          <w:tcPr>
            <w:tcW w:w="100" w:type="dxa"/>
            <w:vAlign w:val="bottom"/>
            <w:shd w:val="clear" w:color="auto" w:fill="CFF0FC"/>
          </w:tcPr>
          <w:p>
            <w:pPr>
              <w:spacing w:after="0"/>
              <w:rPr>
                <w:sz w:val="17"/>
                <w:szCs w:val="17"/>
                <w:color w:val="auto"/>
              </w:rPr>
            </w:pPr>
          </w:p>
        </w:tc>
      </w:tr>
      <w:tr>
        <w:trPr>
          <w:trHeight w:val="203"/>
        </w:trPr>
        <w:tc>
          <w:tcPr>
            <w:tcW w:w="9300" w:type="dxa"/>
            <w:vAlign w:val="bottom"/>
          </w:tcPr>
          <w:p>
            <w:pPr>
              <w:ind w:left="280"/>
              <w:spacing w:after="0" w:line="202" w:lineRule="exact"/>
              <w:rPr>
                <w:sz w:val="20"/>
                <w:szCs w:val="20"/>
                <w:color w:val="auto"/>
              </w:rPr>
            </w:pPr>
            <w:r>
              <w:rPr>
                <w:rFonts w:ascii="Arial" w:cs="Arial" w:eastAsia="Arial" w:hAnsi="Arial"/>
                <w:sz w:val="18"/>
                <w:szCs w:val="18"/>
                <w:color w:val="auto"/>
              </w:rPr>
              <w:t>Less: cash acquired</w:t>
            </w: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1,418</w:t>
            </w:r>
          </w:p>
        </w:tc>
        <w:tc>
          <w:tcPr>
            <w:tcW w:w="100" w:type="dxa"/>
            <w:vAlign w:val="bottom"/>
          </w:tcPr>
          <w:p>
            <w:pPr>
              <w:spacing w:after="0"/>
              <w:rPr>
                <w:sz w:val="17"/>
                <w:szCs w:val="17"/>
                <w:color w:val="auto"/>
              </w:rPr>
            </w:pPr>
          </w:p>
        </w:tc>
      </w:tr>
      <w:tr>
        <w:trPr>
          <w:trHeight w:val="236"/>
        </w:trPr>
        <w:tc>
          <w:tcPr>
            <w:tcW w:w="93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less cash acquired</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51,737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Goodwill arising from the acquisition of $31.9 million was attributable to the assembled workforce of Invoiced and the synergies expected to arise from the acquisition. No goodwill from this acquisition will be deductible for income tax purposes.</w:t>
      </w:r>
    </w:p>
    <w:p>
      <w:pPr>
        <w:spacing w:after="0" w:line="127" w:lineRule="exact"/>
        <w:rPr>
          <w:sz w:val="20"/>
          <w:szCs w:val="20"/>
          <w:color w:val="auto"/>
        </w:rPr>
      </w:pPr>
    </w:p>
    <w:p>
      <w:pPr>
        <w:ind w:right="740" w:firstLine="509"/>
        <w:spacing w:after="0" w:line="271" w:lineRule="auto"/>
        <w:rPr>
          <w:sz w:val="20"/>
          <w:szCs w:val="20"/>
          <w:color w:val="auto"/>
        </w:rPr>
      </w:pPr>
      <w:r>
        <w:rPr>
          <w:rFonts w:ascii="Arial" w:cs="Arial" w:eastAsia="Arial" w:hAnsi="Arial"/>
          <w:sz w:val="18"/>
          <w:szCs w:val="18"/>
          <w:color w:val="auto"/>
        </w:rPr>
        <w:t>The following table reflects the fair values of the identified intangible assets of Invoiced and their respective weighted-average amortization periods.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96"/>
              <w:spacing w:after="0"/>
              <w:rPr>
                <w:sz w:val="20"/>
                <w:szCs w:val="20"/>
                <w:color w:val="auto"/>
              </w:rPr>
            </w:pPr>
            <w:r>
              <w:rPr>
                <w:rFonts w:ascii="Arial" w:cs="Arial" w:eastAsia="Arial" w:hAnsi="Arial"/>
                <w:sz w:val="14"/>
                <w:szCs w:val="14"/>
                <w:b w:val="1"/>
                <w:bCs w:val="1"/>
                <w:color w:val="auto"/>
              </w:rPr>
              <w:t>Fair Values</w:t>
            </w:r>
          </w:p>
        </w:tc>
        <w:tc>
          <w:tcPr>
            <w:tcW w:w="2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Periods</w:t>
            </w:r>
          </w:p>
        </w:tc>
      </w:tr>
      <w:tr>
        <w:trPr>
          <w:trHeight w:val="155"/>
        </w:trPr>
        <w:tc>
          <w:tcPr>
            <w:tcW w:w="77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3"/>
                <w:szCs w:val="13"/>
                <w:color w:val="auto"/>
              </w:rPr>
            </w:pPr>
          </w:p>
        </w:tc>
      </w:tr>
      <w:tr>
        <w:trPr>
          <w:trHeight w:val="203"/>
        </w:trPr>
        <w:tc>
          <w:tcPr>
            <w:tcW w:w="7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7,100</w:t>
            </w:r>
          </w:p>
        </w:tc>
        <w:tc>
          <w:tcPr>
            <w:tcW w:w="1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Acquired relationships</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18,600</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400</w:t>
            </w:r>
          </w:p>
        </w:tc>
        <w:tc>
          <w:tcPr>
            <w:tcW w:w="184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26,100</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results of Invoiced have been included in the consolidated financial statements since the date of the acquisition. Invoiced contributed $2.4 million in platform revenue during the year ended December 31, 2024. The Company has not disclosed net income or loss since the acquisition date as the business was fully integrated into the consolidated Company's operations and therefore it was impracticable to determine this amount.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71"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years ended December 31, 2024 and 2023 as if the acquisition had occurred on January 1, 2023.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Invoiced. The unaudited pro forma information reflects the effects of applying the Company’s accounting policies and certain pro forma adjustments to the combined historical financial information of the Company and Invoiced. The pro forma adjustments include:</w:t>
      </w:r>
    </w:p>
    <w:p>
      <w:pPr>
        <w:spacing w:after="0" w:line="71"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Invoiced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 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Year Ended December 31, 2023</w:t>
            </w:r>
          </w:p>
        </w:tc>
      </w:tr>
      <w:tr>
        <w:trPr>
          <w:trHeight w:val="156"/>
        </w:trPr>
        <w:tc>
          <w:tcPr>
            <w:tcW w:w="34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Actual</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3"/>
                <w:szCs w:val="13"/>
                <w:color w:val="auto"/>
              </w:rPr>
            </w:pPr>
          </w:p>
        </w:tc>
      </w:tr>
      <w:tr>
        <w:trPr>
          <w:trHeight w:val="155"/>
        </w:trPr>
        <w:tc>
          <w:tcPr>
            <w:tcW w:w="34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(in</w:t>
            </w:r>
          </w:p>
        </w:tc>
        <w:tc>
          <w:tcPr>
            <w:tcW w:w="1400" w:type="dxa"/>
            <w:vAlign w:val="bottom"/>
            <w:gridSpan w:val="3"/>
          </w:tcPr>
          <w:p>
            <w:pPr>
              <w:jc w:val="center"/>
              <w:ind w:right="699"/>
              <w:spacing w:after="0" w:line="155" w:lineRule="exact"/>
              <w:rPr>
                <w:sz w:val="20"/>
                <w:szCs w:val="20"/>
                <w:color w:val="auto"/>
              </w:rPr>
            </w:pPr>
            <w:r>
              <w:rPr>
                <w:rFonts w:ascii="Arial" w:cs="Arial" w:eastAsia="Arial" w:hAnsi="Arial"/>
                <w:sz w:val="14"/>
                <w:szCs w:val="14"/>
                <w:b w:val="1"/>
                <w:bCs w:val="1"/>
                <w:color w:val="auto"/>
                <w:w w:val="82"/>
              </w:rPr>
              <w:t>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3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2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492,144</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495,412</w:t>
            </w:r>
          </w:p>
        </w:tc>
        <w:tc>
          <w:tcPr>
            <w:tcW w:w="420" w:type="dxa"/>
            <w:vAlign w:val="bottom"/>
            <w:gridSpan w:val="2"/>
            <w:shd w:val="clear" w:color="auto" w:fill="CFF0FC"/>
          </w:tcPr>
          <w:p>
            <w:pPr>
              <w:jc w:val="center"/>
              <w:ind w:left="116"/>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403,094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408,325</w:t>
            </w:r>
          </w:p>
        </w:tc>
        <w:tc>
          <w:tcPr>
            <w:tcW w:w="100" w:type="dxa"/>
            <w:vAlign w:val="bottom"/>
            <w:shd w:val="clear" w:color="auto" w:fill="CFF0FC"/>
          </w:tcPr>
          <w:p>
            <w:pPr>
              <w:spacing w:after="0"/>
              <w:rPr>
                <w:sz w:val="17"/>
                <w:szCs w:val="17"/>
                <w:color w:val="auto"/>
              </w:rPr>
            </w:pPr>
          </w:p>
        </w:tc>
      </w:tr>
      <w:tr>
        <w:trPr>
          <w:trHeight w:val="239"/>
        </w:trPr>
        <w:tc>
          <w:tcPr>
            <w:tcW w:w="34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1,623</w:t>
            </w:r>
          </w:p>
        </w:tc>
        <w:tc>
          <w:tcPr>
            <w:tcW w:w="42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(8,566 )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(11,233 )</w:t>
            </w:r>
          </w:p>
        </w:tc>
      </w:tr>
      <w:tr>
        <w:trPr>
          <w:trHeight w:val="508"/>
        </w:trPr>
        <w:tc>
          <w:tcPr>
            <w:tcW w:w="3440" w:type="dxa"/>
            <w:vAlign w:val="bottom"/>
          </w:tcPr>
          <w:p>
            <w:pPr>
              <w:spacing w:after="0"/>
              <w:rPr>
                <w:sz w:val="24"/>
                <w:szCs w:val="24"/>
                <w:color w:val="auto"/>
              </w:rPr>
            </w:pPr>
          </w:p>
        </w:tc>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34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t>StudyLink</w:t>
      </w:r>
    </w:p>
    <w:p>
      <w:pPr>
        <w:spacing w:after="0" w:line="183"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On November 3, 2023, Flywire, through one of its Australian subsidiaries Flywire Pacific Pty Ltd., acquired all of the issued and outstanding shares of StudyLink,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the Company's growth in the Australian higher education market and enhance the Company's value proposition to payers, universities and agents in the higher education ecosystem. The acquisition of StudyLink has been accounted for as a business combination.</w:t>
      </w:r>
    </w:p>
    <w:p>
      <w:pPr>
        <w:spacing w:after="0" w:line="138"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During the first quarter of 2024, the Company completed its purchase accounting and recorded an immaterial net working capital adjustment.</w:t>
      </w:r>
    </w:p>
    <w:p>
      <w:pPr>
        <w:spacing w:after="0" w:line="113"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StudyLink for estimated total purchase consideration of approximately $37.6 million or $35.5 million, net of cash acquired, which consisted of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32,764</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2,701</w:t>
            </w:r>
          </w:p>
        </w:tc>
        <w:tc>
          <w:tcPr>
            <w:tcW w:w="10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purchase consideration, net of cash acquired</w:t>
            </w:r>
          </w:p>
        </w:tc>
        <w:tc>
          <w:tcPr>
            <w:tcW w:w="740" w:type="dxa"/>
            <w:vAlign w:val="bottom"/>
            <w:tcBorders>
              <w:bottom w:val="single" w:sz="8" w:color="auto"/>
            </w:tcBorders>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35,465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business combination agreement provides for contingent consideration up to $3.9 million, with an estimated fair value of $2.7 million on the date of acquisition, and represents additional payments that Flywire may be required to make in the future which are dependent upon StudyLink's successful achievement of revenue, volume, cross-selling and engineering implementation milestones and is subject to exchange rate fluctuation adjustment between the U.S. Dollar and Australian Dollar. A portion of contingent consideration can be paid in the form of cash or shares of common stock, at the Company's option.</w:t>
      </w:r>
    </w:p>
    <w:p>
      <w:pPr>
        <w:spacing w:after="0" w:line="136"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Additional payments in the form of shares of common stock will be made based on the continuing employment of a key employee; accordingly, the fair value of $2.4 million, or approximately 84,000 shares of common stock, have been excluded from the purchase consideration. These shares were fixed on the date of acquisition and payable only in common stock, therefore are equity-classified. During the years ended December 31, 2024 and 2023, the Company expensed $1.2 million and $0.2 million, respectively, in stock-based compensation associated with retention of the key employee. The stock-based compensation expense is included in the Company’s consolidated statements of operations and comprehensive loss and additional paid-in capital on the consolidated balance sheet.</w:t>
      </w:r>
    </w:p>
    <w:p>
      <w:pPr>
        <w:spacing w:after="0" w:line="15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During the year ended December 31, 2023, the Company incurred $0.7 million in transaction costs, which are included in general and administrative expenses in the 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538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FF0FC"/>
          </w:tcPr>
          <w:p>
            <w:pPr>
              <w:spacing w:after="0"/>
              <w:rPr>
                <w:sz w:val="18"/>
                <w:szCs w:val="18"/>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4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2,762</w:t>
            </w:r>
          </w:p>
        </w:tc>
        <w:tc>
          <w:tcPr>
            <w:tcW w:w="100" w:type="dxa"/>
            <w:vAlign w:val="bottom"/>
          </w:tcPr>
          <w:p>
            <w:pPr>
              <w:spacing w:after="0"/>
              <w:rPr>
                <w:sz w:val="17"/>
                <w:szCs w:val="17"/>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6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4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100" w:type="dxa"/>
            <w:vAlign w:val="bottom"/>
          </w:tcPr>
          <w:p>
            <w:pPr>
              <w:spacing w:after="0"/>
              <w:rPr>
                <w:sz w:val="17"/>
                <w:szCs w:val="17"/>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46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20,705</w:t>
            </w: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Identifiable intangible assets</w:t>
            </w:r>
          </w:p>
        </w:tc>
        <w:tc>
          <w:tcPr>
            <w:tcW w:w="46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19,553</w:t>
            </w:r>
          </w:p>
        </w:tc>
        <w:tc>
          <w:tcPr>
            <w:tcW w:w="100" w:type="dxa"/>
            <w:vAlign w:val="bottom"/>
          </w:tcPr>
          <w:p>
            <w:pPr>
              <w:spacing w:after="0"/>
              <w:rPr>
                <w:sz w:val="17"/>
                <w:szCs w:val="17"/>
                <w:color w:val="auto"/>
              </w:rPr>
            </w:pPr>
          </w:p>
        </w:tc>
      </w:tr>
      <w:tr>
        <w:trPr>
          <w:trHeight w:val="196"/>
        </w:trPr>
        <w:tc>
          <w:tcPr>
            <w:tcW w:w="45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assets acquired</w:t>
            </w:r>
          </w:p>
        </w:tc>
        <w:tc>
          <w:tcPr>
            <w:tcW w:w="46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45,753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560" w:type="dxa"/>
            <w:vAlign w:val="bottom"/>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4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2,663</w:t>
            </w:r>
          </w:p>
        </w:tc>
        <w:tc>
          <w:tcPr>
            <w:tcW w:w="100" w:type="dxa"/>
            <w:vAlign w:val="bottom"/>
          </w:tcPr>
          <w:p>
            <w:pPr>
              <w:spacing w:after="0"/>
              <w:rPr>
                <w:sz w:val="17"/>
                <w:szCs w:val="17"/>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46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2,654</w:t>
            </w: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4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859</w:t>
            </w:r>
          </w:p>
        </w:tc>
        <w:tc>
          <w:tcPr>
            <w:tcW w:w="100" w:type="dxa"/>
            <w:vAlign w:val="bottom"/>
          </w:tcPr>
          <w:p>
            <w:pPr>
              <w:spacing w:after="0"/>
              <w:rPr>
                <w:sz w:val="17"/>
                <w:szCs w:val="17"/>
                <w:color w:val="auto"/>
              </w:rPr>
            </w:pPr>
          </w:p>
        </w:tc>
      </w:tr>
      <w:tr>
        <w:trPr>
          <w:trHeight w:val="203"/>
        </w:trPr>
        <w:tc>
          <w:tcPr>
            <w:tcW w:w="4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6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56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 assumed</w:t>
            </w:r>
          </w:p>
        </w:tc>
        <w:tc>
          <w:tcPr>
            <w:tcW w:w="46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8,180</w:t>
            </w:r>
          </w:p>
        </w:tc>
        <w:tc>
          <w:tcPr>
            <w:tcW w:w="100" w:type="dxa"/>
            <w:vAlign w:val="bottom"/>
          </w:tcPr>
          <w:p>
            <w:pPr>
              <w:spacing w:after="0"/>
              <w:rPr>
                <w:sz w:val="17"/>
                <w:szCs w:val="17"/>
                <w:color w:val="auto"/>
              </w:rPr>
            </w:pPr>
          </w:p>
        </w:tc>
      </w:tr>
      <w:tr>
        <w:trPr>
          <w:trHeight w:val="196"/>
        </w:trPr>
        <w:tc>
          <w:tcPr>
            <w:tcW w:w="4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46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37,573</w:t>
            </w: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ind w:left="280"/>
              <w:spacing w:after="0" w:line="202" w:lineRule="exact"/>
              <w:rPr>
                <w:sz w:val="20"/>
                <w:szCs w:val="20"/>
                <w:color w:val="auto"/>
              </w:rPr>
            </w:pPr>
            <w:r>
              <w:rPr>
                <w:rFonts w:ascii="Arial" w:cs="Arial" w:eastAsia="Arial" w:hAnsi="Arial"/>
                <w:sz w:val="18"/>
                <w:szCs w:val="18"/>
                <w:color w:val="auto"/>
              </w:rPr>
              <w:t>Less: cash acquired</w:t>
            </w:r>
          </w:p>
        </w:tc>
        <w:tc>
          <w:tcPr>
            <w:tcW w:w="46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2,108</w:t>
            </w:r>
          </w:p>
        </w:tc>
        <w:tc>
          <w:tcPr>
            <w:tcW w:w="100" w:type="dxa"/>
            <w:vAlign w:val="bottom"/>
          </w:tcPr>
          <w:p>
            <w:pPr>
              <w:spacing w:after="0"/>
              <w:rPr>
                <w:sz w:val="17"/>
                <w:szCs w:val="17"/>
                <w:color w:val="auto"/>
              </w:rPr>
            </w:pPr>
          </w:p>
        </w:tc>
      </w:tr>
      <w:tr>
        <w:trPr>
          <w:trHeight w:val="236"/>
        </w:trPr>
        <w:tc>
          <w:tcPr>
            <w:tcW w:w="4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less cash acquired</w:t>
            </w:r>
          </w:p>
        </w:tc>
        <w:tc>
          <w:tcPr>
            <w:tcW w:w="5380" w:type="dxa"/>
            <w:vAlign w:val="bottom"/>
            <w:gridSpan w:val="2"/>
            <w:shd w:val="clear" w:color="auto" w:fill="CFF0FC"/>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35,465</w:t>
            </w:r>
          </w:p>
        </w:tc>
        <w:tc>
          <w:tcPr>
            <w:tcW w:w="100" w:type="dxa"/>
            <w:vAlign w:val="bottom"/>
            <w:shd w:val="clear" w:color="auto" w:fill="CFF0FC"/>
          </w:tcPr>
          <w:p>
            <w:pPr>
              <w:spacing w:after="0"/>
              <w:rPr>
                <w:sz w:val="20"/>
                <w:szCs w:val="20"/>
                <w:color w:val="auto"/>
              </w:rPr>
            </w:pPr>
          </w:p>
        </w:tc>
      </w:tr>
      <w:tr>
        <w:trPr>
          <w:trHeight w:val="524"/>
        </w:trPr>
        <w:tc>
          <w:tcPr>
            <w:tcW w:w="4560" w:type="dxa"/>
            <w:vAlign w:val="bottom"/>
            <w:tcBorders>
              <w:top w:val="single" w:sz="8" w:color="CFF0FC"/>
            </w:tcBorders>
          </w:tcPr>
          <w:p>
            <w:pPr>
              <w:spacing w:after="0"/>
              <w:rPr>
                <w:sz w:val="24"/>
                <w:szCs w:val="24"/>
                <w:color w:val="auto"/>
              </w:rPr>
            </w:pPr>
          </w:p>
        </w:tc>
        <w:tc>
          <w:tcPr>
            <w:tcW w:w="4620" w:type="dxa"/>
            <w:vAlign w:val="bottom"/>
            <w:tcBorders>
              <w:top w:val="single" w:sz="8" w:color="CFF0FC"/>
            </w:tcBorders>
          </w:tcPr>
          <w:p>
            <w:pPr>
              <w:jc w:val="right"/>
              <w:ind w:right="3310"/>
              <w:spacing w:after="0"/>
              <w:rPr>
                <w:sz w:val="20"/>
                <w:szCs w:val="20"/>
                <w:color w:val="auto"/>
              </w:rPr>
            </w:pPr>
            <w:r>
              <w:rPr>
                <w:rFonts w:ascii="Arial" w:cs="Arial" w:eastAsia="Arial" w:hAnsi="Arial"/>
                <w:sz w:val="18"/>
                <w:szCs w:val="18"/>
                <w:color w:val="auto"/>
              </w:rPr>
              <w:t>135</w:t>
            </w:r>
          </w:p>
        </w:tc>
        <w:tc>
          <w:tcPr>
            <w:tcW w:w="7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5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36" w:name="page137"/>
    <w:bookmarkEnd w:id="136"/>
    <w:p>
      <w:pPr>
        <w:ind w:right="520" w:firstLine="509"/>
        <w:spacing w:after="0" w:line="271" w:lineRule="auto"/>
        <w:rPr>
          <w:sz w:val="20"/>
          <w:szCs w:val="20"/>
          <w:color w:val="auto"/>
        </w:rPr>
      </w:pPr>
      <w:r>
        <w:rPr>
          <w:rFonts w:ascii="Arial" w:cs="Arial" w:eastAsia="Arial" w:hAnsi="Arial"/>
          <w:sz w:val="18"/>
          <w:szCs w:val="18"/>
          <w:color w:val="auto"/>
        </w:rPr>
        <w:t>Goodwill arising from the acquisition of $20.7 million was attributable to the assembled workforce of StudyLink and the synergies expected to arise from the acquisition. No goodwill from this acquisition will be deductible for income tax purposes.</w:t>
      </w:r>
    </w:p>
    <w:p>
      <w:pPr>
        <w:spacing w:after="0" w:line="127"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following table reflects the fair values of the identified intangible assets of StudyLink and their respective weighted-average amortization periods.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rPr>
              <w:t>Values</w:t>
            </w:r>
          </w:p>
        </w:tc>
        <w:tc>
          <w:tcPr>
            <w:tcW w:w="2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Periods</w:t>
            </w:r>
          </w:p>
        </w:tc>
      </w:tr>
      <w:tr>
        <w:trPr>
          <w:trHeight w:val="156"/>
        </w:trPr>
        <w:tc>
          <w:tcPr>
            <w:tcW w:w="7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118"/>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3"/>
                <w:szCs w:val="13"/>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7,397</w:t>
            </w:r>
          </w:p>
        </w:tc>
        <w:tc>
          <w:tcPr>
            <w:tcW w:w="1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Acquired relationships</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12,027</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w:t>
            </w:r>
          </w:p>
        </w:tc>
        <w:tc>
          <w:tcPr>
            <w:tcW w:w="184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19,553</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The results of StudyLink have been included in the consolidated financial statements since the date of the acquisition. StudyLink contributed $7.6 million and $1.4 million in platform revenue during the years ended December 31, 2024 and 2023. The Company has not disclosed net income or loss since the acquisition date as the business was fully integrated into the consolidated Company’s operations and therefore it was impracticable to determine this amount.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71"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years ended December 31, 2023 and 2022 as if the acquisition had occurred on January 1, 2022.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StudyLink. The unaudited pro forma information reflects the effects of applying the Company’s accounting policies and certain pro forma adjustments to the combined historical financial information of the Company and StudyLink. The pro forma adjustments include:</w:t>
      </w:r>
    </w:p>
    <w:p>
      <w:pPr>
        <w:spacing w:after="0" w:line="71"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StudyLink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568"/>
              <w:spacing w:after="0"/>
              <w:rPr>
                <w:sz w:val="20"/>
                <w:szCs w:val="20"/>
                <w:color w:val="auto"/>
              </w:rPr>
            </w:pPr>
            <w:r>
              <w:rPr>
                <w:rFonts w:ascii="Arial" w:cs="Arial" w:eastAsia="Arial" w:hAnsi="Arial"/>
                <w:sz w:val="14"/>
                <w:szCs w:val="14"/>
                <w:b w:val="1"/>
                <w:bCs w:val="1"/>
                <w:color w:val="auto"/>
              </w:rPr>
              <w:t>Year Ended December 31, 2023</w:t>
            </w:r>
          </w:p>
        </w:tc>
        <w:tc>
          <w:tcPr>
            <w:tcW w:w="380" w:type="dxa"/>
            <w:vAlign w:val="bottom"/>
          </w:tcPr>
          <w:p>
            <w:pPr>
              <w:spacing w:after="0"/>
              <w:rPr>
                <w:sz w:val="14"/>
                <w:szCs w:val="14"/>
                <w:color w:val="auto"/>
              </w:rPr>
            </w:pPr>
          </w:p>
        </w:tc>
        <w:tc>
          <w:tcPr>
            <w:tcW w:w="2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 December 31, 2022</w:t>
            </w:r>
          </w:p>
        </w:tc>
      </w:tr>
      <w:tr>
        <w:trPr>
          <w:trHeight w:val="155"/>
        </w:trPr>
        <w:tc>
          <w:tcPr>
            <w:tcW w:w="50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3"/>
                <w:szCs w:val="13"/>
                <w:color w:val="auto"/>
              </w:rPr>
            </w:pPr>
          </w:p>
        </w:tc>
      </w:tr>
      <w:tr>
        <w:trPr>
          <w:trHeight w:val="156"/>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2"/>
              </w:rPr>
              <w:t>thousands)</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2"/>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403,094</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409,161</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jc w:val="center"/>
              <w:ind w:right="15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289,375</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295,325</w:t>
            </w:r>
          </w:p>
        </w:tc>
        <w:tc>
          <w:tcPr>
            <w:tcW w:w="100" w:type="dxa"/>
            <w:vAlign w:val="bottom"/>
            <w:shd w:val="clear" w:color="auto" w:fill="CFF0FC"/>
          </w:tcPr>
          <w:p>
            <w:pPr>
              <w:spacing w:after="0"/>
              <w:rPr>
                <w:sz w:val="17"/>
                <w:szCs w:val="17"/>
                <w:color w:val="auto"/>
              </w:rPr>
            </w:pP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(8,566 )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(10,369 )</w:t>
            </w: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(39,347 )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(41,824 )</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Cohort Go</w:t>
      </w:r>
    </w:p>
    <w:p>
      <w:pPr>
        <w:spacing w:after="0" w:line="169"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On July 13, 2022, Flywire acquired all of the issued and outstanding shares of Cohort Go, an Australian-based education payments provider that simplifies the student recruitment process by bringing together students, agents and essential student services such as health insurance into one platform. The acquisition of Cohort Go contributed to the Company's global expansion and accelerated the growth of Flywire's agent related revenue, in which Flywire partners with agents who refer students to the Company. The agent related revenue is reported as transaction revenue for Flywire, while the health insurance related revenue is reported as platform revenue. The acquisition of Cohort Go has been accounted for as a business combination.</w:t>
      </w:r>
    </w:p>
    <w:p>
      <w:pPr>
        <w:spacing w:after="0" w:line="138"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Pursuant to the terms of the business combination agreement, the Company acquired Cohort Go for estimated total purchase consideration of $23.1 million, which consisted of $17.1 million in cash consideration, net of cash acquired, $4.3 million in shares of common stock and up to $2.2 million of contingent consideration, with an estimated fair value of $1.7 million on the acquisition date.</w:t>
      </w:r>
    </w:p>
    <w:p>
      <w:pPr>
        <w:spacing w:after="0" w:line="14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Contingent consideration, which totaled up to $1.7 million represented additional payments that Flywire was required to make, in the form of cash or shares of common stock at the Company's option, which were dependent upon Cohort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37" w:name="page138"/>
    <w:bookmarkEnd w:id="137"/>
    <w:p>
      <w:pPr>
        <w:ind w:right="180"/>
        <w:spacing w:after="0" w:line="247" w:lineRule="auto"/>
        <w:rPr>
          <w:sz w:val="20"/>
          <w:szCs w:val="20"/>
          <w:color w:val="auto"/>
        </w:rPr>
      </w:pPr>
      <w:r>
        <w:rPr>
          <w:rFonts w:ascii="Arial" w:cs="Arial" w:eastAsia="Arial" w:hAnsi="Arial"/>
          <w:sz w:val="18"/>
          <w:szCs w:val="18"/>
          <w:color w:val="auto"/>
        </w:rPr>
        <w:t>Go's achievement of specific post-acquisition milestones and were subject to exchange rate fluctuation adjustment between the U.S. Dollar and Australian Dollar. During the years ended December 31, 2023 and 2022, the Company made a payment of contingent consideration of $1.7 million and $0.5 million, respectively, in the form of cash, based on Cohort Go's successful and timely achievement of the contracted milestones. No additional contingent consideration is due or payable with respect to the Cohort Go acquisition.</w:t>
      </w:r>
    </w:p>
    <w:p>
      <w:pPr>
        <w:spacing w:after="0" w:line="14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During the year ended December 31, 2022, the Company incurred $0.6 million in transaction costs, which are included in general and administrative expenses in the consolidated statements of operations and comprehensive loss.</w:t>
      </w:r>
    </w:p>
    <w:p>
      <w:pPr>
        <w:spacing w:after="0" w:line="11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results of Cohort Go have been included in the consolidated financial statements since the date of the acquisition. Cohort Go contributed $14.5 million in transaction revenue and $9.3 million in platform revenue during the year ended December 31, 2024, $16.6 million in transaction revenue and $10.4 million in platform revenue during the year ended December 31, 2023 and $6.4 million in transaction revenue and $3.3 million in platform revenue during the year ended December 31, 2022. The Company has not disclosed net income or loss since the acquisition date as the business was fully integrated into the consolidated Company’s operations and therefore it was impracticable to determine this amount.</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following unaudited pro forma financial information shows the results of the Company’s operations for the year ended December 31, 2022 as if the acquisition had occurred on January 1, 2021.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Cohort Go. The unaudited pro forma information reflects the effects of applying the Company’s accounting policies and a pro forma adjustment to the combined historical financial information of the Company and Cohort Go, which includes incremental amortization expense associated with the estimated fair value of identified intangible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 December 31, 2022</w:t>
            </w:r>
          </w:p>
        </w:tc>
      </w:tr>
      <w:tr>
        <w:trPr>
          <w:trHeight w:val="155"/>
        </w:trPr>
        <w:tc>
          <w:tcPr>
            <w:tcW w:w="766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Actual</w:t>
            </w: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3"/>
                <w:szCs w:val="13"/>
                <w:color w:val="auto"/>
              </w:rPr>
            </w:pPr>
          </w:p>
        </w:tc>
      </w:tr>
      <w:tr>
        <w:trPr>
          <w:trHeight w:val="155"/>
        </w:trPr>
        <w:tc>
          <w:tcPr>
            <w:tcW w:w="7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101"/>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4"/>
              </w:rPr>
              <w:t>thousands)</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289,375</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center"/>
              <w:ind w:right="19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301,892</w:t>
            </w:r>
          </w:p>
        </w:tc>
        <w:tc>
          <w:tcPr>
            <w:tcW w:w="100" w:type="dxa"/>
            <w:vAlign w:val="bottom"/>
            <w:shd w:val="clear" w:color="auto" w:fill="CFF0FC"/>
          </w:tcPr>
          <w:p>
            <w:pPr>
              <w:spacing w:after="0"/>
              <w:rPr>
                <w:sz w:val="17"/>
                <w:szCs w:val="17"/>
                <w:color w:val="auto"/>
              </w:rPr>
            </w:pPr>
          </w:p>
        </w:tc>
      </w:tr>
      <w:tr>
        <w:trPr>
          <w:trHeight w:val="239"/>
        </w:trPr>
        <w:tc>
          <w:tcPr>
            <w:tcW w:w="7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(39,347 )</w:t>
            </w:r>
          </w:p>
        </w:tc>
        <w:tc>
          <w:tcPr>
            <w:tcW w:w="42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(37,798 )</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Acquired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amount of goodwill for the years ended December 31, 2024 and 2023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3740" w:type="dxa"/>
            <w:vAlign w:val="bottom"/>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121,646</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97,766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Goodwill related to acquisitions</w:t>
            </w:r>
          </w:p>
        </w:tc>
        <w:tc>
          <w:tcPr>
            <w:tcW w:w="3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31,818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3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(3,906 )</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Ending balance</w:t>
            </w:r>
          </w:p>
        </w:tc>
        <w:tc>
          <w:tcPr>
            <w:tcW w:w="336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149,558</w:t>
            </w: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121,646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360" w:type="dxa"/>
            <w:vAlign w:val="bottom"/>
            <w:vMerge w:val="restart"/>
          </w:tcPr>
          <w:p>
            <w:pPr>
              <w:jc w:val="right"/>
              <w:ind w:right="1810"/>
              <w:spacing w:after="0"/>
              <w:rPr>
                <w:sz w:val="20"/>
                <w:szCs w:val="20"/>
                <w:color w:val="auto"/>
              </w:rPr>
            </w:pPr>
            <w:r>
              <w:rPr>
                <w:rFonts w:ascii="Arial" w:cs="Arial" w:eastAsia="Arial" w:hAnsi="Arial"/>
                <w:sz w:val="18"/>
                <w:szCs w:val="18"/>
                <w:color w:val="auto"/>
              </w:rPr>
              <w:t>137</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3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3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-993775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w w:val="99"/>
              </w:rPr>
              <w:t>Net Carrying</w:t>
            </w: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45,546</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(26,312 )</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19,234</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Acquired Relationships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120,119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(21,104 )</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99,015</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Name/Trademark</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(89 )</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166,189</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(47,505 )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118,684</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4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-256540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-256540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-256540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120" w:right="6480" w:firstLine="8"/>
        <w:spacing w:after="0" w:line="285" w:lineRule="auto"/>
        <w:tabs>
          <w:tab w:leader="none" w:pos="21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$(4,394) thousand of foreign currency translation adjustments. ** Includes $410 thousand of foreign currency translation adjustments.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w w:val="99"/>
              </w:rPr>
              <w:t>Net Carrying</w:t>
            </w: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39,624</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(21,446 )</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18,178</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Acquired Relationships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104,007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(14,143 )</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89,864</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Name/Trademark</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14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143,767</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(35,589 )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108,178</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4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-256540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-256540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-256540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jc w:val="both"/>
        <w:ind w:left="120" w:right="6600" w:firstLine="8"/>
        <w:spacing w:after="0" w:line="285" w:lineRule="auto"/>
        <w:tabs>
          <w:tab w:leader="none" w:pos="216"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$(750) thousand of foreign currency translation adjustments. ** Includes $(41) thousand of foreign currency translation adjustments.</w:t>
      </w:r>
    </w:p>
    <w:p>
      <w:pPr>
        <w:spacing w:after="0" w:line="108"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Amortization expense for the years ended December 31, 2024, 2023 and 2022 was $12.3 million, $11.5 million and $9.1 million, respectively.</w:t>
      </w:r>
    </w:p>
    <w:p>
      <w:pPr>
        <w:spacing w:after="0" w:line="127"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As of December 31, 2024, the estimated annual amortization expense of intangible assets for each of the next five years and thereafter is expected to be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9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9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Expense</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2025</w:t>
            </w: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13,424</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13,473</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13,323</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3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13,119</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2029</w:t>
            </w: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12,251</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53,094</w:t>
            </w:r>
          </w:p>
        </w:tc>
        <w:tc>
          <w:tcPr>
            <w:tcW w:w="10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118,684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Revolving Credit Facility</w:t>
      </w:r>
    </w:p>
    <w:p>
      <w:pPr>
        <w:spacing w:after="0" w:line="16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On February 23, 2024, the Company entered into a five-year senior secured 2024 Revolving Credit Facility with four banks for a total commitment of $125.0 million. The 2024 Revolving Credit Facility provides for an incremental facility in an amount equal to $50.0 million plus 100% of Consolidated Adjusted EBITDA based on the most recent consolidated financial information. In addition, the 2024 Revolving Credit Facility includes a $10.0 million letter of credit sub-facility and a $5.0 million 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39" w:name="page140"/>
    <w:bookmarkEnd w:id="139"/>
    <w:p>
      <w:pPr>
        <w:ind w:right="140" w:firstLine="509"/>
        <w:spacing w:after="0" w:line="253" w:lineRule="auto"/>
        <w:rPr>
          <w:sz w:val="20"/>
          <w:szCs w:val="20"/>
          <w:color w:val="auto"/>
        </w:rPr>
      </w:pPr>
      <w:r>
        <w:rPr>
          <w:rFonts w:ascii="Arial" w:cs="Arial" w:eastAsia="Arial" w:hAnsi="Arial"/>
          <w:sz w:val="18"/>
          <w:szCs w:val="18"/>
          <w:color w:val="auto"/>
        </w:rPr>
        <w:t>The 2024 Revolving Credit Facility replaced the three-year senior secured 2021 Revolving Credit Facility of $50.0 million entered into in July 2021, under which $50.0 million was available to Flywire as of December 31, 2023. Three of the lenders under the 2024 Revolving Credit Facility were existing lenders under the 2021 Revolving Credit Facility.</w:t>
      </w:r>
    </w:p>
    <w:p>
      <w:pPr>
        <w:spacing w:after="0" w:line="14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connection with the 2024 Revolving Credit Facility, the Company incurred debt issuance costs of $ 0.8 million. Debt issuance costs related to the 2024 Revolving Credit Facility are amortized on a straight-line basis over the contractual term of the agreement and are presented as a component of other assets on the Company's consolidated balance sheets. Debt issuance costs of $0.1 million related to the 2021 Revolving Credit Facility will continue to be amortized on a straight-line basis over the contractual term of the new agreement and are presented as a component of other assets on the Company's consolidated balance sheets. The exchange of the 2021 Revolving Credit Facility with the 2024 Revolving Credit Facility from the same lenders was accounted for as a modification.</w:t>
      </w:r>
    </w:p>
    <w:p>
      <w:pPr>
        <w:spacing w:after="0" w:line="138"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2024 Revolving Credit Facility consists of Alternate Base Rate (ABR) borrowings or Term Secured Overnight Financing Rate (SOFR) borrowings, at the Company’s option.</w:t>
      </w:r>
    </w:p>
    <w:p>
      <w:pPr>
        <w:spacing w:after="0" w:line="11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 1.0% to 2.5%. The 2024 Revolving Credit Facility incurs a commitment fee ranging from 0.25% to 0.35% based upon the Company’s consolidated total net leverage ratio as of the most recent consolidated financial information assessed on the average available commitment.</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2024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2024 Revolving Credit Facility becoming immediately due and payable and termination of the commitments. The Company was in compliance with all covenants associated with the 2024 Revolving Credit Facility as of December 31,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Revolving Credit Facility</w:t>
      </w:r>
    </w:p>
    <w:p>
      <w:pPr>
        <w:spacing w:after="0" w:line="169"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On July 29, 2021, the Company entered into the 2021 Revolving Credit Facility with three banks for a total commitment of $50.0 million. The 2021 Revolving Credit Facility included a $5.0 million letter of credit sub-facility and a $5.0 million swingline sub-facility, with available borrowings under the 2021 Revolving Credit Facility reduced by the amount of any letters of credit and swingline borrowings outstanding from time to time. The 2021 Revolving Credit Facility was guaranteed by Flywire’s material domestic subsidiaries.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2021 Revolving Credit Facility consisted of ABR loans or Eurodollar Borrowings, at the Company’s option.</w:t>
      </w:r>
    </w:p>
    <w:p>
      <w:pPr>
        <w:spacing w:after="0" w:line="17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On June 23, 2023, the Company executed the First Amendment to the 2021 Revolving Credit Facility to transition determination of the interest rate from the LIBOR benchmark rate to the SOFR benchmark rate effective June 30, 2023.</w:t>
      </w:r>
    </w:p>
    <w:p>
      <w:pPr>
        <w:spacing w:after="0" w:line="113" w:lineRule="exact"/>
        <w:rPr>
          <w:sz w:val="20"/>
          <w:szCs w:val="20"/>
          <w:color w:val="auto"/>
        </w:rPr>
      </w:pPr>
    </w:p>
    <w:p>
      <w:pPr>
        <w:ind w:right="380" w:firstLine="559"/>
        <w:spacing w:after="0" w:line="271" w:lineRule="auto"/>
        <w:rPr>
          <w:sz w:val="20"/>
          <w:szCs w:val="20"/>
          <w:color w:val="auto"/>
        </w:rPr>
      </w:pPr>
      <w:r>
        <w:rPr>
          <w:rFonts w:ascii="Arial" w:cs="Arial" w:eastAsia="Arial" w:hAnsi="Arial"/>
          <w:sz w:val="18"/>
          <w:szCs w:val="18"/>
          <w:color w:val="auto"/>
        </w:rPr>
        <w:t>As of December 31, 2024 and 2023, there was no outstanding indebtedness under the 2024 Revolving Credit Facility or the 2021 Revolving Credit Facility.</w:t>
      </w:r>
    </w:p>
    <w:p>
      <w:pPr>
        <w:spacing w:after="0" w:line="12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Interest expense for the years ended December 31, 2024, 2023 and 2022 was $0.5 million, $0.4 million and $1.2 million, respectively. Included in interest expense for the years ended December 31, 2024, 2023 and 2022 is $0.2 million, $0.3 million and $0.3 million of amortization of debt issuance costs,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As of December 31, 2024 and 2023, the Company had an outstanding and unused letter of credit in the amount of approximately $2.5 million and $0.7 million, respectively, for the purpose of protecting a third-party service provider against default on payroll payments. The letter of credit may be terminated at any time by the Company upon notice.</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Note 12.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current amended and restated certificate of incorporation, which was filed on May 28, 2021, authorizes the issuance of 10,000,000 shares of undesignated preferred stock with a par value of $0.0001 per share with rights and preferences, including voting rights, designated from time to time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 As of December 31, 2024 and 2023, no cash dividends have been declared or paid.</w:t>
      </w:r>
    </w:p>
    <w:p>
      <w:pPr>
        <w:spacing w:after="0" w:line="13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Holders of the Company's voting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83"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On August 6, 2024, the Company announced a share repurchase program of up to $150 million of outstanding voting and non-voting common stock for an indefinite period as part of the Company’s capital deployment strategy (Repurchase Program).</w:t>
      </w:r>
    </w:p>
    <w:p>
      <w:pPr>
        <w:spacing w:after="0" w:line="113"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p>
    <w:p>
      <w:pPr>
        <w:spacing w:after="0" w:line="14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During the year ended December 31, 2024, the Company repurchased 2,386,856 shares of its common stock for an aggregate amount, including commissions and accrued excise tax, of $45.6 million under the Repurchase Program. The repurchased shares are currently being held as treasury stock. As of December 31, 2024, approximately $104.9 million of the originally authorized amount under the Repurchase Program remained available for future repurchases.</w:t>
      </w:r>
    </w:p>
    <w:p>
      <w:pPr>
        <w:spacing w:after="0" w:line="14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All of the Company’s repurchases are subject to a one percent excise tax enacted by the Inflation Reduction Act of 2022 (the IRA). The amount of share repurchases subject to the excise tax are reduced by the fair market value of any shares issued during the taxable year. For the year ended December 31, 2024, the Company accrued $0.5 million of related excise tax pursuant to the IRA which is included in the cost of treasury stock on our consolidated balance sheet.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69"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Company may issue treasury stock to cover the exercise of stock options and vesting of restricted stock units related to equity incentive plans. The Company issued 30,927 and 2,677 treasury shares at an average cost of $0.32 per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1" w:name="page142"/>
    <w:bookmarkEnd w:id="141"/>
    <w:p>
      <w:pPr>
        <w:ind w:right="560"/>
        <w:spacing w:after="0" w:line="271" w:lineRule="auto"/>
        <w:rPr>
          <w:sz w:val="20"/>
          <w:szCs w:val="20"/>
          <w:color w:val="auto"/>
        </w:rPr>
      </w:pPr>
      <w:r>
        <w:rPr>
          <w:rFonts w:ascii="Arial" w:cs="Arial" w:eastAsia="Arial" w:hAnsi="Arial"/>
          <w:sz w:val="18"/>
          <w:szCs w:val="18"/>
          <w:color w:val="auto"/>
        </w:rPr>
        <w:t>share during the year ended December 31, 2024 and 2023, respectively. The Company intends to issue treasury shares as long as an adequate number of those shares is available.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Comprehensive loss includes all changes in equity during the period and is comprised of net income (loss) and other comprehensive income (loss). Accumulated other comprehensive (loss) income (AOCI) reported on the Company's consolidated balance sheets for the year ended December 31, 2024 consists of foreign currency translation adjustment and the unrealized gains and losses, net of applicable taxes, on available-for-sale debt securities.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AOCI for the year ended December 31,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78"/>
              <w:spacing w:after="0"/>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78"/>
              <w:spacing w:after="0"/>
              <w:rPr>
                <w:sz w:val="20"/>
                <w:szCs w:val="20"/>
                <w:color w:val="auto"/>
              </w:rPr>
            </w:pPr>
            <w:r>
              <w:rPr>
                <w:rFonts w:ascii="Arial" w:cs="Arial" w:eastAsia="Arial" w:hAnsi="Arial"/>
                <w:sz w:val="14"/>
                <w:szCs w:val="14"/>
                <w:b w:val="1"/>
                <w:bCs w:val="1"/>
                <w:color w:val="auto"/>
              </w:rPr>
              <w:t>on Available-for-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360" w:type="dxa"/>
            <w:vAlign w:val="bottom"/>
          </w:tcPr>
          <w:p>
            <w:pPr>
              <w:jc w:val="center"/>
              <w:ind w:right="117"/>
              <w:spacing w:after="0"/>
              <w:rPr>
                <w:sz w:val="20"/>
                <w:szCs w:val="20"/>
                <w:color w:val="auto"/>
              </w:rPr>
            </w:pPr>
            <w:r>
              <w:rPr>
                <w:rFonts w:ascii="Arial" w:cs="Arial" w:eastAsia="Arial" w:hAnsi="Arial"/>
                <w:sz w:val="14"/>
                <w:szCs w:val="14"/>
                <w:b w:val="1"/>
                <w:bCs w:val="1"/>
                <w:color w:val="auto"/>
              </w:rPr>
              <w:t>Estimated Tax</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98"/>
              <w:spacing w:after="0"/>
              <w:rPr>
                <w:sz w:val="20"/>
                <w:szCs w:val="20"/>
                <w:color w:val="auto"/>
              </w:rPr>
            </w:pPr>
            <w:r>
              <w:rPr>
                <w:rFonts w:ascii="Arial" w:cs="Arial" w:eastAsia="Arial" w:hAnsi="Arial"/>
                <w:sz w:val="14"/>
                <w:szCs w:val="14"/>
                <w:b w:val="1"/>
                <w:bCs w:val="1"/>
                <w:color w:val="auto"/>
              </w:rPr>
              <w:t>sale Debt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60" w:type="dxa"/>
            <w:vAlign w:val="bottom"/>
          </w:tcPr>
          <w:p>
            <w:pPr>
              <w:jc w:val="center"/>
              <w:ind w:right="117"/>
              <w:spacing w:after="0"/>
              <w:rPr>
                <w:sz w:val="20"/>
                <w:szCs w:val="20"/>
                <w:color w:val="auto"/>
              </w:rPr>
            </w:pPr>
            <w:r>
              <w:rPr>
                <w:rFonts w:ascii="Arial" w:cs="Arial" w:eastAsia="Arial" w:hAnsi="Arial"/>
                <w:sz w:val="14"/>
                <w:szCs w:val="14"/>
                <w:b w:val="1"/>
                <w:bCs w:val="1"/>
                <w:color w:val="auto"/>
              </w:rPr>
              <w:t>(Expense)</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Securities, net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ind w:left="1180"/>
              <w:spacing w:after="0" w:line="196" w:lineRule="exact"/>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40" w:type="dxa"/>
            <w:vAlign w:val="bottom"/>
          </w:tcPr>
          <w:p>
            <w:pPr>
              <w:ind w:left="20"/>
              <w:spacing w:after="0" w:line="183" w:lineRule="exact"/>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40" w:type="dxa"/>
            <w:vAlign w:val="bottom"/>
          </w:tcPr>
          <w:p>
            <w:pPr>
              <w:ind w:left="180"/>
              <w:spacing w:after="0"/>
              <w:rPr>
                <w:sz w:val="20"/>
                <w:szCs w:val="20"/>
                <w:color w:val="auto"/>
              </w:rPr>
            </w:pPr>
            <w:r>
              <w:rPr>
                <w:rFonts w:ascii="Arial" w:cs="Arial" w:eastAsia="Arial" w:hAnsi="Arial"/>
                <w:sz w:val="18"/>
                <w:szCs w:val="18"/>
                <w:color w:val="auto"/>
              </w:rPr>
              <w:t>(loss)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(3,594 )</w:t>
            </w:r>
          </w:p>
        </w:tc>
        <w:tc>
          <w:tcPr>
            <w:tcW w:w="220" w:type="dxa"/>
            <w:vAlign w:val="bottom"/>
          </w:tcPr>
          <w:p>
            <w:pPr>
              <w:spacing w:after="0"/>
              <w:rPr>
                <w:sz w:val="19"/>
                <w:szCs w:val="19"/>
                <w:color w:val="auto"/>
              </w:rPr>
            </w:pP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(3,386 )</w:t>
            </w:r>
          </w:p>
        </w:tc>
        <w:tc>
          <w:tcPr>
            <w:tcW w:w="0" w:type="dxa"/>
            <w:vAlign w:val="bottom"/>
          </w:tcPr>
          <w:p>
            <w:pPr>
              <w:spacing w:after="0"/>
              <w:rPr>
                <w:sz w:val="1"/>
                <w:szCs w:val="1"/>
                <w:color w:val="auto"/>
              </w:rPr>
            </w:pPr>
          </w:p>
        </w:tc>
      </w:tr>
      <w:tr>
        <w:trPr>
          <w:trHeight w:val="184"/>
        </w:trPr>
        <w:tc>
          <w:tcPr>
            <w:tcW w:w="4140" w:type="dxa"/>
            <w:vAlign w:val="bottom"/>
            <w:shd w:val="clear" w:color="auto" w:fill="CFF0FC"/>
          </w:tcPr>
          <w:p>
            <w:pPr>
              <w:ind w:left="140"/>
              <w:spacing w:after="0" w:line="183" w:lineRule="exact"/>
              <w:rPr>
                <w:sz w:val="20"/>
                <w:szCs w:val="20"/>
                <w:color w:val="auto"/>
              </w:rPr>
            </w:pPr>
            <w:r>
              <w:rPr>
                <w:rFonts w:ascii="Arial" w:cs="Arial" w:eastAsia="Arial" w:hAnsi="Arial"/>
                <w:sz w:val="18"/>
                <w:szCs w:val="18"/>
                <w:color w:val="auto"/>
              </w:rPr>
              <w:t>Less: Amount of gain (loss) reclassified</w:t>
            </w:r>
          </w:p>
        </w:tc>
        <w:tc>
          <w:tcPr>
            <w:tcW w:w="16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ind w:left="11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from AOCI</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vMerge w:val="continue"/>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140" w:type="dxa"/>
            <w:vAlign w:val="bottom"/>
          </w:tcPr>
          <w:p>
            <w:pPr>
              <w:ind w:left="20"/>
              <w:spacing w:after="0" w:line="177" w:lineRule="exact"/>
              <w:rPr>
                <w:sz w:val="20"/>
                <w:szCs w:val="20"/>
                <w:color w:val="auto"/>
              </w:rPr>
            </w:pPr>
            <w:r>
              <w:rPr>
                <w:rFonts w:ascii="Arial" w:cs="Arial" w:eastAsia="Arial" w:hAnsi="Arial"/>
                <w:sz w:val="18"/>
                <w:szCs w:val="18"/>
                <w:color w:val="auto"/>
              </w:rPr>
              <w:t>Net current period other comprehensive</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(3,594 )</w:t>
            </w:r>
          </w:p>
        </w:tc>
        <w:tc>
          <w:tcPr>
            <w:tcW w:w="220" w:type="dxa"/>
            <w:vAlign w:val="bottom"/>
          </w:tcPr>
          <w:p>
            <w:pPr>
              <w:spacing w:after="0"/>
              <w:rPr>
                <w:sz w:val="15"/>
                <w:szCs w:val="15"/>
                <w:color w:val="auto"/>
              </w:rPr>
            </w:pPr>
          </w:p>
        </w:tc>
        <w:tc>
          <w:tcPr>
            <w:tcW w:w="1360" w:type="dxa"/>
            <w:vAlign w:val="bottom"/>
            <w:vMerge w:val="restart"/>
          </w:tcPr>
          <w:p>
            <w:pPr>
              <w:ind w:left="11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(3,386 )</w:t>
            </w:r>
          </w:p>
        </w:tc>
        <w:tc>
          <w:tcPr>
            <w:tcW w:w="0" w:type="dxa"/>
            <w:vAlign w:val="bottom"/>
          </w:tcPr>
          <w:p>
            <w:pPr>
              <w:spacing w:after="0"/>
              <w:rPr>
                <w:sz w:val="1"/>
                <w:szCs w:val="1"/>
                <w:color w:val="auto"/>
              </w:rPr>
            </w:pPr>
          </w:p>
        </w:tc>
      </w:tr>
      <w:tr>
        <w:trPr>
          <w:trHeight w:val="208"/>
        </w:trPr>
        <w:tc>
          <w:tcPr>
            <w:tcW w:w="4140" w:type="dxa"/>
            <w:vAlign w:val="bottom"/>
          </w:tcPr>
          <w:p>
            <w:pPr>
              <w:ind w:left="180"/>
              <w:spacing w:after="0"/>
              <w:rPr>
                <w:sz w:val="20"/>
                <w:szCs w:val="20"/>
                <w:color w:val="auto"/>
              </w:rPr>
            </w:pPr>
            <w:r>
              <w:rPr>
                <w:rFonts w:ascii="Arial" w:cs="Arial" w:eastAsia="Arial" w:hAnsi="Arial"/>
                <w:sz w:val="18"/>
                <w:szCs w:val="18"/>
                <w:color w:val="auto"/>
              </w:rPr>
              <w:t>income (loss)</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w:t>
            </w:r>
          </w:p>
        </w:tc>
        <w:tc>
          <w:tcPr>
            <w:tcW w:w="220" w:type="dxa"/>
            <w:vAlign w:val="bottom"/>
            <w:gridSpan w:val="2"/>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(2,274 )</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ind w:left="1180"/>
              <w:spacing w:after="0" w:line="196" w:lineRule="exact"/>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(2,066 )</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-419100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-419100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-419100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100" w:firstLine="509"/>
        <w:spacing w:after="0" w:line="271" w:lineRule="auto"/>
        <w:rPr>
          <w:sz w:val="20"/>
          <w:szCs w:val="20"/>
          <w:color w:val="auto"/>
        </w:rPr>
      </w:pPr>
      <w:r>
        <w:rPr>
          <w:rFonts w:ascii="Arial" w:cs="Arial" w:eastAsia="Arial" w:hAnsi="Arial"/>
          <w:sz w:val="18"/>
          <w:szCs w:val="18"/>
          <w:color w:val="auto"/>
        </w:rPr>
        <w:t>Changes in AOCI for the year ended December 31, 2023 and 2022 consisted of foreign currency translation adjustment only. Refer to the Company's consolidated statements of stockholders’ equity for the changes in AOCI for the years ended December 31,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Reserved Shares of Common Stock for Future Issuance</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84"/>
        </w:trPr>
        <w:tc>
          <w:tcPr>
            <w:tcW w:w="9740" w:type="dxa"/>
            <w:vAlign w:val="bottom"/>
            <w:gridSpan w:val="2"/>
          </w:tcPr>
          <w:p>
            <w:pPr>
              <w:ind w:left="520"/>
              <w:spacing w:after="0"/>
              <w:rPr>
                <w:sz w:val="20"/>
                <w:szCs w:val="20"/>
                <w:color w:val="auto"/>
              </w:rPr>
            </w:pPr>
            <w:r>
              <w:rPr>
                <w:rFonts w:ascii="Arial" w:cs="Arial" w:eastAsia="Arial" w:hAnsi="Arial"/>
                <w:sz w:val="18"/>
                <w:szCs w:val="18"/>
                <w:color w:val="auto"/>
              </w:rPr>
              <w:t>As of December 31, 2024, the Company had reserved shares of common stock for future issuance as follows: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7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9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Issued and outstanding stock options</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6,199,369</w:t>
            </w:r>
          </w:p>
        </w:tc>
        <w:tc>
          <w:tcPr>
            <w:tcW w:w="100" w:type="dxa"/>
            <w:vAlign w:val="bottom"/>
            <w:shd w:val="clear" w:color="auto" w:fill="CFF0FC"/>
          </w:tcPr>
          <w:p>
            <w:pPr>
              <w:spacing w:after="0"/>
              <w:rPr>
                <w:sz w:val="17"/>
                <w:szCs w:val="17"/>
                <w:color w:val="auto"/>
              </w:rPr>
            </w:pPr>
          </w:p>
        </w:tc>
      </w:tr>
      <w:tr>
        <w:trPr>
          <w:trHeight w:val="203"/>
        </w:trPr>
        <w:tc>
          <w:tcPr>
            <w:tcW w:w="9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Issued and outstanding restricted stock units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6,016,838</w:t>
            </w:r>
          </w:p>
        </w:tc>
        <w:tc>
          <w:tcPr>
            <w:tcW w:w="100" w:type="dxa"/>
            <w:vAlign w:val="bottom"/>
          </w:tcPr>
          <w:p>
            <w:pPr>
              <w:spacing w:after="0"/>
              <w:rPr>
                <w:sz w:val="17"/>
                <w:szCs w:val="17"/>
                <w:color w:val="auto"/>
              </w:rPr>
            </w:pPr>
          </w:p>
        </w:tc>
      </w:tr>
      <w:tr>
        <w:trPr>
          <w:trHeight w:val="203"/>
        </w:trPr>
        <w:tc>
          <w:tcPr>
            <w:tcW w:w="9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Available for issuance under the 2021 Equity Incentive Plan</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17,135,599</w:t>
            </w:r>
          </w:p>
        </w:tc>
        <w:tc>
          <w:tcPr>
            <w:tcW w:w="100" w:type="dxa"/>
            <w:vAlign w:val="bottom"/>
            <w:shd w:val="clear" w:color="auto" w:fill="CFF0FC"/>
          </w:tcPr>
          <w:p>
            <w:pPr>
              <w:spacing w:after="0"/>
              <w:rPr>
                <w:sz w:val="17"/>
                <w:szCs w:val="17"/>
                <w:color w:val="auto"/>
              </w:rPr>
            </w:pPr>
          </w:p>
        </w:tc>
      </w:tr>
      <w:tr>
        <w:trPr>
          <w:trHeight w:val="203"/>
        </w:trPr>
        <w:tc>
          <w:tcPr>
            <w:tcW w:w="9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Available for issuance under Employee Stock Purchase Plan</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4,598,941</w:t>
            </w:r>
          </w:p>
        </w:tc>
        <w:tc>
          <w:tcPr>
            <w:tcW w:w="100" w:type="dxa"/>
            <w:vAlign w:val="bottom"/>
          </w:tcPr>
          <w:p>
            <w:pPr>
              <w:spacing w:after="0"/>
              <w:rPr>
                <w:sz w:val="17"/>
                <w:szCs w:val="17"/>
                <w:color w:val="auto"/>
              </w:rPr>
            </w:pPr>
          </w:p>
        </w:tc>
      </w:tr>
      <w:tr>
        <w:trPr>
          <w:trHeight w:val="203"/>
        </w:trPr>
        <w:tc>
          <w:tcPr>
            <w:tcW w:w="9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Committed to settling employee retention</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41,998</w:t>
            </w:r>
          </w:p>
        </w:tc>
        <w:tc>
          <w:tcPr>
            <w:tcW w:w="100" w:type="dxa"/>
            <w:vAlign w:val="bottom"/>
            <w:shd w:val="clear" w:color="auto" w:fill="CFF0FC"/>
          </w:tcPr>
          <w:p>
            <w:pPr>
              <w:spacing w:after="0"/>
              <w:rPr>
                <w:sz w:val="17"/>
                <w:szCs w:val="17"/>
                <w:color w:val="auto"/>
              </w:rPr>
            </w:pPr>
          </w:p>
        </w:tc>
      </w:tr>
      <w:tr>
        <w:trPr>
          <w:trHeight w:val="203"/>
        </w:trPr>
        <w:tc>
          <w:tcPr>
            <w:tcW w:w="9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Available for conversion of non-voting common stock</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1,873,320</w:t>
            </w:r>
          </w:p>
        </w:tc>
        <w:tc>
          <w:tcPr>
            <w:tcW w:w="100" w:type="dxa"/>
            <w:vAlign w:val="bottom"/>
          </w:tcPr>
          <w:p>
            <w:pPr>
              <w:spacing w:after="0"/>
              <w:rPr>
                <w:sz w:val="17"/>
                <w:szCs w:val="17"/>
                <w:color w:val="auto"/>
              </w:rPr>
            </w:pPr>
          </w:p>
        </w:tc>
      </w:tr>
      <w:tr>
        <w:trPr>
          <w:trHeight w:val="196"/>
        </w:trPr>
        <w:tc>
          <w:tcPr>
            <w:tcW w:w="7560" w:type="dxa"/>
            <w:vAlign w:val="bottom"/>
          </w:tcPr>
          <w:p>
            <w:pPr>
              <w:spacing w:after="0"/>
              <w:rPr>
                <w:sz w:val="17"/>
                <w:szCs w:val="17"/>
                <w:color w:val="auto"/>
              </w:rPr>
            </w:pPr>
          </w:p>
        </w:tc>
        <w:tc>
          <w:tcPr>
            <w:tcW w:w="2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35,866,065</w:t>
            </w:r>
          </w:p>
        </w:tc>
        <w:tc>
          <w:tcPr>
            <w:tcW w:w="10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6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w:t>
      </w:r>
    </w:p>
    <w:p>
      <w:pPr>
        <w:spacing w:after="0" w:line="127"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36"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26,116,754 shares of the Company’s common stock have been reserved for issuance under the 2021 Plan in addition to (i) any annual automatic evergreen increases in the number of shares of common stock reserved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2" w:name="page143"/>
    <w:bookmarkEnd w:id="142"/>
    <w:p>
      <w:pPr>
        <w:ind w:right="380"/>
        <w:spacing w:after="0" w:line="271" w:lineRule="auto"/>
        <w:rPr>
          <w:sz w:val="20"/>
          <w:szCs w:val="20"/>
          <w:color w:val="auto"/>
        </w:rPr>
      </w:pPr>
      <w:r>
        <w:rPr>
          <w:rFonts w:ascii="Arial" w:cs="Arial" w:eastAsia="Arial" w:hAnsi="Arial"/>
          <w:sz w:val="18"/>
          <w:szCs w:val="18"/>
          <w:color w:val="auto"/>
        </w:rPr>
        <w:t>for issuance under the 2021 Plan and (ii) upon the expiration, forfeiture, cancellation, or reacquisition of any stock-based awards granted under the 2009 Plan or 2018 Plan, an equal number of shares of common stock will become available under the 2021 Plan.</w:t>
      </w:r>
    </w:p>
    <w:p>
      <w:pPr>
        <w:spacing w:after="0" w:line="127"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As of December 31, 2024, a total of 17,135,599 shares of the Company's common stock were available for future issuance under the 2021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activity since December 31,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78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r>
      <w:tr>
        <w:trPr>
          <w:trHeight w:val="171"/>
        </w:trPr>
        <w:tc>
          <w:tcPr>
            <w:tcW w:w="5780" w:type="dxa"/>
            <w:vAlign w:val="bottom"/>
          </w:tcPr>
          <w:p>
            <w:pPr>
              <w:spacing w:after="0"/>
              <w:rPr>
                <w:sz w:val="14"/>
                <w:szCs w:val="14"/>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Price Per Share</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2023</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8,107,861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7.17</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5.69</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136,975</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(1,799,325 )</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Cancelled</w:t>
            </w: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(109,167 )</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28.27</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2024</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6,199,369</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7.98</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5.02</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86,213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780" w:type="dxa"/>
            <w:vAlign w:val="bottom"/>
          </w:tcPr>
          <w:p>
            <w:pPr>
              <w:ind w:left="20"/>
              <w:spacing w:after="0" w:line="183" w:lineRule="exact"/>
              <w:rPr>
                <w:sz w:val="20"/>
                <w:szCs w:val="20"/>
                <w:color w:val="auto"/>
              </w:rPr>
            </w:pPr>
            <w:r>
              <w:rPr>
                <w:rFonts w:ascii="Arial" w:cs="Arial" w:eastAsia="Arial" w:hAnsi="Arial"/>
                <w:sz w:val="18"/>
                <w:szCs w:val="18"/>
                <w:color w:val="auto"/>
              </w:rPr>
              <w:t>Exercisable as of December 31, 2024</w:t>
            </w:r>
          </w:p>
        </w:tc>
        <w:tc>
          <w:tcPr>
            <w:tcW w:w="1160" w:type="dxa"/>
            <w:vAlign w:val="bottom"/>
          </w:tcPr>
          <w:p>
            <w:pPr>
              <w:jc w:val="right"/>
              <w:spacing w:after="0" w:line="183" w:lineRule="exact"/>
              <w:rPr>
                <w:sz w:val="20"/>
                <w:szCs w:val="20"/>
                <w:color w:val="auto"/>
              </w:rPr>
            </w:pPr>
            <w:r>
              <w:rPr>
                <w:rFonts w:ascii="Arial" w:cs="Arial" w:eastAsia="Arial" w:hAnsi="Arial"/>
                <w:sz w:val="18"/>
                <w:szCs w:val="18"/>
                <w:color w:val="auto"/>
              </w:rPr>
              <w:t>5,903,732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7.44</w:t>
            </w:r>
          </w:p>
        </w:tc>
        <w:tc>
          <w:tcPr>
            <w:tcW w:w="14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4.95</w:t>
            </w:r>
          </w:p>
        </w:tc>
        <w:tc>
          <w:tcPr>
            <w:tcW w:w="4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8"/>
                <w:szCs w:val="18"/>
                <w:color w:val="auto"/>
              </w:rPr>
              <w:t>84,148</w:t>
            </w:r>
          </w:p>
        </w:tc>
        <w:tc>
          <w:tcPr>
            <w:tcW w:w="100" w:type="dxa"/>
            <w:vAlign w:val="bottom"/>
          </w:tcPr>
          <w:p>
            <w:pPr>
              <w:spacing w:after="0"/>
              <w:rPr>
                <w:sz w:val="15"/>
                <w:szCs w:val="15"/>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or expected to vest as of December 31, 2024</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289,591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18.70</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6.44</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-281940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-264795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-281940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-264795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-281940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-264795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closing price of the Company’s common stock at December 31, 2024. The aggregate intrinsic value of stock options exercised during the years ended December 31, 2024, 2023 and 2022 was $33.8 million, $89.8 million and $56.1 million, respectively.</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options to purchase shares of common stock during the year ended December 31, 2024 and 2023.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grant-date fair value of stock options granted during the years ended December 31, 2022 was $30.08.</w:t>
      </w:r>
    </w:p>
    <w:p>
      <w:pPr>
        <w:spacing w:after="0" w:line="15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fair value of each option award was estimated on the date of grant using the Black-Scholes option-pricing model. The table below quantifies the weighted average of the most significant inputs to determine the fair value of stock options granted during the years ended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9140" w:type="dxa"/>
            <w:vAlign w:val="bottom"/>
          </w:tcPr>
          <w:p>
            <w:pPr>
              <w:spacing w:after="0"/>
              <w:rPr>
                <w:sz w:val="14"/>
                <w:szCs w:val="14"/>
                <w:color w:val="auto"/>
              </w:rPr>
            </w:pPr>
          </w:p>
        </w:tc>
        <w:tc>
          <w:tcPr>
            <w:tcW w:w="19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r>
      <w:tr>
        <w:trPr>
          <w:trHeight w:val="196"/>
        </w:trPr>
        <w:tc>
          <w:tcPr>
            <w:tcW w:w="9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21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2.16 %</w:t>
            </w: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2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0 %</w:t>
            </w: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47.4 %</w:t>
            </w:r>
          </w:p>
        </w:tc>
      </w:tr>
      <w:tr>
        <w:trPr>
          <w:trHeight w:val="239"/>
        </w:trPr>
        <w:tc>
          <w:tcPr>
            <w:tcW w:w="9140" w:type="dxa"/>
            <w:vAlign w:val="bottom"/>
          </w:tcPr>
          <w:p>
            <w:pPr>
              <w:ind w:left="20"/>
              <w:spacing w:after="0"/>
              <w:rPr>
                <w:sz w:val="20"/>
                <w:szCs w:val="20"/>
                <w:color w:val="auto"/>
              </w:rPr>
            </w:pPr>
            <w:r>
              <w:rPr>
                <w:rFonts w:ascii="Arial" w:cs="Arial" w:eastAsia="Arial" w:hAnsi="Arial"/>
                <w:sz w:val="18"/>
                <w:szCs w:val="18"/>
                <w:color w:val="auto"/>
              </w:rPr>
              <w:t>Expected terms (in years)</w:t>
            </w:r>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r>
    </w:tbl>
    <w:p>
      <w:pPr>
        <w:spacing w:after="0" w:line="13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Company received cash proceeds from the exercise of options to purchase common stock of $5.6 million, $10.4 million and $4.7 million during the years ended December 31, 2024, 2023 and 2022, respectively.</w:t>
      </w:r>
    </w:p>
    <w:p>
      <w:pPr>
        <w:spacing w:after="0" w:line="113"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As of December 31, 2024, there was $2.6 million of total unrecognized expense related to unvested stock options, which is expected to be recognized over a weighted-average period of 0.68 years.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Company has awarded restricted stock units to employees and certain non-employee board members under the 2021 Plan. The fair value of each restricted stock unit is estimated based on the fair value of the Company's common stock on the date of the grant. The restricted stock units vest over the requisite service period, which range between one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3" w:name="page144"/>
    <w:bookmarkEnd w:id="143"/>
    <w:p>
      <w:pPr>
        <w:ind w:right="340" w:firstLine="50"/>
        <w:spacing w:after="0" w:line="271" w:lineRule="auto"/>
        <w:rPr>
          <w:sz w:val="20"/>
          <w:szCs w:val="20"/>
          <w:color w:val="auto"/>
        </w:rPr>
      </w:pPr>
      <w:r>
        <w:rPr>
          <w:rFonts w:ascii="Arial" w:cs="Arial" w:eastAsia="Arial" w:hAnsi="Arial"/>
          <w:sz w:val="18"/>
          <w:szCs w:val="18"/>
          <w:color w:val="auto"/>
        </w:rPr>
        <w:t>and four years from the date of the grant, subject to the continued employment of the employees and service of the non-employee board members.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units activity for the year ended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6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r>
      <w:tr>
        <w:trPr>
          <w:trHeight w:val="162"/>
        </w:trPr>
        <w:tc>
          <w:tcPr>
            <w:tcW w:w="6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75"/>
              <w:spacing w:after="0"/>
              <w:rPr>
                <w:sz w:val="20"/>
                <w:szCs w:val="20"/>
                <w:color w:val="auto"/>
              </w:rPr>
            </w:pPr>
            <w:r>
              <w:rPr>
                <w:rFonts w:ascii="Arial" w:cs="Arial" w:eastAsia="Arial" w:hAnsi="Arial"/>
                <w:sz w:val="14"/>
                <w:szCs w:val="14"/>
                <w:b w:val="1"/>
                <w:bCs w:val="1"/>
                <w:color w:val="auto"/>
              </w:rPr>
              <w:t>Grant Date Fair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71"/>
        </w:trPr>
        <w:tc>
          <w:tcPr>
            <w:tcW w:w="6580" w:type="dxa"/>
            <w:vAlign w:val="bottom"/>
          </w:tcPr>
          <w:p>
            <w:pPr>
              <w:spacing w:after="0"/>
              <w:rPr>
                <w:sz w:val="14"/>
                <w:szCs w:val="14"/>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as of December 31, 2023</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4,430,725</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26.28</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3,948,809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25.34</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100,063</w:t>
            </w:r>
          </w:p>
        </w:tc>
        <w:tc>
          <w:tcPr>
            <w:tcW w:w="10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(1,825,670 )</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26.32</w:t>
            </w:r>
          </w:p>
        </w:tc>
        <w:tc>
          <w:tcPr>
            <w:tcW w:w="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48,052</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(537,026 )</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26.13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as of December 31, 2024</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6,016,838</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As of December 31, 2024, there was $122.0 million of total unrecognized compensation expense related to unvested restricted stock units, which is expected to be recognized over a weighted-average period of 2.74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April 2021, the Company’s board of directors adopted, and in May 2021 its stockholders approved, the 2021 ESPP, which became effective on May 28, 2021. The ESPP authorizes the issuance of shares of common stock pursuant to purchase rights granted to "eligible employees". A total of 5,082,470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the lesser of up to 15% of their eligible compensation or IRS limit. Offering periods are generally 6 months long.</w:t>
      </w:r>
    </w:p>
    <w:p>
      <w:pPr>
        <w:spacing w:after="0" w:line="14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As of December 31, 2024, a total of 4,598,941 shares of the Company's common stock were available for future issuance under the ESPP.</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2024, there was no unrecognized compensation expense related to the ESPP.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169" w:lineRule="exact"/>
        <w:rPr>
          <w:sz w:val="20"/>
          <w:szCs w:val="20"/>
          <w:color w:val="auto"/>
        </w:rPr>
      </w:pPr>
    </w:p>
    <w:p>
      <w:pPr>
        <w:ind w:right="520" w:firstLine="509"/>
        <w:spacing w:after="0" w:line="253" w:lineRule="auto"/>
        <w:rPr>
          <w:sz w:val="20"/>
          <w:szCs w:val="20"/>
          <w:color w:val="auto"/>
        </w:rPr>
      </w:pPr>
      <w:r>
        <w:rPr>
          <w:rFonts w:ascii="Arial" w:cs="Arial" w:eastAsia="Arial" w:hAnsi="Arial"/>
          <w:sz w:val="18"/>
          <w:szCs w:val="18"/>
          <w:color w:val="auto"/>
        </w:rPr>
        <w:t>The following table summarizes the stock-based compensation expense for (i) stock options and restricted stock units granted to employees and non-employee board members and (ii) ESPP shares that were purchased by employees that were recorded in the Company’s consolidated statements of operations and comprehensive loss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11,710</w:t>
            </w:r>
          </w:p>
        </w:tc>
        <w:tc>
          <w:tcPr>
            <w:tcW w:w="5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9,286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17,968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11,982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7,856</w:t>
            </w:r>
          </w:p>
        </w:tc>
        <w:tc>
          <w:tcPr>
            <w:tcW w:w="10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35,255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22,458</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17,487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80"/>
              <w:spacing w:after="0" w:line="196" w:lineRule="exact"/>
              <w:rPr>
                <w:sz w:val="20"/>
                <w:szCs w:val="20"/>
                <w:color w:val="auto"/>
              </w:rPr>
            </w:pPr>
            <w:r>
              <w:rPr>
                <w:rFonts w:ascii="Arial" w:cs="Arial" w:eastAsia="Arial" w:hAnsi="Arial"/>
                <w:sz w:val="18"/>
                <w:szCs w:val="18"/>
                <w:color w:val="auto"/>
              </w:rPr>
              <w:t>Total stock-based compensation expense</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64,933</w:t>
            </w:r>
          </w:p>
        </w:tc>
        <w:tc>
          <w:tcPr>
            <w:tcW w:w="5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43,726</w:t>
            </w:r>
          </w:p>
        </w:tc>
        <w:tc>
          <w:tcPr>
            <w:tcW w:w="2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30,259</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-162560</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November 6, 2023, the Company entered into a Transition Agreement with its previous Chief Financial Officer (Prior CFO). Pursuant to the terms of the Transition Agreement (including the receipt by the Company of a release from the Prior CFO), the Company agreed to modify its Prior CFO's outstanding stock options and restricted stock units to (i) accelerate vesting for nine months from the date of the termination of the Prior CFOs employment with the Company (the Separation Date), and (ii) extend the exercise period of his vested nonqualified stock options from ninety days to one year following the Separation Date. To receive these benefits, the Prior CFO had to remain employed through March 31, 2024. As a result of this modification, the Company recognized additional compensation expense of $1.3 million and $0.7 million during the year ended December 31, 2024 and 2023,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Note 14. Net Income (Loss) per Share</w:t>
      </w:r>
    </w:p>
    <w:p>
      <w:pPr>
        <w:spacing w:after="0" w:line="185"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rPr>
                <w:sz w:val="20"/>
                <w:szCs w:val="20"/>
                <w:color w:val="auto"/>
              </w:rPr>
            </w:pPr>
            <w:r>
              <w:rPr>
                <w:rFonts w:ascii="Arial" w:cs="Arial" w:eastAsia="Arial" w:hAnsi="Arial"/>
                <w:sz w:val="17"/>
                <w:szCs w:val="17"/>
                <w:color w:val="auto"/>
              </w:rPr>
              <w:t>Net income (loss)</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2,900</w:t>
            </w:r>
          </w:p>
        </w:tc>
        <w:tc>
          <w:tcPr>
            <w:tcW w:w="26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(8,566 )</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(39,347 )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shd w:val="clear" w:color="auto" w:fill="CFF0FC"/>
          </w:tcPr>
          <w:p>
            <w:pPr>
              <w:ind w:left="280"/>
              <w:spacing w:after="0" w:line="177" w:lineRule="exact"/>
              <w:rPr>
                <w:sz w:val="20"/>
                <w:szCs w:val="20"/>
                <w:color w:val="auto"/>
              </w:rPr>
            </w:pPr>
            <w:r>
              <w:rPr>
                <w:rFonts w:ascii="Arial" w:cs="Arial" w:eastAsia="Arial" w:hAnsi="Arial"/>
                <w:sz w:val="18"/>
                <w:szCs w:val="18"/>
                <w:color w:val="auto"/>
              </w:rPr>
              <w:t>Net income (loss) attributable to common stockholders - basic</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260" w:type="dxa"/>
            <w:vAlign w:val="bottom"/>
            <w:vMerge w:val="restart"/>
            <w:shd w:val="clear" w:color="auto" w:fill="CFF0FC"/>
          </w:tcPr>
          <w:p>
            <w:pPr>
              <w:spacing w:after="0"/>
              <w:rPr>
                <w:sz w:val="15"/>
                <w:szCs w:val="15"/>
                <w:color w:val="auto"/>
              </w:rPr>
            </w:pP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(8,566 )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(39,347 )</w:t>
            </w: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ind w:left="420"/>
              <w:spacing w:after="0" w:line="161" w:lineRule="exact"/>
              <w:rPr>
                <w:sz w:val="20"/>
                <w:szCs w:val="20"/>
                <w:color w:val="auto"/>
              </w:rPr>
            </w:pPr>
            <w:r>
              <w:rPr>
                <w:rFonts w:ascii="Arial" w:cs="Arial" w:eastAsia="Arial" w:hAnsi="Arial"/>
                <w:sz w:val="18"/>
                <w:szCs w:val="18"/>
                <w:color w:val="auto"/>
              </w:rPr>
              <w:t>and diluted</w:t>
            </w:r>
          </w:p>
        </w:tc>
        <w:tc>
          <w:tcPr>
            <w:tcW w:w="220" w:type="dxa"/>
            <w:vAlign w:val="bottom"/>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124,269,820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114,828,494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107,935,514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rPr>
                <w:sz w:val="20"/>
                <w:szCs w:val="20"/>
                <w:color w:val="auto"/>
              </w:rPr>
            </w:pPr>
            <w:r>
              <w:rPr>
                <w:rFonts w:ascii="Arial" w:cs="Arial" w:eastAsia="Arial" w:hAnsi="Arial"/>
                <w:sz w:val="17"/>
                <w:szCs w:val="17"/>
                <w:color w:val="auto"/>
              </w:rPr>
              <w:t>Effect of potentially dilutive stock options</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4,550,017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Effect of potentially dilutive restricted common stock</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519,624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rPr>
                <w:sz w:val="20"/>
                <w:szCs w:val="20"/>
                <w:color w:val="auto"/>
              </w:rPr>
            </w:pPr>
            <w:r>
              <w:rPr>
                <w:rFonts w:ascii="Arial" w:cs="Arial" w:eastAsia="Arial" w:hAnsi="Arial"/>
                <w:sz w:val="17"/>
                <w:szCs w:val="17"/>
                <w:color w:val="auto"/>
              </w:rPr>
              <w:t>Weighted average common shares outstanding – diluted</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129,339,462</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114,828,494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107,935,514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Net income (loss) per share attributable to common stockholders -</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vMerge w:val="restart"/>
            <w:shd w:val="clear" w:color="auto" w:fill="CFF0FC"/>
          </w:tcPr>
          <w:p>
            <w:pPr>
              <w:spacing w:after="0"/>
              <w:rPr>
                <w:sz w:val="14"/>
                <w:szCs w:val="14"/>
                <w:color w:val="auto"/>
              </w:rPr>
            </w:pP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(0.07 )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(0.36 )</w:t>
            </w:r>
          </w:p>
        </w:tc>
        <w:tc>
          <w:tcPr>
            <w:tcW w:w="0" w:type="dxa"/>
            <w:vAlign w:val="bottom"/>
          </w:tcPr>
          <w:p>
            <w:pPr>
              <w:spacing w:after="0"/>
              <w:rPr>
                <w:sz w:val="1"/>
                <w:szCs w:val="1"/>
                <w:color w:val="auto"/>
              </w:rPr>
            </w:pPr>
          </w:p>
        </w:tc>
      </w:tr>
      <w:tr>
        <w:trPr>
          <w:trHeight w:val="201"/>
        </w:trPr>
        <w:tc>
          <w:tcPr>
            <w:tcW w:w="6600" w:type="dxa"/>
            <w:vAlign w:val="bottom"/>
            <w:shd w:val="clear" w:color="auto" w:fill="CFF0FC"/>
          </w:tcPr>
          <w:p>
            <w:pPr>
              <w:ind w:left="180"/>
              <w:spacing w:after="0" w:line="161" w:lineRule="exact"/>
              <w:rPr>
                <w:sz w:val="20"/>
                <w:szCs w:val="20"/>
                <w:color w:val="auto"/>
              </w:rPr>
            </w:pPr>
            <w:r>
              <w:rPr>
                <w:rFonts w:ascii="Arial" w:cs="Arial" w:eastAsia="Arial" w:hAnsi="Arial"/>
                <w:sz w:val="18"/>
                <w:szCs w:val="18"/>
                <w:color w:val="auto"/>
              </w:rPr>
              <w:t>basic</w:t>
            </w:r>
          </w:p>
        </w:tc>
        <w:tc>
          <w:tcPr>
            <w:tcW w:w="220" w:type="dxa"/>
            <w:vAlign w:val="bottom"/>
            <w:vMerge w:val="continue"/>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0" w:type="dxa"/>
            <w:vAlign w:val="bottom"/>
          </w:tcPr>
          <w:p>
            <w:pPr>
              <w:ind w:left="20"/>
              <w:spacing w:after="0" w:line="164" w:lineRule="exact"/>
              <w:rPr>
                <w:sz w:val="20"/>
                <w:szCs w:val="20"/>
                <w:color w:val="auto"/>
              </w:rPr>
            </w:pPr>
            <w:r>
              <w:rPr>
                <w:rFonts w:ascii="Arial" w:cs="Arial" w:eastAsia="Arial" w:hAnsi="Arial"/>
                <w:sz w:val="18"/>
                <w:szCs w:val="18"/>
                <w:color w:val="auto"/>
              </w:rPr>
              <w:t>Net income (loss) per share attributable to common stockholders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260" w:type="dxa"/>
            <w:vAlign w:val="bottom"/>
            <w:vMerge w:val="restart"/>
          </w:tcPr>
          <w:p>
            <w:pPr>
              <w:spacing w:after="0"/>
              <w:rPr>
                <w:sz w:val="14"/>
                <w:szCs w:val="14"/>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(0.07 )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(0.36 )</w:t>
            </w:r>
          </w:p>
        </w:tc>
        <w:tc>
          <w:tcPr>
            <w:tcW w:w="0" w:type="dxa"/>
            <w:vAlign w:val="bottom"/>
          </w:tcPr>
          <w:p>
            <w:pPr>
              <w:spacing w:after="0"/>
              <w:rPr>
                <w:sz w:val="1"/>
                <w:szCs w:val="1"/>
                <w:color w:val="auto"/>
              </w:rPr>
            </w:pPr>
          </w:p>
        </w:tc>
      </w:tr>
      <w:tr>
        <w:trPr>
          <w:trHeight w:val="181"/>
        </w:trPr>
        <w:tc>
          <w:tcPr>
            <w:tcW w:w="6600" w:type="dxa"/>
            <w:vAlign w:val="bottom"/>
          </w:tcPr>
          <w:p>
            <w:pPr>
              <w:ind w:left="180"/>
              <w:spacing w:after="0" w:line="161" w:lineRule="exact"/>
              <w:rPr>
                <w:sz w:val="20"/>
                <w:szCs w:val="20"/>
                <w:color w:val="auto"/>
              </w:rPr>
            </w:pPr>
            <w:r>
              <w:rPr>
                <w:rFonts w:ascii="Arial" w:cs="Arial" w:eastAsia="Arial" w:hAnsi="Arial"/>
                <w:sz w:val="18"/>
                <w:szCs w:val="18"/>
                <w:color w:val="auto"/>
              </w:rPr>
              <w:t>diluted</w:t>
            </w:r>
          </w:p>
        </w:tc>
        <w:tc>
          <w:tcPr>
            <w:tcW w:w="2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-1207770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-1191260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-1207770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-1191260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-282575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-264795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-282575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-264795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For periods in which the Company is in a loss position, basic net loss per share attributable to common stockholders is the same as diluted net loss per share attributable to common stockholders. Outstanding potentially dilutive securities, which were excluded from the diluted net income (loss) per share calculations because they would have been antidilutive were as follows as of the dates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00" w:type="dxa"/>
            <w:vAlign w:val="bottom"/>
          </w:tcPr>
          <w:p>
            <w:pPr>
              <w:spacing w:after="0"/>
              <w:rPr>
                <w:sz w:val="13"/>
                <w:szCs w:val="13"/>
                <w:color w:val="auto"/>
              </w:rPr>
            </w:pPr>
          </w:p>
        </w:tc>
        <w:tc>
          <w:tcPr>
            <w:tcW w:w="136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36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138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restricted stock units</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4,641,715</w:t>
            </w:r>
          </w:p>
        </w:tc>
        <w:tc>
          <w:tcPr>
            <w:tcW w:w="15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4,430,725</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2,934,442</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Stock options to purchase common stock</w:t>
            </w: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841,927</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8,107,861</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12,160,560</w:t>
            </w:r>
          </w:p>
        </w:tc>
        <w:tc>
          <w:tcPr>
            <w:tcW w:w="100" w:type="dxa"/>
            <w:vAlign w:val="bottom"/>
          </w:tcPr>
          <w:p>
            <w:pPr>
              <w:spacing w:after="0"/>
              <w:rPr>
                <w:sz w:val="17"/>
                <w:szCs w:val="17"/>
                <w:color w:val="auto"/>
              </w:rPr>
            </w:pP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5,483,642</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12,538,586</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15,095,002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income (loss) before (benefit from) provision for income taxes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2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r>
      <w:tr>
        <w:trPr>
          <w:trHeight w:val="196"/>
        </w:trPr>
        <w:tc>
          <w:tcPr>
            <w:tcW w:w="3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6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(18,775 )</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(23,190 )</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(45,341 )</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20,635</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18,838</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7,982</w:t>
            </w:r>
          </w:p>
        </w:tc>
        <w:tc>
          <w:tcPr>
            <w:tcW w:w="100" w:type="dxa"/>
            <w:vAlign w:val="bottom"/>
          </w:tcPr>
          <w:p>
            <w:pPr>
              <w:spacing w:after="0"/>
              <w:rPr>
                <w:sz w:val="17"/>
                <w:szCs w:val="17"/>
                <w:color w:val="auto"/>
              </w:rPr>
            </w:pPr>
          </w:p>
        </w:tc>
      </w:tr>
      <w:tr>
        <w:trPr>
          <w:trHeight w:val="236"/>
        </w:trPr>
        <w:tc>
          <w:tcPr>
            <w:tcW w:w="3280" w:type="dxa"/>
            <w:vAlign w:val="bottom"/>
            <w:shd w:val="clear" w:color="auto" w:fill="CFF0FC"/>
          </w:tcPr>
          <w:p>
            <w:pPr>
              <w:spacing w:after="0"/>
              <w:rPr>
                <w:sz w:val="20"/>
                <w:szCs w:val="20"/>
                <w:color w:val="auto"/>
              </w:rPr>
            </w:pPr>
          </w:p>
        </w:tc>
        <w:tc>
          <w:tcPr>
            <w:tcW w:w="36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(4,352 )</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(37,359 )</w:t>
            </w:r>
          </w:p>
        </w:tc>
      </w:tr>
      <w:tr>
        <w:trPr>
          <w:trHeight w:val="524"/>
        </w:trPr>
        <w:tc>
          <w:tcPr>
            <w:tcW w:w="328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tcPr>
          <w:p>
            <w:pPr>
              <w:jc w:val="right"/>
              <w:ind w:right="730"/>
              <w:spacing w:after="0"/>
              <w:rPr>
                <w:sz w:val="20"/>
                <w:szCs w:val="20"/>
                <w:color w:val="auto"/>
              </w:rPr>
            </w:pPr>
            <w:r>
              <w:rPr>
                <w:rFonts w:ascii="Arial" w:cs="Arial" w:eastAsia="Arial" w:hAnsi="Arial"/>
                <w:sz w:val="18"/>
                <w:szCs w:val="18"/>
                <w:color w:val="auto"/>
              </w:rPr>
              <w:t>144</w:t>
            </w: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32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-1383665</wp:posOffset>
            </wp:positionV>
            <wp:extent cx="93980" cy="1454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-1383665</wp:posOffset>
            </wp:positionV>
            <wp:extent cx="93980" cy="1454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-1383665</wp:posOffset>
            </wp:positionV>
            <wp:extent cx="93980" cy="1454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-856615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-839470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-856615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-839470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5" w:name="page146"/>
    <w:bookmarkEnd w:id="145"/>
    <w:p>
      <w:pPr>
        <w:ind w:left="520"/>
        <w:spacing w:after="0"/>
        <w:rPr>
          <w:sz w:val="20"/>
          <w:szCs w:val="20"/>
          <w:color w:val="auto"/>
        </w:rPr>
      </w:pPr>
      <w:r>
        <w:rPr>
          <w:rFonts w:ascii="Arial" w:cs="Arial" w:eastAsia="Arial" w:hAnsi="Arial"/>
          <w:sz w:val="18"/>
          <w:szCs w:val="18"/>
          <w:color w:val="auto"/>
        </w:rPr>
        <w:t>The following table summarizes the components of the Company’s (benefit from) provision for income taxes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State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10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7,011</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4,011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520"/>
              <w:spacing w:after="0" w:line="196" w:lineRule="exact"/>
              <w:rPr>
                <w:sz w:val="20"/>
                <w:szCs w:val="20"/>
                <w:color w:val="auto"/>
              </w:rPr>
            </w:pPr>
            <w:r>
              <w:rPr>
                <w:rFonts w:ascii="Arial" w:cs="Arial" w:eastAsia="Arial" w:hAnsi="Arial"/>
                <w:sz w:val="18"/>
                <w:szCs w:val="18"/>
                <w:color w:val="auto"/>
              </w:rPr>
              <w:t>Total current provision for income taxes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7,754</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4,142</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3,696</w:t>
            </w:r>
          </w:p>
        </w:tc>
        <w:tc>
          <w:tcPr>
            <w:tcW w:w="100" w:type="dxa"/>
            <w:vAlign w:val="bottom"/>
          </w:tcPr>
          <w:p>
            <w:pPr>
              <w:spacing w:after="0"/>
              <w:rPr>
                <w:sz w:val="17"/>
                <w:szCs w:val="17"/>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Deferred</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(4,209 )</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State</w:t>
            </w:r>
          </w:p>
        </w:tc>
        <w:tc>
          <w:tcPr>
            <w:tcW w:w="320" w:type="dxa"/>
            <w:vAlign w:val="bottom"/>
          </w:tcPr>
          <w:p>
            <w:pPr>
              <w:spacing w:after="0"/>
              <w:rPr>
                <w:sz w:val="17"/>
                <w:szCs w:val="17"/>
                <w:color w:val="auto"/>
              </w:rPr>
            </w:pPr>
          </w:p>
        </w:tc>
        <w:tc>
          <w:tcPr>
            <w:tcW w:w="12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(487 )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(102 )</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(4,098 )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(1,750 )</w:t>
            </w: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ind w:left="520"/>
              <w:spacing w:after="0" w:line="196" w:lineRule="exact"/>
              <w:rPr>
                <w:sz w:val="20"/>
                <w:szCs w:val="20"/>
                <w:color w:val="auto"/>
              </w:rPr>
            </w:pPr>
            <w:r>
              <w:rPr>
                <w:rFonts w:ascii="Arial" w:cs="Arial" w:eastAsia="Arial" w:hAnsi="Arial"/>
                <w:sz w:val="18"/>
                <w:szCs w:val="18"/>
                <w:color w:val="auto"/>
              </w:rPr>
              <w:t>Total deferred income tax (benefit) provision</w:t>
            </w:r>
          </w:p>
        </w:tc>
        <w:tc>
          <w:tcPr>
            <w:tcW w:w="320" w:type="dxa"/>
            <w:vAlign w:val="bottom"/>
          </w:tcPr>
          <w:p>
            <w:pPr>
              <w:spacing w:after="0"/>
              <w:rPr>
                <w:sz w:val="17"/>
                <w:szCs w:val="17"/>
                <w:color w:val="auto"/>
              </w:rPr>
            </w:pPr>
          </w:p>
        </w:tc>
        <w:tc>
          <w:tcPr>
            <w:tcW w:w="128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(8,794 )</w:t>
            </w: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(1,708 )</w:t>
            </w:r>
          </w:p>
        </w:tc>
      </w:tr>
      <w:tr>
        <w:trPr>
          <w:trHeight w:val="20"/>
        </w:trPr>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6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income tax (benefit) provision</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(1,040 )</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4,214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1,988</w:t>
            </w:r>
          </w:p>
        </w:tc>
        <w:tc>
          <w:tcPr>
            <w:tcW w:w="100" w:type="dxa"/>
            <w:vAlign w:val="bottom"/>
            <w:shd w:val="clear" w:color="auto" w:fill="CFF0FC"/>
          </w:tcPr>
          <w:p>
            <w:pPr>
              <w:spacing w:after="0"/>
              <w:rPr>
                <w:sz w:val="18"/>
                <w:szCs w:val="18"/>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-1087755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-1087755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-299720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-299720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680" w:firstLine="509"/>
        <w:spacing w:after="0" w:line="271" w:lineRule="auto"/>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 (dollars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96"/>
        </w:trPr>
        <w:tc>
          <w:tcPr>
            <w:tcW w:w="4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391</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21.0 %</w:t>
            </w:r>
          </w:p>
        </w:tc>
        <w:tc>
          <w:tcPr>
            <w:tcW w:w="2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(914 )</w:t>
            </w: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21.0 %</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(7,845 )</w:t>
            </w: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21.0 %</w:t>
            </w:r>
          </w:p>
        </w:tc>
      </w:tr>
      <w:tr>
        <w:trPr>
          <w:trHeight w:val="203"/>
        </w:trPr>
        <w:tc>
          <w:tcPr>
            <w:tcW w:w="4580" w:type="dxa"/>
            <w:vAlign w:val="bottom"/>
          </w:tcPr>
          <w:p>
            <w:pPr>
              <w:ind w:left="28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(541 )</w:t>
            </w:r>
          </w:p>
        </w:tc>
        <w:tc>
          <w:tcPr>
            <w:tcW w:w="28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(29.1 )</w:t>
            </w:r>
          </w:p>
        </w:tc>
        <w:tc>
          <w:tcPr>
            <w:tcW w:w="24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(721 )</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(2,228 )</w:t>
            </w:r>
          </w:p>
        </w:tc>
        <w:tc>
          <w:tcPr>
            <w:tcW w:w="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80" w:type="dxa"/>
            <w:vAlign w:val="bottom"/>
          </w:tcPr>
          <w:p>
            <w:pPr>
              <w:spacing w:after="0"/>
              <w:rPr>
                <w:sz w:val="17"/>
                <w:szCs w:val="17"/>
                <w:color w:val="auto"/>
              </w:rPr>
            </w:pPr>
          </w:p>
        </w:tc>
      </w:tr>
      <w:tr>
        <w:trPr>
          <w:trHeight w:val="203"/>
        </w:trPr>
        <w:tc>
          <w:tcPr>
            <w:tcW w:w="4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Non-deductible expenses</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(4.2 )</w:t>
            </w:r>
          </w:p>
        </w:tc>
        <w:tc>
          <w:tcPr>
            <w:tcW w:w="2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280"/>
              <w:spacing w:after="0" w:line="202" w:lineRule="exact"/>
              <w:rPr>
                <w:sz w:val="20"/>
                <w:szCs w:val="20"/>
                <w:color w:val="auto"/>
              </w:rPr>
            </w:pPr>
            <w:r>
              <w:rPr>
                <w:rFonts w:ascii="Arial" w:cs="Arial" w:eastAsia="Arial" w:hAnsi="Arial"/>
                <w:sz w:val="18"/>
                <w:szCs w:val="18"/>
                <w:color w:val="auto"/>
              </w:rPr>
              <w:t>Imputed interest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(2.6 )</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(1.2 )</w:t>
            </w:r>
          </w:p>
        </w:tc>
      </w:tr>
      <w:tr>
        <w:trPr>
          <w:trHeight w:val="203"/>
        </w:trPr>
        <w:tc>
          <w:tcPr>
            <w:tcW w:w="4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Fair value of contingent consideration</w:t>
            </w:r>
          </w:p>
        </w:tc>
        <w:tc>
          <w:tcPr>
            <w:tcW w:w="2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(206 )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(11.1 )</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(1.8 )</w:t>
            </w:r>
          </w:p>
        </w:tc>
        <w:tc>
          <w:tcPr>
            <w:tcW w:w="2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(579 )</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7"/>
                <w:szCs w:val="17"/>
                <w:color w:val="auto"/>
              </w:rPr>
            </w:pPr>
          </w:p>
        </w:tc>
      </w:tr>
      <w:tr>
        <w:trPr>
          <w:trHeight w:val="203"/>
        </w:trPr>
        <w:tc>
          <w:tcPr>
            <w:tcW w:w="4580" w:type="dxa"/>
            <w:vAlign w:val="bottom"/>
          </w:tcPr>
          <w:p>
            <w:pPr>
              <w:ind w:left="280"/>
              <w:spacing w:after="0" w:line="202" w:lineRule="exact"/>
              <w:rPr>
                <w:sz w:val="20"/>
                <w:szCs w:val="20"/>
                <w:color w:val="auto"/>
              </w:rPr>
            </w:pPr>
            <w:r>
              <w:rPr>
                <w:rFonts w:ascii="Arial" w:cs="Arial" w:eastAsia="Arial" w:hAnsi="Arial"/>
                <w:sz w:val="18"/>
                <w:szCs w:val="18"/>
                <w:color w:val="auto"/>
              </w:rPr>
              <w:t>Global intangible low-taxed income inclusion</w:t>
            </w:r>
          </w:p>
        </w:tc>
        <w:tc>
          <w:tcPr>
            <w:tcW w:w="2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(1,703 )</w:t>
            </w:r>
          </w:p>
        </w:tc>
        <w:tc>
          <w:tcPr>
            <w:tcW w:w="28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(91.6 )</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(71.9 )</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(1.0 )</w:t>
            </w:r>
          </w:p>
        </w:tc>
      </w:tr>
      <w:tr>
        <w:trPr>
          <w:trHeight w:val="203"/>
        </w:trPr>
        <w:tc>
          <w:tcPr>
            <w:tcW w:w="4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Equity-based compensation</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(4,668 )</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107.3</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(3,538 )</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7"/>
                <w:szCs w:val="17"/>
                <w:color w:val="auto"/>
              </w:rPr>
            </w:pPr>
          </w:p>
        </w:tc>
      </w:tr>
      <w:tr>
        <w:trPr>
          <w:trHeight w:val="203"/>
        </w:trPr>
        <w:tc>
          <w:tcPr>
            <w:tcW w:w="458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(7,714 )</w:t>
            </w:r>
          </w:p>
        </w:tc>
        <w:tc>
          <w:tcPr>
            <w:tcW w:w="28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(414.7 )</w:t>
            </w:r>
          </w:p>
        </w:tc>
        <w:tc>
          <w:tcPr>
            <w:tcW w:w="240" w:type="dxa"/>
            <w:vAlign w:val="bottom"/>
          </w:tcPr>
          <w:p>
            <w:pPr>
              <w:spacing w:after="0"/>
              <w:rPr>
                <w:sz w:val="17"/>
                <w:szCs w:val="17"/>
                <w:color w:val="auto"/>
              </w:rPr>
            </w:pPr>
          </w:p>
        </w:tc>
        <w:tc>
          <w:tcPr>
            <w:tcW w:w="10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Excess executive compensation</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172.0</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1,865</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(42.9 )</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(3.4 )</w:t>
            </w:r>
          </w:p>
        </w:tc>
      </w:tr>
      <w:tr>
        <w:trPr>
          <w:trHeight w:val="203"/>
        </w:trPr>
        <w:tc>
          <w:tcPr>
            <w:tcW w:w="4580" w:type="dxa"/>
            <w:vAlign w:val="bottom"/>
          </w:tcPr>
          <w:p>
            <w:pPr>
              <w:ind w:left="280"/>
              <w:spacing w:after="0" w:line="202" w:lineRule="exact"/>
              <w:rPr>
                <w:sz w:val="20"/>
                <w:szCs w:val="20"/>
                <w:color w:val="auto"/>
              </w:rPr>
            </w:pPr>
            <w:r>
              <w:rPr>
                <w:rFonts w:ascii="Arial" w:cs="Arial" w:eastAsia="Arial" w:hAnsi="Arial"/>
                <w:sz w:val="18"/>
                <w:szCs w:val="18"/>
                <w:color w:val="auto"/>
              </w:rPr>
              <w:t>Change in uncertain tax position</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(30 )</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(68 )</w:t>
            </w:r>
          </w:p>
        </w:tc>
        <w:tc>
          <w:tcPr>
            <w:tcW w:w="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180" w:type="dxa"/>
            <w:vAlign w:val="bottom"/>
          </w:tcPr>
          <w:p>
            <w:pPr>
              <w:spacing w:after="0"/>
              <w:rPr>
                <w:sz w:val="17"/>
                <w:szCs w:val="17"/>
                <w:color w:val="auto"/>
              </w:rPr>
            </w:pPr>
          </w:p>
        </w:tc>
      </w:tr>
      <w:tr>
        <w:trPr>
          <w:trHeight w:val="203"/>
        </w:trPr>
        <w:tc>
          <w:tcPr>
            <w:tcW w:w="4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165.9</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(62.8 )</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13,797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(36.9 )</w:t>
            </w:r>
          </w:p>
        </w:tc>
      </w:tr>
      <w:tr>
        <w:trPr>
          <w:trHeight w:val="203"/>
        </w:trPr>
        <w:tc>
          <w:tcPr>
            <w:tcW w:w="4580" w:type="dxa"/>
            <w:vAlign w:val="bottom"/>
          </w:tcPr>
          <w:p>
            <w:pPr>
              <w:ind w:left="280"/>
              <w:spacing w:after="0" w:line="202" w:lineRule="exact"/>
              <w:rPr>
                <w:sz w:val="20"/>
                <w:szCs w:val="20"/>
                <w:color w:val="auto"/>
              </w:rPr>
            </w:pPr>
            <w:r>
              <w:rPr>
                <w:rFonts w:ascii="Arial" w:cs="Arial" w:eastAsia="Arial" w:hAnsi="Arial"/>
                <w:sz w:val="18"/>
                <w:szCs w:val="18"/>
                <w:color w:val="auto"/>
              </w:rPr>
              <w:t>Foreign rate differential</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(23.3 )</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(1.3 )</w:t>
            </w:r>
          </w:p>
        </w:tc>
      </w:tr>
      <w:tr>
        <w:trPr>
          <w:trHeight w:val="203"/>
        </w:trPr>
        <w:tc>
          <w:tcPr>
            <w:tcW w:w="4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statutory rate changes</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1,296</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(29.8 )</w:t>
            </w:r>
          </w:p>
        </w:tc>
        <w:tc>
          <w:tcPr>
            <w:tcW w:w="2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(367 )</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7"/>
                <w:szCs w:val="17"/>
                <w:color w:val="auto"/>
              </w:rPr>
            </w:pPr>
          </w:p>
        </w:tc>
      </w:tr>
      <w:tr>
        <w:trPr>
          <w:trHeight w:val="203"/>
        </w:trPr>
        <w:tc>
          <w:tcPr>
            <w:tcW w:w="4580" w:type="dxa"/>
            <w:vAlign w:val="bottom"/>
          </w:tcPr>
          <w:p>
            <w:pPr>
              <w:ind w:left="280"/>
              <w:spacing w:after="0" w:line="202" w:lineRule="exact"/>
              <w:rPr>
                <w:sz w:val="20"/>
                <w:szCs w:val="20"/>
                <w:color w:val="auto"/>
              </w:rPr>
            </w:pPr>
            <w:r>
              <w:rPr>
                <w:rFonts w:ascii="Arial" w:cs="Arial" w:eastAsia="Arial" w:hAnsi="Arial"/>
                <w:sz w:val="18"/>
                <w:szCs w:val="18"/>
                <w:color w:val="auto"/>
              </w:rPr>
              <w:t>Foreign withholding taxes</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(3.1 )</w:t>
            </w:r>
          </w:p>
        </w:tc>
        <w:tc>
          <w:tcPr>
            <w:tcW w:w="220" w:type="dxa"/>
            <w:vAlign w:val="bottom"/>
          </w:tcPr>
          <w:p>
            <w:pPr>
              <w:spacing w:after="0"/>
              <w:rPr>
                <w:sz w:val="17"/>
                <w:szCs w:val="17"/>
                <w:color w:val="auto"/>
              </w:rPr>
            </w:pPr>
          </w:p>
        </w:tc>
        <w:tc>
          <w:tcPr>
            <w:tcW w:w="10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Return to provision and other adjustments</w:t>
            </w:r>
          </w:p>
        </w:tc>
        <w:tc>
          <w:tcPr>
            <w:tcW w:w="2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(1,717 )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(92.2 )</w:t>
            </w:r>
          </w:p>
        </w:tc>
        <w:tc>
          <w:tcPr>
            <w:tcW w:w="2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(2 )</w:t>
            </w: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(0.8 )</w:t>
            </w:r>
          </w:p>
        </w:tc>
      </w:tr>
      <w:tr>
        <w:trPr>
          <w:trHeight w:val="20"/>
        </w:trPr>
        <w:tc>
          <w:tcPr>
            <w:tcW w:w="4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4580" w:type="dxa"/>
            <w:vAlign w:val="bottom"/>
          </w:tcPr>
          <w:p>
            <w:pPr>
              <w:ind w:left="520"/>
              <w:spacing w:after="0" w:line="196" w:lineRule="exact"/>
              <w:rPr>
                <w:sz w:val="20"/>
                <w:szCs w:val="20"/>
                <w:color w:val="auto"/>
              </w:rPr>
            </w:pPr>
            <w:r>
              <w:rPr>
                <w:rFonts w:ascii="Arial" w:cs="Arial" w:eastAsia="Arial" w:hAnsi="Arial"/>
                <w:sz w:val="18"/>
                <w:szCs w:val="18"/>
                <w:color w:val="auto"/>
              </w:rPr>
              <w:t>Effective income tax rate</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(1,040 )</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(55.9 )%</w:t>
            </w:r>
          </w:p>
        </w:tc>
        <w:tc>
          <w:tcPr>
            <w:tcW w:w="240" w:type="dxa"/>
            <w:vAlign w:val="bottom"/>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4,214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(96.8 )%</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1,988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-161925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-161925</wp:posOffset>
            </wp:positionV>
            <wp:extent cx="1625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-161925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-161925</wp:posOffset>
            </wp:positionV>
            <wp:extent cx="1625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-161925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-161925</wp:posOffset>
            </wp:positionV>
            <wp:extent cx="12001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years ended December 31, 2024, 2023 and 2022, the Company recorded an income tax (benefit) provision of $(1.0) million, $4.2 million and $2.0 million, respectively, which is primarily attributable to foreign activity and U.S. state taxes.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deferred tax assets and liabilities consisted of the following components (in thousands):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57"/>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18,901</w:t>
            </w:r>
          </w:p>
        </w:tc>
        <w:tc>
          <w:tcPr>
            <w:tcW w:w="300" w:type="dxa"/>
            <w:vAlign w:val="bottom"/>
          </w:tcPr>
          <w:p>
            <w:pPr>
              <w:spacing w:after="0"/>
              <w:rPr>
                <w:sz w:val="17"/>
                <w:szCs w:val="17"/>
                <w:color w:val="auto"/>
              </w:rPr>
            </w:pPr>
          </w:p>
        </w:tc>
        <w:tc>
          <w:tcPr>
            <w:tcW w:w="940" w:type="dxa"/>
            <w:vAlign w:val="bottom"/>
          </w:tcPr>
          <w:p>
            <w:pPr>
              <w:jc w:val="right"/>
              <w:ind w:right="755"/>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26,690</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Property and equipment</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484</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Credit carryforwards</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6,673</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1,805</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1,814</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Equity-based compensation</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6,461</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5,113</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Lease liability</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711</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Capitalized research and development costs</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25,666</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20,776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foreign exchange loss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3,160</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Other temporary differences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w:t>
            </w:r>
          </w:p>
        </w:tc>
        <w:tc>
          <w:tcPr>
            <w:tcW w:w="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deferred tax assets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64,233</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55,861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Deferred tax asset valuation allowance</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4"/>
              </w:rPr>
              <w:t>(44,191 )</w:t>
            </w:r>
          </w:p>
        </w:tc>
        <w:tc>
          <w:tcPr>
            <w:tcW w:w="94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4"/>
              </w:rPr>
              <w:t>(40,444 )</w:t>
            </w:r>
          </w:p>
        </w:tc>
      </w:tr>
      <w:tr>
        <w:trPr>
          <w:trHeight w:val="196"/>
        </w:trPr>
        <w:tc>
          <w:tcPr>
            <w:tcW w:w="76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ind w:right="757"/>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20,042</w:t>
            </w:r>
          </w:p>
        </w:tc>
        <w:tc>
          <w:tcPr>
            <w:tcW w:w="3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755"/>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Intangible assets</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4"/>
              </w:rPr>
              <w:t>(25,008 )</w:t>
            </w:r>
          </w:p>
        </w:tc>
        <w:tc>
          <w:tcPr>
            <w:tcW w:w="9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w w:val="94"/>
              </w:rPr>
              <w:t>(15,234 )</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(1,318 )</w:t>
            </w:r>
          </w:p>
        </w:tc>
        <w:tc>
          <w:tcPr>
            <w:tcW w:w="94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(7,843 )</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Right-of-use asset</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(669 )</w:t>
            </w:r>
          </w:p>
        </w:tc>
        <w:tc>
          <w:tcPr>
            <w:tcW w:w="9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(743 )</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(2,387 )</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contract costs</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(2,105 )</w:t>
            </w:r>
          </w:p>
        </w:tc>
        <w:tc>
          <w:tcPr>
            <w:tcW w:w="9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(2,668 )</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Other temporary differences</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(19 )</w:t>
            </w:r>
          </w:p>
        </w:tc>
        <w:tc>
          <w:tcPr>
            <w:tcW w:w="94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(38 )</w:t>
            </w:r>
          </w:p>
        </w:tc>
      </w:tr>
      <w:tr>
        <w:trPr>
          <w:trHeight w:val="20"/>
        </w:trPr>
        <w:tc>
          <w:tcPr>
            <w:tcW w:w="7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deferred tax liabilities</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w w:val="94"/>
              </w:rPr>
              <w:t>(29,119 )</w:t>
            </w:r>
          </w:p>
        </w:tc>
        <w:tc>
          <w:tcPr>
            <w:tcW w:w="9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w w:val="94"/>
              </w:rPr>
              <w:t>(28,913 )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Net deferred tax liabilities</w:t>
            </w:r>
          </w:p>
        </w:tc>
        <w:tc>
          <w:tcPr>
            <w:tcW w:w="960" w:type="dxa"/>
            <w:vAlign w:val="bottom"/>
          </w:tcPr>
          <w:p>
            <w:pPr>
              <w:jc w:val="right"/>
              <w:ind w:right="757"/>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(9,077 )</w:t>
            </w:r>
          </w:p>
        </w:tc>
        <w:tc>
          <w:tcPr>
            <w:tcW w:w="940" w:type="dxa"/>
            <w:vAlign w:val="bottom"/>
          </w:tcPr>
          <w:p>
            <w:pPr>
              <w:jc w:val="right"/>
              <w:ind w:right="75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4"/>
              </w:rPr>
              <w:t>(13,496 )</w:t>
            </w:r>
          </w:p>
        </w:tc>
      </w:tr>
      <w:tr>
        <w:trPr>
          <w:trHeight w:val="20"/>
        </w:trPr>
        <w:tc>
          <w:tcPr>
            <w:tcW w:w="7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-1207770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-162560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 of December 31, 2024, the Company had gross federal and state NOL carryforwards of $57.9 million and $88.3 million, respectively, out of which $1.1 million of federal NOL carryforwards and $87.0 million of state NOL carryforwards begin to expire in 2032 and 2029, respectively. Additionally, $56.8 million of federal NOL carryforwards and $1.2 million of state NOL carryforwards have indefinite lives. As of December 31, 2024, the Company has gross foreign NOL carryforwards of $4.9 million which have indefinite lives. The federal, state and foreign NOL carryforwards may be available to reduce future federal, state and foreign taxable income, respectively.</w:t>
      </w:r>
    </w:p>
    <w:p>
      <w:pPr>
        <w:spacing w:after="0" w:line="14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Ownership changes, as defined under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limit the Company’s ability to utilize federal and state NOL carryforwards for tax purposes. During 2022, the Company completed a Section 382 study and as a result of the ownership changes identified, $1.6 million of Flywire’s NOLs and $0.2 million of Simplee’s NOLs will expire unutilized, assuming sufficient taxable income is generated in the future. The Company completed its refresh of the Section 382 study through the 2023 tax year, and there are no additional limitations in using Federal and State NOL carryforwards. The Company expects to refresh the study in 2025.</w:t>
      </w:r>
    </w:p>
    <w:p>
      <w:pPr>
        <w:spacing w:after="0" w:line="140"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The Company has evaluated the positive and negative evidence bearing 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2024 and 2023.</w:t>
      </w:r>
    </w:p>
    <w:p>
      <w:pPr>
        <w:spacing w:after="0" w:line="13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During the year ended December 31, 2024, the Company recorded a net increase in the valuation allowance of $3.7 million, which is primarily due to an increase of $4.8 million related to capitalized research and development costs and $7.0 research and development tax credit carryforwards identified during a comprehensive research and development study conducted during 2024, offset by a valuation allowance release of $1.0 million in a foreign jurisdiction and $4.9 million release of valuation allowance against deferred tax liabilities acquired in the Invoiced acquisition. During the year ended December 31, 2023, the Company recorded a net increase in the valuation allowance of $2.8 million, which is primarily due to an increase of $12.1 million related to capitalized research and development costs, offset by NOL utilization in the U.S. and the U.K. During the year ended December 31, 2022, the Company recorded a net increase in the valuation allowance of $13.8 million, which is primarily due to an increase of $12.7 million related to capitalized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147" w:name="page148"/>
    <w:bookmarkEnd w:id="147"/>
    <w:p>
      <w:pPr>
        <w:ind w:right="40"/>
        <w:spacing w:after="0" w:line="253" w:lineRule="auto"/>
        <w:rPr>
          <w:sz w:val="20"/>
          <w:szCs w:val="20"/>
          <w:color w:val="auto"/>
        </w:rPr>
      </w:pPr>
      <w:r>
        <w:rPr>
          <w:rFonts w:ascii="Arial" w:cs="Arial" w:eastAsia="Arial" w:hAnsi="Arial"/>
          <w:sz w:val="18"/>
          <w:szCs w:val="18"/>
          <w:color w:val="auto"/>
        </w:rPr>
        <w:t>research and development costs in the U.S. The Company also recorded a valuation allowance of $1.3 million related to a foreign subsidiary, offset by a decrease of $0.2 million due to the release of valuation allowance in foreign entities. Changes in the valuation allowance are summarized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allowance at beginning of year</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(40,444 )</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(37,627 )</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(23,864 )</w:t>
            </w:r>
          </w:p>
        </w:tc>
        <w:tc>
          <w:tcPr>
            <w:tcW w:w="0" w:type="dxa"/>
            <w:vAlign w:val="bottom"/>
          </w:tcPr>
          <w:p>
            <w:pPr>
              <w:spacing w:after="0"/>
              <w:rPr>
                <w:sz w:val="1"/>
                <w:szCs w:val="1"/>
                <w:color w:val="auto"/>
              </w:rPr>
            </w:pPr>
          </w:p>
        </w:tc>
      </w:tr>
      <w:tr>
        <w:trPr>
          <w:trHeight w:val="184"/>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Change recorded to income tax provision as part of</w:t>
            </w:r>
          </w:p>
        </w:tc>
        <w:tc>
          <w:tcPr>
            <w:tcW w:w="320" w:type="dxa"/>
            <w:vAlign w:val="bottom"/>
          </w:tcPr>
          <w:p>
            <w:pPr>
              <w:spacing w:after="0"/>
              <w:rPr>
                <w:sz w:val="15"/>
                <w:szCs w:val="15"/>
                <w:color w:val="auto"/>
              </w:rPr>
            </w:pPr>
          </w:p>
        </w:tc>
        <w:tc>
          <w:tcPr>
            <w:tcW w:w="128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(3,747 )</w:t>
            </w:r>
          </w:p>
        </w:tc>
        <w:tc>
          <w:tcPr>
            <w:tcW w:w="3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(2,817 )</w:t>
            </w:r>
          </w:p>
        </w:tc>
        <w:tc>
          <w:tcPr>
            <w:tcW w:w="300" w:type="dxa"/>
            <w:vAlign w:val="bottom"/>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(13,763 )</w:t>
            </w:r>
          </w:p>
        </w:tc>
        <w:tc>
          <w:tcPr>
            <w:tcW w:w="0" w:type="dxa"/>
            <w:vAlign w:val="bottom"/>
          </w:tcPr>
          <w:p>
            <w:pPr>
              <w:spacing w:after="0"/>
              <w:rPr>
                <w:sz w:val="1"/>
                <w:szCs w:val="1"/>
                <w:color w:val="auto"/>
              </w:rPr>
            </w:pPr>
          </w:p>
        </w:tc>
      </w:tr>
      <w:tr>
        <w:trPr>
          <w:trHeight w:val="208"/>
        </w:trPr>
        <w:tc>
          <w:tcPr>
            <w:tcW w:w="66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allowance at end of year</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(44,191 )</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(40,444 )</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(37,627 )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The Company permanently reinvests the earnings of its foreign subsidiaries. No additional income taxes have been provided on the indefinitely invested foreign earnings at December 31, 2024. The Company has approximately $51.2 million of unremitted earnings at December 31, 2024, which the Company believes to approximate the outside basis difference in its foreign subsidiaries. If these earnings were distributed, the Company could be subject to income taxes and foreign withholding taxes. As of December 31 2024, the amount of the unrecognized deferred taxes on these earnings are not material.</w:t>
      </w:r>
    </w:p>
    <w:p>
      <w:pPr>
        <w:spacing w:after="0" w:line="136"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As of December 31, 2024, 2023 and 2022, the Company accrued $1.3 million, $0.8 million and $0.8 million related to uncertain tax positions, inclusive of interest and penalties, respectively, which includes potential tax benefits of $1.0 million, $0.5 million and $0.6 million, respectively, that, when recognized, would impact the effective tax rate. As of December 31, 2024, $0.8 million of the reserve is reflected as a reduction to deferred taxes and the remaining balance is recorded as a component of other liabilities in the consolidated balance sheet.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beginning of year</w:t>
            </w:r>
          </w:p>
        </w:tc>
        <w:tc>
          <w:tcPr>
            <w:tcW w:w="860" w:type="dxa"/>
            <w:vAlign w:val="bottom"/>
            <w:shd w:val="clear" w:color="auto" w:fill="CFF0FC"/>
          </w:tcPr>
          <w:p>
            <w:pPr>
              <w:jc w:val="right"/>
              <w:ind w:right="656"/>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620</w:t>
            </w:r>
          </w:p>
        </w:tc>
        <w:tc>
          <w:tcPr>
            <w:tcW w:w="5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Settlements with taxing authorities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Increases (decreases) related to tax positions taken during</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prior years</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Decreases related to lapses in statute of limitations</w:t>
            </w:r>
          </w:p>
        </w:tc>
        <w:tc>
          <w:tcPr>
            <w:tcW w:w="860" w:type="dxa"/>
            <w:vAlign w:val="bottom"/>
          </w:tcPr>
          <w:p>
            <w:pPr>
              <w:spacing w:after="0"/>
              <w:rPr>
                <w:sz w:val="17"/>
                <w:szCs w:val="17"/>
                <w:color w:val="auto"/>
              </w:rPr>
            </w:pPr>
          </w:p>
        </w:tc>
        <w:tc>
          <w:tcPr>
            <w:tcW w:w="740" w:type="dxa"/>
            <w:vAlign w:val="bottom"/>
            <w:gridSpan w:val="2"/>
          </w:tcPr>
          <w:p>
            <w:pPr>
              <w:jc w:val="right"/>
              <w:ind w:right="96"/>
              <w:spacing w:after="0" w:line="202" w:lineRule="exact"/>
              <w:rPr>
                <w:sz w:val="20"/>
                <w:szCs w:val="20"/>
                <w:color w:val="auto"/>
              </w:rPr>
            </w:pPr>
            <w:r>
              <w:rPr>
                <w:rFonts w:ascii="Arial" w:cs="Arial" w:eastAsia="Arial" w:hAnsi="Arial"/>
                <w:sz w:val="18"/>
                <w:szCs w:val="18"/>
                <w:color w:val="auto"/>
              </w:rPr>
              <w:t>(133 )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Increases related to tax positions taken</w:t>
            </w:r>
          </w:p>
        </w:tc>
        <w:tc>
          <w:tcPr>
            <w:tcW w:w="860" w:type="dxa"/>
            <w:vAlign w:val="bottom"/>
            <w:shd w:val="clear" w:color="auto" w:fill="CFF0FC"/>
          </w:tcPr>
          <w:p>
            <w:pPr>
              <w:spacing w:after="0"/>
              <w:rPr>
                <w:sz w:val="15"/>
                <w:szCs w:val="15"/>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during the current year</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vMerge w:val="continue"/>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Balance at end of year</w:t>
            </w:r>
          </w:p>
        </w:tc>
        <w:tc>
          <w:tcPr>
            <w:tcW w:w="860" w:type="dxa"/>
            <w:vAlign w:val="bottom"/>
          </w:tcPr>
          <w:p>
            <w:pPr>
              <w:jc w:val="right"/>
              <w:ind w:right="656"/>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1,124</w:t>
            </w:r>
          </w:p>
        </w:tc>
        <w:tc>
          <w:tcPr>
            <w:tcW w:w="5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620</w:t>
            </w:r>
          </w:p>
        </w:tc>
        <w:tc>
          <w:tcPr>
            <w:tcW w:w="2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-162560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700" w:firstLine="509"/>
        <w:spacing w:after="0" w:line="271" w:lineRule="auto"/>
        <w:rPr>
          <w:sz w:val="20"/>
          <w:szCs w:val="20"/>
          <w:color w:val="auto"/>
        </w:rPr>
      </w:pPr>
      <w:r>
        <w:rPr>
          <w:rFonts w:ascii="Arial" w:cs="Arial" w:eastAsia="Arial" w:hAnsi="Arial"/>
          <w:sz w:val="18"/>
          <w:szCs w:val="18"/>
          <w:color w:val="auto"/>
        </w:rPr>
        <w:t>The Company expects a decrease of $0.2 million in uncertain tax positions in the next 12 months due to the lapse of statute of limitations.</w:t>
      </w:r>
    </w:p>
    <w:p>
      <w:pPr>
        <w:spacing w:after="0" w:line="12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Company did not recognize any accrued interest and penalties for the years ended December 31, 2024, 2023 and 2022 related to the reserves for uncertain tax positions in the income tax provision. Included in the total reserve for uncertain tax positions are accrued interest and penalties of $0.2 million, $0.2 million and $0.2 million at December 31, 2024, 2023 and 2022, respectively.</w:t>
      </w:r>
    </w:p>
    <w:p>
      <w:pPr>
        <w:spacing w:after="0" w:line="12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Leases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3"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of these lease agreements include free rent periods and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8" w:name="page149"/>
    <w:bookmarkEnd w:id="148"/>
    <w:p>
      <w:pPr>
        <w:ind w:right="460"/>
        <w:spacing w:after="0" w:line="271" w:lineRule="auto"/>
        <w:rPr>
          <w:sz w:val="20"/>
          <w:szCs w:val="20"/>
          <w:color w:val="auto"/>
        </w:rPr>
      </w:pPr>
      <w:r>
        <w:rPr>
          <w:rFonts w:ascii="Arial" w:cs="Arial" w:eastAsia="Arial" w:hAnsi="Arial"/>
          <w:sz w:val="18"/>
          <w:szCs w:val="18"/>
          <w:color w:val="auto"/>
        </w:rPr>
        <w:t>annual rent increases. Operating lease expense is recognized on a straight-line basis over the term of the lease. There were no finance lease obligations as of December 31, 2024 and 2023.</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ROU assets are included in Other assets and operating lease liabilities are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5684520</wp:posOffset>
            </wp:positionH>
            <wp:positionV relativeFrom="paragraph">
              <wp:posOffset>107950</wp:posOffset>
            </wp:positionV>
            <wp:extent cx="145415" cy="1454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107950</wp:posOffset>
            </wp:positionV>
            <wp:extent cx="145415" cy="1454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r>
      <w:tr>
        <w:trPr>
          <w:trHeight w:val="196"/>
        </w:trPr>
        <w:tc>
          <w:tcPr>
            <w:tcW w:w="7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ROU assets</w:t>
            </w: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3,381</w:t>
            </w:r>
          </w:p>
        </w:tc>
        <w:tc>
          <w:tcPr>
            <w:tcW w:w="760" w:type="dxa"/>
            <w:vAlign w:val="bottom"/>
            <w:gridSpan w:val="3"/>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3,422</w:t>
            </w:r>
          </w:p>
        </w:tc>
        <w:tc>
          <w:tcPr>
            <w:tcW w:w="180" w:type="dxa"/>
            <w:vAlign w:val="bottom"/>
            <w:shd w:val="clear" w:color="auto" w:fill="CFF0FC"/>
          </w:tcPr>
          <w:p>
            <w:pPr>
              <w:spacing w:after="0"/>
              <w:rPr>
                <w:sz w:val="17"/>
                <w:szCs w:val="17"/>
                <w:color w:val="auto"/>
              </w:rPr>
            </w:pPr>
          </w:p>
        </w:tc>
      </w:tr>
      <w:tr>
        <w:trPr>
          <w:trHeight w:val="184"/>
        </w:trPr>
        <w:tc>
          <w:tcPr>
            <w:tcW w:w="7260" w:type="dxa"/>
            <w:vAlign w:val="bottom"/>
          </w:tcPr>
          <w:p>
            <w:pPr>
              <w:ind w:left="20"/>
              <w:spacing w:after="0" w:line="183" w:lineRule="exact"/>
              <w:rPr>
                <w:sz w:val="20"/>
                <w:szCs w:val="20"/>
                <w:color w:val="auto"/>
              </w:rPr>
            </w:pPr>
            <w:r>
              <w:rPr>
                <w:rFonts w:ascii="Arial" w:cs="Arial" w:eastAsia="Arial" w:hAnsi="Arial"/>
                <w:sz w:val="18"/>
                <w:szCs w:val="18"/>
                <w:color w:val="auto"/>
              </w:rPr>
              <w:t>Operating lease liabilities</w:t>
            </w:r>
          </w:p>
        </w:tc>
        <w:tc>
          <w:tcPr>
            <w:tcW w:w="40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8"/>
                <w:szCs w:val="18"/>
                <w:color w:val="auto"/>
              </w:rPr>
              <w:t>3,534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8"/>
                <w:szCs w:val="18"/>
                <w:color w:val="auto"/>
              </w:rPr>
              <w:t>3,551</w:t>
            </w:r>
          </w:p>
        </w:tc>
        <w:tc>
          <w:tcPr>
            <w:tcW w:w="180" w:type="dxa"/>
            <w:vAlign w:val="bottom"/>
          </w:tcPr>
          <w:p>
            <w:pPr>
              <w:spacing w:after="0"/>
              <w:rPr>
                <w:sz w:val="15"/>
                <w:szCs w:val="15"/>
                <w:color w:val="auto"/>
              </w:rPr>
            </w:pPr>
          </w:p>
        </w:tc>
      </w:tr>
      <w:tr>
        <w:trPr>
          <w:trHeight w:val="221"/>
        </w:trPr>
        <w:tc>
          <w:tcPr>
            <w:tcW w:w="7260" w:type="dxa"/>
            <w:vAlign w:val="bottom"/>
          </w:tcPr>
          <w:p>
            <w:pPr>
              <w:ind w:left="20"/>
              <w:spacing w:after="0"/>
              <w:rPr>
                <w:sz w:val="20"/>
                <w:szCs w:val="20"/>
                <w:color w:val="auto"/>
              </w:rPr>
            </w:pPr>
            <w:r>
              <w:rPr>
                <w:rFonts w:ascii="Arial" w:cs="Arial" w:eastAsia="Arial" w:hAnsi="Arial"/>
                <w:sz w:val="18"/>
                <w:szCs w:val="18"/>
                <w:color w:val="auto"/>
              </w:rPr>
              <w:t>Weighted-average remaining lease terms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2.63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74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5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6.9 %</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360"/>
        </w:trPr>
        <w:tc>
          <w:tcPr>
            <w:tcW w:w="7400" w:type="dxa"/>
            <w:vAlign w:val="bottom"/>
          </w:tcPr>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0" w:type="dxa"/>
            <w:vAlign w:val="bottom"/>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5"/>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40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Cash paid for amounts included in the measurement of operating</w:t>
            </w:r>
          </w:p>
        </w:tc>
        <w:tc>
          <w:tcPr>
            <w:tcW w:w="5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lease liabilities</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00" w:type="dxa"/>
            <w:vAlign w:val="bottom"/>
          </w:tcPr>
          <w:p>
            <w:pPr>
              <w:ind w:left="20"/>
              <w:spacing w:after="0"/>
              <w:rPr>
                <w:sz w:val="20"/>
                <w:szCs w:val="20"/>
                <w:color w:val="auto"/>
              </w:rPr>
            </w:pPr>
            <w:r>
              <w:rPr>
                <w:rFonts w:ascii="Arial" w:cs="Arial" w:eastAsia="Arial" w:hAnsi="Arial"/>
                <w:sz w:val="18"/>
                <w:szCs w:val="18"/>
                <w:color w:val="auto"/>
              </w:rPr>
              <w:t>ROU assets obtained in exchange for operating lease liabilities</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940" w:type="dxa"/>
            <w:vAlign w:val="bottom"/>
            <w:gridSpan w:val="2"/>
          </w:tcPr>
          <w:p>
            <w:pPr>
              <w:ind w:left="520"/>
              <w:spacing w:after="0"/>
              <w:rPr>
                <w:sz w:val="20"/>
                <w:szCs w:val="20"/>
                <w:color w:val="auto"/>
              </w:rPr>
            </w:pPr>
            <w:r>
              <w:rPr>
                <w:rFonts w:ascii="Arial" w:cs="Arial" w:eastAsia="Arial" w:hAnsi="Arial"/>
                <w:sz w:val="18"/>
                <w:szCs w:val="18"/>
                <w:color w:val="auto"/>
              </w:rPr>
              <w:t>Future minimum lease payments as of December 31, 2024, were as follows (in thousands):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40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2028</w:t>
            </w: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2029</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0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color w:val="auto"/>
              </w:rPr>
              <w:t>Total undiscounted lease payments</w:t>
            </w:r>
          </w:p>
        </w:tc>
        <w:tc>
          <w:tcPr>
            <w:tcW w:w="540" w:type="dxa"/>
            <w:vAlign w:val="bottom"/>
            <w:tcBorders>
              <w:top w:val="single" w:sz="8" w:color="CFF0FC"/>
            </w:tcBorders>
          </w:tcPr>
          <w:p>
            <w:pPr>
              <w:spacing w:after="0"/>
              <w:rPr>
                <w:sz w:val="17"/>
                <w:szCs w:val="17"/>
                <w:color w:val="auto"/>
              </w:rPr>
            </w:pPr>
          </w:p>
        </w:tc>
        <w:tc>
          <w:tcPr>
            <w:tcW w:w="1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Less - present value discount</w:t>
            </w:r>
          </w:p>
        </w:tc>
        <w:tc>
          <w:tcPr>
            <w:tcW w:w="5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Pr>
          <w:p>
            <w:pPr>
              <w:ind w:left="140"/>
              <w:spacing w:after="0" w:line="196" w:lineRule="exact"/>
              <w:rPr>
                <w:sz w:val="20"/>
                <w:szCs w:val="20"/>
                <w:color w:val="auto"/>
              </w:rPr>
            </w:pPr>
            <w:r>
              <w:rPr>
                <w:rFonts w:ascii="Arial" w:cs="Arial" w:eastAsia="Arial" w:hAnsi="Arial"/>
                <w:sz w:val="18"/>
                <w:szCs w:val="18"/>
                <w:color w:val="auto"/>
              </w:rPr>
              <w:t>Lease liability, at present value</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520"/>
              <w:spacing w:after="0"/>
              <w:rPr>
                <w:sz w:val="20"/>
                <w:szCs w:val="20"/>
                <w:color w:val="auto"/>
              </w:rPr>
            </w:pPr>
            <w:r>
              <w:rPr>
                <w:rFonts w:ascii="Arial" w:cs="Arial" w:eastAsia="Arial" w:hAnsi="Arial"/>
                <w:sz w:val="18"/>
                <w:szCs w:val="18"/>
                <w:color w:val="auto"/>
              </w:rPr>
              <w:t>Future minimum lease payments as of December 31, 2023 were as follows (in thousands):</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94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40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0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color w:val="auto"/>
              </w:rPr>
              <w:t>Total undiscounted lease payments</w:t>
            </w:r>
          </w:p>
        </w:tc>
        <w:tc>
          <w:tcPr>
            <w:tcW w:w="540" w:type="dxa"/>
            <w:vAlign w:val="bottom"/>
            <w:tcBorders>
              <w:top w:val="single" w:sz="8" w:color="CFF0FC"/>
            </w:tcBorders>
          </w:tcPr>
          <w:p>
            <w:pPr>
              <w:spacing w:after="0"/>
              <w:rPr>
                <w:sz w:val="17"/>
                <w:szCs w:val="17"/>
                <w:color w:val="auto"/>
              </w:rPr>
            </w:pPr>
          </w:p>
        </w:tc>
        <w:tc>
          <w:tcPr>
            <w:tcW w:w="1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Less - present value discount</w:t>
            </w:r>
          </w:p>
        </w:tc>
        <w:tc>
          <w:tcPr>
            <w:tcW w:w="5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Pr>
          <w:p>
            <w:pPr>
              <w:ind w:left="140"/>
              <w:spacing w:after="0" w:line="196" w:lineRule="exact"/>
              <w:rPr>
                <w:sz w:val="20"/>
                <w:szCs w:val="20"/>
                <w:color w:val="auto"/>
              </w:rPr>
            </w:pPr>
            <w:r>
              <w:rPr>
                <w:rFonts w:ascii="Arial" w:cs="Arial" w:eastAsia="Arial" w:hAnsi="Arial"/>
                <w:sz w:val="18"/>
                <w:szCs w:val="18"/>
                <w:color w:val="auto"/>
              </w:rPr>
              <w:t>Lease liability, at present value</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-3852545</wp:posOffset>
            </wp:positionV>
            <wp:extent cx="93980" cy="1454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-3852545</wp:posOffset>
            </wp:positionV>
            <wp:extent cx="93980" cy="1454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components of operating lease expense during the year ended December 31, 2024, 2023 and 2022 are shown on the table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6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1,973</w:t>
            </w:r>
          </w:p>
        </w:tc>
        <w:tc>
          <w:tcPr>
            <w:tcW w:w="5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1,691</w:t>
            </w:r>
          </w:p>
        </w:tc>
        <w:tc>
          <w:tcPr>
            <w:tcW w:w="5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1,615</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expense</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100" w:type="dxa"/>
            <w:vAlign w:val="bottom"/>
          </w:tcPr>
          <w:p>
            <w:pPr>
              <w:spacing w:after="0"/>
              <w:rPr>
                <w:sz w:val="17"/>
                <w:szCs w:val="17"/>
                <w:color w:val="auto"/>
              </w:rPr>
            </w:pPr>
          </w:p>
        </w:tc>
      </w:tr>
      <w:tr>
        <w:trPr>
          <w:trHeight w:val="203"/>
        </w:trPr>
        <w:tc>
          <w:tcPr>
            <w:tcW w:w="63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lease expense</w:t>
            </w: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60" w:type="dxa"/>
            <w:vAlign w:val="bottom"/>
          </w:tcPr>
          <w:p>
            <w:pPr>
              <w:ind w:left="140"/>
              <w:spacing w:after="0" w:line="182" w:lineRule="exact"/>
              <w:rPr>
                <w:sz w:val="20"/>
                <w:szCs w:val="20"/>
                <w:color w:val="auto"/>
              </w:rPr>
            </w:pPr>
            <w:r>
              <w:rPr>
                <w:rFonts w:ascii="Arial" w:cs="Arial" w:eastAsia="Arial" w:hAnsi="Arial"/>
                <w:sz w:val="18"/>
                <w:szCs w:val="18"/>
                <w:color w:val="auto"/>
              </w:rPr>
              <w:t>Total operating lease expense</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2,370</w:t>
            </w:r>
          </w:p>
        </w:tc>
        <w:tc>
          <w:tcPr>
            <w:tcW w:w="5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2,087</w:t>
            </w:r>
          </w:p>
        </w:tc>
        <w:tc>
          <w:tcPr>
            <w:tcW w:w="5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2,306</w:t>
            </w:r>
          </w:p>
        </w:tc>
        <w:tc>
          <w:tcPr>
            <w:tcW w:w="10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-162560</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-162560</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38"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As of December 31, 2024,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2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course of enhancing its sanctions compliance function, the Company initiated an internal review that identified issues related to the Company’s compliance with sanctions promulgated by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as of December 31, 2024 and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Employee Benefit Plan</w:t>
      </w:r>
    </w:p>
    <w:p>
      <w:pPr>
        <w:spacing w:after="0" w:line="18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Company has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$1.5 million, $1.4 million and $1.2 million to the plan during the years ended December 31, 2024, 2023 and 2022,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Sertifi Acquisition</w:t>
      </w:r>
    </w:p>
    <w:p>
      <w:pPr>
        <w:spacing w:after="0" w:line="183"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On February 24, 2025 (the Closing), Flywire Corporation (Flywire or the Company) entered into a Purchase and Sale Agreement (the Agreement) to acquire the business of Sertifi LLC (Sertifi), pursuant to which Flywire acquired Sertifi for upfront cash consideration of $330 million, subject to certain post-closing adjustments set forth in the Agreement, and contingent consideration of up to $10 million upon the completion or satisfaction of certain technical and commercial milestones by Sertifi. Sertifi is a vertical software and payments platform digitizing hospitality-specific workflows and associated payments. Pursuant to the Agreement, Flywire also agreed to issue a number of restricted stock units with an aggregate value equal to $10 million to certain of the continuing employees of Sertifi on the terms and conditions set forth in the Agreement. The Company paid the upfront cash consideration through a combination of cash on hand and $125 million borrowed from its existing 2024 Revolving Credit Facility. The Agreement contains various representations, warranties, covenants, and indemnification obligations of the parties that are customary in transactions of this type. In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50" w:name="page151"/>
    <w:bookmarkEnd w:id="150"/>
    <w:p>
      <w:pPr>
        <w:ind w:right="220"/>
        <w:spacing w:after="0" w:line="271" w:lineRule="auto"/>
        <w:rPr>
          <w:sz w:val="20"/>
          <w:szCs w:val="20"/>
          <w:color w:val="auto"/>
        </w:rPr>
      </w:pPr>
      <w:r>
        <w:rPr>
          <w:rFonts w:ascii="Arial" w:cs="Arial" w:eastAsia="Arial" w:hAnsi="Arial"/>
          <w:sz w:val="18"/>
          <w:szCs w:val="18"/>
          <w:color w:val="auto"/>
        </w:rPr>
        <w:t>connection with the Closing, Flywire bound a representations and warranties insurance policy insuring breaches of Seller’s representations and warranties in the Agreement and certain indemnifiable tax matters under the policy.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169"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On February 23, 2025, the board of directors of the Company approved a restructuring plan that is designed to improve operational efficiencies, reduce operating costs and better align the Company’s workforce with current business needs, top strategic priorities and key growth opportunities (collectively, the Restructuring Plan). The Restructuring Plan includes reduction of the Company’s workforce by approximately 10%.</w:t>
      </w:r>
    </w:p>
    <w:p>
      <w:pPr>
        <w:spacing w:after="0" w:line="13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 estimates that it will incur approximately $7.0 million to $9.0 million in charges in connection with the Restructuring Plan, consisting of cash expenditures for employee transition, notice period and severance payments and employee benefits and related facilitation costs, as well as non-cash expenditures related to acceleration of vesting of share-based awards. Of this amount, approximately $5.0 million to $6.0 million is expected to result in future cash outlays. The Company expects that the majority of the restructuring charges will be incurred in the first and second quarter of 2025 and that the execution of the Restructuring Plan, including cash payments, will be substantially complete by the end of the third quarter of 2025.</w:t>
      </w:r>
    </w:p>
    <w:p>
      <w:pPr>
        <w:spacing w:after="0" w:line="152"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Potential position eliminations in each country are subject to local law and consultation requirements, which may extend this process beyond the third quarter of 2025 in certain countries. The charges that we expect to incur are subject to a number of assumptions, including local law requirements in various jurisdictions, and actual expenses may differ materially from the estimates disclosed above.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December 31, 2024, the end of the period covered by this Annual Report on Form 10-K,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1"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15d- 15(f) under the Exchange Act. Management, with the participation of our Chief Executive Officer and Chief Financial Officer, has assessed the effectiveness of our internal control over financial reporting as of December 31, 2024 based on the 2013 framework established in the “Internal Control-Integrated Framework,” issued by the Committee of Sponsoring Organizations of the Treadway Commission. Based on this evaluation under the framework, management has concluded that our internal control over financial reporting as of December 31, 2024 was effective.</w:t>
      </w:r>
    </w:p>
    <w:p>
      <w:pPr>
        <w:spacing w:after="0" w:line="15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On August 2, 2024, Flywire acquired all of the issued and outstanding shares of Invoiced. As permitted by Securities and Exchange Commission staff guidance, companies are permitted to exclude acquisitions from their assessment of internal control over financial reporting for the first year of acquisition. We have excluded Invoiced from our assessment of internal control over financial reporting as of December 31, 2024. Invoiced accounted for less than 1% of total assets as of December 31, 2024 and less than 1% of revenues for the fiscal year ended on December 31, 2024.</w:t>
      </w:r>
    </w:p>
    <w:p>
      <w:pPr>
        <w:spacing w:after="0" w:line="136"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effectiveness of our internal control over financial reporting as of December 31, 2024 has been audited by PricewaterhouseCoopers LLP, an independent registered public accounting firm, as stated in their report which appears in Part II, Item 8 of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2024 that has materially affected, or is reasonably likely to materially affect,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52" w:name="page153"/>
    <w:bookmarkEnd w:id="152"/>
    <w:p>
      <w:pPr>
        <w:ind w:right="40"/>
        <w:spacing w:after="0" w:line="244" w:lineRule="auto"/>
        <w:rPr>
          <w:sz w:val="20"/>
          <w:szCs w:val="20"/>
          <w:color w:val="auto"/>
        </w:rPr>
      </w:pPr>
      <w:r>
        <w:rPr>
          <w:rFonts w:ascii="Arial" w:cs="Arial" w:eastAsia="Arial" w:hAnsi="Arial"/>
          <w:sz w:val="18"/>
          <w:szCs w:val="18"/>
          <w:color w:val="auto"/>
        </w:rPr>
        <w:t>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 Trading Plan</w:t>
      </w:r>
    </w:p>
    <w:p>
      <w:pPr>
        <w:spacing w:after="0" w:line="169"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During the period covered by this Annual Report on Form 10-K, other than as set forth below, no director or officer of the Company “adopted” or terminated a “Rule 10b5-1 trading arrangement” or “non-Rule 10b5-1 trading arrangement” as each term is defined in Item 408(a) of Regulation S-K.</w:t>
      </w:r>
    </w:p>
    <w:p>
      <w:pPr>
        <w:spacing w:after="0" w:line="142"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color w:val="auto"/>
        </w:rPr>
        <w:t>On November 19, 2024, Michael Massaro, our Chief Executive Officer and Director, adopted a trading arrangement for the sale of shares of our common stock (a "Rule 10b-5 Trading Plan") that is intended to satisfy the affirmative defense conditions of Securities Exchange Act Rule 10b5-1(c). Mr. Massaro's Rule 10b-5 Trading Plan provides for the sale of up to 550,000 shares of common stock pursuant to the terms of the plan. The plan is effective through February 6, 2026 unless earlier terminated in accordance with the terms of the plan.</w:t>
      </w:r>
    </w:p>
    <w:p>
      <w:pPr>
        <w:spacing w:after="0" w:line="13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November 15, 2024, Cosmin Pitigoi, our Chief Financial Officer, adopted a Rule 10b-5 Trading Plan that is intended to satisfy the affirmative defense conditions of Securities Exchange Act Rule 10b5-1(c). Mr. Pitigoi's Rule 10b-5 Trading Plan provides for the sale of up to 75,869 shares of common stock pursuant to the terms of the plan. The plan is effective through November 14, 2025 unless earlier terminated in accordance with the terms of the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153" w:name="page154"/>
    <w:bookmarkEnd w:id="153"/>
    <w:p>
      <w:pPr>
        <w:ind w:left="52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5" w:lineRule="exact"/>
        <w:rPr>
          <w:sz w:val="20"/>
          <w:szCs w:val="20"/>
          <w:color w:val="auto"/>
        </w:rPr>
      </w:pPr>
    </w:p>
    <w:p>
      <w:pPr>
        <w:ind w:right="480" w:firstLine="509"/>
        <w:spacing w:after="0" w:line="244" w:lineRule="auto"/>
        <w:rPr>
          <w:sz w:val="20"/>
          <w:szCs w:val="20"/>
          <w:color w:val="auto"/>
        </w:rPr>
      </w:pPr>
      <w:r>
        <w:rPr>
          <w:rFonts w:ascii="Arial" w:cs="Arial" w:eastAsia="Arial" w:hAnsi="Arial"/>
          <w:sz w:val="18"/>
          <w:szCs w:val="18"/>
          <w:color w:val="auto"/>
        </w:rPr>
        <w:t>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this Form 10-K</w:t>
      </w:r>
      <w:r>
        <w:rPr>
          <w:rFonts w:ascii="Arial" w:cs="Arial" w:eastAsia="Arial" w:hAnsi="Arial"/>
          <w:sz w:val="16"/>
          <w:szCs w:val="16"/>
          <w:color w:val="auto"/>
        </w:rPr>
        <w:t>.</w:t>
      </w:r>
    </w:p>
    <w:p>
      <w:pPr>
        <w:spacing w:after="0" w:line="136"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5"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2024.</w:t>
      </w:r>
    </w:p>
    <w:p>
      <w:pPr>
        <w:spacing w:after="0" w:line="128" w:lineRule="exact"/>
        <w:rPr>
          <w:sz w:val="20"/>
          <w:szCs w:val="20"/>
          <w:color w:val="auto"/>
        </w:rPr>
      </w:pPr>
    </w:p>
    <w:p>
      <w:pPr>
        <w:ind w:right="1900"/>
        <w:spacing w:after="0" w:line="44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w:t>
      </w:r>
    </w:p>
    <w:p>
      <w:pPr>
        <w:jc w:val="both"/>
        <w:ind w:right="100" w:firstLine="509"/>
        <w:spacing w:after="0" w:line="247" w:lineRule="auto"/>
        <w:rPr>
          <w:sz w:val="20"/>
          <w:szCs w:val="20"/>
          <w:color w:val="auto"/>
        </w:rPr>
      </w:pPr>
      <w:r>
        <w:rPr>
          <w:rFonts w:ascii="Arial" w:cs="Arial" w:eastAsia="Arial" w:hAnsi="Arial"/>
          <w:sz w:val="18"/>
          <w:szCs w:val="18"/>
          <w:color w:val="auto"/>
        </w:rPr>
        <w:t>The following table provides information as of December 31, 2024, with respect to shares of our common stock that may be issued, subject to certain vesting requirements, under our existing equity compensation plans, including our 2009 Equity Incentive Plan, which was adopted in 2009 and amended and restated in 2011 (as amended and restated, the 2009 Plan), our 2018 Stock Incentive Plan (2018 Plan), 2021 Equity Incentive Plan (2021 Plan) and Employee Stock Purchase Plan (ESPP).</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w:t>
            </w:r>
          </w:p>
        </w:tc>
        <w:tc>
          <w:tcPr>
            <w:tcW w:w="2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B</w:t>
            </w:r>
          </w:p>
        </w:tc>
        <w:tc>
          <w:tcPr>
            <w:tcW w:w="2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w:t>
            </w:r>
          </w:p>
        </w:tc>
      </w:tr>
      <w:tr>
        <w:trPr>
          <w:trHeight w:val="184"/>
        </w:trPr>
        <w:tc>
          <w:tcPr>
            <w:tcW w:w="4000" w:type="dxa"/>
            <w:vAlign w:val="bottom"/>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shd w:val="clear" w:color="auto" w:fill="CFF0FC"/>
          </w:tcPr>
          <w:p>
            <w:pPr>
              <w:jc w:val="center"/>
              <w:ind w:right="11"/>
              <w:spacing w:after="0" w:line="183" w:lineRule="exact"/>
              <w:rPr>
                <w:sz w:val="20"/>
                <w:szCs w:val="20"/>
                <w:color w:val="auto"/>
              </w:rPr>
            </w:pPr>
            <w:r>
              <w:rPr>
                <w:rFonts w:ascii="Arial" w:cs="Arial" w:eastAsia="Arial" w:hAnsi="Arial"/>
                <w:sz w:val="18"/>
                <w:szCs w:val="18"/>
                <w:color w:val="auto"/>
                <w:w w:val="99"/>
              </w:rPr>
              <w:t>Number of</w:t>
            </w:r>
          </w:p>
        </w:tc>
        <w:tc>
          <w:tcPr>
            <w:tcW w:w="200" w:type="dxa"/>
            <w:vAlign w:val="bottom"/>
          </w:tcPr>
          <w:p>
            <w:pPr>
              <w:spacing w:after="0"/>
              <w:rPr>
                <w:sz w:val="15"/>
                <w:szCs w:val="15"/>
                <w:color w:val="auto"/>
              </w:rPr>
            </w:pPr>
          </w:p>
        </w:tc>
      </w:tr>
      <w:tr>
        <w:trPr>
          <w:trHeight w:val="203"/>
        </w:trPr>
        <w:tc>
          <w:tcPr>
            <w:tcW w:w="4000" w:type="dxa"/>
            <w:vAlign w:val="bottom"/>
          </w:tcPr>
          <w:p>
            <w:pPr>
              <w:spacing w:after="0"/>
              <w:rPr>
                <w:sz w:val="17"/>
                <w:szCs w:val="17"/>
                <w:color w:val="auto"/>
              </w:rPr>
            </w:pPr>
          </w:p>
        </w:tc>
        <w:tc>
          <w:tcPr>
            <w:tcW w:w="22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Remaining</w:t>
            </w:r>
          </w:p>
        </w:tc>
        <w:tc>
          <w:tcPr>
            <w:tcW w:w="2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8"/>
              </w:rPr>
              <w:t>Available</w:t>
            </w:r>
          </w:p>
        </w:tc>
        <w:tc>
          <w:tcPr>
            <w:tcW w:w="2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for Future</w:t>
            </w:r>
          </w:p>
        </w:tc>
        <w:tc>
          <w:tcPr>
            <w:tcW w:w="2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2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Number of</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Weighted-</w:t>
            </w:r>
          </w:p>
        </w:tc>
        <w:tc>
          <w:tcPr>
            <w:tcW w:w="160" w:type="dxa"/>
            <w:vAlign w:val="bottom"/>
          </w:tcPr>
          <w:p>
            <w:pPr>
              <w:spacing w:after="0"/>
              <w:rPr>
                <w:sz w:val="17"/>
                <w:szCs w:val="17"/>
                <w:color w:val="auto"/>
              </w:rPr>
            </w:pPr>
          </w:p>
        </w:tc>
        <w:tc>
          <w:tcPr>
            <w:tcW w:w="222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9"/>
              </w:rPr>
              <w:t>Issuance</w:t>
            </w:r>
          </w:p>
        </w:tc>
        <w:tc>
          <w:tcPr>
            <w:tcW w:w="2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2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8"/>
              </w:rPr>
              <w:t>Securities to</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8"/>
              </w:rPr>
              <w:t>Average</w:t>
            </w:r>
          </w:p>
        </w:tc>
        <w:tc>
          <w:tcPr>
            <w:tcW w:w="160" w:type="dxa"/>
            <w:vAlign w:val="bottom"/>
          </w:tcPr>
          <w:p>
            <w:pPr>
              <w:spacing w:after="0"/>
              <w:rPr>
                <w:sz w:val="17"/>
                <w:szCs w:val="17"/>
                <w:color w:val="auto"/>
              </w:rPr>
            </w:pPr>
          </w:p>
        </w:tc>
        <w:tc>
          <w:tcPr>
            <w:tcW w:w="222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9"/>
              </w:rPr>
              <w:t>Under Equity</w:t>
            </w:r>
          </w:p>
        </w:tc>
        <w:tc>
          <w:tcPr>
            <w:tcW w:w="2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2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be Issued</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Exercise Price of</w:t>
            </w:r>
          </w:p>
        </w:tc>
        <w:tc>
          <w:tcPr>
            <w:tcW w:w="160" w:type="dxa"/>
            <w:vAlign w:val="bottom"/>
          </w:tcPr>
          <w:p>
            <w:pPr>
              <w:spacing w:after="0"/>
              <w:rPr>
                <w:sz w:val="17"/>
                <w:szCs w:val="17"/>
                <w:color w:val="auto"/>
              </w:rPr>
            </w:pPr>
          </w:p>
        </w:tc>
        <w:tc>
          <w:tcPr>
            <w:tcW w:w="222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9"/>
              </w:rPr>
              <w:t>Compensation</w:t>
            </w:r>
          </w:p>
        </w:tc>
        <w:tc>
          <w:tcPr>
            <w:tcW w:w="20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2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rPr>
              <w:t>Upon Exercise</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7"/>
                <w:szCs w:val="17"/>
                <w:color w:val="auto"/>
              </w:rPr>
            </w:pPr>
          </w:p>
        </w:tc>
        <w:tc>
          <w:tcPr>
            <w:tcW w:w="22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Plans (Excluding</w:t>
            </w:r>
          </w:p>
        </w:tc>
        <w:tc>
          <w:tcPr>
            <w:tcW w:w="2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2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rPr>
              <w:t>of Outstanding</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8"/>
              </w:rPr>
              <w:t>Options,</w:t>
            </w:r>
          </w:p>
        </w:tc>
        <w:tc>
          <w:tcPr>
            <w:tcW w:w="160" w:type="dxa"/>
            <w:vAlign w:val="bottom"/>
          </w:tcPr>
          <w:p>
            <w:pPr>
              <w:spacing w:after="0"/>
              <w:rPr>
                <w:sz w:val="17"/>
                <w:szCs w:val="17"/>
                <w:color w:val="auto"/>
              </w:rPr>
            </w:pPr>
          </w:p>
        </w:tc>
        <w:tc>
          <w:tcPr>
            <w:tcW w:w="222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2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Options, Warrants,</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rPr>
              <w:t>Warrants, and</w:t>
            </w:r>
          </w:p>
        </w:tc>
        <w:tc>
          <w:tcPr>
            <w:tcW w:w="160" w:type="dxa"/>
            <w:vAlign w:val="bottom"/>
          </w:tcPr>
          <w:p>
            <w:pPr>
              <w:spacing w:after="0"/>
              <w:rPr>
                <w:sz w:val="17"/>
                <w:szCs w:val="17"/>
                <w:color w:val="auto"/>
              </w:rPr>
            </w:pPr>
          </w:p>
        </w:tc>
        <w:tc>
          <w:tcPr>
            <w:tcW w:w="222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rPr>
              <w:t>Reflected in</w:t>
            </w:r>
          </w:p>
        </w:tc>
        <w:tc>
          <w:tcPr>
            <w:tcW w:w="200" w:type="dxa"/>
            <w:vAlign w:val="bottom"/>
          </w:tcPr>
          <w:p>
            <w:pPr>
              <w:spacing w:after="0"/>
              <w:rPr>
                <w:sz w:val="17"/>
                <w:szCs w:val="17"/>
                <w:color w:val="auto"/>
              </w:rPr>
            </w:pPr>
          </w:p>
        </w:tc>
      </w:tr>
      <w:tr>
        <w:trPr>
          <w:trHeight w:val="221"/>
        </w:trPr>
        <w:tc>
          <w:tcPr>
            <w:tcW w:w="4000" w:type="dxa"/>
            <w:vAlign w:val="bottom"/>
          </w:tcPr>
          <w:p>
            <w:pPr>
              <w:spacing w:after="0" w:line="202" w:lineRule="exact"/>
              <w:rPr>
                <w:sz w:val="20"/>
                <w:szCs w:val="20"/>
                <w:color w:val="auto"/>
              </w:rPr>
            </w:pPr>
            <w:r>
              <w:rPr>
                <w:rFonts w:ascii="Arial" w:cs="Arial" w:eastAsia="Arial" w:hAnsi="Arial"/>
                <w:sz w:val="18"/>
                <w:szCs w:val="18"/>
                <w:b w:val="1"/>
                <w:bCs w:val="1"/>
                <w:color w:val="auto"/>
              </w:rPr>
              <w:t>Plan Category</w:t>
            </w:r>
          </w:p>
        </w:tc>
        <w:tc>
          <w:tcPr>
            <w:tcW w:w="222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and Rights</w:t>
            </w:r>
          </w:p>
        </w:tc>
        <w:tc>
          <w:tcPr>
            <w:tcW w:w="160" w:type="dxa"/>
            <w:vAlign w:val="bottom"/>
          </w:tcPr>
          <w:p>
            <w:pPr>
              <w:spacing w:after="0"/>
              <w:rPr>
                <w:sz w:val="19"/>
                <w:szCs w:val="19"/>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7"/>
              </w:rPr>
              <w:t>Rights</w:t>
            </w:r>
          </w:p>
        </w:tc>
        <w:tc>
          <w:tcPr>
            <w:tcW w:w="160" w:type="dxa"/>
            <w:vAlign w:val="bottom"/>
          </w:tcPr>
          <w:p>
            <w:pPr>
              <w:spacing w:after="0"/>
              <w:rPr>
                <w:sz w:val="19"/>
                <w:szCs w:val="19"/>
                <w:color w:val="auto"/>
              </w:rPr>
            </w:pPr>
          </w:p>
        </w:tc>
        <w:tc>
          <w:tcPr>
            <w:tcW w:w="222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rPr>
              <w:t>Column (A)</w:t>
            </w:r>
          </w:p>
        </w:tc>
        <w:tc>
          <w:tcPr>
            <w:tcW w:w="200" w:type="dxa"/>
            <w:vAlign w:val="bottom"/>
          </w:tcPr>
          <w:p>
            <w:pPr>
              <w:spacing w:after="0"/>
              <w:rPr>
                <w:sz w:val="19"/>
                <w:szCs w:val="19"/>
                <w:color w:val="auto"/>
              </w:rPr>
            </w:pPr>
          </w:p>
        </w:tc>
      </w:tr>
      <w:tr>
        <w:trPr>
          <w:trHeight w:val="184"/>
        </w:trPr>
        <w:tc>
          <w:tcPr>
            <w:tcW w:w="4000" w:type="dxa"/>
            <w:vAlign w:val="bottom"/>
          </w:tcPr>
          <w:p>
            <w:pPr>
              <w:spacing w:after="0" w:line="183" w:lineRule="exact"/>
              <w:rPr>
                <w:sz w:val="20"/>
                <w:szCs w:val="20"/>
                <w:color w:val="auto"/>
              </w:rPr>
            </w:pPr>
            <w:r>
              <w:rPr>
                <w:rFonts w:ascii="Arial" w:cs="Arial" w:eastAsia="Arial" w:hAnsi="Arial"/>
                <w:sz w:val="18"/>
                <w:szCs w:val="18"/>
                <w:color w:val="auto"/>
              </w:rPr>
              <w:t>Equity compensation plans</w:t>
            </w: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39"/>
        </w:trPr>
        <w:tc>
          <w:tcPr>
            <w:tcW w:w="4000" w:type="dxa"/>
            <w:vAlign w:val="bottom"/>
          </w:tcPr>
          <w:p>
            <w:pPr>
              <w:ind w:left="160"/>
              <w:spacing w:after="0"/>
              <w:rPr>
                <w:sz w:val="20"/>
                <w:szCs w:val="20"/>
                <w:color w:val="auto"/>
              </w:rPr>
            </w:pPr>
            <w:r>
              <w:rPr>
                <w:rFonts w:ascii="Arial" w:cs="Arial" w:eastAsia="Arial" w:hAnsi="Arial"/>
                <w:sz w:val="18"/>
                <w:szCs w:val="18"/>
                <w:color w:val="auto"/>
              </w:rPr>
              <w:t>approved by security holders</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12,216,207  </w:t>
            </w:r>
            <w:r>
              <w:rPr>
                <w:rFonts w:ascii="Arial" w:cs="Arial" w:eastAsia="Arial" w:hAnsi="Arial"/>
                <w:sz w:val="10"/>
                <w:szCs w:val="10"/>
                <w:color w:val="auto"/>
              </w:rPr>
              <w:t>(1)</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 xml:space="preserve">7.98  </w:t>
            </w:r>
            <w:r>
              <w:rPr>
                <w:rFonts w:ascii="Arial" w:cs="Arial" w:eastAsia="Arial" w:hAnsi="Arial"/>
                <w:sz w:val="10"/>
                <w:szCs w:val="10"/>
                <w:color w:val="auto"/>
              </w:rPr>
              <w:t>(2)</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 xml:space="preserve">21,734,540  </w:t>
            </w:r>
            <w:r>
              <w:rPr>
                <w:rFonts w:ascii="Arial" w:cs="Arial" w:eastAsia="Arial" w:hAnsi="Arial"/>
                <w:sz w:val="10"/>
                <w:szCs w:val="10"/>
                <w:color w:val="auto"/>
              </w:rPr>
              <w:t>(3)</w:t>
            </w:r>
          </w:p>
        </w:tc>
      </w:tr>
    </w:tbl>
    <w:p>
      <w:pPr>
        <w:spacing w:after="0" w:line="149" w:lineRule="exact"/>
        <w:rPr>
          <w:sz w:val="20"/>
          <w:szCs w:val="20"/>
          <w:color w:val="auto"/>
        </w:rPr>
      </w:pPr>
    </w:p>
    <w:p>
      <w:pPr>
        <w:ind w:right="200" w:firstLine="8"/>
        <w:spacing w:after="0" w:line="251" w:lineRule="auto"/>
        <w:tabs>
          <w:tab w:leader="none" w:pos="2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Of these shares, 6,016,838 were underlying then outstanding restricted stock units and 529,897 were subject to options then outstanding under the 2021 Plan; 4,868,236 were subject to options then outstanding under the 2018 Plan; and 801,236 were subject to options then outstanding under the 2009 Plan.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Does not take into account restricted stock units, which have no exercise price.</w:t>
      </w:r>
    </w:p>
    <w:p>
      <w:pPr>
        <w:spacing w:after="0" w:line="1" w:lineRule="exact"/>
        <w:rPr>
          <w:rFonts w:ascii="Arial" w:cs="Arial" w:eastAsia="Arial" w:hAnsi="Arial"/>
          <w:sz w:val="14"/>
          <w:szCs w:val="14"/>
          <w:color w:val="auto"/>
        </w:rPr>
      </w:pPr>
    </w:p>
    <w:p>
      <w:pPr>
        <w:ind w:firstLine="8"/>
        <w:spacing w:after="0" w:line="244" w:lineRule="auto"/>
        <w:tabs>
          <w:tab w:leader="none" w:pos="2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17,135,599 shares of common stock available for issuance under our 2021 Plan and 4,598,941 shares of common stock available for issuance under our ESPP. No shares are available for future issuance under our 2009 Plan or 2018 Plan. Our 2021 Plan provides for annual increases in the number of shares available for issuance thereunder on the first day of each fiscal year equal to the lower of: (a) 5% of the total number of shares of common stock and non-voting common stock outstanding on the last business day of the prior fiscal year; or (b) such other amount as our board of directors may determine. Our ESPP provides for annual increases in the number of shares available for issuance thereunder on the first day of each fiscal year equal to the least of: (x) 2,000,000 shares; (y) 1% of the shares of common stock and non-voting common stock issued and outstanding on the last business day of the prior fiscal year; or (z) the number of shares determined by our board of directors. On January 1, 2025, an additional 6,202,810 shares became available for future issuance under the 2021 Plan and an additional 1,240,562 shares became available for future issuance under the ESPP. The additional shares from the annual increase on January 1, 2025 are not included in the table above.</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154" w:name="page155"/>
    <w:bookmarkEnd w:id="154"/>
    <w:p>
      <w:pPr>
        <w:ind w:firstLine="509"/>
        <w:spacing w:after="0" w:line="253" w:lineRule="auto"/>
        <w:rPr>
          <w:sz w:val="20"/>
          <w:szCs w:val="20"/>
          <w:color w:val="auto"/>
        </w:rPr>
      </w:pPr>
      <w:r>
        <w:rPr>
          <w:rFonts w:ascii="Arial" w:cs="Arial" w:eastAsia="Arial" w:hAnsi="Arial"/>
          <w:sz w:val="18"/>
          <w:szCs w:val="18"/>
          <w:color w:val="auto"/>
        </w:rPr>
        <w:t>The information required under this item not otherwise provided herein is incorporated herein by reference to the Company’s definitive proxy statement pursuant to Regulation 14A, which proxy statement will be filed with the SEC not later than 120 days after the close of the Company’s fiscal year ended December 31,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5"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2024.</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9" w:right="4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04" w:lineRule="exact"/>
        <w:rPr>
          <w:sz w:val="20"/>
          <w:szCs w:val="20"/>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71" w:lineRule="exact"/>
        <w:rPr>
          <w:rFonts w:ascii="Arial" w:cs="Arial" w:eastAsia="Arial" w:hAnsi="Arial"/>
          <w:sz w:val="18"/>
          <w:szCs w:val="18"/>
          <w:color w:val="auto"/>
        </w:rPr>
      </w:pPr>
    </w:p>
    <w:p>
      <w:pPr>
        <w:ind w:left="1020" w:right="140"/>
        <w:spacing w:after="0" w:line="271" w:lineRule="auto"/>
        <w:rPr>
          <w:rFonts w:ascii="Arial" w:cs="Arial" w:eastAsia="Arial" w:hAnsi="Arial"/>
          <w:sz w:val="18"/>
          <w:szCs w:val="18"/>
          <w:color w:val="auto"/>
        </w:rPr>
      </w:pPr>
      <w:r>
        <w:rPr>
          <w:rFonts w:ascii="Arial" w:cs="Arial" w:eastAsia="Arial" w:hAnsi="Arial"/>
          <w:sz w:val="18"/>
          <w:szCs w:val="18"/>
          <w:color w:val="auto"/>
        </w:rPr>
        <w:t>The consolidated financial statements are filed as part of this Annual Report on Form 10-K under “Item 8. Financial Statements and Supplementary Data.”</w:t>
      </w:r>
    </w:p>
    <w:p>
      <w:pPr>
        <w:spacing w:after="0" w:line="45"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rFonts w:ascii="Arial" w:cs="Arial" w:eastAsia="Arial" w:hAnsi="Arial"/>
          <w:sz w:val="18"/>
          <w:szCs w:val="18"/>
          <w:color w:val="auto"/>
        </w:rPr>
      </w:pPr>
    </w:p>
    <w:p>
      <w:pPr>
        <w:ind w:left="1020" w:right="260"/>
        <w:spacing w:after="0" w:line="253"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in the notes to those financial statements.</w:t>
      </w:r>
    </w:p>
    <w:p>
      <w:pPr>
        <w:spacing w:after="0" w:line="60"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1020" w:right="1040"/>
        <w:spacing w:after="0" w:line="271" w:lineRule="auto"/>
        <w:rPr>
          <w:sz w:val="20"/>
          <w:szCs w:val="20"/>
          <w:color w:val="auto"/>
        </w:rPr>
      </w:pPr>
      <w:r>
        <w:rPr>
          <w:rFonts w:ascii="Arial" w:cs="Arial" w:eastAsia="Arial" w:hAnsi="Arial"/>
          <w:sz w:val="18"/>
          <w:szCs w:val="18"/>
          <w:color w:val="auto"/>
        </w:rPr>
        <w:t>The exhibits listed in the following Exhibit Index are filed herewith as part of this Annual Report on Form 10-K or are incorporated herein by reference, in each case as indicated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80" w:type="dxa"/>
            <w:vAlign w:val="bottom"/>
            <w:gridSpan w:val="20"/>
          </w:tcPr>
          <w:p>
            <w:pPr>
              <w:jc w:val="center"/>
              <w:ind w:right="4960"/>
              <w:spacing w:after="0"/>
              <w:rPr>
                <w:sz w:val="20"/>
                <w:szCs w:val="20"/>
                <w:color w:val="auto"/>
              </w:rPr>
            </w:pPr>
            <w:r>
              <w:rPr>
                <w:rFonts w:ascii="Arial" w:cs="Arial" w:eastAsia="Arial" w:hAnsi="Arial"/>
                <w:sz w:val="18"/>
                <w:szCs w:val="18"/>
                <w:b w:val="1"/>
                <w:bCs w:val="1"/>
                <w:color w:val="auto"/>
                <w:w w:val="99"/>
              </w:rPr>
              <w:t>Exhibit Index</w:t>
            </w:r>
          </w:p>
        </w:tc>
        <w:tc>
          <w:tcPr>
            <w:tcW w:w="0" w:type="dxa"/>
            <w:vAlign w:val="bottom"/>
          </w:tcPr>
          <w:p>
            <w:pPr>
              <w:spacing w:after="0"/>
              <w:rPr>
                <w:sz w:val="1"/>
                <w:szCs w:val="1"/>
                <w:color w:val="auto"/>
              </w:rPr>
            </w:pPr>
          </w:p>
        </w:tc>
      </w:tr>
      <w:tr>
        <w:trPr>
          <w:trHeight w:val="127"/>
        </w:trPr>
        <w:tc>
          <w:tcPr>
            <w:tcW w:w="1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gridSpan w:val="20"/>
          </w:tcPr>
          <w:p>
            <w:pPr>
              <w:ind w:left="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44"/>
        </w:trPr>
        <w:tc>
          <w:tcPr>
            <w:tcW w:w="124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rPr>
            </w:pPr>
            <w:hyperlink r:id="rId628">
              <w:r>
                <w:rPr>
                  <w:rFonts w:ascii="Arial" w:cs="Arial" w:eastAsia="Arial" w:hAnsi="Arial"/>
                  <w:sz w:val="18"/>
                  <w:szCs w:val="18"/>
                  <w:color w:val="0000FF"/>
                </w:rPr>
                <w:t>Amended and Restated Certificate of Incorporation of Flywire Corporation, incorporated by reference to Exhibit 3.1 to the</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4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628">
              <w:r>
                <w:rPr>
                  <w:rFonts w:ascii="Arial" w:cs="Arial" w:eastAsia="Arial" w:hAnsi="Arial"/>
                  <w:sz w:val="18"/>
                  <w:szCs w:val="18"/>
                  <w:color w:val="0000FF"/>
                </w:rPr>
                <w:t>Registrant’s Current Report on Form 8-K filed on June 1, 2021.</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rPr>
            </w:pPr>
            <w:hyperlink r:id="rId629">
              <w:r>
                <w:rPr>
                  <w:rFonts w:ascii="Arial" w:cs="Arial" w:eastAsia="Arial" w:hAnsi="Arial"/>
                  <w:sz w:val="18"/>
                  <w:szCs w:val="18"/>
                  <w:color w:val="0000FF"/>
                </w:rPr>
                <w:t>Amended and Restated Bylaws of Flywire Corporation, incorporated by reference to Exhibit 3.1 to the Registrant’s Current</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629">
              <w:r>
                <w:rPr>
                  <w:rFonts w:ascii="Arial" w:cs="Arial" w:eastAsia="Arial" w:hAnsi="Arial"/>
                  <w:sz w:val="18"/>
                  <w:szCs w:val="18"/>
                  <w:color w:val="0000FF"/>
                </w:rPr>
                <w:t>Report on Form 8-K filed on March 19, 2024.</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rPr>
            </w:pPr>
            <w:hyperlink r:id="rId630">
              <w:r>
                <w:rPr>
                  <w:rFonts w:ascii="Arial" w:cs="Arial" w:eastAsia="Arial" w:hAnsi="Arial"/>
                  <w:sz w:val="18"/>
                  <w:szCs w:val="18"/>
                  <w:color w:val="0000FF"/>
                </w:rPr>
                <w:t>Description of Securities of Flywire Corporation, incorporated by reference to Exhibit 4.1 to the Registrant's Annual Report</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630">
              <w:r>
                <w:rPr>
                  <w:rFonts w:ascii="Arial" w:cs="Arial" w:eastAsia="Arial" w:hAnsi="Arial"/>
                  <w:sz w:val="18"/>
                  <w:szCs w:val="18"/>
                  <w:color w:val="0000FF"/>
                  <w:w w:val="99"/>
                </w:rPr>
                <w:t>on Form 10-K for the year ended December 31, 2021 filed on March 29,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348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rPr>
            </w:pPr>
            <w:hyperlink r:id="rId631">
              <w:r>
                <w:rPr>
                  <w:rFonts w:ascii="Arial" w:cs="Arial" w:eastAsia="Arial" w:hAnsi="Arial"/>
                  <w:sz w:val="18"/>
                  <w:szCs w:val="18"/>
                  <w:color w:val="0000FF"/>
                </w:rPr>
                <w:t>Amended and Restated Investors’ Rights Agreement, dated February 23, 2021, by and among the Registrant and certain</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631">
              <w:r>
                <w:rPr>
                  <w:rFonts w:ascii="Arial" w:cs="Arial" w:eastAsia="Arial" w:hAnsi="Arial"/>
                  <w:sz w:val="18"/>
                  <w:szCs w:val="18"/>
                  <w:color w:val="0000FF"/>
                </w:rPr>
                <w:t>security holders of the Registrant, as amended, incorporated by reference to Exhibit 4.2 to the Registrant's Registration</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631">
              <w:r>
                <w:rPr>
                  <w:rFonts w:ascii="Arial" w:cs="Arial" w:eastAsia="Arial" w:hAnsi="Arial"/>
                  <w:sz w:val="18"/>
                  <w:szCs w:val="18"/>
                  <w:color w:val="0000FF"/>
                </w:rPr>
                <w:t>Statement on Form S-1 filed on May 3, 2021.</w:t>
              </w:r>
            </w:hyperlink>
          </w:p>
        </w:tc>
        <w:tc>
          <w:tcPr>
            <w:tcW w:w="6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Borders>
              <w:left w:val="single" w:sz="8" w:color="0000EE"/>
            </w:tcBorders>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rPr>
            </w:pPr>
            <w:hyperlink r:id="rId632">
              <w:r>
                <w:rPr>
                  <w:rFonts w:ascii="Arial" w:cs="Arial" w:eastAsia="Arial" w:hAnsi="Arial"/>
                  <w:sz w:val="18"/>
                  <w:szCs w:val="18"/>
                  <w:color w:val="0000FF"/>
                </w:rPr>
                <w:t>Form of Indemnification Agreement, incorporated by reference to Exhibit 10.1 to the Registrant's Registration Statement on</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632">
              <w:r>
                <w:rPr>
                  <w:rFonts w:ascii="Arial" w:cs="Arial" w:eastAsia="Arial" w:hAnsi="Arial"/>
                  <w:sz w:val="18"/>
                  <w:szCs w:val="18"/>
                  <w:color w:val="0000FF"/>
                  <w:w w:val="99"/>
                </w:rPr>
                <w:t>Form S-1/A filed on May 18,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7060" w:type="dxa"/>
            <w:vAlign w:val="bottom"/>
            <w:tcBorders>
              <w:top w:val="single" w:sz="8" w:color="0000FF"/>
            </w:tcBorders>
            <w:gridSpan w:val="20"/>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9340" w:type="dxa"/>
            <w:vAlign w:val="bottom"/>
            <w:tcBorders>
              <w:bottom w:val="single" w:sz="8" w:color="0000FF"/>
            </w:tcBorders>
            <w:gridSpan w:val="12"/>
          </w:tcPr>
          <w:p>
            <w:pPr>
              <w:spacing w:after="0"/>
              <w:rPr>
                <w:rFonts w:ascii="Arial" w:cs="Arial" w:eastAsia="Arial" w:hAnsi="Arial"/>
                <w:sz w:val="18"/>
                <w:szCs w:val="18"/>
                <w:color w:val="0000FF"/>
              </w:rPr>
            </w:pPr>
            <w:hyperlink r:id="rId633">
              <w:r>
                <w:rPr>
                  <w:rFonts w:ascii="Arial" w:cs="Arial" w:eastAsia="Arial" w:hAnsi="Arial"/>
                  <w:sz w:val="18"/>
                  <w:szCs w:val="18"/>
                  <w:color w:val="0000FF"/>
                </w:rPr>
                <w:t>Amended and Restated 2009 Equity Incentive Plan and forms of agreements thereafter, incorporated by reference to</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24"/>
          </w:tcPr>
          <w:p>
            <w:pPr>
              <w:spacing w:after="0" w:line="182" w:lineRule="exact"/>
              <w:rPr>
                <w:rFonts w:ascii="Arial" w:cs="Arial" w:eastAsia="Arial" w:hAnsi="Arial"/>
                <w:sz w:val="18"/>
                <w:szCs w:val="18"/>
                <w:color w:val="0000FF"/>
              </w:rPr>
            </w:pPr>
            <w:hyperlink r:id="rId633">
              <w:r>
                <w:rPr>
                  <w:rFonts w:ascii="Arial" w:cs="Arial" w:eastAsia="Arial" w:hAnsi="Arial"/>
                  <w:sz w:val="18"/>
                  <w:szCs w:val="18"/>
                  <w:color w:val="0000FF"/>
                </w:rPr>
                <w:t>Exhibit 10.2 to the Registrant's Annual Report on Form 10-K for the year ended December 31, 2021 filed on March 29,</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633">
              <w:r>
                <w:rPr>
                  <w:rFonts w:ascii="Arial" w:cs="Arial" w:eastAsia="Arial" w:hAnsi="Arial"/>
                  <w:sz w:val="18"/>
                  <w:szCs w:val="18"/>
                  <w:color w:val="0000FF"/>
                </w:rPr>
                <w:t>2022.</w:t>
              </w:r>
            </w:hyperlink>
          </w:p>
        </w:tc>
        <w:tc>
          <w:tcPr>
            <w:tcW w:w="2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4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rPr>
            </w:pPr>
            <w:hyperlink r:id="rId634">
              <w:r>
                <w:rPr>
                  <w:rFonts w:ascii="Arial" w:cs="Arial" w:eastAsia="Arial" w:hAnsi="Arial"/>
                  <w:sz w:val="18"/>
                  <w:szCs w:val="18"/>
                  <w:color w:val="0000FF"/>
                </w:rPr>
                <w:t>2018 Stock Incentive Plan, as amended, and forms of equity agreements thereunder, incorporated by reference to Exhibit</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63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w:t>
              </w:r>
              <w:r>
                <w:rPr>
                  <w:rFonts w:ascii="Arial" w:cs="Arial" w:eastAsia="Arial" w:hAnsi="Arial"/>
                  <w:sz w:val="18"/>
                  <w:szCs w:val="18"/>
                  <w:color w:val="0000FF"/>
                  <w:w w:val="99"/>
                </w:rPr>
                <w:t xml:space="preserve"> to the Registrant's Registration Statement on Form S-1/A filed on May 18,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292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rPr>
            </w:pPr>
            <w:hyperlink r:id="rId635">
              <w:r>
                <w:rPr>
                  <w:rFonts w:ascii="Arial" w:cs="Arial" w:eastAsia="Arial" w:hAnsi="Arial"/>
                  <w:sz w:val="18"/>
                  <w:szCs w:val="18"/>
                  <w:color w:val="0000FF"/>
                </w:rPr>
                <w:t>2021 Equity Incentive Plan, and forms of equity agreements thereunder, incorporated by reference to Exhibit 10.4 to the</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6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635">
              <w:r>
                <w:rPr>
                  <w:rFonts w:ascii="Arial" w:cs="Arial" w:eastAsia="Arial" w:hAnsi="Arial"/>
                  <w:sz w:val="18"/>
                  <w:szCs w:val="18"/>
                  <w:color w:val="0000FF"/>
                </w:rPr>
                <w:t>Registrant's Annual Report on Form 10-K for the year ended December 31, 2022 filed on March 10, 2023.</w:t>
              </w:r>
            </w:hyperlink>
          </w:p>
        </w:tc>
        <w:tc>
          <w:tcPr>
            <w:tcW w:w="18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60" w:type="dxa"/>
            <w:vAlign w:val="bottom"/>
            <w:gridSpan w:val="6"/>
            <w:shd w:val="clear" w:color="auto" w:fill="0000FF"/>
          </w:tcPr>
          <w:p>
            <w:pPr>
              <w:spacing w:after="0" w:line="20" w:lineRule="exact"/>
              <w:rPr>
                <w:sz w:val="1"/>
                <w:szCs w:val="1"/>
                <w:color w:val="auto"/>
              </w:rPr>
            </w:pPr>
          </w:p>
        </w:tc>
        <w:tc>
          <w:tcPr>
            <w:tcW w:w="2560" w:type="dxa"/>
            <w:vAlign w:val="bottom"/>
            <w:tcBorders>
              <w:right w:val="single" w:sz="8" w:color="0000EE"/>
            </w:tcBorders>
            <w:gridSpan w:val="5"/>
            <w:shd w:val="clear" w:color="auto" w:fill="0000FF"/>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rPr>
            </w:pPr>
            <w:hyperlink r:id="rId636">
              <w:r>
                <w:rPr>
                  <w:rFonts w:ascii="Arial" w:cs="Arial" w:eastAsia="Arial" w:hAnsi="Arial"/>
                  <w:sz w:val="18"/>
                  <w:szCs w:val="18"/>
                  <w:color w:val="0000FF"/>
                </w:rPr>
                <w:t>2021 Employee Stock Purchase Plan, and form of subscription agreement, incorporated by reference to Exhibit 10.5 to the</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636">
              <w:r>
                <w:rPr>
                  <w:rFonts w:ascii="Arial" w:cs="Arial" w:eastAsia="Arial" w:hAnsi="Arial"/>
                  <w:sz w:val="18"/>
                  <w:szCs w:val="18"/>
                  <w:color w:val="0000FF"/>
                  <w:w w:val="99"/>
                </w:rPr>
                <w:t>Registrant's Registration Statement on Form S-1/A filed on May 18, 2021.</w:t>
              </w:r>
            </w:hyperlink>
          </w:p>
        </w:tc>
        <w:tc>
          <w:tcPr>
            <w:tcW w:w="3920" w:type="dxa"/>
            <w:vAlign w:val="bottom"/>
            <w:tcBorders>
              <w:top w:val="single" w:sz="8" w:color="0000FF"/>
            </w:tcBorders>
            <w:gridSpan w:val="16"/>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rPr>
            </w:pPr>
            <w:hyperlink r:id="rId637">
              <w:r>
                <w:rPr>
                  <w:rFonts w:ascii="Arial" w:cs="Arial" w:eastAsia="Arial" w:hAnsi="Arial"/>
                  <w:sz w:val="18"/>
                  <w:szCs w:val="18"/>
                  <w:color w:val="0000FF"/>
                </w:rPr>
                <w:t>Employment Agreement, dated as of May 14, 2021, by and between the Registrant and Michael Massaro, incorporated by</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637">
              <w:r>
                <w:rPr>
                  <w:rFonts w:ascii="Arial" w:cs="Arial" w:eastAsia="Arial" w:hAnsi="Arial"/>
                  <w:sz w:val="18"/>
                  <w:szCs w:val="18"/>
                  <w:color w:val="0000FF"/>
                </w:rPr>
                <w:t>reference to Exhibit 10.7 to the Registrant's Registration Statement on Form S-1/A filed on May 18, 2021.</w:t>
              </w:r>
            </w:hyperlink>
          </w:p>
        </w:tc>
        <w:tc>
          <w:tcPr>
            <w:tcW w:w="1320" w:type="dxa"/>
            <w:vAlign w:val="bottom"/>
            <w:tcBorders>
              <w:top w:val="single" w:sz="8" w:color="0000FF"/>
            </w:tcBorders>
            <w:gridSpan w:val="9"/>
          </w:tcPr>
          <w:p>
            <w:pPr>
              <w:spacing w:after="0"/>
              <w:rPr>
                <w:sz w:val="15"/>
                <w:szCs w:val="15"/>
                <w:color w:val="auto"/>
              </w:rPr>
            </w:pPr>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1240" w:type="dxa"/>
            <w:vAlign w:val="bottom"/>
          </w:tcPr>
          <w:p>
            <w:pPr>
              <w:spacing w:after="0"/>
              <w:rPr>
                <w:sz w:val="24"/>
                <w:szCs w:val="24"/>
                <w:color w:val="auto"/>
              </w:rPr>
            </w:pPr>
          </w:p>
        </w:tc>
        <w:tc>
          <w:tcPr>
            <w:tcW w:w="5160" w:type="dxa"/>
            <w:vAlign w:val="bottom"/>
            <w:gridSpan w:val="6"/>
          </w:tcPr>
          <w:p>
            <w:pPr>
              <w:jc w:val="right"/>
              <w:ind w:right="539"/>
              <w:spacing w:after="0"/>
              <w:rPr>
                <w:sz w:val="20"/>
                <w:szCs w:val="20"/>
                <w:color w:val="auto"/>
              </w:rPr>
            </w:pPr>
            <w:r>
              <w:rPr>
                <w:rFonts w:ascii="Arial" w:cs="Arial" w:eastAsia="Arial" w:hAnsi="Arial"/>
                <w:sz w:val="18"/>
                <w:szCs w:val="18"/>
                <w:color w:val="auto"/>
              </w:rPr>
              <w:t>155</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1400" w:type="dxa"/>
            <w:vAlign w:val="bottom"/>
          </w:tcPr>
          <w:p>
            <w:pPr>
              <w:ind w:left="20"/>
              <w:spacing w:after="0"/>
              <w:rPr>
                <w:sz w:val="20"/>
                <w:szCs w:val="20"/>
                <w:color w:val="auto"/>
              </w:rPr>
            </w:pPr>
            <w:r>
              <w:rPr>
                <w:rFonts w:ascii="Arial" w:cs="Arial" w:eastAsia="Arial" w:hAnsi="Arial"/>
                <w:sz w:val="18"/>
                <w:szCs w:val="18"/>
                <w:color w:val="auto"/>
              </w:rPr>
              <w:t>10.8#</w:t>
            </w:r>
          </w:p>
        </w:tc>
        <w:tc>
          <w:tcPr>
            <w:tcW w:w="9880" w:type="dxa"/>
            <w:vAlign w:val="bottom"/>
            <w:gridSpan w:val="35"/>
          </w:tcPr>
          <w:p>
            <w:pPr>
              <w:spacing w:after="0"/>
              <w:rPr>
                <w:rFonts w:ascii="Arial" w:cs="Arial" w:eastAsia="Arial" w:hAnsi="Arial"/>
                <w:sz w:val="18"/>
                <w:szCs w:val="18"/>
                <w:color w:val="0000FF"/>
              </w:rPr>
            </w:pPr>
            <w:hyperlink r:id="rId640">
              <w:r>
                <w:rPr>
                  <w:rFonts w:ascii="Arial" w:cs="Arial" w:eastAsia="Arial" w:hAnsi="Arial"/>
                  <w:sz w:val="18"/>
                  <w:szCs w:val="18"/>
                  <w:color w:val="0000FF"/>
                </w:rPr>
                <w:t>Employment Agreement, dated as of May 14, 2021, by and between the Registrant and Rob Orgel, incorporated by</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834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640">
              <w:r>
                <w:rPr>
                  <w:rFonts w:ascii="Arial" w:cs="Arial" w:eastAsia="Arial" w:hAnsi="Arial"/>
                  <w:sz w:val="18"/>
                  <w:szCs w:val="18"/>
                  <w:color w:val="0000FF"/>
                  <w:w w:val="99"/>
                </w:rPr>
                <w:t>reference to Exhibit 10.8 to the Registrant's Registration Statement on Form S-1/A filed on May 18, 2021.</w:t>
              </w:r>
            </w:hyperlink>
          </w:p>
        </w:tc>
        <w:tc>
          <w:tcPr>
            <w:tcW w:w="40" w:type="dxa"/>
            <w:vAlign w:val="bottom"/>
            <w:tcBorders>
              <w:top w:val="single" w:sz="8" w:color="0000FF"/>
              <w:bottom w:val="single" w:sz="8" w:color="0000EE"/>
            </w:tcBorders>
          </w:tcPr>
          <w:p>
            <w:pPr>
              <w:spacing w:after="0"/>
              <w:rPr>
                <w:sz w:val="15"/>
                <w:szCs w:val="15"/>
                <w:color w:val="auto"/>
              </w:rPr>
            </w:pPr>
          </w:p>
        </w:tc>
        <w:tc>
          <w:tcPr>
            <w:tcW w:w="800" w:type="dxa"/>
            <w:vAlign w:val="bottom"/>
            <w:tcBorders>
              <w:top w:val="single" w:sz="8" w:color="0000FF"/>
            </w:tcBorders>
            <w:gridSpan w:val="3"/>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10.9#</w:t>
            </w:r>
          </w:p>
        </w:tc>
        <w:tc>
          <w:tcPr>
            <w:tcW w:w="9880" w:type="dxa"/>
            <w:vAlign w:val="bottom"/>
            <w:gridSpan w:val="35"/>
          </w:tcPr>
          <w:p>
            <w:pPr>
              <w:spacing w:after="0"/>
              <w:rPr>
                <w:rFonts w:ascii="Arial" w:cs="Arial" w:eastAsia="Arial" w:hAnsi="Arial"/>
                <w:sz w:val="18"/>
                <w:szCs w:val="18"/>
                <w:color w:val="0000FF"/>
              </w:rPr>
            </w:pPr>
            <w:hyperlink r:id="rId641">
              <w:r>
                <w:rPr>
                  <w:rFonts w:ascii="Arial" w:cs="Arial" w:eastAsia="Arial" w:hAnsi="Arial"/>
                  <w:sz w:val="18"/>
                  <w:szCs w:val="18"/>
                  <w:color w:val="0000FF"/>
                </w:rPr>
                <w:t>Employment Agreement, dated as of February 8, 2024, by and between the Registrant and Cosmin Pitigoi, incorporated by</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31"/>
          </w:tcPr>
          <w:p>
            <w:pPr>
              <w:spacing w:after="0" w:line="182" w:lineRule="exact"/>
              <w:rPr>
                <w:rFonts w:ascii="Arial" w:cs="Arial" w:eastAsia="Arial" w:hAnsi="Arial"/>
                <w:sz w:val="18"/>
                <w:szCs w:val="18"/>
                <w:color w:val="0000FF"/>
                <w:w w:val="99"/>
              </w:rPr>
            </w:pPr>
            <w:hyperlink r:id="rId641">
              <w:r>
                <w:rPr>
                  <w:rFonts w:ascii="Arial" w:cs="Arial" w:eastAsia="Arial" w:hAnsi="Arial"/>
                  <w:sz w:val="18"/>
                  <w:szCs w:val="18"/>
                  <w:color w:val="0000FF"/>
                  <w:w w:val="99"/>
                </w:rPr>
                <w:t>reference to Exhibit 10.20 to the Quarterly Report on Form 10-Q for the quarter ended March 31, 2024 filed on May 7, 2024.</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10.10#</w:t>
            </w:r>
          </w:p>
        </w:tc>
        <w:tc>
          <w:tcPr>
            <w:tcW w:w="9880" w:type="dxa"/>
            <w:vAlign w:val="bottom"/>
            <w:gridSpan w:val="35"/>
          </w:tcPr>
          <w:p>
            <w:pPr>
              <w:spacing w:after="0"/>
              <w:rPr>
                <w:rFonts w:ascii="Arial" w:cs="Arial" w:eastAsia="Arial" w:hAnsi="Arial"/>
                <w:sz w:val="18"/>
                <w:szCs w:val="18"/>
                <w:color w:val="0000FF"/>
              </w:rPr>
            </w:pPr>
            <w:hyperlink r:id="rId642">
              <w:r>
                <w:rPr>
                  <w:rFonts w:ascii="Arial" w:cs="Arial" w:eastAsia="Arial" w:hAnsi="Arial"/>
                  <w:sz w:val="18"/>
                  <w:szCs w:val="18"/>
                  <w:color w:val="0000FF"/>
                </w:rPr>
                <w:t>Employment Agreement, dated as of May 14, 2021, by and between the Registrant and Peter Butterfield, incorporated by</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66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642">
              <w:r>
                <w:rPr>
                  <w:rFonts w:ascii="Arial" w:cs="Arial" w:eastAsia="Arial" w:hAnsi="Arial"/>
                  <w:sz w:val="18"/>
                  <w:szCs w:val="18"/>
                  <w:color w:val="0000FF"/>
                </w:rPr>
                <w:t>reference to Exhibit 10.10 to the Registrant's Registration Statement on Form S-1/A filed on May 18, 2021</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10.11#</w:t>
            </w:r>
          </w:p>
        </w:tc>
        <w:tc>
          <w:tcPr>
            <w:tcW w:w="9880" w:type="dxa"/>
            <w:vAlign w:val="bottom"/>
            <w:gridSpan w:val="35"/>
          </w:tcPr>
          <w:p>
            <w:pPr>
              <w:spacing w:after="0"/>
              <w:rPr>
                <w:rFonts w:ascii="Arial" w:cs="Arial" w:eastAsia="Arial" w:hAnsi="Arial"/>
                <w:sz w:val="18"/>
                <w:szCs w:val="18"/>
                <w:color w:val="0000FF"/>
              </w:rPr>
            </w:pPr>
            <w:hyperlink r:id="rId643">
              <w:r>
                <w:rPr>
                  <w:rFonts w:ascii="Arial" w:cs="Arial" w:eastAsia="Arial" w:hAnsi="Arial"/>
                  <w:sz w:val="18"/>
                  <w:szCs w:val="18"/>
                  <w:color w:val="0000FF"/>
                </w:rPr>
                <w:t>Employment Agreement, dated as of May 14, 2021, by and between the Registrant and David King, incorporated by</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24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643">
              <w:r>
                <w:rPr>
                  <w:rFonts w:ascii="Arial" w:cs="Arial" w:eastAsia="Arial" w:hAnsi="Arial"/>
                  <w:sz w:val="18"/>
                  <w:szCs w:val="18"/>
                  <w:color w:val="0000FF"/>
                </w:rPr>
                <w:t>reference to Exhibit 10.11 to the Registrant's Registration Statement on Form S-1/A filed on May 18, 2021</w:t>
              </w:r>
              <w:r>
                <w:rPr>
                  <w:rFonts w:ascii="Arial" w:cs="Arial" w:eastAsia="Arial" w:hAnsi="Arial"/>
                  <w:sz w:val="18"/>
                  <w:szCs w:val="18"/>
                  <w:color w:val="000000"/>
                </w:rPr>
                <w:t>.</w:t>
              </w:r>
            </w:hyperlink>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10.14</w:t>
            </w:r>
          </w:p>
        </w:tc>
        <w:tc>
          <w:tcPr>
            <w:tcW w:w="9880" w:type="dxa"/>
            <w:vAlign w:val="bottom"/>
            <w:gridSpan w:val="35"/>
          </w:tcPr>
          <w:p>
            <w:pPr>
              <w:spacing w:after="0"/>
              <w:rPr>
                <w:rFonts w:ascii="Arial" w:cs="Arial" w:eastAsia="Arial" w:hAnsi="Arial"/>
                <w:sz w:val="18"/>
                <w:szCs w:val="18"/>
                <w:color w:val="0000FF"/>
              </w:rPr>
            </w:pPr>
            <w:hyperlink r:id="rId644">
              <w:r>
                <w:rPr>
                  <w:rFonts w:ascii="Arial" w:cs="Arial" w:eastAsia="Arial" w:hAnsi="Arial"/>
                  <w:sz w:val="18"/>
                  <w:szCs w:val="18"/>
                  <w:color w:val="0000FF"/>
                </w:rPr>
                <w:t>Office Lease, dated April 8, 2015, as amended by that certain First Amendment to Office Lease dated April 7, 2016, that</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5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644">
              <w:r>
                <w:rPr>
                  <w:rFonts w:ascii="Arial" w:cs="Arial" w:eastAsia="Arial" w:hAnsi="Arial"/>
                  <w:sz w:val="18"/>
                  <w:szCs w:val="18"/>
                  <w:color w:val="0000FF"/>
                </w:rPr>
                <w:t>certain Second Amendment to Office Lease dated October 23, 2018 and that certain Third Amendment to Office Lease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12"/>
            <w:vMerge w:val="restart"/>
          </w:tcPr>
          <w:p>
            <w:pPr>
              <w:spacing w:after="0"/>
              <w:rPr>
                <w:rFonts w:ascii="Arial" w:cs="Arial" w:eastAsia="Arial" w:hAnsi="Arial"/>
                <w:sz w:val="18"/>
                <w:szCs w:val="18"/>
                <w:color w:val="0000FF"/>
              </w:rPr>
            </w:pPr>
            <w:hyperlink r:id="rId644">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500" w:type="dxa"/>
            <w:vAlign w:val="bottom"/>
            <w:tcBorders>
              <w:top w:val="single" w:sz="8" w:color="0000FF"/>
            </w:tcBorders>
            <w:gridSpan w:val="18"/>
          </w:tcPr>
          <w:p>
            <w:pPr>
              <w:spacing w:after="0" w:line="182" w:lineRule="exact"/>
              <w:rPr>
                <w:rFonts w:ascii="Arial" w:cs="Arial" w:eastAsia="Arial" w:hAnsi="Arial"/>
                <w:sz w:val="18"/>
                <w:szCs w:val="18"/>
                <w:color w:val="0000FF"/>
                <w:w w:val="99"/>
              </w:rPr>
            </w:pPr>
            <w:hyperlink r:id="rId644">
              <w:r>
                <w:rPr>
                  <w:rFonts w:ascii="Arial" w:cs="Arial" w:eastAsia="Arial" w:hAnsi="Arial"/>
                  <w:sz w:val="18"/>
                  <w:szCs w:val="18"/>
                  <w:color w:val="0000FF"/>
                  <w:w w:val="99"/>
                </w:rPr>
                <w:t>dated May 1, 2023, by and between the Registrant and NS 141 Tremont LLC, incorporated by reference to Exhibit 10.14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856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644">
              <w:r>
                <w:rPr>
                  <w:rFonts w:ascii="Arial" w:cs="Arial" w:eastAsia="Arial" w:hAnsi="Arial"/>
                  <w:sz w:val="18"/>
                  <w:szCs w:val="18"/>
                  <w:color w:val="0000FF"/>
                  <w:w w:val="99"/>
                </w:rPr>
                <w:t>the Registrant's Quarterly Report on Form 10-Q for the period ended June 30, 2023 filed on August 8, 2023.</w:t>
              </w:r>
            </w:hyperlink>
          </w:p>
        </w:tc>
        <w:tc>
          <w:tcPr>
            <w:tcW w:w="20" w:type="dxa"/>
            <w:vAlign w:val="bottom"/>
            <w:tcBorders>
              <w:top w:val="single" w:sz="8" w:color="0000FF"/>
              <w:bottom w:val="single" w:sz="8" w:color="0000EE"/>
            </w:tcBorders>
          </w:tcPr>
          <w:p>
            <w:pPr>
              <w:spacing w:after="0"/>
              <w:rPr>
                <w:sz w:val="15"/>
                <w:szCs w:val="15"/>
                <w:color w:val="auto"/>
              </w:rPr>
            </w:pPr>
          </w:p>
        </w:tc>
        <w:tc>
          <w:tcPr>
            <w:tcW w:w="126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10.15</w:t>
            </w:r>
          </w:p>
        </w:tc>
        <w:tc>
          <w:tcPr>
            <w:tcW w:w="9880" w:type="dxa"/>
            <w:vAlign w:val="bottom"/>
            <w:gridSpan w:val="35"/>
          </w:tcPr>
          <w:p>
            <w:pPr>
              <w:spacing w:after="0"/>
              <w:rPr>
                <w:rFonts w:ascii="Arial" w:cs="Arial" w:eastAsia="Arial" w:hAnsi="Arial"/>
                <w:sz w:val="18"/>
                <w:szCs w:val="18"/>
                <w:color w:val="0000FF"/>
              </w:rPr>
            </w:pPr>
            <w:hyperlink r:id="rId645">
              <w:r>
                <w:rPr>
                  <w:rFonts w:ascii="Arial" w:cs="Arial" w:eastAsia="Arial" w:hAnsi="Arial"/>
                  <w:sz w:val="18"/>
                  <w:szCs w:val="18"/>
                  <w:color w:val="0000FF"/>
                </w:rPr>
                <w:t>Credit Agreement, dated July 29, 2021, as amended by the First Amendment to Credit Agreement dated June 23, 2023, by</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82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645">
              <w:r>
                <w:rPr>
                  <w:rFonts w:ascii="Arial" w:cs="Arial" w:eastAsia="Arial" w:hAnsi="Arial"/>
                  <w:sz w:val="18"/>
                  <w:szCs w:val="18"/>
                  <w:color w:val="0000FF"/>
                </w:rPr>
                <w:t>and among Flywire Corporation, the other Loan Parties party thereto from time to time, the Lenders party thereto from time</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76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645">
              <w:r>
                <w:rPr>
                  <w:rFonts w:ascii="Arial" w:cs="Arial" w:eastAsia="Arial" w:hAnsi="Arial"/>
                  <w:sz w:val="18"/>
                  <w:szCs w:val="18"/>
                  <w:color w:val="0000FF"/>
                </w:rPr>
                <w:t>to time, the Issuing Banks party thereto from time to time, and Citibank, incorporated by reference to Exhibit 10.1 to the</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48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645">
              <w:r>
                <w:rPr>
                  <w:rFonts w:ascii="Arial" w:cs="Arial" w:eastAsia="Arial" w:hAnsi="Arial"/>
                  <w:sz w:val="18"/>
                  <w:szCs w:val="18"/>
                  <w:color w:val="0000FF"/>
                </w:rPr>
                <w:t>Registrant’s Quarterly Report on Form 10-Q for the period ended June 30, 2023 filed on August 8,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10.17#</w:t>
            </w:r>
          </w:p>
        </w:tc>
        <w:tc>
          <w:tcPr>
            <w:tcW w:w="9880" w:type="dxa"/>
            <w:vAlign w:val="bottom"/>
            <w:gridSpan w:val="35"/>
          </w:tcPr>
          <w:p>
            <w:pPr>
              <w:spacing w:after="0"/>
              <w:rPr>
                <w:rFonts w:ascii="Arial" w:cs="Arial" w:eastAsia="Arial" w:hAnsi="Arial"/>
                <w:sz w:val="18"/>
                <w:szCs w:val="18"/>
                <w:color w:val="0000FF"/>
              </w:rPr>
            </w:pPr>
            <w:hyperlink r:id="rId646">
              <w:r>
                <w:rPr>
                  <w:rFonts w:ascii="Arial" w:cs="Arial" w:eastAsia="Arial" w:hAnsi="Arial"/>
                  <w:sz w:val="18"/>
                  <w:szCs w:val="18"/>
                  <w:color w:val="0000FF"/>
                </w:rPr>
                <w:t>Management Cash Incentive Plan, incorporated by reference to Exhibit 10.17 to the Registrant's Annual Report on Form</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54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646">
              <w:r>
                <w:rPr>
                  <w:rFonts w:ascii="Arial" w:cs="Arial" w:eastAsia="Arial" w:hAnsi="Arial"/>
                  <w:sz w:val="18"/>
                  <w:szCs w:val="18"/>
                  <w:color w:val="0000FF"/>
                  <w:w w:val="99"/>
                </w:rPr>
                <w:t>10-K for the year ended December 31, 2022 filed on March 10, 2023.</w:t>
              </w:r>
            </w:hyperlink>
          </w:p>
        </w:tc>
        <w:tc>
          <w:tcPr>
            <w:tcW w:w="20" w:type="dxa"/>
            <w:vAlign w:val="bottom"/>
            <w:tcBorders>
              <w:top w:val="single" w:sz="8" w:color="0000FF"/>
              <w:bottom w:val="single" w:sz="8" w:color="0000EE"/>
            </w:tcBorders>
          </w:tcPr>
          <w:p>
            <w:pPr>
              <w:spacing w:after="0"/>
              <w:rPr>
                <w:sz w:val="15"/>
                <w:szCs w:val="15"/>
                <w:color w:val="auto"/>
              </w:rPr>
            </w:pPr>
          </w:p>
        </w:tc>
        <w:tc>
          <w:tcPr>
            <w:tcW w:w="410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10.20</w:t>
            </w:r>
          </w:p>
        </w:tc>
        <w:tc>
          <w:tcPr>
            <w:tcW w:w="9880" w:type="dxa"/>
            <w:vAlign w:val="bottom"/>
            <w:gridSpan w:val="35"/>
          </w:tcPr>
          <w:p>
            <w:pPr>
              <w:spacing w:after="0"/>
              <w:rPr>
                <w:rFonts w:ascii="Arial" w:cs="Arial" w:eastAsia="Arial" w:hAnsi="Arial"/>
                <w:sz w:val="18"/>
                <w:szCs w:val="18"/>
                <w:color w:val="0000FF"/>
              </w:rPr>
            </w:pPr>
            <w:hyperlink r:id="rId647">
              <w:r>
                <w:rPr>
                  <w:rFonts w:ascii="Arial" w:cs="Arial" w:eastAsia="Arial" w:hAnsi="Arial"/>
                  <w:sz w:val="18"/>
                  <w:szCs w:val="18"/>
                  <w:color w:val="0000FF"/>
                </w:rPr>
                <w:t>Amended and Restated Credit Agreement, dated as of February 23, 2024, by and among Flywire Corporation, the other</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54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9"/>
              </w:rPr>
            </w:pPr>
            <w:hyperlink r:id="rId647">
              <w:r>
                <w:rPr>
                  <w:rFonts w:ascii="Arial" w:cs="Arial" w:eastAsia="Arial" w:hAnsi="Arial"/>
                  <w:sz w:val="18"/>
                  <w:szCs w:val="18"/>
                  <w:color w:val="0000FF"/>
                  <w:w w:val="99"/>
                </w:rPr>
                <w:t>Loan Parties party thereto from time to time, the Lenders party thereto from time to time, the Issuing Banks party thereto</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58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647">
              <w:r>
                <w:rPr>
                  <w:rFonts w:ascii="Arial" w:cs="Arial" w:eastAsia="Arial" w:hAnsi="Arial"/>
                  <w:sz w:val="18"/>
                  <w:szCs w:val="18"/>
                  <w:color w:val="0000FF"/>
                  <w:w w:val="99"/>
                </w:rPr>
                <w:t>from time to time, and Citibank, N.A., incorporated by reference to Exhibit 10.15 to the Quarterly Report on Form 10-Q for</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44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647">
              <w:r>
                <w:rPr>
                  <w:rFonts w:ascii="Arial" w:cs="Arial" w:eastAsia="Arial" w:hAnsi="Arial"/>
                  <w:sz w:val="18"/>
                  <w:szCs w:val="18"/>
                  <w:color w:val="0000FF"/>
                  <w:w w:val="99"/>
                </w:rPr>
                <w:t>the quarter ended March 31, 2024 filed on May 7, 2024.</w:t>
              </w:r>
            </w:hyperlink>
          </w:p>
        </w:tc>
        <w:tc>
          <w:tcPr>
            <w:tcW w:w="5260" w:type="dxa"/>
            <w:vAlign w:val="bottom"/>
            <w:gridSpan w:val="2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19.1*</w:t>
            </w:r>
          </w:p>
        </w:tc>
        <w:tc>
          <w:tcPr>
            <w:tcW w:w="9880" w:type="dxa"/>
            <w:vAlign w:val="bottom"/>
            <w:gridSpan w:val="35"/>
          </w:tcPr>
          <w:p>
            <w:pPr>
              <w:spacing w:after="0"/>
              <w:rPr>
                <w:sz w:val="20"/>
                <w:szCs w:val="20"/>
                <w:color w:val="auto"/>
              </w:rPr>
            </w:pPr>
            <w:r>
              <w:rPr>
                <w:rFonts w:ascii="Arial" w:cs="Arial" w:eastAsia="Arial" w:hAnsi="Arial"/>
                <w:sz w:val="18"/>
                <w:szCs w:val="18"/>
                <w:color w:val="0000FF"/>
              </w:rPr>
              <w:t>Amended &amp; Restated Insider Trading Policy.</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21.1*</w:t>
            </w:r>
          </w:p>
        </w:tc>
        <w:tc>
          <w:tcPr>
            <w:tcW w:w="9880" w:type="dxa"/>
            <w:vAlign w:val="bottom"/>
            <w:gridSpan w:val="35"/>
          </w:tcPr>
          <w:p>
            <w:pPr>
              <w:spacing w:after="0"/>
              <w:rPr>
                <w:sz w:val="20"/>
                <w:szCs w:val="20"/>
                <w:color w:val="auto"/>
              </w:rPr>
            </w:pPr>
            <w:r>
              <w:rPr>
                <w:rFonts w:ascii="Arial" w:cs="Arial" w:eastAsia="Arial" w:hAnsi="Arial"/>
                <w:sz w:val="18"/>
                <w:szCs w:val="18"/>
                <w:color w:val="0000FF"/>
              </w:rPr>
              <w:t>List of Subsidiaries of the Registrant.</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23.1*</w:t>
            </w:r>
          </w:p>
        </w:tc>
        <w:tc>
          <w:tcPr>
            <w:tcW w:w="9880" w:type="dxa"/>
            <w:vAlign w:val="bottom"/>
            <w:gridSpan w:val="35"/>
          </w:tcPr>
          <w:p>
            <w:pPr>
              <w:spacing w:after="0"/>
              <w:rPr>
                <w:sz w:val="20"/>
                <w:szCs w:val="20"/>
                <w:color w:val="auto"/>
              </w:rPr>
            </w:pPr>
            <w:r>
              <w:rPr>
                <w:rFonts w:ascii="Arial" w:cs="Arial" w:eastAsia="Arial" w:hAnsi="Arial"/>
                <w:sz w:val="18"/>
                <w:szCs w:val="18"/>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FF"/>
            </w:tcBorders>
            <w:gridSpan w:val="6"/>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31.1*</w:t>
            </w:r>
          </w:p>
        </w:tc>
        <w:tc>
          <w:tcPr>
            <w:tcW w:w="9880" w:type="dxa"/>
            <w:vAlign w:val="bottom"/>
            <w:gridSpan w:val="35"/>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860" w:type="dxa"/>
            <w:vAlign w:val="bottom"/>
            <w:tcBorders>
              <w:top w:val="single" w:sz="8" w:color="0000FF"/>
            </w:tcBorders>
            <w:gridSpan w:val="34"/>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6"/>
            <w:shd w:val="clear" w:color="auto" w:fill="0000FF"/>
          </w:tcPr>
          <w:p>
            <w:pPr>
              <w:spacing w:after="0" w:line="20" w:lineRule="exact"/>
              <w:rPr>
                <w:sz w:val="1"/>
                <w:szCs w:val="1"/>
                <w:color w:val="auto"/>
              </w:rPr>
            </w:pPr>
          </w:p>
        </w:tc>
        <w:tc>
          <w:tcPr>
            <w:tcW w:w="330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31.2*</w:t>
            </w:r>
          </w:p>
        </w:tc>
        <w:tc>
          <w:tcPr>
            <w:tcW w:w="9880" w:type="dxa"/>
            <w:vAlign w:val="bottom"/>
            <w:gridSpan w:val="35"/>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780" w:type="dxa"/>
            <w:vAlign w:val="bottom"/>
            <w:tcBorders>
              <w:top w:val="single" w:sz="8" w:color="0000FF"/>
            </w:tcBorders>
            <w:gridSpan w:val="30"/>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6"/>
            <w:shd w:val="clear" w:color="auto" w:fill="0000FF"/>
          </w:tcPr>
          <w:p>
            <w:pPr>
              <w:spacing w:after="0" w:line="20" w:lineRule="exact"/>
              <w:rPr>
                <w:sz w:val="1"/>
                <w:szCs w:val="1"/>
                <w:color w:val="auto"/>
              </w:rPr>
            </w:pPr>
          </w:p>
        </w:tc>
        <w:tc>
          <w:tcPr>
            <w:tcW w:w="330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32.1*</w:t>
            </w:r>
          </w:p>
        </w:tc>
        <w:tc>
          <w:tcPr>
            <w:tcW w:w="9880" w:type="dxa"/>
            <w:vAlign w:val="bottom"/>
            <w:gridSpan w:val="35"/>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26"/>
          </w:tcPr>
          <w:p>
            <w:pPr>
              <w:spacing w:after="0"/>
              <w:rPr>
                <w:sz w:val="15"/>
                <w:szCs w:val="15"/>
                <w:color w:val="auto"/>
              </w:rPr>
            </w:pPr>
          </w:p>
        </w:tc>
        <w:tc>
          <w:tcPr>
            <w:tcW w:w="1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32.2*</w:t>
            </w:r>
          </w:p>
        </w:tc>
        <w:tc>
          <w:tcPr>
            <w:tcW w:w="9880" w:type="dxa"/>
            <w:vAlign w:val="bottom"/>
            <w:gridSpan w:val="35"/>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23"/>
          </w:tcPr>
          <w:p>
            <w:pPr>
              <w:spacing w:after="0"/>
              <w:rPr>
                <w:sz w:val="15"/>
                <w:szCs w:val="15"/>
                <w:color w:val="auto"/>
              </w:rPr>
            </w:pPr>
          </w:p>
        </w:tc>
        <w:tc>
          <w:tcPr>
            <w:tcW w:w="2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400" w:type="dxa"/>
            <w:vAlign w:val="bottom"/>
          </w:tcPr>
          <w:p>
            <w:pPr>
              <w:ind w:left="20"/>
              <w:spacing w:after="0"/>
              <w:rPr>
                <w:sz w:val="20"/>
                <w:szCs w:val="20"/>
                <w:color w:val="auto"/>
              </w:rPr>
            </w:pPr>
            <w:r>
              <w:rPr>
                <w:rFonts w:ascii="Arial" w:cs="Arial" w:eastAsia="Arial" w:hAnsi="Arial"/>
                <w:sz w:val="18"/>
                <w:szCs w:val="18"/>
                <w:color w:val="auto"/>
              </w:rPr>
              <w:t>97.1</w:t>
            </w:r>
          </w:p>
        </w:tc>
        <w:tc>
          <w:tcPr>
            <w:tcW w:w="9880" w:type="dxa"/>
            <w:vAlign w:val="bottom"/>
            <w:gridSpan w:val="35"/>
          </w:tcPr>
          <w:p>
            <w:pPr>
              <w:spacing w:after="0"/>
              <w:rPr>
                <w:rFonts w:ascii="Arial" w:cs="Arial" w:eastAsia="Arial" w:hAnsi="Arial"/>
                <w:sz w:val="18"/>
                <w:szCs w:val="18"/>
                <w:color w:val="0000FF"/>
              </w:rPr>
            </w:pPr>
            <w:hyperlink r:id="rId648">
              <w:r>
                <w:rPr>
                  <w:rFonts w:ascii="Arial" w:cs="Arial" w:eastAsia="Arial" w:hAnsi="Arial"/>
                  <w:sz w:val="18"/>
                  <w:szCs w:val="18"/>
                  <w:color w:val="0000FF"/>
                </w:rPr>
                <w:t>Flywire Corporation Policy for the Recovery of Erroneously Awarded Compensation, incorporated by reference to Exhibit</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952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648">
              <w:r>
                <w:rPr>
                  <w:rFonts w:ascii="Arial" w:cs="Arial" w:eastAsia="Arial" w:hAnsi="Arial"/>
                  <w:sz w:val="18"/>
                  <w:szCs w:val="18"/>
                  <w:color w:val="0000FF"/>
                  <w:w w:val="99"/>
                </w:rPr>
                <w:t>97.</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Annual Report on Form 10-K for the year ended December 31, 2023 filed on February 28, 2024.</w:t>
              </w:r>
            </w:hyperlink>
          </w:p>
        </w:tc>
        <w:tc>
          <w:tcPr>
            <w:tcW w:w="100" w:type="dxa"/>
            <w:vAlign w:val="bottom"/>
            <w:tcBorders>
              <w:top w:val="single" w:sz="8" w:color="0000FF"/>
            </w:tcBorders>
            <w:gridSpan w:val="5"/>
          </w:tcPr>
          <w:p>
            <w:pPr>
              <w:spacing w:after="0"/>
              <w:rPr>
                <w:sz w:val="15"/>
                <w:szCs w:val="15"/>
                <w:color w:val="auto"/>
              </w:rPr>
            </w:pPr>
          </w:p>
        </w:tc>
        <w:tc>
          <w:tcPr>
            <w:tcW w:w="2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1400" w:type="dxa"/>
            <w:vAlign w:val="bottom"/>
          </w:tcPr>
          <w:p>
            <w:pPr>
              <w:spacing w:after="0"/>
              <w:rPr>
                <w:sz w:val="24"/>
                <w:szCs w:val="24"/>
                <w:color w:val="auto"/>
              </w:rPr>
            </w:pPr>
          </w:p>
        </w:tc>
        <w:tc>
          <w:tcPr>
            <w:tcW w:w="4420" w:type="dxa"/>
            <w:vAlign w:val="bottom"/>
            <w:gridSpan w:val="5"/>
          </w:tcPr>
          <w:p>
            <w:pPr>
              <w:jc w:val="right"/>
              <w:ind w:right="40"/>
              <w:spacing w:after="0"/>
              <w:rPr>
                <w:sz w:val="20"/>
                <w:szCs w:val="20"/>
                <w:color w:val="auto"/>
              </w:rPr>
            </w:pPr>
            <w:r>
              <w:rPr>
                <w:rFonts w:ascii="Arial" w:cs="Arial" w:eastAsia="Arial" w:hAnsi="Arial"/>
                <w:sz w:val="18"/>
                <w:szCs w:val="18"/>
                <w:color w:val="auto"/>
              </w:rPr>
              <w:t>156</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4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57" w:name="page158"/>
    <w:bookmarkEnd w:id="157"/>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tcPr>
          <w:p>
            <w:pPr>
              <w:ind w:left="320"/>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w:t>
            </w:r>
          </w:p>
        </w:tc>
      </w:tr>
      <w:tr>
        <w:trPr>
          <w:trHeight w:val="239"/>
        </w:trPr>
        <w:tc>
          <w:tcPr>
            <w:tcW w:w="104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are embedded within the Inline XBRL document.</w:t>
            </w:r>
          </w:p>
        </w:tc>
      </w:tr>
      <w:tr>
        <w:trPr>
          <w:trHeight w:val="37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tcPr>
          <w:p>
            <w:pPr>
              <w:ind w:left="320"/>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spacing w:after="0" w:line="139" w:lineRule="exact"/>
        <w:rPr>
          <w:sz w:val="20"/>
          <w:szCs w:val="20"/>
          <w:color w:val="auto"/>
        </w:rPr>
      </w:pPr>
    </w:p>
    <w:p>
      <w:pPr>
        <w:ind w:left="1380" w:hanging="1359"/>
        <w:spacing w:after="0"/>
        <w:tabs>
          <w:tab w:leader="none" w:pos="1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4230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45" w:right="519" w:bottom="1440" w:gutter="0" w:footer="0" w:header="0"/>
        </w:sectPr>
      </w:pPr>
    </w:p>
    <w:bookmarkStart w:id="158" w:name="page159"/>
    <w:bookmarkEnd w:id="158"/>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3340" w:type="dxa"/>
            <w:vAlign w:val="bottom"/>
          </w:tcPr>
          <w:p>
            <w:pPr>
              <w:spacing w:after="0"/>
              <w:rPr>
                <w:sz w:val="21"/>
                <w:szCs w:val="21"/>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b w:val="1"/>
                <w:bCs w:val="1"/>
                <w:color w:val="auto"/>
              </w:rPr>
              <w:t>FLYWIRE CORPORATION</w:t>
            </w:r>
          </w:p>
        </w:tc>
      </w:tr>
      <w:tr>
        <w:trPr>
          <w:trHeight w:val="393"/>
        </w:trPr>
        <w:tc>
          <w:tcPr>
            <w:tcW w:w="3340" w:type="dxa"/>
            <w:vAlign w:val="bottom"/>
          </w:tcPr>
          <w:p>
            <w:pPr>
              <w:spacing w:after="0"/>
              <w:rPr>
                <w:sz w:val="20"/>
                <w:szCs w:val="20"/>
                <w:color w:val="auto"/>
              </w:rPr>
            </w:pPr>
            <w:r>
              <w:rPr>
                <w:rFonts w:ascii="Arial" w:cs="Arial" w:eastAsia="Arial" w:hAnsi="Arial"/>
                <w:sz w:val="18"/>
                <w:szCs w:val="18"/>
                <w:color w:val="auto"/>
              </w:rPr>
              <w:t>Date: February 25, 2025</w:t>
            </w:r>
          </w:p>
        </w:tc>
        <w:tc>
          <w:tcPr>
            <w:tcW w:w="1880" w:type="dxa"/>
            <w:vAlign w:val="bottom"/>
          </w:tcPr>
          <w:p>
            <w:pPr>
              <w:ind w:left="140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Massaro</w:t>
            </w:r>
          </w:p>
        </w:tc>
      </w:tr>
      <w:tr>
        <w:trPr>
          <w:trHeight w:val="177"/>
        </w:trPr>
        <w:tc>
          <w:tcPr>
            <w:tcW w:w="3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7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Michael Massaro</w:t>
            </w:r>
          </w:p>
        </w:tc>
      </w:tr>
      <w:tr>
        <w:trPr>
          <w:trHeight w:val="213"/>
        </w:trPr>
        <w:tc>
          <w:tcPr>
            <w:tcW w:w="3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b w:val="1"/>
                <w:bCs w:val="1"/>
                <w:color w:val="auto"/>
                <w:w w:val="99"/>
              </w:rPr>
              <w:t>Chief Executive Officer and Director</w:t>
            </w:r>
          </w:p>
        </w:tc>
      </w:tr>
      <w:tr>
        <w:trPr>
          <w:trHeight w:val="235"/>
        </w:trPr>
        <w:tc>
          <w:tcPr>
            <w:tcW w:w="3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jc w:val="center"/>
              <w:spacing w:after="0"/>
              <w:rPr>
                <w:sz w:val="20"/>
                <w:szCs w:val="20"/>
                <w:color w:val="auto"/>
              </w:rPr>
            </w:pPr>
            <w:r>
              <w:rPr>
                <w:rFonts w:ascii="Arial" w:cs="Arial" w:eastAsia="Arial" w:hAnsi="Arial"/>
                <w:sz w:val="17"/>
                <w:szCs w:val="17"/>
                <w:b w:val="1"/>
                <w:bCs w:val="1"/>
                <w:color w:val="auto"/>
              </w:rPr>
              <w:t>(Principal Executive Officer)</w:t>
            </w:r>
          </w:p>
        </w:tc>
      </w:tr>
      <w:tr>
        <w:trPr>
          <w:trHeight w:val="394"/>
        </w:trPr>
        <w:tc>
          <w:tcPr>
            <w:tcW w:w="3340" w:type="dxa"/>
            <w:vAlign w:val="bottom"/>
          </w:tcPr>
          <w:p>
            <w:pPr>
              <w:spacing w:after="0"/>
              <w:rPr>
                <w:sz w:val="20"/>
                <w:szCs w:val="20"/>
                <w:color w:val="auto"/>
              </w:rPr>
            </w:pPr>
            <w:r>
              <w:rPr>
                <w:rFonts w:ascii="Arial" w:cs="Arial" w:eastAsia="Arial" w:hAnsi="Arial"/>
                <w:sz w:val="18"/>
                <w:szCs w:val="18"/>
                <w:color w:val="auto"/>
              </w:rPr>
              <w:t>Date: February 25, 2025</w:t>
            </w:r>
          </w:p>
        </w:tc>
        <w:tc>
          <w:tcPr>
            <w:tcW w:w="1880" w:type="dxa"/>
            <w:vAlign w:val="bottom"/>
          </w:tcPr>
          <w:p>
            <w:pPr>
              <w:ind w:left="1400"/>
              <w:spacing w:after="0"/>
              <w:rPr>
                <w:sz w:val="20"/>
                <w:szCs w:val="20"/>
                <w:color w:val="auto"/>
              </w:rPr>
            </w:pPr>
            <w:r>
              <w:rPr>
                <w:rFonts w:ascii="Arial" w:cs="Arial" w:eastAsia="Arial" w:hAnsi="Arial"/>
                <w:sz w:val="18"/>
                <w:szCs w:val="18"/>
                <w:color w:val="auto"/>
              </w:rPr>
              <w:t>By:</w:t>
            </w:r>
          </w:p>
        </w:tc>
        <w:tc>
          <w:tcPr>
            <w:tcW w:w="5740" w:type="dxa"/>
            <w:vAlign w:val="bottom"/>
          </w:tcPr>
          <w:p>
            <w:pPr>
              <w:jc w:val="center"/>
              <w:spacing w:after="0"/>
              <w:rPr>
                <w:sz w:val="20"/>
                <w:szCs w:val="20"/>
                <w:color w:val="auto"/>
              </w:rPr>
            </w:pPr>
            <w:r>
              <w:rPr>
                <w:rFonts w:ascii="Arial" w:cs="Arial" w:eastAsia="Arial" w:hAnsi="Arial"/>
                <w:sz w:val="18"/>
                <w:szCs w:val="18"/>
                <w:color w:val="auto"/>
              </w:rPr>
              <w:t>/s/ Cosmin Pitigoi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364363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3">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jc w:val="center"/>
        <w:ind w:left="5300"/>
        <w:spacing w:after="0" w:line="234" w:lineRule="auto"/>
        <w:rPr>
          <w:sz w:val="20"/>
          <w:szCs w:val="20"/>
          <w:color w:val="auto"/>
        </w:rPr>
      </w:pPr>
      <w:r>
        <w:rPr>
          <w:rFonts w:ascii="Arial" w:cs="Arial" w:eastAsia="Arial" w:hAnsi="Arial"/>
          <w:sz w:val="18"/>
          <w:szCs w:val="18"/>
          <w:b w:val="1"/>
          <w:bCs w:val="1"/>
          <w:color w:val="auto"/>
        </w:rPr>
        <w:t>Cosmin Pitigoi</w:t>
      </w:r>
    </w:p>
    <w:p>
      <w:pPr>
        <w:spacing w:after="0" w:line="1"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Chief Financial Officer</w:t>
      </w:r>
    </w:p>
    <w:p>
      <w:pPr>
        <w:spacing w:after="0" w:line="4" w:lineRule="exact"/>
        <w:rPr>
          <w:sz w:val="20"/>
          <w:szCs w:val="20"/>
          <w:color w:val="auto"/>
        </w:rPr>
      </w:pPr>
    </w:p>
    <w:p>
      <w:pPr>
        <w:ind w:left="650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4" w:right="4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w:t>
      </w:r>
      <w:r>
        <w:rPr>
          <w:rFonts w:ascii="Arial" w:cs="Arial" w:eastAsia="Arial" w:hAnsi="Arial"/>
          <w:sz w:val="18"/>
          <w:szCs w:val="18"/>
          <w:i w:val="1"/>
          <w:iCs w:val="1"/>
          <w:color w:val="auto"/>
        </w:rPr>
        <w:t xml:space="preserve"> </w:t>
      </w:r>
      <w:r>
        <w:rPr>
          <w:rFonts w:ascii="Arial" w:cs="Arial" w:eastAsia="Arial" w:hAnsi="Arial"/>
          <w:sz w:val="18"/>
          <w:szCs w:val="18"/>
          <w:color w:val="auto"/>
        </w:rPr>
        <w:t>Michael Massaro and Cosmin Pitigoi, and each of them, as his or her true and lawful attorneys-in-fact, proxies,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40"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this Annual Report on Form 10-K has been signed by the following persons on behalf of the registrant and in the capacities and on the dates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8"/>
              </w:rPr>
              <w:t>Signature</w:t>
            </w:r>
          </w:p>
        </w:tc>
        <w:tc>
          <w:tcPr>
            <w:tcW w:w="2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1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Michael Massaro</w:t>
            </w:r>
          </w:p>
        </w:tc>
        <w:tc>
          <w:tcPr>
            <w:tcW w:w="20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4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February 25, 2025</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41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Pr>
          <w:p>
            <w:pPr>
              <w:jc w:val="center"/>
              <w:spacing w:after="0" w:line="164" w:lineRule="exact"/>
              <w:rPr>
                <w:sz w:val="20"/>
                <w:szCs w:val="20"/>
                <w:color w:val="auto"/>
              </w:rPr>
            </w:pPr>
            <w:r>
              <w:rPr>
                <w:rFonts w:ascii="Arial" w:cs="Arial" w:eastAsia="Arial" w:hAnsi="Arial"/>
                <w:sz w:val="18"/>
                <w:szCs w:val="18"/>
                <w:color w:val="auto"/>
                <w:w w:val="99"/>
              </w:rPr>
              <w:t>Michael Massaro</w:t>
            </w:r>
          </w:p>
        </w:tc>
        <w:tc>
          <w:tcPr>
            <w:tcW w:w="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9"/>
              </w:rPr>
              <w:t>February 25, 2025</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2"/>
          </w:tcPr>
          <w:p>
            <w:pPr>
              <w:jc w:val="center"/>
              <w:ind w:right="40"/>
              <w:spacing w:after="0"/>
              <w:rPr>
                <w:sz w:val="20"/>
                <w:szCs w:val="20"/>
                <w:color w:val="auto"/>
              </w:rPr>
            </w:pPr>
            <w:r>
              <w:rPr>
                <w:rFonts w:ascii="Arial" w:cs="Arial" w:eastAsia="Arial" w:hAnsi="Arial"/>
                <w:sz w:val="18"/>
                <w:szCs w:val="18"/>
                <w:color w:val="auto"/>
              </w:rPr>
              <w:t>/s/ Phillip Riese</w:t>
            </w:r>
          </w:p>
        </w:tc>
        <w:tc>
          <w:tcPr>
            <w:tcW w:w="2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9"/>
              </w:rPr>
              <w:t>Chairman of the Board of Directors</w:t>
            </w:r>
          </w:p>
        </w:tc>
        <w:tc>
          <w:tcPr>
            <w:tcW w:w="140" w:type="dxa"/>
            <w:vAlign w:val="bottom"/>
          </w:tcPr>
          <w:p>
            <w:pPr>
              <w:spacing w:after="0"/>
              <w:rPr>
                <w:sz w:val="20"/>
                <w:szCs w:val="20"/>
                <w:color w:val="auto"/>
              </w:rPr>
            </w:pPr>
          </w:p>
        </w:tc>
        <w:tc>
          <w:tcPr>
            <w:tcW w:w="21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8"/>
                <w:szCs w:val="18"/>
                <w:color w:val="auto"/>
              </w:rPr>
              <w:t>Phillip Riese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9"/>
              </w:rPr>
              <w:t>February 25, 2025</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Alex Finkelstein</w:t>
            </w:r>
          </w:p>
        </w:tc>
        <w:tc>
          <w:tcPr>
            <w:tcW w:w="200" w:type="dxa"/>
            <w:vAlign w:val="bottom"/>
          </w:tcPr>
          <w:p>
            <w:pPr>
              <w:spacing w:after="0"/>
              <w:rPr>
                <w:sz w:val="20"/>
                <w:szCs w:val="20"/>
                <w:color w:val="auto"/>
              </w:rPr>
            </w:pPr>
          </w:p>
        </w:tc>
        <w:tc>
          <w:tcPr>
            <w:tcW w:w="4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8"/>
                <w:szCs w:val="18"/>
                <w:color w:val="auto"/>
                <w:w w:val="99"/>
              </w:rPr>
              <w:t>Alex Finkelstein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9"/>
              </w:rPr>
              <w:t>February 25, 2025</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Matt Harris</w:t>
            </w:r>
          </w:p>
        </w:tc>
        <w:tc>
          <w:tcPr>
            <w:tcW w:w="200" w:type="dxa"/>
            <w:vAlign w:val="bottom"/>
          </w:tcPr>
          <w:p>
            <w:pPr>
              <w:spacing w:after="0"/>
              <w:rPr>
                <w:sz w:val="20"/>
                <w:szCs w:val="20"/>
                <w:color w:val="auto"/>
              </w:rPr>
            </w:pPr>
          </w:p>
        </w:tc>
        <w:tc>
          <w:tcPr>
            <w:tcW w:w="4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8"/>
                <w:szCs w:val="18"/>
                <w:color w:val="auto"/>
                <w:w w:val="99"/>
              </w:rPr>
              <w:t>Matt Harris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9"/>
              </w:rPr>
              <w:t>February 25, 2025</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Gretchen Howard</w:t>
            </w:r>
          </w:p>
        </w:tc>
        <w:tc>
          <w:tcPr>
            <w:tcW w:w="200" w:type="dxa"/>
            <w:vAlign w:val="bottom"/>
          </w:tcPr>
          <w:p>
            <w:pPr>
              <w:spacing w:after="0"/>
              <w:rPr>
                <w:sz w:val="20"/>
                <w:szCs w:val="20"/>
                <w:color w:val="auto"/>
              </w:rPr>
            </w:pPr>
          </w:p>
        </w:tc>
        <w:tc>
          <w:tcPr>
            <w:tcW w:w="4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Gretchen Howard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Carleigh Jaques</w:t>
            </w:r>
          </w:p>
        </w:tc>
        <w:tc>
          <w:tcPr>
            <w:tcW w:w="2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February 25, 2025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Carleigh Jaques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Diane Offereins</w:t>
            </w:r>
          </w:p>
        </w:tc>
        <w:tc>
          <w:tcPr>
            <w:tcW w:w="2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February 25, 2025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Diane Offereins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Edwin Santos</w:t>
            </w:r>
          </w:p>
        </w:tc>
        <w:tc>
          <w:tcPr>
            <w:tcW w:w="2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February 25, 2025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Edwin Santos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
          </w:tcPr>
          <w:p>
            <w:pPr>
              <w:jc w:val="right"/>
              <w:ind w:right="259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60" w:name="page161"/>
    <w:bookmarkEnd w:id="160"/>
    <w:p>
      <w:pPr>
        <w:jc w:val="right"/>
        <w:ind w:right="639"/>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167640</wp:posOffset>
            </wp:positionV>
            <wp:extent cx="1114425" cy="3689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7">
                      <a:extLst>
                        <a:ext uri="{28A0092B-C50C-407E-A947-70E740481C1C}"/>
                      </a:extLst>
                    </a:blip>
                    <a:srcRect/>
                    <a:stretch>
                      <a:fillRect/>
                    </a:stretch>
                  </pic:blipFill>
                  <pic:spPr bwMode="auto">
                    <a:xfrm>
                      <a:off x="0" y="0"/>
                      <a:ext cx="11144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Amended &amp; Restated</w:t>
      </w:r>
    </w:p>
    <w:p>
      <w:pPr>
        <w:spacing w:after="0" w:line="1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(effective as of 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61" w:name="page162"/>
    <w:bookmarkEnd w:id="161"/>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224"/>
        </w:trPr>
        <w:tc>
          <w:tcPr>
            <w:tcW w:w="118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44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443"/>
        </w:trPr>
        <w:tc>
          <w:tcPr>
            <w:tcW w:w="11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Introduction</w:t>
            </w:r>
          </w:p>
        </w:tc>
        <w:tc>
          <w:tcPr>
            <w:tcW w:w="96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A.</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Legal Prohibitions on Insider Trading</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Detection and Prosecution of Insider Trading</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Penalties for Violation of Insider Trading Laws and This Policy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D.</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Compliance Officer</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E.</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Reporting Violations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58"/>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F.</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Personal responsibility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417"/>
        </w:trPr>
        <w:tc>
          <w:tcPr>
            <w:tcW w:w="10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Persons and Transactions Covered by This Policy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A.</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Persons Covered by This Policy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Types of Transactions Covered by This Policy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Responsibilities Regarding the Non-Public Information of Other Companies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D.</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Applicability of This Policy after Your Departure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8"/>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E.</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No Exceptions Based on Personal Circumstances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417"/>
        </w:trPr>
        <w:tc>
          <w:tcPr>
            <w:tcW w:w="10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Material Non-Public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A.</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“Material”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8"/>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“Non-Public”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417"/>
        </w:trPr>
        <w:tc>
          <w:tcPr>
            <w:tcW w:w="10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Policies Regarding Material Non-Public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A.</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Confidentiality of Non-Public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No Trading on Material Non-Public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No Disclosing Material Non-Public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8"/>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D.</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Responding to Outside Inquiries for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417"/>
        </w:trPr>
        <w:tc>
          <w:tcPr>
            <w:tcW w:w="10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Trading Blackout Periods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A.</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Quarterly Blackout Periods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Special Blackout Periods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58"/>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No “Safe Harbors”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445"/>
        </w:trPr>
        <w:tc>
          <w:tcPr>
            <w:tcW w:w="10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Pre-Clearance of Trades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17"/>
        </w:trPr>
        <w:tc>
          <w:tcPr>
            <w:tcW w:w="10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Additional Restrictions and Guidance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A.</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Short Sales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Derivative Securities and Hedging Transactions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Using Company Securities as Collateral for Loans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D.</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Holding Company Securities in Margin Accounts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8"/>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E.</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Placing Open Orders with Brokers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417"/>
        </w:trPr>
        <w:tc>
          <w:tcPr>
            <w:tcW w:w="10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Limited Exceptions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A.</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Transactions Pursuant to a Trading Plan that Complies with SEC Rules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Receipt and Vesting of Stock Options, Restricted Stock Units, Restricted Stock and Stock Appreciation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Cash or Cashless Net Exercise of Stock Options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29"/>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D.</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Purchases from the Employee Stock Purchase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E.</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Stock Splits, Stock Dividends and Similar Transactions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8"/>
        </w:trPr>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F.</w:t>
            </w:r>
          </w:p>
        </w:tc>
        <w:tc>
          <w:tcPr>
            <w:tcW w:w="9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Bona Fide Gifts and Inheritance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1405"/>
        </w:trPr>
        <w:tc>
          <w:tcPr>
            <w:tcW w:w="118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tbl>
      <w:tblPr>
        <w:tblLayout w:type="fixed"/>
        <w:tblInd w:w="20" w:type="dxa"/>
        <w:tblCellMar>
          <w:top w:w="0" w:type="dxa"/>
          <w:left w:w="0" w:type="dxa"/>
          <w:bottom w:w="0" w:type="dxa"/>
          <w:right w:w="0" w:type="dxa"/>
        </w:tblCellMar>
      </w:tblPr>
      <w:tr>
        <w:trPr>
          <w:trHeight w:val="269"/>
        </w:trPr>
        <w:tc>
          <w:tcPr>
            <w:tcW w:w="820" w:type="dxa"/>
            <w:vAlign w:val="bottom"/>
          </w:tcPr>
          <w:p>
            <w:pPr>
              <w:spacing w:after="0"/>
              <w:rPr>
                <w:sz w:val="23"/>
                <w:szCs w:val="23"/>
                <w:color w:val="auto"/>
              </w:rPr>
            </w:pPr>
          </w:p>
        </w:tc>
        <w:tc>
          <w:tcPr>
            <w:tcW w:w="9960" w:type="dxa"/>
            <w:vAlign w:val="bottom"/>
            <w:gridSpan w:val="3"/>
          </w:tcPr>
          <w:p>
            <w:pPr>
              <w:jc w:val="center"/>
              <w:ind w:right="380"/>
              <w:spacing w:after="0"/>
              <w:rPr>
                <w:sz w:val="20"/>
                <w:szCs w:val="20"/>
                <w:color w:val="auto"/>
              </w:rPr>
            </w:pPr>
            <w:r>
              <w:rPr>
                <w:rFonts w:ascii="Calibri" w:cs="Calibri" w:eastAsia="Calibri" w:hAnsi="Calibri"/>
                <w:sz w:val="22"/>
                <w:szCs w:val="22"/>
                <w:b w:val="1"/>
                <w:bCs w:val="1"/>
                <w:color w:val="auto"/>
                <w:w w:val="98"/>
              </w:rPr>
              <w:t>Table of Contents</w:t>
            </w:r>
          </w:p>
        </w:tc>
        <w:tc>
          <w:tcPr>
            <w:tcW w:w="440" w:type="dxa"/>
            <w:vAlign w:val="bottom"/>
          </w:tcPr>
          <w:p>
            <w:pPr>
              <w:spacing w:after="0"/>
              <w:rPr>
                <w:sz w:val="23"/>
                <w:szCs w:val="23"/>
                <w:color w:val="auto"/>
              </w:rPr>
            </w:pPr>
          </w:p>
        </w:tc>
      </w:tr>
      <w:tr>
        <w:trPr>
          <w:trHeight w:val="288"/>
        </w:trPr>
        <w:tc>
          <w:tcPr>
            <w:tcW w:w="8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Calibri" w:cs="Calibri" w:eastAsia="Calibri" w:hAnsi="Calibri"/>
                <w:sz w:val="22"/>
                <w:szCs w:val="22"/>
                <w:color w:val="auto"/>
              </w:rPr>
              <w:t>(Contnued)</w:t>
            </w:r>
          </w:p>
        </w:tc>
        <w:tc>
          <w:tcPr>
            <w:tcW w:w="4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2"/>
        </w:trPr>
        <w:tc>
          <w:tcPr>
            <w:tcW w:w="8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0" w:type="dxa"/>
            <w:vAlign w:val="bottom"/>
            <w:tcBorders>
              <w:bottom w:val="single" w:sz="8" w:color="auto"/>
            </w:tcBorders>
          </w:tcPr>
          <w:p>
            <w:pPr>
              <w:jc w:val="right"/>
              <w:spacing w:after="0" w:line="231" w:lineRule="exact"/>
              <w:rPr>
                <w:sz w:val="20"/>
                <w:szCs w:val="20"/>
                <w:color w:val="auto"/>
              </w:rPr>
            </w:pPr>
            <w:r>
              <w:rPr>
                <w:rFonts w:ascii="Calibri" w:cs="Calibri" w:eastAsia="Calibri" w:hAnsi="Calibri"/>
                <w:sz w:val="22"/>
                <w:szCs w:val="22"/>
                <w:b w:val="1"/>
                <w:bCs w:val="1"/>
                <w:color w:val="auto"/>
                <w:w w:val="95"/>
              </w:rPr>
              <w:t>Page</w:t>
            </w:r>
          </w:p>
        </w:tc>
      </w:tr>
      <w:tr>
        <w:trPr>
          <w:trHeight w:val="349"/>
        </w:trPr>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G.</w:t>
            </w:r>
          </w:p>
        </w:tc>
        <w:tc>
          <w:tcPr>
            <w:tcW w:w="99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0000FF"/>
              </w:rPr>
              <w:t>Change in Form of Ownership</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58"/>
        </w:trPr>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H.</w:t>
            </w:r>
          </w:p>
        </w:tc>
        <w:tc>
          <w:tcPr>
            <w:tcW w:w="99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0000FF"/>
              </w:rPr>
              <w:t>Other Exceptions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417"/>
        </w:trPr>
        <w:tc>
          <w:tcPr>
            <w:tcW w:w="10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Compliance with Section 16 of the Securities Exchange Act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w:t>
            </w:r>
          </w:p>
        </w:tc>
        <w:tc>
          <w:tcPr>
            <w:tcW w:w="99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0000FF"/>
              </w:rPr>
              <w:t>Obligations under Section 16</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30"/>
        </w:trPr>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w:t>
            </w:r>
          </w:p>
        </w:tc>
        <w:tc>
          <w:tcPr>
            <w:tcW w:w="99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0000FF"/>
              </w:rPr>
              <w:t>Notification Requirements to Facilitate Section 16 Reporting</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8"/>
        </w:trPr>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w:t>
            </w:r>
          </w:p>
        </w:tc>
        <w:tc>
          <w:tcPr>
            <w:tcW w:w="99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0000FF"/>
              </w:rPr>
              <w:t>Personal Responsibility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417"/>
        </w:trPr>
        <w:tc>
          <w:tcPr>
            <w:tcW w:w="10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A</w:t>
            </w:r>
            <w:r>
              <w:rPr>
                <w:rFonts w:ascii="Times New Roman" w:cs="Times New Roman" w:eastAsia="Times New Roman" w:hAnsi="Times New Roman"/>
                <w:sz w:val="13"/>
                <w:szCs w:val="13"/>
                <w:color w:val="0000FF"/>
              </w:rPr>
              <w:t>dditional</w:t>
            </w:r>
            <w:r>
              <w:rPr>
                <w:rFonts w:ascii="Times New Roman" w:cs="Times New Roman" w:eastAsia="Times New Roman" w:hAnsi="Times New Roman"/>
                <w:sz w:val="20"/>
                <w:szCs w:val="20"/>
                <w:color w:val="0000FF"/>
              </w:rPr>
              <w:t xml:space="preserve">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w:t>
            </w:r>
          </w:p>
        </w:tc>
        <w:tc>
          <w:tcPr>
            <w:tcW w:w="99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0000FF"/>
              </w:rPr>
              <w:t>Availability of Policy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8"/>
        </w:trPr>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w:t>
            </w:r>
          </w:p>
        </w:tc>
        <w:tc>
          <w:tcPr>
            <w:tcW w:w="99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0000FF"/>
              </w:rPr>
              <w:t>Amendments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I (Individuals Subject to Quarterly Blackout Periods)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II (Individuals Subject to Pre-Clearance Requirements)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III (Individuals Subject to Section 16 Reporting and Liability Provisions)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Appendix A (Requirements for Rule 10b5-1 Trading Plans)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Appendix B (Pre-Clearance Stock Trading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163" w:name="page164"/>
    <w:bookmarkEnd w:id="163"/>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Flywire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opposes the unauthorized disclosure of any non-public information you obtain in the course of your service with the Company and the misuse of material non-public information in securities trading. This Amended and Restated Insider Trading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prohibits the unauthorized disclosure and misuse of any non-public information.</w:t>
      </w:r>
    </w:p>
    <w:p>
      <w:pPr>
        <w:spacing w:after="0" w:line="172"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Legal Prohibitions on Insider Trading</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antifraud provisions of U.S. federal securities laws prohibit directors, officers, employees and other individuals who possess material non-public information from trading on the basis of that information. Your transactions will be considered “on the basis of” material non-public information if you are aware of the material non-public information at the time of the transaction. It is not a defense that you did not “use” the information for purposes of the transaction. It is also not a defense that you had a financial hardship that required you to transact in securities.</w:t>
      </w:r>
    </w:p>
    <w:p>
      <w:pPr>
        <w:spacing w:after="0" w:line="17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 “</w:t>
      </w:r>
      <w:r>
        <w:rPr>
          <w:rFonts w:ascii="Times New Roman" w:cs="Times New Roman" w:eastAsia="Times New Roman" w:hAnsi="Times New Roman"/>
          <w:sz w:val="22"/>
          <w:szCs w:val="22"/>
          <w:b w:val="1"/>
          <w:bCs w:val="1"/>
          <w:color w:val="auto"/>
        </w:rPr>
        <w:t>tipping</w:t>
      </w:r>
      <w:r>
        <w:rPr>
          <w:rFonts w:ascii="Times New Roman" w:cs="Times New Roman" w:eastAsia="Times New Roman" w:hAnsi="Times New Roman"/>
          <w:sz w:val="22"/>
          <w:szCs w:val="22"/>
          <w:color w:val="auto"/>
        </w:rPr>
        <w:t>”) is also illegal. Both the “tipper” who provides the information, recommendation or opinion and the “tippee” who trades based on it may be liable.</w:t>
      </w:r>
    </w:p>
    <w:p>
      <w:pPr>
        <w:spacing w:after="0" w:line="17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These illegal activities are commonly referred to as “</w:t>
      </w:r>
      <w:r>
        <w:rPr>
          <w:rFonts w:ascii="Times New Roman" w:cs="Times New Roman" w:eastAsia="Times New Roman" w:hAnsi="Times New Roman"/>
          <w:sz w:val="22"/>
          <w:szCs w:val="22"/>
          <w:b w:val="1"/>
          <w:bCs w:val="1"/>
          <w:color w:val="auto"/>
        </w:rPr>
        <w:t>insider trading</w:t>
      </w:r>
      <w:r>
        <w:rPr>
          <w:rFonts w:ascii="Times New Roman" w:cs="Times New Roman" w:eastAsia="Times New Roman" w:hAnsi="Times New Roman"/>
          <w:sz w:val="22"/>
          <w:szCs w:val="22"/>
          <w:color w:val="auto"/>
        </w:rPr>
        <w:t>.” State securities laws and securities laws of other jurisdictions also impose restrictions on insider trading.</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the Company, as well as individual directors, officers and other supervisory personnel, may be subject to liability as “controlling persons” for failure to take appropriate steps to prevent insider trading by those under their supervision, influence or control.</w:t>
      </w:r>
    </w:p>
    <w:p>
      <w:pPr>
        <w:spacing w:after="0" w:line="169"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Detection and Prosecution of Insider Trading</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the Financial Industry Regulatory Authority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and The Nasdaq Global Market use sophisticated electronic surveillance techniques to investigate and detect insider trading, and the SEC and the U.S. Department of Justice pursue insider trading violations vigorously. Regulators have successfully prosecuted cases involving trading through foreign accounts, trading by family members and friends, and trading involving only a small number of shares.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46" w:lineRule="exact"/>
        <w:rPr>
          <w:sz w:val="20"/>
          <w:szCs w:val="20"/>
          <w:color w:val="auto"/>
        </w:rPr>
      </w:pPr>
    </w:p>
    <w:p>
      <w:pPr>
        <w:ind w:left="440" w:hanging="432"/>
        <w:spacing w:after="0"/>
        <w:tabs>
          <w:tab w:leader="none" w:pos="44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Penalties for Violation of Insider Trading Laws and This Policy</w:t>
      </w:r>
    </w:p>
    <w:p>
      <w:pPr>
        <w:spacing w:after="0" w:line="206" w:lineRule="exact"/>
        <w:rPr>
          <w:rFonts w:ascii="Times New Roman" w:cs="Times New Roman" w:eastAsia="Times New Roman" w:hAnsi="Times New Roman"/>
          <w:sz w:val="22"/>
          <w:szCs w:val="22"/>
          <w:b w:val="1"/>
          <w:bCs w:val="1"/>
          <w:color w:val="auto"/>
        </w:rPr>
      </w:pPr>
    </w:p>
    <w:p>
      <w:pPr>
        <w:ind w:left="820" w:hanging="425"/>
        <w:spacing w:after="0"/>
        <w:tabs>
          <w:tab w:leader="none" w:pos="820"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Civil and Criminal Penalties</w:t>
      </w:r>
    </w:p>
    <w:p>
      <w:pPr>
        <w:spacing w:after="0" w:line="210"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22"/>
          <w:szCs w:val="22"/>
          <w:color w:val="auto"/>
        </w:rPr>
        <w:t>As of the effective date of this Policy, potential penalties for insider trading violations under U.S. federal securities laws include:</w:t>
      </w:r>
    </w:p>
    <w:p>
      <w:pPr>
        <w:spacing w:after="0" w:line="158" w:lineRule="exact"/>
        <w:rPr>
          <w:sz w:val="20"/>
          <w:szCs w:val="20"/>
          <w:color w:val="auto"/>
        </w:rPr>
      </w:pPr>
    </w:p>
    <w:p>
      <w:pPr>
        <w:ind w:left="1240" w:hanging="483"/>
        <w:spacing w:after="0"/>
        <w:tabs>
          <w:tab w:leader="none" w:pos="124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2"/>
          <w:szCs w:val="22"/>
          <w:color w:val="auto"/>
        </w:rPr>
        <w:t>damages in a private lawsuit;</w:t>
      </w:r>
    </w:p>
    <w:p>
      <w:pPr>
        <w:spacing w:after="0" w:line="13" w:lineRule="exact"/>
        <w:rPr>
          <w:rFonts w:ascii="Arial" w:cs="Arial" w:eastAsia="Arial" w:hAnsi="Arial"/>
          <w:sz w:val="22"/>
          <w:szCs w:val="22"/>
          <w:color w:val="auto"/>
        </w:rPr>
      </w:pPr>
    </w:p>
    <w:p>
      <w:pPr>
        <w:ind w:left="1240" w:hanging="483"/>
        <w:spacing w:after="0" w:line="229" w:lineRule="auto"/>
        <w:tabs>
          <w:tab w:leader="none" w:pos="124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2"/>
          <w:szCs w:val="22"/>
          <w:color w:val="auto"/>
        </w:rPr>
        <w:t>disgorging any profits made or losses avoided;</w:t>
      </w:r>
    </w:p>
    <w:p>
      <w:pPr>
        <w:ind w:left="1240" w:hanging="483"/>
        <w:spacing w:after="0" w:line="229" w:lineRule="auto"/>
        <w:tabs>
          <w:tab w:leader="none" w:pos="124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2"/>
          <w:szCs w:val="22"/>
          <w:color w:val="auto"/>
        </w:rPr>
        <w:t>imprisonment for up to 20 years;</w:t>
      </w:r>
    </w:p>
    <w:p>
      <w:pPr>
        <w:ind w:left="1240" w:hanging="483"/>
        <w:spacing w:after="0" w:line="229" w:lineRule="auto"/>
        <w:tabs>
          <w:tab w:leader="none" w:pos="124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2"/>
          <w:szCs w:val="22"/>
          <w:color w:val="auto"/>
        </w:rPr>
        <w:t>criminal fines of up to $5 million for individuals and $25 million for entities;</w:t>
      </w:r>
    </w:p>
    <w:p>
      <w:pPr>
        <w:ind w:left="1240" w:hanging="483"/>
        <w:spacing w:after="0" w:line="229" w:lineRule="auto"/>
        <w:tabs>
          <w:tab w:leader="none" w:pos="124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2"/>
          <w:szCs w:val="22"/>
          <w:color w:val="auto"/>
        </w:rPr>
        <w:t>civil fines of up to three times the profit gained or loss avoided;</w:t>
      </w:r>
    </w:p>
    <w:p>
      <w:pPr>
        <w:ind w:left="1240" w:hanging="483"/>
        <w:spacing w:after="0" w:line="229" w:lineRule="auto"/>
        <w:tabs>
          <w:tab w:leader="none" w:pos="124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2"/>
          <w:szCs w:val="22"/>
          <w:color w:val="auto"/>
        </w:rPr>
        <w:t>a bar against serving as an officer or director of a public company; and</w:t>
      </w:r>
    </w:p>
    <w:p>
      <w:pPr>
        <w:ind w:left="1240" w:hanging="483"/>
        <w:spacing w:after="0" w:line="229" w:lineRule="auto"/>
        <w:tabs>
          <w:tab w:leader="none" w:pos="124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2"/>
          <w:szCs w:val="22"/>
          <w:color w:val="auto"/>
        </w:rPr>
        <w:t>an injunction against future violations.</w:t>
      </w:r>
    </w:p>
    <w:p>
      <w:pPr>
        <w:spacing w:after="0" w:line="1" w:lineRule="exact"/>
        <w:rPr>
          <w:sz w:val="20"/>
          <w:szCs w:val="20"/>
          <w:color w:val="auto"/>
        </w:rPr>
      </w:pPr>
    </w:p>
    <w:p>
      <w:pPr>
        <w:ind w:left="380"/>
        <w:spacing w:after="0" w:line="237" w:lineRule="auto"/>
        <w:rPr>
          <w:sz w:val="20"/>
          <w:szCs w:val="20"/>
          <w:color w:val="auto"/>
        </w:rPr>
      </w:pPr>
      <w:r>
        <w:rPr>
          <w:rFonts w:ascii="Times New Roman" w:cs="Times New Roman" w:eastAsia="Times New Roman" w:hAnsi="Times New Roman"/>
          <w:sz w:val="22"/>
          <w:szCs w:val="22"/>
          <w:color w:val="auto"/>
        </w:rPr>
        <w:t>Civil and criminal penalties also apply to tipping. The SEC has imposed large penalties in tipping cases even when the tipper did not trade or gain any benefit from the tippee’s trading.</w:t>
      </w:r>
    </w:p>
    <w:p>
      <w:pPr>
        <w:spacing w:after="0" w:line="174" w:lineRule="exact"/>
        <w:rPr>
          <w:sz w:val="20"/>
          <w:szCs w:val="20"/>
          <w:color w:val="auto"/>
        </w:rPr>
      </w:pPr>
    </w:p>
    <w:p>
      <w:pPr>
        <w:ind w:left="820" w:hanging="425"/>
        <w:spacing w:after="0"/>
        <w:tabs>
          <w:tab w:leader="none" w:pos="8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Penalties for Controlling Persons</w:t>
      </w:r>
    </w:p>
    <w:p>
      <w:pPr>
        <w:spacing w:after="0" w:line="210"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As of the effective date of this Policy, the penalty for insider trading violations of controlling persons is a civil fine of up to the greater of $2.479 million or three times the profit gained or loss avoided as a result of the insider trading violations, as well as potential criminal fines and imprisonment.</w:t>
      </w:r>
    </w:p>
    <w:p>
      <w:pPr>
        <w:spacing w:after="0" w:line="169" w:lineRule="exact"/>
        <w:rPr>
          <w:sz w:val="20"/>
          <w:szCs w:val="20"/>
          <w:color w:val="auto"/>
        </w:rPr>
      </w:pPr>
    </w:p>
    <w:p>
      <w:pPr>
        <w:ind w:left="820" w:hanging="425"/>
        <w:spacing w:after="0"/>
        <w:tabs>
          <w:tab w:leader="none" w:pos="8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Disciplinary Actions</w:t>
      </w:r>
    </w:p>
    <w:p>
      <w:pPr>
        <w:spacing w:after="0" w:line="210" w:lineRule="exact"/>
        <w:rPr>
          <w:sz w:val="20"/>
          <w:szCs w:val="20"/>
          <w:color w:val="auto"/>
        </w:rPr>
      </w:pPr>
    </w:p>
    <w:p>
      <w:pPr>
        <w:jc w:val="both"/>
        <w:ind w:left="380"/>
        <w:spacing w:after="0" w:line="238" w:lineRule="auto"/>
        <w:rPr>
          <w:sz w:val="20"/>
          <w:szCs w:val="20"/>
          <w:color w:val="auto"/>
        </w:rPr>
      </w:pPr>
      <w:r>
        <w:rPr>
          <w:rFonts w:ascii="Times New Roman" w:cs="Times New Roman" w:eastAsia="Times New Roman" w:hAnsi="Times New Roman"/>
          <w:sz w:val="22"/>
          <w:szCs w:val="22"/>
          <w:color w:val="auto"/>
        </w:rPr>
        <w:t>If the Company has a reasonable basis to conclude that you have failed to comply with this Policy, you may be subject to disciplinary action, up to and including dismissal for cause, whether or not your failure to comply with this Policy results in a violation of law. It is not necessary for the Company to wait for the filing or conclusion of any civil or criminal action against you before taking disciplinary action. In addition, the Company may give stop transfer and other instructions to the Company’s transfer agent to enforce compliance with this Policy.</w:t>
      </w:r>
    </w:p>
    <w:p>
      <w:pPr>
        <w:spacing w:after="0" w:line="173"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Officer</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 should direct any questions, requests or reports to the Company’s Chief Financial Officer, Chief Compliance Officer, or a designated member of the Compliance team (each, a “</w:t>
      </w:r>
      <w:r>
        <w:rPr>
          <w:rFonts w:ascii="Times New Roman" w:cs="Times New Roman" w:eastAsia="Times New Roman" w:hAnsi="Times New Roman"/>
          <w:sz w:val="22"/>
          <w:szCs w:val="22"/>
          <w:b w:val="1"/>
          <w:bCs w:val="1"/>
          <w:color w:val="auto"/>
        </w:rPr>
        <w:t>Compliance Officer</w:t>
      </w:r>
      <w:r>
        <w:rPr>
          <w:rFonts w:ascii="Times New Roman" w:cs="Times New Roman" w:eastAsia="Times New Roman" w:hAnsi="Times New Roman"/>
          <w:sz w:val="22"/>
          <w:szCs w:val="22"/>
          <w:color w:val="auto"/>
        </w:rPr>
        <w:t>”). A Compliance Officer is generally responsible for the administration of this Policy. A Compliance Officer may select others to assist with the execution of his or her duties.</w:t>
      </w:r>
    </w:p>
    <w:p>
      <w:pPr>
        <w:spacing w:after="0" w:line="169" w:lineRule="exact"/>
        <w:rPr>
          <w:sz w:val="20"/>
          <w:szCs w:val="20"/>
          <w:color w:val="auto"/>
        </w:rPr>
      </w:pPr>
    </w:p>
    <w:p>
      <w:pPr>
        <w:ind w:left="440" w:hanging="432"/>
        <w:spacing w:after="0"/>
        <w:tabs>
          <w:tab w:leader="none" w:pos="4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Violations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It is your responsibility to help enforce this Policy. You should be alert to possible violations and promptly report violations or suspected violations of this Policy to a Compliance Officer. If your situation requires that your identity be kept secret, your anonymity will be preserved to the greatest extent reasonably possible. If you wish to remain anonymous, you may: send a letter addressed to a Compliance Officer at Flywire Corporation, 141 Tremont St., #10, Boston, MA 02111; leave an anonymous message on the ethics hotline at the toll free number 1-800-461-9331; or complete an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 xml:space="preserve">online report at </w:t>
      </w:r>
      <w:r>
        <w:rPr>
          <w:rFonts w:ascii="Times New Roman" w:cs="Times New Roman" w:eastAsia="Times New Roman" w:hAnsi="Times New Roman"/>
          <w:sz w:val="22"/>
          <w:szCs w:val="22"/>
          <w:i w:val="1"/>
          <w:iCs w:val="1"/>
          <w:color w:val="auto"/>
        </w:rPr>
        <w:t>www.convercent.com</w:t>
      </w:r>
      <w:r>
        <w:rPr>
          <w:rFonts w:ascii="Times New Roman" w:cs="Times New Roman" w:eastAsia="Times New Roman" w:hAnsi="Times New Roman"/>
          <w:sz w:val="22"/>
          <w:szCs w:val="22"/>
          <w:color w:val="auto"/>
        </w:rPr>
        <w:t>. If you make an anonymous report, please provide as much detail as possible, including any evidence that you have.</w:t>
      </w:r>
    </w:p>
    <w:p>
      <w:pPr>
        <w:spacing w:after="0" w:line="150" w:lineRule="exact"/>
        <w:rPr>
          <w:sz w:val="20"/>
          <w:szCs w:val="20"/>
          <w:color w:val="auto"/>
        </w:rPr>
      </w:pPr>
    </w:p>
    <w:p>
      <w:pPr>
        <w:ind w:left="440" w:hanging="432"/>
        <w:spacing w:after="0"/>
        <w:tabs>
          <w:tab w:leader="none" w:pos="44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Personal responsibility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You are responsible for complying with this Policy and applicable laws and regulations. You should use your best judgment at all times and consult with your personal legal and financial advisors, as needed. You should seek assistance from a Compliance Officer if you have any questions at all. The rules relating to insider trading can be complex, and a violation of insider trading laws can carry severe consequences.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PERSONS AND TRANSACTIONS COVERED BY THIS POLICY</w:t>
      </w:r>
    </w:p>
    <w:p>
      <w:pPr>
        <w:spacing w:after="0" w:line="206" w:lineRule="exact"/>
        <w:rPr>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Covered by This Policy</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This Policy applies to all directors, officers, employees and agents (such as consultants and independent contractors) of the Company and others designated by the Compliance Officer from time to time. References to the Company include subsidiaries of the Company. References in this Policy to “</w:t>
      </w:r>
      <w:r>
        <w:rPr>
          <w:rFonts w:ascii="Times New Roman" w:cs="Times New Roman" w:eastAsia="Times New Roman" w:hAnsi="Times New Roman"/>
          <w:sz w:val="21"/>
          <w:szCs w:val="21"/>
          <w:b w:val="1"/>
          <w:bCs w:val="1"/>
          <w:color w:val="auto"/>
        </w:rPr>
        <w:t>you</w:t>
      </w:r>
      <w:r>
        <w:rPr>
          <w:rFonts w:ascii="Times New Roman" w:cs="Times New Roman" w:eastAsia="Times New Roman" w:hAnsi="Times New Roman"/>
          <w:sz w:val="21"/>
          <w:szCs w:val="21"/>
          <w:color w:val="auto"/>
        </w:rPr>
        <w:t>” (as well as general references to directors, officers, employees and agents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trust or a venture or other investment fund or strategic investor, if you influence, direct or control transactions by the entity). Notwithstanding anything to the contrary contained herein, this Policy shall not apply in any manner to any entity that engages in the investment of securities in the ordinary course of its business (e.g., an investment fund or partnership) if such entity has established its own insider trading controls and procedures in compliance with applicable securities laws. You are responsible for making sure that these other individuals and entities comply with this Policy.</w:t>
      </w:r>
    </w:p>
    <w:p>
      <w:pPr>
        <w:spacing w:after="0" w:line="167"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Types of Transactions Covered by This Policy</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Except as discussed in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xml:space="preserve">” below, this Policy applies to all transactions involving the securities of the Company. It also applies to </w:t>
      </w:r>
      <w:r>
        <w:rPr>
          <w:rFonts w:ascii="Times New Roman" w:cs="Times New Roman" w:eastAsia="Times New Roman" w:hAnsi="Times New Roman"/>
          <w:sz w:val="22"/>
          <w:szCs w:val="22"/>
          <w:i w:val="1"/>
          <w:iCs w:val="1"/>
          <w:color w:val="auto"/>
        </w:rPr>
        <w:t>all</w:t>
      </w:r>
      <w:r>
        <w:rPr>
          <w:rFonts w:ascii="Times New Roman" w:cs="Times New Roman" w:eastAsia="Times New Roman" w:hAnsi="Times New Roman"/>
          <w:sz w:val="22"/>
          <w:szCs w:val="22"/>
          <w:color w:val="auto"/>
        </w:rPr>
        <w:t xml:space="preserve"> transactions </w:t>
      </w:r>
      <w:r>
        <w:rPr>
          <w:rFonts w:ascii="Times New Roman" w:cs="Times New Roman" w:eastAsia="Times New Roman" w:hAnsi="Times New Roman"/>
          <w:sz w:val="22"/>
          <w:szCs w:val="22"/>
          <w:i w:val="1"/>
          <w:iCs w:val="1"/>
          <w:color w:val="auto"/>
        </w:rPr>
        <w:t>involving</w:t>
      </w:r>
      <w:r>
        <w:rPr>
          <w:rFonts w:ascii="Times New Roman" w:cs="Times New Roman" w:eastAsia="Times New Roman" w:hAnsi="Times New Roman"/>
          <w:sz w:val="22"/>
          <w:szCs w:val="22"/>
          <w:color w:val="auto"/>
        </w:rPr>
        <w:t xml:space="preserve"> the securities of other companies about which you possess material non-public information obtained in the course of your service with the Company. This Policy therefore applies to purchases, sales and other transfers of common stock, options, warrants, preferred stock, debt securities (such as debentures, bonds and notes) and other securities. This Policy also applies to any arrangements that affect economic exposure from changes in the prices of these securities (e.g., transactions in derivative securities (such as exchange-traded put or call options), hedging transactions, short sales and certain decisions with respect to participation in benefit plans). This Policy also applies to any offers by you with respect to the transactions discussed above. There are no exceptions from insider trading laws or this Policy based on the size of the transaction.</w:t>
      </w:r>
    </w:p>
    <w:p>
      <w:pPr>
        <w:spacing w:after="0" w:line="174"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Responsibilities Regarding the Non-Public Information of Other Companies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Policy prohibits the unauthorized disclosure or other misuse of any non-public information of other companies, such as the Company’s clients, distributors, vendors, customers, collaborators, suppliers and competitors. This Policy also prohibits insider trading and tipping based on the material non-public information of other companies.</w:t>
      </w:r>
    </w:p>
    <w:p>
      <w:pPr>
        <w:spacing w:after="0" w:line="169" w:lineRule="exact"/>
        <w:rPr>
          <w:sz w:val="20"/>
          <w:szCs w:val="20"/>
          <w:color w:val="auto"/>
        </w:rPr>
      </w:pPr>
    </w:p>
    <w:p>
      <w:pPr>
        <w:ind w:left="440" w:hanging="432"/>
        <w:spacing w:after="0"/>
        <w:tabs>
          <w:tab w:leader="none" w:pos="44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Applicability of This Policy after Your Departure</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 are expected to comply with this Policy until such time as (i) you are no longer affiliated with the Company, (ii) you no longer possess any material non-public information subject to this Policy and (iii) if your transactions in Company securities are subject to a blackout period at the time you cease to be affiliated with the Company, the end of such blackout period.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46" w:lineRule="exact"/>
        <w:rPr>
          <w:sz w:val="20"/>
          <w:szCs w:val="20"/>
          <w:color w:val="auto"/>
        </w:rPr>
      </w:pPr>
    </w:p>
    <w:p>
      <w:pPr>
        <w:ind w:left="440" w:hanging="432"/>
        <w:spacing w:after="0"/>
        <w:tabs>
          <w:tab w:leader="none" w:pos="44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Exceptions Based on Personal Circumstances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There may be instances where you suffer financial harm or other hardship or are otherwise required to forego a planned transaction because of the restrictions imposed by this Policy. Personal financial emergency or other personal circumstances will not limit your liability under securities laws and will not excuse a failure to comply with this Policy.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MATERIAL NON-PUBLIC INFORMATION</w:t>
      </w:r>
    </w:p>
    <w:p>
      <w:pPr>
        <w:spacing w:after="0" w:line="206" w:lineRule="exact"/>
        <w:rPr>
          <w:sz w:val="20"/>
          <w:szCs w:val="20"/>
          <w:color w:val="auto"/>
        </w:rPr>
      </w:pPr>
    </w:p>
    <w:p>
      <w:pPr>
        <w:ind w:left="440" w:hanging="432"/>
        <w:spacing w:after="0"/>
        <w:tabs>
          <w:tab w:leader="none" w:pos="44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“Material” Information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Information is material if there is a substantial likelihood that a reasonable investor would consider it important in deciding whether to buy, hold or sell securities or would view the information as significantly altering the total mix of information in the marketplace. In general, any information that could reasonably be expected to affect the market price of a security is likely to be material. Both positive and negative information may be material.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It is not possible to define all categories of “material” information. However, some examples of information that could be regarded as material include information with respect to:</w:t>
      </w:r>
    </w:p>
    <w:p>
      <w:pPr>
        <w:spacing w:after="0" w:line="50" w:lineRule="exact"/>
        <w:rPr>
          <w:sz w:val="20"/>
          <w:szCs w:val="20"/>
          <w:color w:val="auto"/>
        </w:rPr>
      </w:pPr>
    </w:p>
    <w:p>
      <w:pPr>
        <w:jc w:val="both"/>
        <w:ind w:left="760" w:hanging="365"/>
        <w:spacing w:after="0" w:line="244" w:lineRule="auto"/>
        <w:tabs>
          <w:tab w:leader="none" w:pos="987"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Financial results, financial condition, earnings pre-announcements, guidance, projections or forecasts; note that information about the results of the Company’s operations for even a portion of a quarter might be material in helping predict the Company’s financial results for the quarter;</w:t>
      </w:r>
    </w:p>
    <w:p>
      <w:pPr>
        <w:spacing w:after="0" w:line="64" w:lineRule="exact"/>
        <w:rPr>
          <w:rFonts w:ascii="Arial" w:cs="Arial" w:eastAsia="Arial" w:hAnsi="Arial"/>
          <w:sz w:val="22"/>
          <w:szCs w:val="22"/>
          <w:color w:val="auto"/>
        </w:rPr>
      </w:pPr>
    </w:p>
    <w:p>
      <w:pPr>
        <w:ind w:left="880" w:hanging="485"/>
        <w:spacing w:after="0"/>
        <w:tabs>
          <w:tab w:leader="none" w:pos="88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Restatements of financial results, or material impairments, write-offs or restructurings;</w:t>
      </w:r>
    </w:p>
    <w:p>
      <w:pPr>
        <w:spacing w:after="0" w:line="97" w:lineRule="exact"/>
        <w:rPr>
          <w:rFonts w:ascii="Arial" w:cs="Arial" w:eastAsia="Arial" w:hAnsi="Arial"/>
          <w:sz w:val="22"/>
          <w:szCs w:val="22"/>
          <w:color w:val="auto"/>
        </w:rPr>
      </w:pPr>
    </w:p>
    <w:p>
      <w:pPr>
        <w:ind w:left="880" w:hanging="485"/>
        <w:spacing w:after="0"/>
        <w:tabs>
          <w:tab w:leader="none" w:pos="88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developments in research and development or relating to intellectual property;</w:t>
      </w:r>
    </w:p>
    <w:p>
      <w:pPr>
        <w:spacing w:after="0" w:line="97" w:lineRule="exact"/>
        <w:rPr>
          <w:rFonts w:ascii="Arial" w:cs="Arial" w:eastAsia="Arial" w:hAnsi="Arial"/>
          <w:sz w:val="22"/>
          <w:szCs w:val="22"/>
          <w:color w:val="auto"/>
        </w:rPr>
      </w:pPr>
    </w:p>
    <w:p>
      <w:pPr>
        <w:ind w:left="880" w:hanging="485"/>
        <w:spacing w:after="0"/>
        <w:tabs>
          <w:tab w:leader="none" w:pos="88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independent auditors, or notification that the Company may no longer rely on an audit report;</w:t>
      </w:r>
    </w:p>
    <w:p>
      <w:pPr>
        <w:spacing w:after="0" w:line="97" w:lineRule="exact"/>
        <w:rPr>
          <w:rFonts w:ascii="Arial" w:cs="Arial" w:eastAsia="Arial" w:hAnsi="Arial"/>
          <w:sz w:val="22"/>
          <w:szCs w:val="22"/>
          <w:color w:val="auto"/>
        </w:rPr>
      </w:pPr>
    </w:p>
    <w:p>
      <w:pPr>
        <w:ind w:left="880" w:hanging="485"/>
        <w:spacing w:after="0"/>
        <w:tabs>
          <w:tab w:leader="none" w:pos="88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Business plans or budgets;</w:t>
      </w:r>
    </w:p>
    <w:p>
      <w:pPr>
        <w:spacing w:after="0" w:line="97" w:lineRule="exact"/>
        <w:rPr>
          <w:rFonts w:ascii="Arial" w:cs="Arial" w:eastAsia="Arial" w:hAnsi="Arial"/>
          <w:sz w:val="22"/>
          <w:szCs w:val="22"/>
          <w:color w:val="auto"/>
        </w:rPr>
      </w:pPr>
    </w:p>
    <w:p>
      <w:pPr>
        <w:ind w:left="760" w:right="20" w:hanging="365"/>
        <w:spacing w:after="0" w:line="257" w:lineRule="auto"/>
        <w:tabs>
          <w:tab w:leader="none" w:pos="933"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Creation of significant financial obligations, or any significant default under or acceleration of the payment of any financial obligation;</w:t>
      </w:r>
    </w:p>
    <w:p>
      <w:pPr>
        <w:spacing w:after="0" w:line="51" w:lineRule="exact"/>
        <w:rPr>
          <w:rFonts w:ascii="Arial" w:cs="Arial" w:eastAsia="Arial" w:hAnsi="Arial"/>
          <w:sz w:val="22"/>
          <w:szCs w:val="22"/>
          <w:color w:val="auto"/>
        </w:rPr>
      </w:pPr>
    </w:p>
    <w:p>
      <w:pPr>
        <w:ind w:left="880" w:hanging="485"/>
        <w:spacing w:after="0"/>
        <w:tabs>
          <w:tab w:leader="none" w:pos="88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97" w:lineRule="exact"/>
        <w:rPr>
          <w:rFonts w:ascii="Arial" w:cs="Arial" w:eastAsia="Arial" w:hAnsi="Arial"/>
          <w:sz w:val="22"/>
          <w:szCs w:val="22"/>
          <w:color w:val="auto"/>
        </w:rPr>
      </w:pPr>
    </w:p>
    <w:p>
      <w:pPr>
        <w:jc w:val="both"/>
        <w:ind w:left="760" w:right="20" w:hanging="365"/>
        <w:spacing w:after="0" w:line="281" w:lineRule="auto"/>
        <w:tabs>
          <w:tab w:leader="none" w:pos="1027" w:val="left"/>
        </w:tabs>
        <w:numPr>
          <w:ilvl w:val="0"/>
          <w:numId w:val="79"/>
        </w:numPr>
        <w:rPr>
          <w:rFonts w:ascii="Arial" w:cs="Arial" w:eastAsia="Arial" w:hAnsi="Arial"/>
          <w:sz w:val="21"/>
          <w:szCs w:val="21"/>
          <w:color w:val="auto"/>
        </w:rPr>
      </w:pPr>
      <w:r>
        <w:rPr>
          <w:rFonts w:ascii="Times New Roman" w:cs="Times New Roman" w:eastAsia="Times New Roman" w:hAnsi="Times New Roman"/>
          <w:sz w:val="21"/>
          <w:szCs w:val="21"/>
          <w:color w:val="auto"/>
        </w:rPr>
        <w:t>Significant developments involving business relationships, including entering into, modifying, or terminating significant agreements or orders with clients, customers, suppliers, distributors, manufacturers or other business partners;</w:t>
      </w:r>
    </w:p>
    <w:p>
      <w:pPr>
        <w:spacing w:after="0" w:line="27" w:lineRule="exact"/>
        <w:rPr>
          <w:rFonts w:ascii="Arial" w:cs="Arial" w:eastAsia="Arial" w:hAnsi="Arial"/>
          <w:sz w:val="21"/>
          <w:szCs w:val="21"/>
          <w:color w:val="auto"/>
        </w:rPr>
      </w:pPr>
    </w:p>
    <w:p>
      <w:pPr>
        <w:ind w:left="760" w:hanging="365"/>
        <w:spacing w:after="0" w:line="257" w:lineRule="auto"/>
        <w:tabs>
          <w:tab w:leader="none" w:pos="933"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Product introductions, modifications, defects or recalls or significant pricing changes or other announcements of a significant nature;</w:t>
      </w:r>
    </w:p>
    <w:p>
      <w:pPr>
        <w:spacing w:after="0" w:line="51" w:lineRule="exact"/>
        <w:rPr>
          <w:rFonts w:ascii="Arial" w:cs="Arial" w:eastAsia="Arial" w:hAnsi="Arial"/>
          <w:sz w:val="22"/>
          <w:szCs w:val="22"/>
          <w:color w:val="auto"/>
        </w:rPr>
      </w:pPr>
    </w:p>
    <w:p>
      <w:pPr>
        <w:jc w:val="both"/>
        <w:ind w:left="760" w:hanging="365"/>
        <w:spacing w:after="0" w:line="244" w:lineRule="auto"/>
        <w:tabs>
          <w:tab w:leader="none" w:pos="933"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A significant cybersecurity incident, such as a data breach, or any other significant disruption, loss, potential loss, breach or unauthorized access of the Company’s property or assets, whether at the Company’s facilities or through the Company’s information technology infrastructure;</w:t>
      </w:r>
    </w:p>
    <w:p>
      <w:pPr>
        <w:spacing w:after="0" w:line="64" w:lineRule="exact"/>
        <w:rPr>
          <w:rFonts w:ascii="Arial" w:cs="Arial" w:eastAsia="Arial" w:hAnsi="Arial"/>
          <w:sz w:val="22"/>
          <w:szCs w:val="22"/>
          <w:color w:val="auto"/>
        </w:rPr>
      </w:pPr>
    </w:p>
    <w:p>
      <w:pPr>
        <w:ind w:left="880" w:hanging="485"/>
        <w:spacing w:after="0"/>
        <w:tabs>
          <w:tab w:leader="none" w:pos="88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legal or regulatory developments, whether actual or threatened;</w:t>
      </w:r>
    </w:p>
    <w:p>
      <w:pPr>
        <w:spacing w:after="0" w:line="97" w:lineRule="exact"/>
        <w:rPr>
          <w:rFonts w:ascii="Arial" w:cs="Arial" w:eastAsia="Arial" w:hAnsi="Arial"/>
          <w:sz w:val="22"/>
          <w:szCs w:val="22"/>
          <w:color w:val="auto"/>
        </w:rPr>
      </w:pPr>
    </w:p>
    <w:p>
      <w:pPr>
        <w:jc w:val="both"/>
        <w:ind w:left="760" w:hanging="365"/>
        <w:spacing w:after="0" w:line="239" w:lineRule="auto"/>
        <w:tabs>
          <w:tab w:leader="none" w:pos="96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 of our securities from trading on a securities exchange;</w:t>
      </w:r>
    </w:p>
    <w:p>
      <w:pPr>
        <w:spacing w:after="0" w:line="71" w:lineRule="exact"/>
        <w:rPr>
          <w:rFonts w:ascii="Arial" w:cs="Arial" w:eastAsia="Arial" w:hAnsi="Arial"/>
          <w:sz w:val="22"/>
          <w:szCs w:val="22"/>
          <w:color w:val="auto"/>
        </w:rPr>
      </w:pPr>
    </w:p>
    <w:p>
      <w:pPr>
        <w:ind w:left="880" w:hanging="485"/>
        <w:spacing w:after="0"/>
        <w:tabs>
          <w:tab w:leader="none" w:pos="880" w:val="left"/>
        </w:tabs>
        <w:numPr>
          <w:ilvl w:val="0"/>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The existence of a special blackout period in which you may not trade securities;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ind w:left="760" w:hanging="365"/>
        <w:spacing w:after="0" w:line="257" w:lineRule="auto"/>
        <w:tabs>
          <w:tab w:leader="none" w:pos="973"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corporate events, such as a pending or proposed merger, joint venture or tender offer, a significant investment, the acquisition or disposition of a significant business or asset or a change in control of the Company; and</w:t>
      </w:r>
    </w:p>
    <w:p>
      <w:pPr>
        <w:spacing w:after="0" w:line="51" w:lineRule="exact"/>
        <w:rPr>
          <w:rFonts w:ascii="Arial" w:cs="Arial" w:eastAsia="Arial" w:hAnsi="Arial"/>
          <w:sz w:val="22"/>
          <w:szCs w:val="22"/>
          <w:color w:val="auto"/>
        </w:rPr>
      </w:pPr>
    </w:p>
    <w:p>
      <w:pPr>
        <w:ind w:left="880" w:hanging="485"/>
        <w:spacing w:after="0"/>
        <w:tabs>
          <w:tab w:leader="none" w:pos="880"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Major personnel changes, such as changes in senior management or lay-offs.</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you have any questions as to whether information should be considered “material,” you should consult with a Compliance Officer. In general, it is advisable to resolve any close questions as to the materiality of any information by assuming that the information is material.</w:t>
      </w:r>
    </w:p>
    <w:p>
      <w:pPr>
        <w:spacing w:after="0" w:line="169" w:lineRule="exact"/>
        <w:rPr>
          <w:sz w:val="20"/>
          <w:szCs w:val="20"/>
          <w:color w:val="auto"/>
        </w:rPr>
      </w:pPr>
    </w:p>
    <w:p>
      <w:pPr>
        <w:ind w:left="440" w:hanging="432"/>
        <w:spacing w:after="0"/>
        <w:tabs>
          <w:tab w:leader="none" w:pos="4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Information is considered non-public until it has been broadly disseminated to the public for long enough to be reflected in the price of the security. Unless you have seen material information publicly disseminated, you should assume the information is non-public. As a general rule, you should consider information to be non-public until </w:t>
      </w:r>
      <w:r>
        <w:rPr>
          <w:rFonts w:ascii="Times New Roman" w:cs="Times New Roman" w:eastAsia="Times New Roman" w:hAnsi="Times New Roman"/>
          <w:sz w:val="22"/>
          <w:szCs w:val="22"/>
          <w:b w:val="1"/>
          <w:bCs w:val="1"/>
          <w:color w:val="auto"/>
        </w:rPr>
        <w:t>the beginning of the second trading day</w:t>
      </w:r>
      <w:r>
        <w:rPr>
          <w:rFonts w:ascii="Times New Roman" w:cs="Times New Roman" w:eastAsia="Times New Roman" w:hAnsi="Times New Roman"/>
          <w:sz w:val="22"/>
          <w:szCs w:val="22"/>
          <w:color w:val="auto"/>
        </w:rPr>
        <w:t xml:space="preserve"> after the information has been broadly disseminated to the public in a press release, a public filing with the SEC, a pre-announced public webcast or another broad, non-exclusionary form of public communication. If, for example, the Company were to make an announcement after the close of the trading day on a Monday afternoon, you should not trade in the Company’s securities until the beginning of the trading day on Wednesday. However, depending upon the form of the announcement and the nature of the information, it is possible that information may not be fully absorbed by the marketplace until later. Any questions as to whether information is non-public should be directed to a Compliance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national stock exchanges are open for trading.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70" w:name="page171"/>
    <w:bookmarkEnd w:id="170"/>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POLICIES REGARDING MATERIAL NON-PUBLIC INFORMATION</w:t>
      </w:r>
    </w:p>
    <w:p>
      <w:pPr>
        <w:spacing w:after="0" w:line="206" w:lineRule="exact"/>
        <w:rPr>
          <w:sz w:val="20"/>
          <w:szCs w:val="20"/>
          <w:color w:val="auto"/>
        </w:rPr>
      </w:pPr>
    </w:p>
    <w:p>
      <w:pPr>
        <w:ind w:left="440" w:hanging="432"/>
        <w:spacing w:after="0"/>
        <w:tabs>
          <w:tab w:leader="none" w:pos="44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 of Non-Public Information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Policy prohibits the unauthorized use or disclosure of non-public information relating to the Company or other companies. All non-public information you obtain in the course of your service with the Company may only be used for legitimate Company business purposes. In addition, you should handle others’ non-public information in accordance with the terms of any relevant nondisclosure agreements, and the use of any such non-public information should be limited to the purpose for which it was disclosed.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must use all reasonable efforts to safeguard non-public information in the Company’s possession.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All officers, employees and agents (such as consultants and independent contractors) of the Company are required to sign and comply with an agreement addressing confidential information and invention assignment.</w:t>
      </w:r>
    </w:p>
    <w:p>
      <w:pPr>
        <w:spacing w:after="0" w:line="154"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on Material Non-Public Information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Except as discussed in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below, you may not, directly or indirectly through others, engage in any transaction involving the Company’s securities while aware of material non-public information relating to the Company. It does not matter that you did not “use” the information in your transaction.</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Similarly, you may not engage in transactions involving the securities of any other company if you are aware of material non-public information about that company (except if the transactions are similar to those presented in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below). For example, you may be aware of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the Company securities, if that information is material to the Company). “Materiality” is company-specific— information that is not material to the Company may be material to another company.</w:t>
      </w:r>
    </w:p>
    <w:p>
      <w:pPr>
        <w:spacing w:after="0" w:line="179" w:lineRule="exact"/>
        <w:rPr>
          <w:sz w:val="20"/>
          <w:szCs w:val="20"/>
          <w:color w:val="auto"/>
        </w:rPr>
      </w:pPr>
    </w:p>
    <w:p>
      <w:pPr>
        <w:ind w:left="440" w:hanging="432"/>
        <w:spacing w:after="0"/>
        <w:tabs>
          <w:tab w:leader="none" w:pos="44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Disclosing Material Non-Public Information</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Company communications and to communications with agents (such as consultants and independent contractors) of the Company. In cases where disclosing non-public information to third parties is required, you should coordinate with the Legal Department.</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benefit from doing so. This prohibition against disclosure of material non-public information includes disclosure (even anonymous disclosure) via the Internet, blogs, investor forums, chat rooms, social media, or the like.</w:t>
      </w:r>
    </w:p>
    <w:p>
      <w:pPr>
        <w:spacing w:after="0" w:line="154"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Responding to Outside Inquiries for Information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event you receive an inquiry from someone outside of the Company, such as a stock analyst or news reporter, for information, you should refer the inquiry to the Chief Financial Officer or the Investor Relations Department. Your disclosure of information could result in SEC enforcement actions against the Company, including injunctions and severe monetary penalties. Please consult the Company’s Media policy for more details.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BLACKOUT PERIODS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To limit the likelihood of trading at times when there is a significant risk of insider trading exposure, the Company has instituted quarterly trading blackout periods and may institute special trading blackout periods from time to time.</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It is important to note that whether or not you are subject to blackout periods, you remain subject to the prohibitions on trading on the basis of material non-public information and any other applicable restrictions in this Policy.</w:t>
      </w:r>
    </w:p>
    <w:p>
      <w:pPr>
        <w:spacing w:after="0" w:line="154" w:lineRule="exact"/>
        <w:rPr>
          <w:sz w:val="20"/>
          <w:szCs w:val="20"/>
          <w:color w:val="auto"/>
        </w:rPr>
      </w:pPr>
    </w:p>
    <w:p>
      <w:pPr>
        <w:ind w:left="440" w:hanging="432"/>
        <w:spacing w:after="0"/>
        <w:tabs>
          <w:tab w:leader="none" w:pos="44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Blackout Periods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Except as discussed in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xml:space="preserve">” below, all Company directors, executive officers and other employees and agents (such as consultants and independent contractors) identified by the Company or a Compliance Officer as listed on </w:t>
      </w:r>
      <w:r>
        <w:rPr>
          <w:rFonts w:ascii="Times New Roman" w:cs="Times New Roman" w:eastAsia="Times New Roman" w:hAnsi="Times New Roman"/>
          <w:sz w:val="22"/>
          <w:szCs w:val="22"/>
          <w:b w:val="1"/>
          <w:bCs w:val="1"/>
          <w:color w:val="auto"/>
        </w:rPr>
        <w:t>Schedule I</w:t>
      </w:r>
      <w:r>
        <w:rPr>
          <w:rFonts w:ascii="Times New Roman" w:cs="Times New Roman" w:eastAsia="Times New Roman" w:hAnsi="Times New Roman"/>
          <w:sz w:val="22"/>
          <w:szCs w:val="22"/>
          <w:color w:val="auto"/>
        </w:rPr>
        <w:t xml:space="preserve"> must refrain from conducting transactions involving the Company’s securities during quarterly blackout periods. From time to time, the Company or a Compliance Officer may identify other persons who should be subject to quarterly blackout periods, and may update and revise </w:t>
      </w:r>
      <w:r>
        <w:rPr>
          <w:rFonts w:ascii="Times New Roman" w:cs="Times New Roman" w:eastAsia="Times New Roman" w:hAnsi="Times New Roman"/>
          <w:sz w:val="22"/>
          <w:szCs w:val="22"/>
          <w:b w:val="1"/>
          <w:bCs w:val="1"/>
          <w:color w:val="auto"/>
        </w:rPr>
        <w:t>Schedule I</w:t>
      </w:r>
      <w:r>
        <w:rPr>
          <w:rFonts w:ascii="Times New Roman" w:cs="Times New Roman" w:eastAsia="Times New Roman" w:hAnsi="Times New Roman"/>
          <w:sz w:val="22"/>
          <w:szCs w:val="22"/>
          <w:color w:val="auto"/>
        </w:rPr>
        <w:t xml:space="preserve"> as appropriate.</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period is a particularly sensitive time for transactions involving the Company’s securities from the perspective of compliance with applicable securities laws due to the fact that, during these periods, individuals may often possess or have access to material non-public information relevant to the expected financial results for the quarter.</w:t>
      </w:r>
    </w:p>
    <w:p>
      <w:pPr>
        <w:spacing w:after="0" w:line="17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Quarterly blackout periods start at the beginning of the fifteenth (15th) calendar day of the last month of each fiscal quarter (e.g.,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June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September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and December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and end at </w:t>
      </w:r>
      <w:r>
        <w:rPr>
          <w:rFonts w:ascii="Times New Roman" w:cs="Times New Roman" w:eastAsia="Times New Roman" w:hAnsi="Times New Roman"/>
          <w:sz w:val="22"/>
          <w:szCs w:val="22"/>
          <w:b w:val="1"/>
          <w:bCs w:val="1"/>
          <w:color w:val="auto"/>
        </w:rPr>
        <w:t>the beginning of the second trading day</w:t>
      </w:r>
      <w:r>
        <w:rPr>
          <w:rFonts w:ascii="Times New Roman" w:cs="Times New Roman" w:eastAsia="Times New Roman" w:hAnsi="Times New Roman"/>
          <w:sz w:val="22"/>
          <w:szCs w:val="22"/>
          <w:color w:val="auto"/>
        </w:rPr>
        <w:t xml:space="preserve"> following the date of public disclosure of the financial results for that fiscal quarter. If, for example, the Company were to release results for a completed fiscal quarter after the close of the trading day on a Monday afternoon, you should not trade in the Company’s securities until the beginning of the trading day on Wednesday.</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will notify you when each quarterly blackout period starts and ends so that you will know when you may and may not engage in any transaction involving the Company’s securities. You are responsible for complying with the blackout period described in this Policy regardless of whether you receive notification from the Company about the period.</w:t>
      </w:r>
    </w:p>
    <w:p>
      <w:pPr>
        <w:spacing w:after="0" w:line="169" w:lineRule="exact"/>
        <w:rPr>
          <w:sz w:val="20"/>
          <w:szCs w:val="20"/>
          <w:color w:val="auto"/>
        </w:rPr>
      </w:pPr>
    </w:p>
    <w:p>
      <w:pPr>
        <w:ind w:left="440" w:hanging="432"/>
        <w:spacing w:after="0"/>
        <w:tabs>
          <w:tab w:leader="none" w:pos="44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Special Blackout Periods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From time to time, the Company or a Compliance Officer may also prohibit directors, officers, employees and agents (such as consultants and independent contractors) from engaging in transactions involving the Company’s securities when, in the judgment of a Compliance Officer, a trading blackout is warranted. The Company will generally impose special blackout periods when there are material developments known to the Company that have not yet been disclosed to the public. For example, the Company or a Compliance Officer may impose a special blackout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period in anticipation of announcing interim earnings guidance or a significant transaction or business development. Special blackout periods may be declared for any reason.</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will notify you if you are subject to a special blackout period, in which case you may not engage in any transaction involving the Company’s securities until instructed that it is permissible, and you should not disclose the existence of the special blackout period to others.</w:t>
      </w:r>
    </w:p>
    <w:p>
      <w:pPr>
        <w:spacing w:after="0" w:line="169" w:lineRule="exact"/>
        <w:rPr>
          <w:sz w:val="20"/>
          <w:szCs w:val="20"/>
          <w:color w:val="auto"/>
        </w:rPr>
      </w:pPr>
    </w:p>
    <w:p>
      <w:pPr>
        <w:ind w:left="440" w:hanging="432"/>
        <w:spacing w:after="0"/>
        <w:tabs>
          <w:tab w:leader="none" w:pos="44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“Safe Harbors”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There are no unconditional “safe harbors” for trades made at particular times, and you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PRE-CLEARANCE OF TRADES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Except as discussed in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below, directors and executive officers must refrain from engaging in any transaction involving the Company’s securities without first obtaining pre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clearance of the transaction from a Compliance Officer. In addition, as listed on </w:t>
      </w:r>
      <w:r>
        <w:rPr>
          <w:rFonts w:ascii="Times New Roman" w:cs="Times New Roman" w:eastAsia="Times New Roman" w:hAnsi="Times New Roman"/>
          <w:sz w:val="22"/>
          <w:szCs w:val="22"/>
          <w:b w:val="1"/>
          <w:bCs w:val="1"/>
          <w:color w:val="auto"/>
        </w:rPr>
        <w:t>Schedule II</w:t>
      </w:r>
      <w:r>
        <w:rPr>
          <w:rFonts w:ascii="Times New Roman" w:cs="Times New Roman" w:eastAsia="Times New Roman" w:hAnsi="Times New Roman"/>
          <w:sz w:val="22"/>
          <w:szCs w:val="22"/>
          <w:color w:val="auto"/>
        </w:rPr>
        <w:t>, the Company has determined that certain other employees and agents (such as consultants and independent contractors) of the Company that may have regular or special access to material non-public information must refrain from engaging in any transaction involving the Company’s securities without first obtaining pre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clearance of the transaction from a Compliance Officer. A Compliance Officer may not engage in a transaction involving the Company’s securities unless another Compliance Officer has pre-cleared the transaction. Individuals subject to pre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clearance requirements are listed on </w:t>
      </w:r>
      <w:r>
        <w:rPr>
          <w:rFonts w:ascii="Times New Roman" w:cs="Times New Roman" w:eastAsia="Times New Roman" w:hAnsi="Times New Roman"/>
          <w:sz w:val="22"/>
          <w:szCs w:val="22"/>
          <w:b w:val="1"/>
          <w:bCs w:val="1"/>
          <w:color w:val="auto"/>
        </w:rPr>
        <w:t>Schedule II</w:t>
      </w:r>
      <w:r>
        <w:rPr>
          <w:rFonts w:ascii="Times New Roman" w:cs="Times New Roman" w:eastAsia="Times New Roman" w:hAnsi="Times New Roman"/>
          <w:sz w:val="22"/>
          <w:szCs w:val="22"/>
          <w:color w:val="auto"/>
        </w:rPr>
        <w:t>. From time to time, the Company or a Compliance Officer may identify other persons who should be subject to the pre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clearance requirements set forth above, and a Compliance Officer may update and revise </w:t>
      </w:r>
      <w:r>
        <w:rPr>
          <w:rFonts w:ascii="Times New Roman" w:cs="Times New Roman" w:eastAsia="Times New Roman" w:hAnsi="Times New Roman"/>
          <w:sz w:val="22"/>
          <w:szCs w:val="22"/>
          <w:b w:val="1"/>
          <w:bCs w:val="1"/>
          <w:color w:val="auto"/>
        </w:rPr>
        <w:t>Schedule II</w:t>
      </w:r>
      <w:r>
        <w:rPr>
          <w:rFonts w:ascii="Times New Roman" w:cs="Times New Roman" w:eastAsia="Times New Roman" w:hAnsi="Times New Roman"/>
          <w:sz w:val="22"/>
          <w:szCs w:val="22"/>
          <w:color w:val="auto"/>
        </w:rPr>
        <w:t xml:space="preserve"> as appropriate.</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These pre-clearance procedures are intended to decrease insider trading risks associated with transactions by individuals with regular or special access to material non-public information. In addition, requiring pre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clearance of transactions by directors and officers facilitates compliance with Rule 144 resale restrictions under the Securities Act of 1933, as amended, and the liability and reporting provisions of Section 16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Pre-clearance of a trade, however, is not a defense to a claim of insider trading and does not excuse you from otherwise complying with insider trading laws or this Policy. Further, pre-clearance of a transaction does not constitute an affirmation by the Company or a Compliance Officer that you are not in possession of material non-public information.</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Compliance Officer is under no obligation to approve a transaction submitted for pre-clearance, and may determine not to permit the transaction. A form of pre-clearance request has been included as Appendix B. Before executing any transaction, the pre-clearance form should be completed and submitted to the Compliance Officer for pre-clearance.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RESTRICTIONS AND GUIDANCE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this Policy, including the general prohibition against insider trading as well as pre-clearance procedures and blackout periods, if applicable.</w:t>
      </w:r>
    </w:p>
    <w:p>
      <w:pPr>
        <w:spacing w:after="0" w:line="176" w:lineRule="exact"/>
        <w:rPr>
          <w:sz w:val="20"/>
          <w:szCs w:val="20"/>
          <w:color w:val="auto"/>
        </w:rPr>
      </w:pPr>
    </w:p>
    <w:p>
      <w:pPr>
        <w:ind w:left="440" w:hanging="432"/>
        <w:spacing w:after="0"/>
        <w:tabs>
          <w:tab w:leader="none" w:pos="44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Short Sales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Policy prohibits short sales (i.e., the sale of a security that must be borrowed to make delivery) and “selling short against the box” (i.e., a sale with a delayed delivery) with respect to Company securities.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177" w:lineRule="exact"/>
        <w:rPr>
          <w:sz w:val="20"/>
          <w:szCs w:val="20"/>
          <w:color w:val="auto"/>
        </w:rPr>
      </w:pPr>
    </w:p>
    <w:p>
      <w:pPr>
        <w:ind w:left="440" w:hanging="432"/>
        <w:spacing w:after="0"/>
        <w:tabs>
          <w:tab w:leader="none" w:pos="44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Derivative Securities and Hedging Transactions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Policy prohibits transactions in publicly-traded options, such as puts and calls, and other derivative securities with respect to the Company’s securities. This prohibition extends to any hedging or similar transaction designed to decrease the risks associated with holding the Company securities. Stock options, restricted stock units, restricted stock, stock appreciation rights and other securities issued pursuant to the Company benefit plans or other compensatory arrangements with the Company are not subject to this prohibition.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Transactions in derivative securities may reflect a short-term and speculative interest in the Company’s securities and may create the appearance of impropriety, even where a transaction does not involve trading on material non-public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173" w:lineRule="exact"/>
        <w:rPr>
          <w:sz w:val="20"/>
          <w:szCs w:val="20"/>
          <w:color w:val="auto"/>
        </w:rPr>
      </w:pPr>
    </w:p>
    <w:p>
      <w:pPr>
        <w:ind w:left="440" w:hanging="432"/>
        <w:spacing w:after="0"/>
        <w:tabs>
          <w:tab w:leader="none" w:pos="44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Using Company Securities as Collateral for Loans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You may not pledge the Company securities as collateral for loans without the approval of a Compliance Officer. If you default on the loan, the lender may sell the pledged securities as collateral in a foreclosure sale. The sale, even though not initiated at your request, is still considered a sale for your benefit. If made at a time when you are aware of material non-public information or otherwise are not permitted to trade in the Company securities, the sale may result in inadvertent insider trading violations, Section 16 violations (for officers and directors), violations of this Policy and unfavorable publicity for you and the Company. For these reasons, even if you are permitted to pledge the Company securities as collateral for loans, you should exercise caution when doing so.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46"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Holding Company Securities in Margin Accounts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You may not hold the Company securities in margin accounts without the approval of a Compliance Officer. Under typical margin arrangements, if you fail to meet a margin call, the broker may be entitled to sell securities held in the margin account without your consent. The sale, even though not initiated at your request, is still considered a sale for your benefit. If made at a time when you are aware of material non-public information or are otherwise not permitted to trade in the Company securities, the sale may result in inadvertent insider trading violations, Section 16 violations (for officers and directors), violations of this Policy and unfavorable publicity for you and the Company. For these reasons, even if you are permitted to hold the Company securities in margin accounts, you should exercise caution when doing so.</w:t>
      </w:r>
    </w:p>
    <w:p>
      <w:pPr>
        <w:spacing w:after="0" w:line="179" w:lineRule="exact"/>
        <w:rPr>
          <w:sz w:val="20"/>
          <w:szCs w:val="20"/>
          <w:color w:val="auto"/>
        </w:rPr>
      </w:pPr>
    </w:p>
    <w:p>
      <w:pPr>
        <w:ind w:left="440" w:hanging="432"/>
        <w:spacing w:after="0"/>
        <w:tabs>
          <w:tab w:leader="none" w:pos="44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Placing Open Orders with Brokers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the Company securities, which may result in inadvertent insider trading violations, Section 16 violations (for officers and directors), violations of this Policy and unfavorable publicity for you and the Company. If you are subject to blackout periods or pre-clearance requirements, you should inform your broker when you place any open order at the time the order is placed.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EXCEPTIONS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if applicable. You are responsible for complying with applicable law at all times.</w:t>
      </w:r>
    </w:p>
    <w:p>
      <w:pPr>
        <w:spacing w:after="0" w:line="173" w:lineRule="exact"/>
        <w:rPr>
          <w:sz w:val="20"/>
          <w:szCs w:val="20"/>
          <w:color w:val="auto"/>
        </w:rPr>
      </w:pPr>
    </w:p>
    <w:p>
      <w:pPr>
        <w:ind w:left="440" w:hanging="432"/>
        <w:spacing w:after="0"/>
        <w:tabs>
          <w:tab w:leader="none" w:pos="44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Transactions Pursuant to a Trading Plan that Complies with SEC Rules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Transactions made pursuant to a written trading plan that (i) complies with the affirmative defense set forth in Rule 10b5-1, (ii) complies with the requirements set forth in Appendix A hereto and (iii) is approved by a Compliance Officer, are not subject to the restrictions in this Policy against trades made while aware of material non-public information or to the pre-clearance procedures or blackout periods established under this Policy. In approving a trading plan, a Compliance Officer may, in furtherance of the objectives expressed in this Policy, impose criteria in addition to those set forth in Rule 10b5-1. You should therefore confer with a Compliance Officer prior to entering into any trading plan.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SEC rules regarding trading plans are complex, and you must comply with them completely for your trading plan to be effective. The description provided above is only a summary, and the Company strongly advises that you consult with your personal legal advisor if you intend to adopt a trading plan. While trading plans are subject to the Company review and approval, you are ultimately responsible for compliance with Rule 10b5-1 and this Policy.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Compliance Officer must keep a copy of each adopted trading plan. The Company may publicly disclose information regarding trading plans that you may enter (including but not limited to the information required by Regulation S-K Item 408), and you, or the Company on your behalf, will identify any Rule 10b5-1 transactions as such on Forms 4 and 5, if applicable.</w:t>
      </w:r>
    </w:p>
    <w:p>
      <w:pPr>
        <w:spacing w:after="0" w:line="169" w:lineRule="exact"/>
        <w:rPr>
          <w:sz w:val="20"/>
          <w:szCs w:val="20"/>
          <w:color w:val="auto"/>
        </w:rPr>
      </w:pPr>
    </w:p>
    <w:p>
      <w:pPr>
        <w:ind w:left="440" w:hanging="432"/>
        <w:spacing w:after="0"/>
        <w:tabs>
          <w:tab w:leader="none" w:pos="44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Receipt and Vesting of Stock Options, Restricted Stock Units, Restricted Stock and Stock Appreciation Rights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the grant or award of stock options, restricted stock units, restricted stock or stock appreciation rights issued or offered by the Company, or mandatory “sell to cover taxes” for restricted stock units. The trading restrictions under this Policy also do not apply to the vesting, cancellation or forfeiture of stock options, restricted stock units, restricted stock or stock appreciation rights in accordance with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plans and agreements. The trading restrictions do apply, however, to any subsequent sales of any such securities or the common stock underlying such securities and any other market sale for the purpose of generating the cash needed to pay withholding taxes related to the settlement restricted stock units or stock option exercises.</w:t>
      </w:r>
    </w:p>
    <w:p>
      <w:pPr>
        <w:spacing w:after="0" w:line="169" w:lineRule="exact"/>
        <w:rPr>
          <w:sz w:val="20"/>
          <w:szCs w:val="20"/>
          <w:color w:val="auto"/>
        </w:rPr>
      </w:pPr>
    </w:p>
    <w:p>
      <w:pPr>
        <w:ind w:left="440" w:hanging="432"/>
        <w:spacing w:after="0"/>
        <w:tabs>
          <w:tab w:leader="none" w:pos="44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or Cashless Net Exercise of Stock Options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the exercise of stock options for cash under the Company’s stock option plans. Likewise, the trading restrictions under this Policy do not apply to the exercise of stock options in a stock-for-stock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because this involves selling a portion of the underlying shares to cover the costs of exercise, and (iii) any other market sale for the purpose of generating the cash needed to pay the exercise price of an option or to pay withholding taxes related to the settlement of restricted stock units or stock option exercises.</w:t>
      </w:r>
    </w:p>
    <w:p>
      <w:pPr>
        <w:spacing w:after="0" w:line="174" w:lineRule="exact"/>
        <w:rPr>
          <w:sz w:val="20"/>
          <w:szCs w:val="20"/>
          <w:color w:val="auto"/>
        </w:rPr>
      </w:pPr>
    </w:p>
    <w:p>
      <w:pPr>
        <w:ind w:left="440" w:hanging="432"/>
        <w:spacing w:after="0"/>
        <w:tabs>
          <w:tab w:leader="none" w:pos="44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Purchases from the Employee Stock Purchase Plan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 acquired therefrom.</w:t>
      </w:r>
    </w:p>
    <w:p>
      <w:pPr>
        <w:spacing w:after="0" w:line="169" w:lineRule="exact"/>
        <w:rPr>
          <w:sz w:val="20"/>
          <w:szCs w:val="20"/>
          <w:color w:val="auto"/>
        </w:rPr>
      </w:pPr>
    </w:p>
    <w:p>
      <w:pPr>
        <w:ind w:left="440" w:hanging="432"/>
        <w:spacing w:after="0"/>
        <w:tabs>
          <w:tab w:leader="none" w:pos="44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Splits, Stock Dividends and Similar Transactions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54" w:lineRule="exact"/>
        <w:rPr>
          <w:sz w:val="20"/>
          <w:szCs w:val="20"/>
          <w:color w:val="auto"/>
        </w:rPr>
      </w:pPr>
    </w:p>
    <w:p>
      <w:pPr>
        <w:ind w:left="440" w:hanging="432"/>
        <w:spacing w:after="0"/>
        <w:tabs>
          <w:tab w:leader="none" w:pos="4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Bona Fide Gifts and Inheritance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bona fide gifts involving Company securities or transfers by will or the laws of descent and distribution. However, the trading restrictions apply if (i) you have reason to believe that the recipient intends to sell Company securities while you are aware of material nonpublic information or, (ii) (A) you are subject to the trading restrictions specified above under the heading “Trading Blackout Periods,” and (B) you have reason to believe that the recipient intends to sell the Company securities during a blackout period. In other words, you cannot use a gift to conduct a transaction that otherwise would be prohibited under this Policy.</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trading restrictions under this Policy apply to any gifted or inherited securities if the recipient, for example, an immediate family member, is subject to this Policy. See “Persons and Transactions Covered by this Policy” above. Please also note that under the Company’s stock option plans, a stock option or other equity award may not be gifted or transferred except under very limited circumstances.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4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G.</w:t>
      </w:r>
      <w:r>
        <w:rPr>
          <w:sz w:val="20"/>
          <w:szCs w:val="20"/>
          <w:color w:val="auto"/>
        </w:rPr>
        <w:tab/>
      </w:r>
      <w:r>
        <w:rPr>
          <w:rFonts w:ascii="Times New Roman" w:cs="Times New Roman" w:eastAsia="Times New Roman" w:hAnsi="Times New Roman"/>
          <w:sz w:val="21"/>
          <w:szCs w:val="21"/>
          <w:b w:val="1"/>
          <w:bCs w:val="1"/>
          <w:color w:val="auto"/>
        </w:rPr>
        <w:t>Change in Form of Ownership</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Transactions that involve merely a change in the form in which you own securities are not subject to the trading restrictions under this Policy. For example, you may transfer shares to an inter vivos trust of which you are the sole beneficiary during your lifetime.</w:t>
      </w:r>
    </w:p>
    <w:p>
      <w:pPr>
        <w:spacing w:after="0" w:line="16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H.</w:t>
      </w:r>
      <w:r>
        <w:rPr>
          <w:sz w:val="20"/>
          <w:szCs w:val="20"/>
          <w:color w:val="auto"/>
        </w:rPr>
        <w:tab/>
      </w:r>
      <w:r>
        <w:rPr>
          <w:rFonts w:ascii="Times New Roman" w:cs="Times New Roman" w:eastAsia="Times New Roman" w:hAnsi="Times New Roman"/>
          <w:sz w:val="21"/>
          <w:szCs w:val="21"/>
          <w:b w:val="1"/>
          <w:bCs w:val="1"/>
          <w:color w:val="auto"/>
        </w:rPr>
        <w:t>Other Exceptions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Any other exception from this Policy must be approved by a Compliance Officer, in consultation with the Board of Directors or an independent committee of the Board of Directors.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COMPLIANCE WITH SECTION 16 OF THE SECURITIES EXCHANGE ACT</w:t>
      </w:r>
    </w:p>
    <w:p>
      <w:pPr>
        <w:spacing w:after="0" w:line="206" w:lineRule="exact"/>
        <w:rPr>
          <w:sz w:val="20"/>
          <w:szCs w:val="20"/>
          <w:color w:val="auto"/>
        </w:rPr>
      </w:pPr>
    </w:p>
    <w:p>
      <w:pPr>
        <w:ind w:left="440" w:hanging="432"/>
        <w:spacing w:after="0"/>
        <w:tabs>
          <w:tab w:leader="none" w:pos="44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Obligations under Section 16</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Section 16 of the Exchange Act, and the related rules and regulations, set forth (i) reporting obligations, (ii) limitations on “short-swing” transactions and (iii) limitations on short sales and other transactions applicable to directors, officers, large shareholders and certain other persons.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The Company’s Board of Directors has determined that those persons listed on </w:t>
      </w:r>
      <w:r>
        <w:rPr>
          <w:rFonts w:ascii="Times New Roman" w:cs="Times New Roman" w:eastAsia="Times New Roman" w:hAnsi="Times New Roman"/>
          <w:sz w:val="21"/>
          <w:szCs w:val="21"/>
          <w:b w:val="1"/>
          <w:bCs w:val="1"/>
          <w:color w:val="auto"/>
        </w:rPr>
        <w:t>Schedule III</w:t>
      </w:r>
      <w:r>
        <w:rPr>
          <w:rFonts w:ascii="Times New Roman" w:cs="Times New Roman" w:eastAsia="Times New Roman" w:hAnsi="Times New Roman"/>
          <w:sz w:val="21"/>
          <w:szCs w:val="21"/>
          <w:color w:val="auto"/>
        </w:rPr>
        <w:t xml:space="preserve"> are required to comply with Section 16 of the Exchange Act, and the related rules and regulations, because of their positions with the Company. A Compliance Officer may amend </w:t>
      </w:r>
      <w:r>
        <w:rPr>
          <w:rFonts w:ascii="Times New Roman" w:cs="Times New Roman" w:eastAsia="Times New Roman" w:hAnsi="Times New Roman"/>
          <w:sz w:val="21"/>
          <w:szCs w:val="21"/>
          <w:b w:val="1"/>
          <w:bCs w:val="1"/>
          <w:color w:val="auto"/>
        </w:rPr>
        <w:t>Schedule III</w:t>
      </w:r>
      <w:r>
        <w:rPr>
          <w:rFonts w:ascii="Times New Roman" w:cs="Times New Roman" w:eastAsia="Times New Roman" w:hAnsi="Times New Roman"/>
          <w:sz w:val="21"/>
          <w:szCs w:val="21"/>
          <w:color w:val="auto"/>
        </w:rPr>
        <w:t xml:space="preserve"> from time to time as appropriate to reflect the election of new officers or directors, any change in the responsibilities of officers or other employees and any promotions, demotions, resignations or departures.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Schedule III </w:t>
      </w:r>
      <w:r>
        <w:rPr>
          <w:rFonts w:ascii="Times New Roman" w:cs="Times New Roman" w:eastAsia="Times New Roman" w:hAnsi="Times New Roman"/>
          <w:sz w:val="21"/>
          <w:szCs w:val="21"/>
          <w:color w:val="auto"/>
        </w:rPr>
        <w:t>is not necessarily an exhaustive list of persons subject to Section 16 requirements at any given time. Even if you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 listed on </w:t>
      </w:r>
      <w:r>
        <w:rPr>
          <w:rFonts w:ascii="Times New Roman" w:cs="Times New Roman" w:eastAsia="Times New Roman" w:hAnsi="Times New Roman"/>
          <w:sz w:val="21"/>
          <w:szCs w:val="21"/>
          <w:b w:val="1"/>
          <w:bCs w:val="1"/>
          <w:color w:val="auto"/>
        </w:rPr>
        <w:t>Schedule III</w:t>
      </w:r>
      <w:r>
        <w:rPr>
          <w:rFonts w:ascii="Times New Roman" w:cs="Times New Roman" w:eastAsia="Times New Roman" w:hAnsi="Times New Roman"/>
          <w:sz w:val="21"/>
          <w:szCs w:val="21"/>
          <w:color w:val="auto"/>
        </w:rPr>
        <w:t>, you may be subject to Section 16 reporting obligations because of your shareholdings, for example.</w:t>
      </w:r>
    </w:p>
    <w:p>
      <w:pPr>
        <w:spacing w:after="0" w:line="126" w:lineRule="exact"/>
        <w:rPr>
          <w:sz w:val="20"/>
          <w:szCs w:val="20"/>
          <w:color w:val="auto"/>
        </w:rPr>
      </w:pPr>
    </w:p>
    <w:p>
      <w:pPr>
        <w:ind w:left="440" w:hanging="432"/>
        <w:spacing w:after="0"/>
        <w:tabs>
          <w:tab w:leader="none" w:pos="44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Requirements to Facilitate Section 16 Reporting</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 facilitate timely reporting of transactions pursuant to Section 16 requirements, if you are subject to Section 16 reporting requirements you must provide, or must ensure that your broker provides, the Company with detailed information (e.g., trade date, number of shares, exact price, etc.) regarding your transactions involving the Company’s securities, including gifts, transfers, pledges and transactions pursuant to a trading plan, both prior to the transaction (to confirm compliance with pre-clearance procedures, if applicable) and on the date of the transaction.</w:t>
      </w:r>
    </w:p>
    <w:p>
      <w:pPr>
        <w:spacing w:after="0" w:line="173" w:lineRule="exact"/>
        <w:rPr>
          <w:sz w:val="20"/>
          <w:szCs w:val="20"/>
          <w:color w:val="auto"/>
        </w:rPr>
      </w:pPr>
    </w:p>
    <w:p>
      <w:pPr>
        <w:ind w:left="440" w:hanging="432"/>
        <w:spacing w:after="0"/>
        <w:tabs>
          <w:tab w:leader="none" w:pos="44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Personal Responsibility</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obligation to file Section 16 reports, and to otherwise comply with Section 16, is personal. The Company is not responsible for the failure to comply with Section 16 requirements.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ADDITIONAL </w:t>
      </w: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b w:val="1"/>
          <w:bCs w:val="1"/>
          <w:color w:val="auto"/>
        </w:rPr>
        <w:t>NFORMATION</w:t>
      </w:r>
    </w:p>
    <w:p>
      <w:pPr>
        <w:spacing w:after="0" w:line="206" w:lineRule="exact"/>
        <w:rPr>
          <w:sz w:val="20"/>
          <w:szCs w:val="20"/>
          <w:color w:val="auto"/>
        </w:rPr>
      </w:pPr>
    </w:p>
    <w:p>
      <w:pPr>
        <w:ind w:left="440" w:hanging="432"/>
        <w:spacing w:after="0"/>
        <w:tabs>
          <w:tab w:leader="none" w:pos="44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Availability of Policy</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Policy will be made available to all the Company directors, officers, employees and agents when they commence service with the Company. You are required to acknowledge that you understand, and agree to comply with, this Policy.</w:t>
      </w:r>
    </w:p>
    <w:p>
      <w:pPr>
        <w:spacing w:after="0" w:line="154" w:lineRule="exact"/>
        <w:rPr>
          <w:sz w:val="20"/>
          <w:szCs w:val="20"/>
          <w:color w:val="auto"/>
        </w:rPr>
      </w:pPr>
    </w:p>
    <w:p>
      <w:pPr>
        <w:ind w:left="440" w:hanging="432"/>
        <w:spacing w:after="0"/>
        <w:tabs>
          <w:tab w:leader="none" w:pos="44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is committed to continuously reviewing and updating this Policy and any other Company policies and procedures. The Company therefore reserves the right to amend, alter or terminate this Policy at any time and for any reason, subject to applicable law. A current copy of the Company’s policies regarding insider trading may be obtained via the Wire and Bamboo. .</w:t>
      </w:r>
    </w:p>
    <w:p>
      <w:pPr>
        <w:spacing w:after="0" w:line="180" w:lineRule="exact"/>
        <w:rPr>
          <w:sz w:val="20"/>
          <w:szCs w:val="20"/>
          <w:color w:val="auto"/>
        </w:rPr>
      </w:pPr>
    </w:p>
    <w:p>
      <w:pPr>
        <w:ind w:left="5200"/>
        <w:spacing w:after="0"/>
        <w:tabs>
          <w:tab w:leader="none" w:pos="5560" w:val="left"/>
          <w:tab w:leader="none" w:pos="592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Nothing in this Policy creates or implies an employment contract or term of employment.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policies in this Policy do not constitute a complete list of the Company policies or a complete list of the types of conduct that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can result in discipline, up to and including discharge.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Requirements for Rule 10b5-1 Trading Plans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Rule 10b5-1 “trading plan” involving purchases or sales of Company securities must comply with the requirements of Rule 10b5-1 and must meet the following requirements:</w:t>
      </w:r>
    </w:p>
    <w:p>
      <w:pPr>
        <w:spacing w:after="0" w:line="158" w:lineRule="exact"/>
        <w:rPr>
          <w:sz w:val="20"/>
          <w:szCs w:val="20"/>
          <w:color w:val="auto"/>
        </w:rPr>
      </w:pPr>
    </w:p>
    <w:p>
      <w:pPr>
        <w:ind w:left="820" w:hanging="425"/>
        <w:spacing w:after="0"/>
        <w:tabs>
          <w:tab w:leader="none" w:pos="8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in writing and signed by the person adopting the trading plan.</w:t>
      </w:r>
    </w:p>
    <w:p>
      <w:pPr>
        <w:spacing w:after="0" w:line="206"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adopted at a time when:</w:t>
      </w:r>
    </w:p>
    <w:p>
      <w:pPr>
        <w:spacing w:after="0" w:line="94"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adopting the trading plan is not aware of any material non-public information (“</w:t>
      </w:r>
      <w:r>
        <w:rPr>
          <w:rFonts w:ascii="Times New Roman" w:cs="Times New Roman" w:eastAsia="Times New Roman" w:hAnsi="Times New Roman"/>
          <w:sz w:val="22"/>
          <w:szCs w:val="22"/>
          <w:b w:val="1"/>
          <w:bCs w:val="1"/>
          <w:color w:val="auto"/>
        </w:rPr>
        <w:t>MNPI</w:t>
      </w:r>
      <w:r>
        <w:rPr>
          <w:rFonts w:ascii="Times New Roman" w:cs="Times New Roman" w:eastAsia="Times New Roman" w:hAnsi="Times New Roman"/>
          <w:sz w:val="22"/>
          <w:szCs w:val="22"/>
          <w:color w:val="auto"/>
        </w:rPr>
        <w:t>”); and</w:t>
      </w:r>
    </w:p>
    <w:p>
      <w:pPr>
        <w:spacing w:after="0" w:line="102" w:lineRule="exact"/>
        <w:rPr>
          <w:rFonts w:ascii="Times New Roman" w:cs="Times New Roman" w:eastAsia="Times New Roman" w:hAnsi="Times New Roman"/>
          <w:sz w:val="22"/>
          <w:szCs w:val="22"/>
          <w:color w:val="auto"/>
        </w:rPr>
      </w:pPr>
    </w:p>
    <w:p>
      <w:pPr>
        <w:ind w:left="1500" w:firstLine="58"/>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quarterly, special or other trading blackout in effect with respect to the person adopting the trading plan.</w:t>
      </w:r>
    </w:p>
    <w:p>
      <w:pPr>
        <w:spacing w:after="0" w:line="158" w:lineRule="exact"/>
        <w:rPr>
          <w:rFonts w:ascii="Times New Roman" w:cs="Times New Roman" w:eastAsia="Times New Roman" w:hAnsi="Times New Roman"/>
          <w:sz w:val="22"/>
          <w:szCs w:val="22"/>
          <w:color w:val="auto"/>
        </w:rPr>
      </w:pPr>
    </w:p>
    <w:p>
      <w:pPr>
        <w:ind w:left="760" w:right="20" w:hanging="365"/>
        <w:spacing w:after="0" w:line="285" w:lineRule="exact"/>
        <w:tabs>
          <w:tab w:leader="none" w:pos="83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entered in good faith and not as part of a plan or scheme to evade the prohibitions of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and the individual adopting the trading plan must act in good faith with respect to the plan through its duration.</w:t>
      </w:r>
    </w:p>
    <w:p>
      <w:pPr>
        <w:spacing w:after="0" w:line="146" w:lineRule="exact"/>
        <w:rPr>
          <w:rFonts w:ascii="Times New Roman" w:cs="Times New Roman" w:eastAsia="Times New Roman" w:hAnsi="Times New Roman"/>
          <w:sz w:val="22"/>
          <w:szCs w:val="22"/>
          <w:color w:val="auto"/>
        </w:rPr>
      </w:pPr>
    </w:p>
    <w:p>
      <w:pPr>
        <w:jc w:val="both"/>
        <w:ind w:left="760" w:hanging="365"/>
        <w:spacing w:after="0" w:line="239" w:lineRule="auto"/>
        <w:tabs>
          <w:tab w:leader="none" w:pos="83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directors and Section 16 officers of the Company (i.e., all persons listed on Schedule III of this Policy) must represent in a trading plan at the time of its adoption (or modification) that (a) they are not aware of any MNPI about the Company or its securities, and (b) they are adopting (or modifying) the trading plan in good faith and not as part of a plan or scheme to evade the prohibitions of Rule 10b5-1.</w:t>
      </w:r>
    </w:p>
    <w:p>
      <w:pPr>
        <w:spacing w:after="0" w:line="180" w:lineRule="exact"/>
        <w:rPr>
          <w:rFonts w:ascii="Times New Roman" w:cs="Times New Roman" w:eastAsia="Times New Roman" w:hAnsi="Times New Roman"/>
          <w:sz w:val="22"/>
          <w:szCs w:val="22"/>
          <w:color w:val="auto"/>
        </w:rPr>
      </w:pPr>
    </w:p>
    <w:p>
      <w:pPr>
        <w:jc w:val="both"/>
        <w:ind w:left="760" w:hanging="365"/>
        <w:spacing w:after="0" w:line="250" w:lineRule="auto"/>
        <w:tabs>
          <w:tab w:leader="none" w:pos="83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67"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trading plan may not occur until:</w:t>
      </w:r>
    </w:p>
    <w:p>
      <w:pPr>
        <w:spacing w:after="0" w:line="206" w:lineRule="exact"/>
        <w:rPr>
          <w:rFonts w:ascii="Times New Roman" w:cs="Times New Roman" w:eastAsia="Times New Roman" w:hAnsi="Times New Roman"/>
          <w:sz w:val="22"/>
          <w:szCs w:val="22"/>
          <w:color w:val="auto"/>
        </w:rPr>
      </w:pPr>
    </w:p>
    <w:p>
      <w:pPr>
        <w:ind w:left="1500" w:firstLine="58"/>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directors and Section 16 officers of the Company (i.e., all persons listed on Schedule III of this Policy), the later of (a) 90 calendar days after adoption of the trading plan or (b) two business days following the filing of the Form 10-Q or Form 10-K for the fiscal quarter in which the plan was adopted (but in any event, no more than 120 calendar days after the adoption of the trading plan).</w:t>
      </w:r>
    </w:p>
    <w:p>
      <w:pPr>
        <w:spacing w:after="0" w:line="180"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other persons, 30 calendar days after adoption of the trading plan.</w:t>
      </w:r>
    </w:p>
    <w:p>
      <w:pPr>
        <w:spacing w:after="0" w:line="206" w:lineRule="exact"/>
        <w:rPr>
          <w:rFonts w:ascii="Times New Roman" w:cs="Times New Roman" w:eastAsia="Times New Roman" w:hAnsi="Times New Roman"/>
          <w:sz w:val="22"/>
          <w:szCs w:val="22"/>
          <w:color w:val="auto"/>
        </w:rPr>
      </w:pPr>
    </w:p>
    <w:p>
      <w:pPr>
        <w:ind w:left="760" w:right="20" w:hanging="365"/>
        <w:spacing w:after="0" w:line="258" w:lineRule="auto"/>
        <w:tabs>
          <w:tab w:leader="none" w:pos="83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have a minimum term of one year and a maximum term of two years (measured from the date the plan is effective). There is a limitation of one single-trade plan during any consecutive 12-month period.</w:t>
      </w:r>
    </w:p>
    <w:p>
      <w:pPr>
        <w:spacing w:after="0" w:line="158" w:lineRule="exact"/>
        <w:rPr>
          <w:rFonts w:ascii="Times New Roman" w:cs="Times New Roman" w:eastAsia="Times New Roman" w:hAnsi="Times New Roman"/>
          <w:sz w:val="22"/>
          <w:szCs w:val="22"/>
          <w:color w:val="auto"/>
        </w:rPr>
      </w:pPr>
    </w:p>
    <w:p>
      <w:pPr>
        <w:ind w:left="760" w:right="60" w:hanging="365"/>
        <w:spacing w:after="0" w:line="258" w:lineRule="auto"/>
        <w:tabs>
          <w:tab w:leader="none" w:pos="83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during the term of the trading plan (except for the other “Limited Exceptions” identified in the Company’s insider trading policy) must be conducted through the trading plan.</w:t>
      </w:r>
    </w:p>
    <w:p>
      <w:pPr>
        <w:spacing w:after="0" w:line="158"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plan cannot overlap with another Rule 10b5-1 trading plan, unless one of the following exceptions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3" w:name="page184"/>
    <w:bookmarkEnd w:id="183"/>
    <w:p>
      <w:pPr>
        <w:spacing w:after="0" w:line="185" w:lineRule="exact"/>
        <w:rPr>
          <w:sz w:val="20"/>
          <w:szCs w:val="20"/>
          <w:color w:val="auto"/>
        </w:rPr>
      </w:pPr>
    </w:p>
    <w:p>
      <w:pPr>
        <w:ind w:left="1105" w:firstLine="125"/>
        <w:spacing w:after="0" w:line="239" w:lineRule="auto"/>
        <w:rPr>
          <w:sz w:val="20"/>
          <w:szCs w:val="20"/>
          <w:color w:val="auto"/>
        </w:rPr>
      </w:pPr>
      <w:r>
        <w:rPr>
          <w:rFonts w:ascii="Times New Roman" w:cs="Times New Roman" w:eastAsia="Times New Roman" w:hAnsi="Times New Roman"/>
          <w:sz w:val="22"/>
          <w:szCs w:val="22"/>
          <w:color w:val="auto"/>
        </w:rPr>
        <w:t>Eligible “sell-to-cover” transactions (i.e., authorizing the sale of securities as necessary to satisfy tax withholding obligations arising exclusively from the vesting of a compensatory award where the insider doesn’t otherwise exercise control over the timing of such sales) are not considered separate plans that count against this prohibition.</w:t>
      </w:r>
    </w:p>
    <w:p>
      <w:pPr>
        <w:spacing w:after="0" w:line="180" w:lineRule="exact"/>
        <w:rPr>
          <w:sz w:val="20"/>
          <w:szCs w:val="20"/>
          <w:color w:val="auto"/>
        </w:rPr>
      </w:pPr>
    </w:p>
    <w:p>
      <w:pPr>
        <w:ind w:left="1105" w:firstLine="58"/>
        <w:spacing w:after="0" w:line="258" w:lineRule="auto"/>
        <w:rPr>
          <w:sz w:val="20"/>
          <w:szCs w:val="20"/>
          <w:color w:val="auto"/>
        </w:rPr>
      </w:pPr>
      <w:r>
        <w:rPr>
          <w:rFonts w:ascii="Times New Roman" w:cs="Times New Roman" w:eastAsia="Times New Roman" w:hAnsi="Times New Roman"/>
          <w:sz w:val="22"/>
          <w:szCs w:val="22"/>
          <w:color w:val="auto"/>
        </w:rPr>
        <w:t>A series of separate contracts with different broker-dealers that effectively function as a single trading plan are not considered overlapping plans.</w:t>
      </w:r>
    </w:p>
    <w:p>
      <w:pPr>
        <w:spacing w:after="0" w:line="158" w:lineRule="exact"/>
        <w:rPr>
          <w:sz w:val="20"/>
          <w:szCs w:val="20"/>
          <w:color w:val="auto"/>
        </w:rPr>
      </w:pPr>
    </w:p>
    <w:p>
      <w:pPr>
        <w:ind w:left="1105" w:firstLine="58"/>
        <w:spacing w:after="0" w:line="249" w:lineRule="auto"/>
        <w:rPr>
          <w:sz w:val="20"/>
          <w:szCs w:val="20"/>
          <w:color w:val="auto"/>
        </w:rPr>
      </w:pPr>
      <w:r>
        <w:rPr>
          <w:rFonts w:ascii="Times New Roman" w:cs="Times New Roman" w:eastAsia="Times New Roman" w:hAnsi="Times New Roman"/>
          <w:sz w:val="21"/>
          <w:szCs w:val="21"/>
          <w:color w:val="auto"/>
        </w:rPr>
        <w:t xml:space="preserve">Trades under an existing trading plan can continue to run during the cooling-off period for a new trading plan if the following conditions are met: (a) trading under the new trading plan may not begin until after all trades under the existing trading plan are completed or expire without execution, and (b) the applicable cooling off period under the new trading plan, running from the date of its adoption, has been met;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the existing trading plan is terminated early (i.e., before its scheduled completion date), then the applicable cooling-off period for the new trading plan must run from the date of the termination of the existing trading plan.</w:t>
      </w:r>
    </w:p>
    <w:p>
      <w:pPr>
        <w:spacing w:after="0" w:line="170" w:lineRule="exact"/>
        <w:rPr>
          <w:sz w:val="20"/>
          <w:szCs w:val="20"/>
          <w:color w:val="auto"/>
        </w:rPr>
      </w:pPr>
    </w:p>
    <w:p>
      <w:pPr>
        <w:ind w:left="365" w:right="20" w:hanging="365"/>
        <w:spacing w:after="0" w:line="271" w:lineRule="auto"/>
        <w:tabs>
          <w:tab w:leader="none" w:pos="4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material modifications (where such modifications change the amount, price or timing of the purchase or sale of securities pursuant to the plan, but does not include immaterial modifications):</w:t>
      </w:r>
    </w:p>
    <w:p>
      <w:pPr>
        <w:spacing w:after="0" w:line="36" w:lineRule="exact"/>
        <w:rPr>
          <w:rFonts w:ascii="Times New Roman" w:cs="Times New Roman" w:eastAsia="Times New Roman" w:hAnsi="Times New Roman"/>
          <w:sz w:val="22"/>
          <w:szCs w:val="22"/>
          <w:color w:val="auto"/>
        </w:rPr>
      </w:pPr>
    </w:p>
    <w:p>
      <w:pPr>
        <w:ind w:left="74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may only be modified when the person modifying the trading plan is not aware of MNPI.</w:t>
      </w:r>
    </w:p>
    <w:p>
      <w:pPr>
        <w:spacing w:after="0" w:line="98" w:lineRule="exact"/>
        <w:rPr>
          <w:rFonts w:ascii="Times New Roman" w:cs="Times New Roman" w:eastAsia="Times New Roman" w:hAnsi="Times New Roman"/>
          <w:sz w:val="22"/>
          <w:szCs w:val="22"/>
          <w:color w:val="auto"/>
        </w:rPr>
      </w:pPr>
    </w:p>
    <w:p>
      <w:pPr>
        <w:ind w:left="1105" w:firstLine="85"/>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may only be modified when there is no quarterly, special or other blackout in effect with respect to the person modifying the plan.</w:t>
      </w:r>
    </w:p>
    <w:p>
      <w:pPr>
        <w:spacing w:after="0" w:line="50" w:lineRule="exact"/>
        <w:rPr>
          <w:rFonts w:ascii="Times New Roman" w:cs="Times New Roman" w:eastAsia="Times New Roman" w:hAnsi="Times New Roman"/>
          <w:sz w:val="22"/>
          <w:szCs w:val="22"/>
          <w:color w:val="auto"/>
        </w:rPr>
      </w:pPr>
    </w:p>
    <w:p>
      <w:pPr>
        <w:ind w:left="1105" w:firstLine="58"/>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modified trading plan may only occur in accordance with the cooling off periods noted in item 6 above. The existing plan would remain in effect until the modified plan comes into effect.</w:t>
      </w:r>
    </w:p>
    <w:p>
      <w:pPr>
        <w:spacing w:after="0" w:line="50" w:lineRule="exact"/>
        <w:rPr>
          <w:rFonts w:ascii="Times New Roman" w:cs="Times New Roman" w:eastAsia="Times New Roman" w:hAnsi="Times New Roman"/>
          <w:sz w:val="22"/>
          <w:szCs w:val="22"/>
          <w:color w:val="auto"/>
        </w:rPr>
      </w:pPr>
    </w:p>
    <w:p>
      <w:pPr>
        <w:ind w:left="1105" w:right="20" w:firstLine="85"/>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modified trading plan must have a minimum duration of one year and a maximum term of two years (measured from the date the plan is effective).</w:t>
      </w:r>
    </w:p>
    <w:p>
      <w:pPr>
        <w:spacing w:after="0" w:line="158" w:lineRule="exact"/>
        <w:rPr>
          <w:rFonts w:ascii="Times New Roman" w:cs="Times New Roman" w:eastAsia="Times New Roman" w:hAnsi="Times New Roman"/>
          <w:sz w:val="22"/>
          <w:szCs w:val="22"/>
          <w:color w:val="auto"/>
        </w:rPr>
      </w:pPr>
    </w:p>
    <w:p>
      <w:pPr>
        <w:ind w:left="425" w:hanging="425"/>
        <w:spacing w:after="0"/>
        <w:tabs>
          <w:tab w:leader="none" w:pos="42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only modify a trading plan once in a one-year period.</w:t>
      </w:r>
    </w:p>
    <w:p>
      <w:pPr>
        <w:spacing w:after="0" w:line="206" w:lineRule="exact"/>
        <w:rPr>
          <w:rFonts w:ascii="Times New Roman" w:cs="Times New Roman" w:eastAsia="Times New Roman" w:hAnsi="Times New Roman"/>
          <w:sz w:val="22"/>
          <w:szCs w:val="22"/>
          <w:color w:val="auto"/>
        </w:rPr>
      </w:pPr>
    </w:p>
    <w:p>
      <w:pPr>
        <w:jc w:val="both"/>
        <w:ind w:left="365" w:hanging="365"/>
        <w:spacing w:after="0" w:line="244" w:lineRule="auto"/>
        <w:tabs>
          <w:tab w:leader="none" w:pos="4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that adopted the trading plan terminates the plan prior to its stated duration, he or she may not trade in the Company’s securities until the completion of the next upcoming quarterly blackout period after termination (or, if the plan is terminated during a quarterly blackout period, the end of that blackout period).</w:t>
      </w:r>
    </w:p>
    <w:p>
      <w:pPr>
        <w:spacing w:after="0" w:line="173" w:lineRule="exact"/>
        <w:rPr>
          <w:rFonts w:ascii="Times New Roman" w:cs="Times New Roman" w:eastAsia="Times New Roman" w:hAnsi="Times New Roman"/>
          <w:sz w:val="22"/>
          <w:szCs w:val="22"/>
          <w:color w:val="auto"/>
        </w:rPr>
      </w:pPr>
    </w:p>
    <w:p>
      <w:pPr>
        <w:ind w:left="365" w:right="60" w:hanging="365"/>
        <w:spacing w:after="0" w:line="258" w:lineRule="auto"/>
        <w:tabs>
          <w:tab w:leader="none" w:pos="4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be promptly notified of any modification or termination of the trading plan, including any suspension of trading under the plan.</w:t>
      </w:r>
    </w:p>
    <w:p>
      <w:pPr>
        <w:spacing w:after="0" w:line="158" w:lineRule="exact"/>
        <w:rPr>
          <w:rFonts w:ascii="Times New Roman" w:cs="Times New Roman" w:eastAsia="Times New Roman" w:hAnsi="Times New Roman"/>
          <w:sz w:val="22"/>
          <w:szCs w:val="22"/>
          <w:color w:val="auto"/>
        </w:rPr>
      </w:pPr>
    </w:p>
    <w:p>
      <w:pPr>
        <w:ind w:left="365" w:right="20" w:hanging="365"/>
        <w:spacing w:after="0" w:line="258" w:lineRule="auto"/>
        <w:tabs>
          <w:tab w:leader="none" w:pos="4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trading plan grants discretion to a stockbroker or other person with respect to the execution of trades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859790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5"/>
          </w:cols>
          <w:pgMar w:left="715" w:top="1440" w:right="339" w:bottom="1440" w:gutter="0" w:footer="0" w:header="0"/>
        </w:sectPr>
      </w:pPr>
    </w:p>
    <w:bookmarkStart w:id="184" w:name="page185"/>
    <w:bookmarkEnd w:id="184"/>
    <w:p>
      <w:pPr>
        <w:spacing w:after="0" w:line="77" w:lineRule="exact"/>
        <w:rPr>
          <w:sz w:val="20"/>
          <w:szCs w:val="20"/>
          <w:color w:val="auto"/>
        </w:rPr>
      </w:pPr>
    </w:p>
    <w:p>
      <w:pPr>
        <w:ind w:left="1105" w:right="20" w:firstLine="71"/>
        <w:spacing w:after="0" w:line="258" w:lineRule="auto"/>
        <w:rPr>
          <w:sz w:val="20"/>
          <w:szCs w:val="20"/>
          <w:color w:val="auto"/>
        </w:rPr>
      </w:pPr>
      <w:r>
        <w:rPr>
          <w:rFonts w:ascii="Times New Roman" w:cs="Times New Roman" w:eastAsia="Times New Roman" w:hAnsi="Times New Roman"/>
          <w:sz w:val="22"/>
          <w:szCs w:val="22"/>
          <w:color w:val="auto"/>
        </w:rPr>
        <w:t>trades made under the trading plan must be executed by someone other than the stockbroker or other person that executes trades in other securities for the person adopting the trading plan;</w:t>
      </w:r>
    </w:p>
    <w:p>
      <w:pPr>
        <w:spacing w:after="0" w:line="50" w:lineRule="exact"/>
        <w:rPr>
          <w:sz w:val="20"/>
          <w:szCs w:val="20"/>
          <w:color w:val="auto"/>
        </w:rPr>
      </w:pPr>
    </w:p>
    <w:p>
      <w:pPr>
        <w:ind w:left="1105" w:firstLine="71"/>
        <w:spacing w:after="0" w:line="258" w:lineRule="auto"/>
        <w:rPr>
          <w:sz w:val="20"/>
          <w:szCs w:val="20"/>
          <w:color w:val="auto"/>
        </w:rPr>
      </w:pPr>
      <w:r>
        <w:rPr>
          <w:rFonts w:ascii="Times New Roman" w:cs="Times New Roman" w:eastAsia="Times New Roman" w:hAnsi="Times New Roman"/>
          <w:sz w:val="22"/>
          <w:szCs w:val="22"/>
          <w:color w:val="auto"/>
        </w:rPr>
        <w:t>the person adopting the trading plan may not confer with the person administering the trading plan regarding the Company or its securities; and</w:t>
      </w:r>
    </w:p>
    <w:p>
      <w:pPr>
        <w:spacing w:after="0" w:line="50" w:lineRule="exact"/>
        <w:rPr>
          <w:sz w:val="20"/>
          <w:szCs w:val="20"/>
          <w:color w:val="auto"/>
        </w:rPr>
      </w:pPr>
    </w:p>
    <w:p>
      <w:pPr>
        <w:ind w:left="1105" w:firstLine="71"/>
        <w:spacing w:after="0" w:line="258" w:lineRule="auto"/>
        <w:rPr>
          <w:sz w:val="20"/>
          <w:szCs w:val="20"/>
          <w:color w:val="auto"/>
        </w:rPr>
      </w:pPr>
      <w:r>
        <w:rPr>
          <w:rFonts w:ascii="Times New Roman" w:cs="Times New Roman" w:eastAsia="Times New Roman" w:hAnsi="Times New Roman"/>
          <w:sz w:val="22"/>
          <w:szCs w:val="22"/>
          <w:color w:val="auto"/>
        </w:rPr>
        <w:t>the person administering the trading plan must provide prompt notice to the Company of the execution of a transaction pursuant to the plan.</w:t>
      </w:r>
    </w:p>
    <w:p>
      <w:pPr>
        <w:spacing w:after="0" w:line="158" w:lineRule="exact"/>
        <w:rPr>
          <w:sz w:val="20"/>
          <w:szCs w:val="20"/>
          <w:color w:val="auto"/>
        </w:rPr>
      </w:pPr>
    </w:p>
    <w:p>
      <w:pPr>
        <w:ind w:left="425" w:hanging="425"/>
        <w:spacing w:after="0"/>
        <w:tabs>
          <w:tab w:leader="none" w:pos="42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under the trading plan must be in accordance with applicable law.</w:t>
      </w:r>
    </w:p>
    <w:p>
      <w:pPr>
        <w:spacing w:after="0" w:line="206" w:lineRule="exact"/>
        <w:rPr>
          <w:rFonts w:ascii="Times New Roman" w:cs="Times New Roman" w:eastAsia="Times New Roman" w:hAnsi="Times New Roman"/>
          <w:sz w:val="22"/>
          <w:szCs w:val="22"/>
          <w:color w:val="auto"/>
        </w:rPr>
      </w:pPr>
    </w:p>
    <w:p>
      <w:pPr>
        <w:ind w:left="365" w:hanging="365"/>
        <w:spacing w:after="0" w:line="258" w:lineRule="auto"/>
        <w:tabs>
          <w:tab w:leader="none" w:pos="4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(including any modified trading plan) must meet such other requirements as a Compliance Officer may determine.</w:t>
      </w:r>
    </w:p>
    <w:p>
      <w:pPr>
        <w:spacing w:after="0" w:line="158" w:lineRule="exact"/>
        <w:rPr>
          <w:rFonts w:ascii="Times New Roman" w:cs="Times New Roman" w:eastAsia="Times New Roman" w:hAnsi="Times New Roman"/>
          <w:sz w:val="22"/>
          <w:szCs w:val="22"/>
          <w:color w:val="auto"/>
        </w:rPr>
      </w:pPr>
    </w:p>
    <w:p>
      <w:pPr>
        <w:ind w:left="425" w:hanging="425"/>
        <w:spacing w:after="0"/>
        <w:tabs>
          <w:tab w:leader="none" w:pos="42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Compliance Officer must approve and keep a copy of each adopted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1026795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5"/>
          </w:cols>
          <w:pgMar w:left="715" w:top="1440" w:right="339" w:bottom="1440" w:gutter="0" w:footer="0" w:header="0"/>
        </w:sectPr>
      </w:pPr>
    </w:p>
    <w:bookmarkStart w:id="185" w:name="page186"/>
    <w:bookmarkEnd w:id="185"/>
    <w:p>
      <w:pPr>
        <w:ind w:left="9240"/>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1240" w:type="dxa"/>
            <w:vAlign w:val="bottom"/>
            <w:gridSpan w:val="3"/>
          </w:tcPr>
          <w:p>
            <w:pPr>
              <w:ind w:left="3700"/>
              <w:spacing w:after="0"/>
              <w:rPr>
                <w:sz w:val="20"/>
                <w:szCs w:val="20"/>
                <w:color w:val="auto"/>
              </w:rPr>
            </w:pPr>
            <w:r>
              <w:rPr>
                <w:rFonts w:ascii="Arial" w:cs="Arial" w:eastAsia="Arial" w:hAnsi="Arial"/>
                <w:sz w:val="18"/>
                <w:szCs w:val="18"/>
                <w:b w:val="1"/>
                <w:bCs w:val="1"/>
                <w:color w:val="auto"/>
              </w:rPr>
              <w:t>SUBSIDIARIES OF FLYWIRE CORPORATION</w:t>
            </w:r>
          </w:p>
        </w:tc>
      </w:tr>
      <w:tr>
        <w:trPr>
          <w:trHeight w:val="123"/>
        </w:trPr>
        <w:tc>
          <w:tcPr>
            <w:tcW w:w="5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320" w:type="dxa"/>
            <w:vAlign w:val="bottom"/>
          </w:tcPr>
          <w:p>
            <w:pPr>
              <w:spacing w:after="0"/>
              <w:rPr>
                <w:sz w:val="10"/>
                <w:szCs w:val="10"/>
                <w:color w:val="auto"/>
              </w:rPr>
            </w:pPr>
          </w:p>
        </w:tc>
      </w:tr>
      <w:tr>
        <w:trPr>
          <w:trHeight w:val="229"/>
        </w:trPr>
        <w:tc>
          <w:tcPr>
            <w:tcW w:w="5660" w:type="dxa"/>
            <w:vAlign w:val="bottom"/>
            <w:tcBorders>
              <w:left w:val="single" w:sz="8" w:color="4BACC6"/>
              <w:right w:val="single" w:sz="8" w:color="4BACC6"/>
            </w:tcBorders>
            <w:shd w:val="clear" w:color="auto" w:fill="4BACC6"/>
          </w:tcPr>
          <w:p>
            <w:pPr>
              <w:ind w:left="120"/>
              <w:spacing w:after="0"/>
              <w:rPr>
                <w:sz w:val="20"/>
                <w:szCs w:val="20"/>
                <w:color w:val="auto"/>
              </w:rPr>
            </w:pPr>
            <w:r>
              <w:rPr>
                <w:rFonts w:ascii="Arial" w:cs="Arial" w:eastAsia="Arial" w:hAnsi="Arial"/>
                <w:sz w:val="18"/>
                <w:szCs w:val="18"/>
                <w:color w:val="auto"/>
              </w:rPr>
              <w:t>Name of Subsidiary</w:t>
            </w:r>
          </w:p>
        </w:tc>
        <w:tc>
          <w:tcPr>
            <w:tcW w:w="260" w:type="dxa"/>
            <w:vAlign w:val="bottom"/>
            <w:tcBorders>
              <w:right w:val="single" w:sz="8" w:color="4BACC6"/>
            </w:tcBorders>
            <w:shd w:val="clear" w:color="auto" w:fill="4BACC6"/>
          </w:tcPr>
          <w:p>
            <w:pPr>
              <w:spacing w:after="0"/>
              <w:rPr>
                <w:sz w:val="19"/>
                <w:szCs w:val="19"/>
                <w:color w:val="auto"/>
              </w:rPr>
            </w:pPr>
          </w:p>
        </w:tc>
        <w:tc>
          <w:tcPr>
            <w:tcW w:w="5320" w:type="dxa"/>
            <w:vAlign w:val="bottom"/>
            <w:tcBorders>
              <w:right w:val="single" w:sz="8" w:color="4BACC6"/>
            </w:tcBorders>
            <w:shd w:val="clear" w:color="auto" w:fill="4BACC6"/>
          </w:tcPr>
          <w:p>
            <w:pPr>
              <w:ind w:left="100"/>
              <w:spacing w:after="0"/>
              <w:rPr>
                <w:sz w:val="20"/>
                <w:szCs w:val="20"/>
                <w:color w:val="auto"/>
              </w:rPr>
            </w:pPr>
            <w:r>
              <w:rPr>
                <w:rFonts w:ascii="Arial" w:cs="Arial" w:eastAsia="Arial" w:hAnsi="Arial"/>
                <w:sz w:val="18"/>
                <w:szCs w:val="18"/>
                <w:color w:val="auto"/>
              </w:rPr>
              <w:t>Jurisdiction of Organization</w:t>
            </w:r>
          </w:p>
        </w:tc>
      </w:tr>
      <w:tr>
        <w:trPr>
          <w:trHeight w:val="203"/>
        </w:trPr>
        <w:tc>
          <w:tcPr>
            <w:tcW w:w="5660" w:type="dxa"/>
            <w:vAlign w:val="bottom"/>
            <w:tcBorders>
              <w:left w:val="single" w:sz="8" w:color="92CDDC"/>
              <w:bottom w:val="single" w:sz="8" w:color="92CDDC"/>
              <w:right w:val="single" w:sz="8" w:color="92CDDC"/>
            </w:tcBorders>
            <w:shd w:val="clear" w:color="auto" w:fill="DAEEF3"/>
          </w:tcPr>
          <w:p>
            <w:pPr>
              <w:ind w:left="120"/>
              <w:spacing w:after="0" w:line="202" w:lineRule="exact"/>
              <w:rPr>
                <w:sz w:val="20"/>
                <w:szCs w:val="20"/>
                <w:color w:val="auto"/>
              </w:rPr>
            </w:pPr>
            <w:r>
              <w:rPr>
                <w:rFonts w:ascii="Arial" w:cs="Arial" w:eastAsia="Arial" w:hAnsi="Arial"/>
                <w:sz w:val="18"/>
                <w:szCs w:val="18"/>
                <w:color w:val="auto"/>
              </w:rPr>
              <w:t>Flywire LatAm Corporation</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202" w:lineRule="exact"/>
              <w:rPr>
                <w:sz w:val="20"/>
                <w:szCs w:val="20"/>
                <w:color w:val="auto"/>
              </w:rPr>
            </w:pPr>
            <w:r>
              <w:rPr>
                <w:rFonts w:ascii="Arial" w:cs="Arial" w:eastAsia="Arial" w:hAnsi="Arial"/>
                <w:sz w:val="18"/>
                <w:szCs w:val="18"/>
                <w:color w:val="auto"/>
              </w:rPr>
              <w:t>United States of America</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Flywire AEA Corporation</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United States of America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Flywire Healthcare Corporation</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United States of America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OnPlan Holdings, LLC</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United States of America</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Flywire Securities Corporation</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United States of America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Flywire Global Corp.</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United States of America</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Flywire Payments Corporation</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United States of America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Simplificare Inc.</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United States of America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Invoiced, Inc.</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United States of America</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Flywire Pacific Pty Ltd</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Cohort Solutions Pty Ltd</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OSHC Australia Pty Ltd</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Learning Information Systems Pty Limited</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Cohort Go Brasil Representações Eireli</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Brazil</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Flywire Serviços Ltda</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Brazil</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Flywire Payments Canada, Inc.</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Canada</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Cohort Solutions (Canada) Ltd</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Canada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Flywire (Hong Kong) Limited</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Hong Kong</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FW Solutions India LLP</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India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Lis Studylink India Private Limited</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India</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Simplificare Ltd.</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Israel</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Flywire G.K.</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Japan</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Flywire Europe, UAB</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Lithuania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Flywire Mexico, S.A. de C.V.</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Mexico</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Cohort Solutions (NZ) Ltd</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New Zealand</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peerTransfer Commercial Consulting (Shanghai) Co., Ltd.</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People’s Republic of China</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Flywire Romania S.R.L.</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Romania</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Flywire (Singapore) Pte. Ltd</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Singapore</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Flywire Spain, S.L.U.</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Spain</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Flywire Payments Limited</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5660" w:type="dxa"/>
            <w:vAlign w:val="bottom"/>
            <w:tcBorders>
              <w:left w:val="single" w:sz="8" w:color="92CDDC"/>
              <w:bottom w:val="single" w:sz="8" w:color="92CDDC"/>
              <w:right w:val="single" w:sz="8" w:color="92CDDC"/>
            </w:tcBorders>
            <w:shd w:val="clear" w:color="auto" w:fill="DAEEF3"/>
          </w:tcPr>
          <w:p>
            <w:pPr>
              <w:ind w:left="120"/>
              <w:spacing w:after="0" w:line="196" w:lineRule="exact"/>
              <w:rPr>
                <w:sz w:val="20"/>
                <w:szCs w:val="20"/>
                <w:color w:val="auto"/>
              </w:rPr>
            </w:pPr>
            <w:r>
              <w:rPr>
                <w:rFonts w:ascii="Arial" w:cs="Arial" w:eastAsia="Arial" w:hAnsi="Arial"/>
                <w:sz w:val="18"/>
                <w:szCs w:val="18"/>
                <w:color w:val="auto"/>
              </w:rPr>
              <w:t>WPM Education Limited</w:t>
            </w:r>
          </w:p>
        </w:tc>
        <w:tc>
          <w:tcPr>
            <w:tcW w:w="260" w:type="dxa"/>
            <w:vAlign w:val="bottom"/>
            <w:tcBorders>
              <w:bottom w:val="single" w:sz="8" w:color="92CDDC"/>
              <w:right w:val="single" w:sz="8" w:color="92CDDC"/>
            </w:tcBorders>
            <w:shd w:val="clear" w:color="auto" w:fill="DAEEF3"/>
          </w:tcPr>
          <w:p>
            <w:pPr>
              <w:spacing w:after="0"/>
              <w:rPr>
                <w:sz w:val="17"/>
                <w:szCs w:val="17"/>
                <w:color w:val="auto"/>
              </w:rPr>
            </w:pPr>
          </w:p>
        </w:tc>
        <w:tc>
          <w:tcPr>
            <w:tcW w:w="5320" w:type="dxa"/>
            <w:vAlign w:val="bottom"/>
            <w:tcBorders>
              <w:bottom w:val="single" w:sz="8" w:color="92CDDC"/>
              <w:right w:val="single" w:sz="8" w:color="92CDDC"/>
            </w:tcBorders>
            <w:shd w:val="clear" w:color="auto" w:fill="DAEEF3"/>
          </w:tcPr>
          <w:p>
            <w:pPr>
              <w:ind w:left="100"/>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5660" w:type="dxa"/>
            <w:vAlign w:val="bottom"/>
            <w:tcBorders>
              <w:left w:val="single" w:sz="8" w:color="92CDDC"/>
              <w:bottom w:val="single" w:sz="8" w:color="92CDDC"/>
              <w:right w:val="single" w:sz="8" w:color="92CDDC"/>
            </w:tcBorders>
          </w:tcPr>
          <w:p>
            <w:pPr>
              <w:ind w:left="120"/>
              <w:spacing w:after="0" w:line="196" w:lineRule="exact"/>
              <w:rPr>
                <w:sz w:val="20"/>
                <w:szCs w:val="20"/>
                <w:color w:val="auto"/>
              </w:rPr>
            </w:pPr>
            <w:r>
              <w:rPr>
                <w:rFonts w:ascii="Arial" w:cs="Arial" w:eastAsia="Arial" w:hAnsi="Arial"/>
                <w:sz w:val="18"/>
                <w:szCs w:val="18"/>
                <w:color w:val="auto"/>
              </w:rPr>
              <w:t>WPM Payment Security Limited</w:t>
            </w:r>
          </w:p>
        </w:tc>
        <w:tc>
          <w:tcPr>
            <w:tcW w:w="260" w:type="dxa"/>
            <w:vAlign w:val="bottom"/>
            <w:tcBorders>
              <w:bottom w:val="single" w:sz="8" w:color="92CDDC"/>
              <w:right w:val="single" w:sz="8" w:color="92CDDC"/>
            </w:tcBorders>
          </w:tcPr>
          <w:p>
            <w:pPr>
              <w:spacing w:after="0"/>
              <w:rPr>
                <w:sz w:val="17"/>
                <w:szCs w:val="17"/>
                <w:color w:val="auto"/>
              </w:rPr>
            </w:pPr>
          </w:p>
        </w:tc>
        <w:tc>
          <w:tcPr>
            <w:tcW w:w="5320" w:type="dxa"/>
            <w:vAlign w:val="bottom"/>
            <w:tcBorders>
              <w:bottom w:val="single" w:sz="8" w:color="92CDDC"/>
              <w:right w:val="single" w:sz="8" w:color="92CDDC"/>
            </w:tcBorders>
          </w:tcPr>
          <w:p>
            <w:pPr>
              <w:ind w:left="100"/>
              <w:spacing w:after="0" w:line="196" w:lineRule="exact"/>
              <w:rPr>
                <w:sz w:val="20"/>
                <w:szCs w:val="20"/>
                <w:color w:val="auto"/>
              </w:rPr>
            </w:pPr>
            <w:r>
              <w:rPr>
                <w:rFonts w:ascii="Arial" w:cs="Arial" w:eastAsia="Arial" w:hAnsi="Arial"/>
                <w:sz w:val="18"/>
                <w:szCs w:val="18"/>
                <w:color w:val="auto"/>
              </w:rPr>
              <w:t>United Kingdom</w:t>
            </w:r>
          </w:p>
        </w:tc>
      </w:tr>
      <w:tr>
        <w:trPr>
          <w:trHeight w:val="1755"/>
        </w:trPr>
        <w:tc>
          <w:tcPr>
            <w:tcW w:w="5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ind w:left="9240"/>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S-3 (333-273835) and Forms S-8 (Nos. 333-256695, 333-263956, 333-270587, and 333-277440) of Flywire Corporation of our report dated February 25,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Boston, Massachusetts</w:t>
      </w:r>
    </w:p>
    <w:p>
      <w:pPr>
        <w:ind w:left="60"/>
        <w:spacing w:after="0"/>
        <w:rPr>
          <w:sz w:val="20"/>
          <w:szCs w:val="20"/>
          <w:color w:val="auto"/>
        </w:rPr>
      </w:pPr>
      <w:r>
        <w:rPr>
          <w:rFonts w:ascii="Arial" w:cs="Arial" w:eastAsia="Arial" w:hAnsi="Arial"/>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7" w:right="6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4" w:lineRule="exact"/>
        <w:rPr>
          <w:sz w:val="20"/>
          <w:szCs w:val="20"/>
          <w:color w:val="auto"/>
        </w:rPr>
      </w:pPr>
    </w:p>
    <w:p>
      <w:pPr>
        <w:ind w:left="400" w:hanging="392"/>
        <w:spacing w:after="0"/>
        <w:tabs>
          <w:tab w:leader="none" w:pos="4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2024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41" w:lineRule="auto"/>
        <w:tabs>
          <w:tab w:leader="none" w:pos="4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ind w:right="40" w:firstLine="8"/>
        <w:spacing w:after="0" w:line="242" w:lineRule="auto"/>
        <w:tabs>
          <w:tab w:leader="none" w:pos="4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jc w:val="both"/>
        <w:ind w:left="1660" w:right="180" w:hanging="507"/>
        <w:spacing w:after="0" w:line="275" w:lineRule="auto"/>
        <w:tabs>
          <w:tab w:leader="none" w:pos="1551"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660" w:right="280" w:hanging="507"/>
        <w:spacing w:after="0" w:line="253" w:lineRule="auto"/>
        <w:tabs>
          <w:tab w:leader="none" w:pos="155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hanging="507"/>
        <w:spacing w:after="0" w:line="253" w:lineRule="auto"/>
        <w:tabs>
          <w:tab w:leader="none" w:pos="155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20" w:hanging="507"/>
        <w:spacing w:after="0" w:line="253" w:lineRule="auto"/>
        <w:tabs>
          <w:tab w:leader="none" w:pos="155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71" w:lineRule="auto"/>
        <w:tabs>
          <w:tab w:leader="none" w:pos="155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7820" w:right="740" w:hanging="7799"/>
        <w:spacing w:after="0" w:line="276" w:lineRule="auto"/>
        <w:tabs>
          <w:tab w:leader="none" w:pos="7800" w:val="left"/>
        </w:tabs>
        <w:rPr>
          <w:sz w:val="20"/>
          <w:szCs w:val="20"/>
          <w:color w:val="auto"/>
        </w:rPr>
      </w:pPr>
      <w:r>
        <w:rPr>
          <w:rFonts w:ascii="Arial" w:cs="Arial" w:eastAsia="Arial" w:hAnsi="Arial"/>
          <w:sz w:val="18"/>
          <w:szCs w:val="18"/>
          <w:color w:val="auto"/>
        </w:rPr>
        <w:t>Date: February 25, 2025</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-1905</wp:posOffset>
            </wp:positionV>
            <wp:extent cx="191135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7">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214"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Michael Massaro</w:t>
      </w:r>
    </w:p>
    <w:p>
      <w:pPr>
        <w:jc w:val="center"/>
        <w:ind w:left="81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 Cosmin Pitigoi, certify that:</w:t>
      </w:r>
    </w:p>
    <w:p>
      <w:pPr>
        <w:spacing w:after="0" w:line="104" w:lineRule="exact"/>
        <w:rPr>
          <w:sz w:val="20"/>
          <w:szCs w:val="20"/>
          <w:color w:val="auto"/>
        </w:rPr>
      </w:pPr>
    </w:p>
    <w:p>
      <w:pPr>
        <w:ind w:left="400" w:hanging="392"/>
        <w:spacing w:after="0"/>
        <w:tabs>
          <w:tab w:leader="none" w:pos="4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2024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41" w:lineRule="auto"/>
        <w:tabs>
          <w:tab w:leader="none" w:pos="4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ind w:right="40" w:firstLine="8"/>
        <w:spacing w:after="0" w:line="242" w:lineRule="auto"/>
        <w:tabs>
          <w:tab w:leader="none" w:pos="4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jc w:val="both"/>
        <w:ind w:left="1660" w:right="180" w:hanging="507"/>
        <w:spacing w:after="0" w:line="275" w:lineRule="auto"/>
        <w:tabs>
          <w:tab w:leader="none" w:pos="1551"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660" w:right="280" w:hanging="507"/>
        <w:spacing w:after="0" w:line="253" w:lineRule="auto"/>
        <w:tabs>
          <w:tab w:leader="none" w:pos="155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hanging="507"/>
        <w:spacing w:after="0" w:line="253" w:lineRule="auto"/>
        <w:tabs>
          <w:tab w:leader="none" w:pos="155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20" w:hanging="507"/>
        <w:spacing w:after="0" w:line="253" w:lineRule="auto"/>
        <w:tabs>
          <w:tab w:leader="none" w:pos="155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71" w:lineRule="auto"/>
        <w:tabs>
          <w:tab w:leader="none" w:pos="155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7900" w:right="820" w:hanging="7880"/>
        <w:spacing w:after="0" w:line="279" w:lineRule="auto"/>
        <w:tabs>
          <w:tab w:leader="none" w:pos="7880" w:val="left"/>
        </w:tabs>
        <w:rPr>
          <w:sz w:val="20"/>
          <w:szCs w:val="20"/>
          <w:color w:val="auto"/>
        </w:rPr>
      </w:pPr>
      <w:r>
        <w:rPr>
          <w:rFonts w:ascii="Arial" w:cs="Arial" w:eastAsia="Arial" w:hAnsi="Arial"/>
          <w:sz w:val="18"/>
          <w:szCs w:val="18"/>
          <w:color w:val="auto"/>
        </w:rPr>
        <w:t>Date: February 25, 2025</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-3175</wp:posOffset>
            </wp:positionV>
            <wp:extent cx="185991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Cosmin Pitigoi</w:t>
      </w:r>
    </w:p>
    <w:p>
      <w:pPr>
        <w:spacing w:after="0" w:line="18"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1510665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Annual Report of Flywire Corporation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8020" w:right="600" w:hanging="8001"/>
        <w:spacing w:after="0" w:line="276" w:lineRule="auto"/>
        <w:tabs>
          <w:tab w:leader="none" w:pos="8000" w:val="left"/>
        </w:tabs>
        <w:rPr>
          <w:sz w:val="20"/>
          <w:szCs w:val="20"/>
          <w:color w:val="auto"/>
        </w:rPr>
      </w:pPr>
      <w:r>
        <w:rPr>
          <w:rFonts w:ascii="Arial" w:cs="Arial" w:eastAsia="Arial" w:hAnsi="Arial"/>
          <w:sz w:val="18"/>
          <w:szCs w:val="18"/>
          <w:color w:val="auto"/>
        </w:rPr>
        <w:t>Date: February 25, 2025</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-1905</wp:posOffset>
            </wp:positionV>
            <wp:extent cx="17830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4"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Michael Massaro</w:t>
      </w:r>
    </w:p>
    <w:p>
      <w:pPr>
        <w:jc w:val="center"/>
        <w:ind w:left="83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Annual Report of Flywire Corporation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8020" w:right="700" w:hanging="8001"/>
        <w:spacing w:after="0" w:line="279" w:lineRule="auto"/>
        <w:tabs>
          <w:tab w:leader="none" w:pos="8000" w:val="left"/>
        </w:tabs>
        <w:rPr>
          <w:sz w:val="20"/>
          <w:szCs w:val="20"/>
          <w:color w:val="auto"/>
        </w:rPr>
      </w:pPr>
      <w:r>
        <w:rPr>
          <w:rFonts w:ascii="Arial" w:cs="Arial" w:eastAsia="Arial" w:hAnsi="Arial"/>
          <w:sz w:val="18"/>
          <w:szCs w:val="18"/>
          <w:color w:val="auto"/>
        </w:rPr>
        <w:t>Date: February 25, 2025</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-3175</wp:posOffset>
            </wp:positionV>
            <wp:extent cx="17830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1"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Cosmin Pitigoi</w:t>
      </w:r>
    </w:p>
    <w:p>
      <w:pPr>
        <w:spacing w:after="0" w:line="18"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91" w:name="page192"/>
    <w:bookmarkEnd w:id="1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o"/>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lvl w:ilvl="1">
      <w:lvlJc w:val="left"/>
      <w:lvlText w:val="•"/>
      <w:numFmt w:val="bullet"/>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1)"/>
      <w:numFmt w:val="lowerRoman"/>
      <w:start w:val="1"/>
    </w:lvl>
  </w:abstractNum>
  <w:abstractNum w:abstractNumId="51">
    <w:nsid w:val="6A5EE64"/>
    <w:multiLevelType w:val="hybridMultilevel"/>
    <w:lvl w:ilvl="0">
      <w:lvlJc w:val="left"/>
      <w:lvlText w:val="(%1)"/>
      <w:numFmt w:val="lowerRoman"/>
      <w:start w:val="2"/>
    </w:lvl>
  </w:abstractNum>
  <w:abstractNum w:abstractNumId="52">
    <w:nsid w:val="14330624"/>
    <w:multiLevelType w:val="hybridMultilevel"/>
    <w:lvl w:ilvl="0">
      <w:lvlJc w:val="left"/>
      <w:lvlText w:val="(%1)"/>
      <w:numFmt w:val="lowerLetter"/>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
      <w:numFmt w:val="bullet"/>
      <w:start w:val="1"/>
    </w:lvl>
    <w:lvl w:ilvl="1">
      <w:lvlJc w:val="left"/>
      <w:lvlText w:val="%2"/>
      <w:numFmt w:val="decimal"/>
      <w:start w:val="104"/>
    </w:lvl>
  </w:abstractNum>
  <w:abstractNum w:abstractNumId="63">
    <w:nsid w:val="4C04A8AF"/>
    <w:multiLevelType w:val="hybridMultilevel"/>
    <w:lvl w:ilvl="0">
      <w:lvlJc w:val="left"/>
      <w:lvlText w:val="%1."/>
      <w:numFmt w:val="upperLetter"/>
      <w:start w:val="1"/>
    </w:lvl>
  </w:abstractNum>
  <w:abstractNum w:abstractNumId="64">
    <w:nsid w:val="1716703B"/>
    <w:multiLevelType w:val="hybridMultilevel"/>
    <w:lvl w:ilvl="0">
      <w:lvlJc w:val="left"/>
      <w:lvlText w:val="%1."/>
      <w:numFmt w:val="upperLetter"/>
      <w:start w:val="2"/>
    </w:lvl>
  </w:abstractNum>
  <w:abstractNum w:abstractNumId="65">
    <w:nsid w:val="14E17E33"/>
    <w:multiLevelType w:val="hybridMultilevel"/>
    <w:lvl w:ilvl="0">
      <w:lvlJc w:val="left"/>
      <w:lvlText w:val="%1."/>
      <w:numFmt w:val="upperLetter"/>
      <w:start w:val="3"/>
    </w:lvl>
    <w:lvl w:ilvl="1">
      <w:lvlJc w:val="left"/>
      <w:lvlText w:val="%2."/>
      <w:numFmt w:val="decimal"/>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decimal"/>
      <w:start w:val="2"/>
    </w:lvl>
  </w:abstractNum>
  <w:abstractNum w:abstractNumId="68">
    <w:nsid w:val="68EBC550"/>
    <w:multiLevelType w:val="hybridMultilevel"/>
    <w:lvl w:ilvl="0">
      <w:lvlJc w:val="left"/>
      <w:lvlText w:val="%1."/>
      <w:numFmt w:val="decimal"/>
      <w:start w:val="3"/>
    </w:lvl>
  </w:abstractNum>
  <w:abstractNum w:abstractNumId="69">
    <w:nsid w:val="2DF6D648"/>
    <w:multiLevelType w:val="hybridMultilevel"/>
    <w:lvl w:ilvl="0">
      <w:lvlJc w:val="left"/>
      <w:lvlText w:val="%1."/>
      <w:numFmt w:val="upperLetter"/>
      <w:start w:val="4"/>
    </w:lvl>
  </w:abstractNum>
  <w:abstractNum w:abstractNumId="70">
    <w:nsid w:val="46B7D447"/>
    <w:multiLevelType w:val="hybridMultilevel"/>
    <w:lvl w:ilvl="0">
      <w:lvlJc w:val="left"/>
      <w:lvlText w:val="%1."/>
      <w:numFmt w:val="upperLetter"/>
      <w:start w:val="5"/>
    </w:lvl>
  </w:abstractNum>
  <w:abstractNum w:abstractNumId="71">
    <w:nsid w:val="4A2AC315"/>
    <w:multiLevelType w:val="hybridMultilevel"/>
    <w:lvl w:ilvl="0">
      <w:lvlJc w:val="left"/>
      <w:lvlText w:val="%1."/>
      <w:numFmt w:val="upperLetter"/>
      <w:start w:val="6"/>
    </w:lvl>
  </w:abstractNum>
  <w:abstractNum w:abstractNumId="72">
    <w:nsid w:val="39EE015C"/>
    <w:multiLevelType w:val="hybridMultilevel"/>
    <w:lvl w:ilvl="0">
      <w:lvlJc w:val="left"/>
      <w:lvlText w:val="%1."/>
      <w:numFmt w:val="upperLetter"/>
      <w:start w:val="1"/>
    </w:lvl>
  </w:abstractNum>
  <w:abstractNum w:abstractNumId="73">
    <w:nsid w:val="57FC4FBB"/>
    <w:multiLevelType w:val="hybridMultilevel"/>
    <w:lvl w:ilvl="0">
      <w:lvlJc w:val="left"/>
      <w:lvlText w:val="%1."/>
      <w:numFmt w:val="upperLetter"/>
      <w:start w:val="2"/>
    </w:lvl>
  </w:abstractNum>
  <w:abstractNum w:abstractNumId="74">
    <w:nsid w:val="CC1016F"/>
    <w:multiLevelType w:val="hybridMultilevel"/>
    <w:lvl w:ilvl="0">
      <w:lvlJc w:val="left"/>
      <w:lvlText w:val="%1."/>
      <w:numFmt w:val="upperLetter"/>
      <w:start w:val="3"/>
    </w:lvl>
  </w:abstractNum>
  <w:abstractNum w:abstractNumId="75">
    <w:nsid w:val="43F18422"/>
    <w:multiLevelType w:val="hybridMultilevel"/>
    <w:lvl w:ilvl="0">
      <w:lvlJc w:val="left"/>
      <w:lvlText w:val="%1."/>
      <w:numFmt w:val="upperLetter"/>
      <w:start w:val="4"/>
    </w:lvl>
  </w:abstractNum>
  <w:abstractNum w:abstractNumId="76">
    <w:nsid w:val="60EF0119"/>
    <w:multiLevelType w:val="hybridMultilevel"/>
    <w:lvl w:ilvl="0">
      <w:lvlJc w:val="left"/>
      <w:lvlText w:val="%1."/>
      <w:numFmt w:val="upperLetter"/>
      <w:start w:val="5"/>
    </w:lvl>
  </w:abstractNum>
  <w:abstractNum w:abstractNumId="77">
    <w:nsid w:val="26F324BA"/>
    <w:multiLevelType w:val="hybridMultilevel"/>
    <w:lvl w:ilvl="0">
      <w:lvlJc w:val="left"/>
      <w:lvlText w:val="%1."/>
      <w:numFmt w:val="upperLetter"/>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1."/>
      <w:numFmt w:val="upperLetter"/>
      <w:start w:val="2"/>
    </w:lvl>
  </w:abstractNum>
  <w:abstractNum w:abstractNumId="81">
    <w:nsid w:val="5FB8370B"/>
    <w:multiLevelType w:val="hybridMultilevel"/>
    <w:lvl w:ilvl="0">
      <w:lvlJc w:val="left"/>
      <w:lvlText w:val="%1."/>
      <w:numFmt w:val="upperLetter"/>
      <w:start w:val="1"/>
    </w:lvl>
  </w:abstractNum>
  <w:abstractNum w:abstractNumId="82">
    <w:nsid w:val="50801EE1"/>
    <w:multiLevelType w:val="hybridMultilevel"/>
    <w:lvl w:ilvl="0">
      <w:lvlJc w:val="left"/>
      <w:lvlText w:val="%1."/>
      <w:numFmt w:val="upperLetter"/>
      <w:start w:val="2"/>
    </w:lvl>
  </w:abstractNum>
  <w:abstractNum w:abstractNumId="83">
    <w:nsid w:val="488AC1A"/>
    <w:multiLevelType w:val="hybridMultilevel"/>
    <w:lvl w:ilvl="0">
      <w:lvlJc w:val="left"/>
      <w:lvlText w:val="%1."/>
      <w:numFmt w:val="upperLetter"/>
      <w:start w:val="3"/>
    </w:lvl>
  </w:abstractNum>
  <w:abstractNum w:abstractNumId="84">
    <w:nsid w:val="5FB8011C"/>
    <w:multiLevelType w:val="hybridMultilevel"/>
    <w:lvl w:ilvl="0">
      <w:lvlJc w:val="left"/>
      <w:lvlText w:val="%1."/>
      <w:numFmt w:val="upperLetter"/>
      <w:start w:val="4"/>
    </w:lvl>
  </w:abstractNum>
  <w:abstractNum w:abstractNumId="85">
    <w:nsid w:val="6AA78F7F"/>
    <w:multiLevelType w:val="hybridMultilevel"/>
    <w:lvl w:ilvl="0">
      <w:lvlJc w:val="left"/>
      <w:lvlText w:val="%1."/>
      <w:numFmt w:val="upperLetter"/>
      <w:start w:val="1"/>
    </w:lvl>
  </w:abstractNum>
  <w:abstractNum w:abstractNumId="86">
    <w:nsid w:val="7672BD23"/>
    <w:multiLevelType w:val="hybridMultilevel"/>
    <w:lvl w:ilvl="0">
      <w:lvlJc w:val="left"/>
      <w:lvlText w:val="%1."/>
      <w:numFmt w:val="upperLetter"/>
      <w:start w:val="2"/>
    </w:lvl>
  </w:abstractNum>
  <w:abstractNum w:abstractNumId="87">
    <w:nsid w:val="6FC75AF8"/>
    <w:multiLevelType w:val="hybridMultilevel"/>
    <w:lvl w:ilvl="0">
      <w:lvlJc w:val="left"/>
      <w:lvlText w:val="%1."/>
      <w:numFmt w:val="upperLetter"/>
      <w:start w:val="3"/>
    </w:lvl>
  </w:abstractNum>
  <w:abstractNum w:abstractNumId="88">
    <w:nsid w:val="6A5F7029"/>
    <w:multiLevelType w:val="hybridMultilevel"/>
    <w:lvl w:ilvl="0">
      <w:lvlJc w:val="left"/>
      <w:lvlText w:val="%1."/>
      <w:numFmt w:val="upperLetter"/>
      <w:start w:val="1"/>
    </w:lvl>
  </w:abstractNum>
  <w:abstractNum w:abstractNumId="89">
    <w:nsid w:val="7D5E18F8"/>
    <w:multiLevelType w:val="hybridMultilevel"/>
    <w:lvl w:ilvl="0">
      <w:lvlJc w:val="left"/>
      <w:lvlText w:val="%1."/>
      <w:numFmt w:val="upperLetter"/>
      <w:start w:val="2"/>
    </w:lvl>
  </w:abstractNum>
  <w:abstractNum w:abstractNumId="90">
    <w:nsid w:val="5F3534A4"/>
    <w:multiLevelType w:val="hybridMultilevel"/>
    <w:lvl w:ilvl="0">
      <w:lvlJc w:val="left"/>
      <w:lvlText w:val="%1."/>
      <w:numFmt w:val="upperLetter"/>
      <w:start w:val="3"/>
    </w:lvl>
  </w:abstractNum>
  <w:abstractNum w:abstractNumId="91">
    <w:nsid w:val="73A1821B"/>
    <w:multiLevelType w:val="hybridMultilevel"/>
    <w:lvl w:ilvl="0">
      <w:lvlJc w:val="left"/>
      <w:lvlText w:val="%1."/>
      <w:numFmt w:val="upperLetter"/>
      <w:start w:val="4"/>
    </w:lvl>
  </w:abstractNum>
  <w:abstractNum w:abstractNumId="92">
    <w:nsid w:val="7DE67713"/>
    <w:multiLevelType w:val="hybridMultilevel"/>
    <w:lvl w:ilvl="0">
      <w:lvlJc w:val="left"/>
      <w:lvlText w:val="%1."/>
      <w:numFmt w:val="upperLetter"/>
      <w:start w:val="5"/>
    </w:lvl>
  </w:abstractNum>
  <w:abstractNum w:abstractNumId="93">
    <w:nsid w:val="555C55B5"/>
    <w:multiLevelType w:val="hybridMultilevel"/>
    <w:lvl w:ilvl="0">
      <w:lvlJc w:val="left"/>
      <w:lvlText w:val="%1."/>
      <w:numFmt w:val="upperLetter"/>
      <w:start w:val="1"/>
    </w:lvl>
  </w:abstractNum>
  <w:abstractNum w:abstractNumId="94">
    <w:nsid w:val="3FA62ACA"/>
    <w:multiLevelType w:val="hybridMultilevel"/>
    <w:lvl w:ilvl="0">
      <w:lvlJc w:val="left"/>
      <w:lvlText w:val="%1."/>
      <w:numFmt w:val="upperLetter"/>
      <w:start w:val="2"/>
    </w:lvl>
  </w:abstractNum>
  <w:abstractNum w:abstractNumId="95">
    <w:nsid w:val="14FCE74E"/>
    <w:multiLevelType w:val="hybridMultilevel"/>
    <w:lvl w:ilvl="0">
      <w:lvlJc w:val="left"/>
      <w:lvlText w:val="%1."/>
      <w:numFmt w:val="upperLetter"/>
      <w:start w:val="3"/>
    </w:lvl>
  </w:abstractNum>
  <w:abstractNum w:abstractNumId="96">
    <w:nsid w:val="6A3DD3E8"/>
    <w:multiLevelType w:val="hybridMultilevel"/>
    <w:lvl w:ilvl="0">
      <w:lvlJc w:val="left"/>
      <w:lvlText w:val="%1."/>
      <w:numFmt w:val="upperLetter"/>
      <w:start w:val="4"/>
    </w:lvl>
  </w:abstractNum>
  <w:abstractNum w:abstractNumId="97">
    <w:nsid w:val="71C91298"/>
    <w:multiLevelType w:val="hybridMultilevel"/>
    <w:lvl w:ilvl="0">
      <w:lvlJc w:val="left"/>
      <w:lvlText w:val="%1."/>
      <w:numFmt w:val="upperLetter"/>
      <w:start w:val="5"/>
    </w:lvl>
  </w:abstractNum>
  <w:abstractNum w:abstractNumId="98">
    <w:nsid w:val="9DAF632"/>
    <w:multiLevelType w:val="hybridMultilevel"/>
    <w:lvl w:ilvl="0">
      <w:lvlJc w:val="left"/>
      <w:lvlText w:val="%1."/>
      <w:numFmt w:val="upperLetter"/>
      <w:start w:val="6"/>
    </w:lvl>
  </w:abstractNum>
  <w:abstractNum w:abstractNumId="99">
    <w:nsid w:val="53299938"/>
    <w:multiLevelType w:val="hybridMultilevel"/>
    <w:lvl w:ilvl="0">
      <w:lvlJc w:val="left"/>
      <w:lvlText w:val="%1."/>
      <w:numFmt w:val="upperLetter"/>
      <w:start w:val="1"/>
    </w:lvl>
  </w:abstractNum>
  <w:abstractNum w:abstractNumId="100">
    <w:nsid w:val="1FBFE8E0"/>
    <w:multiLevelType w:val="hybridMultilevel"/>
    <w:lvl w:ilvl="0">
      <w:lvlJc w:val="left"/>
      <w:lvlText w:val="%1."/>
      <w:numFmt w:val="upperLetter"/>
      <w:start w:val="2"/>
    </w:lvl>
  </w:abstractNum>
  <w:abstractNum w:abstractNumId="101">
    <w:nsid w:val="5092CA79"/>
    <w:multiLevelType w:val="hybridMultilevel"/>
    <w:lvl w:ilvl="0">
      <w:lvlJc w:val="left"/>
      <w:lvlText w:val="%1."/>
      <w:numFmt w:val="upperLetter"/>
      <w:start w:val="3"/>
    </w:lvl>
  </w:abstractNum>
  <w:abstractNum w:abstractNumId="102">
    <w:nsid w:val="1D545C4D"/>
    <w:multiLevelType w:val="hybridMultilevel"/>
    <w:lvl w:ilvl="0">
      <w:lvlJc w:val="left"/>
      <w:lvlText w:val="%1."/>
      <w:numFmt w:val="upperLetter"/>
      <w:start w:val="1"/>
    </w:lvl>
  </w:abstractNum>
  <w:abstractNum w:abstractNumId="103">
    <w:nsid w:val="59ADEA3D"/>
    <w:multiLevelType w:val="hybridMultilevel"/>
    <w:lvl w:ilvl="0">
      <w:lvlJc w:val="left"/>
      <w:lvlText w:val="%1."/>
      <w:numFmt w:val="upperLetter"/>
      <w:start w:val="2"/>
    </w:lvl>
  </w:abstractNum>
  <w:abstractNum w:abstractNumId="104">
    <w:nsid w:val="288F1A34"/>
    <w:multiLevelType w:val="hybridMultilevel"/>
    <w:lvl w:ilvl="0">
      <w:lvlJc w:val="left"/>
      <w:lvlText w:val="%1."/>
      <w:numFmt w:val="decimal"/>
      <w:start w:val="1"/>
    </w:lvl>
    <w:lvl w:ilvl="1">
      <w:lvlJc w:val="left"/>
      <w:lvlText w:val=" "/>
      <w:numFmt w:val="bullet"/>
      <w:start w:val="1"/>
    </w:lvl>
  </w:abstractNum>
  <w:abstractNum w:abstractNumId="105">
    <w:nsid w:val="2A155DBC"/>
    <w:multiLevelType w:val="hybridMultilevel"/>
    <w:lvl w:ilvl="0">
      <w:lvlJc w:val="left"/>
      <w:lvlText w:val="%1."/>
      <w:numFmt w:val="decimal"/>
      <w:start w:val="10"/>
    </w:lvl>
    <w:lvl w:ilvl="1">
      <w:lvlJc w:val="left"/>
      <w:lvlText w:val=" "/>
      <w:numFmt w:val="bullet"/>
      <w:start w:val="1"/>
    </w:lvl>
  </w:abstractNum>
  <w:abstractNum w:abstractNumId="106">
    <w:nsid w:val="1D9F6E5F"/>
    <w:multiLevelType w:val="hybridMultilevel"/>
    <w:lvl w:ilvl="0">
      <w:lvlJc w:val="left"/>
      <w:lvlText w:val="%1."/>
      <w:numFmt w:val="decimal"/>
      <w:start w:val="15"/>
    </w:lvl>
    <w:lvl w:ilvl="1">
      <w:lvlJc w:val="left"/>
      <w:lvlText w:val=" "/>
      <w:numFmt w:val="bullet"/>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38" Type="http://schemas.openxmlformats.org/officeDocument/2006/relationships/image" Target="media/image621.png"/><Relationship Id="rId639" Type="http://schemas.openxmlformats.org/officeDocument/2006/relationships/image" Target="media/image622.png"/><Relationship Id="rId649" Type="http://schemas.openxmlformats.org/officeDocument/2006/relationships/image" Target="media/image623.png"/><Relationship Id="rId650" Type="http://schemas.openxmlformats.org/officeDocument/2006/relationships/image" Target="media/image624.png"/><Relationship Id="rId651" Type="http://schemas.openxmlformats.org/officeDocument/2006/relationships/image" Target="media/image625.png"/><Relationship Id="rId652" Type="http://schemas.openxmlformats.org/officeDocument/2006/relationships/image" Target="media/image626.png"/><Relationship Id="rId653" Type="http://schemas.openxmlformats.org/officeDocument/2006/relationships/image" Target="media/image627.png"/><Relationship Id="rId654" Type="http://schemas.openxmlformats.org/officeDocument/2006/relationships/image" Target="media/image628.png"/><Relationship Id="rId655" Type="http://schemas.openxmlformats.org/officeDocument/2006/relationships/image" Target="media/image629.png"/><Relationship Id="rId656" Type="http://schemas.openxmlformats.org/officeDocument/2006/relationships/image" Target="media/image630.png"/><Relationship Id="rId657" Type="http://schemas.openxmlformats.org/officeDocument/2006/relationships/image" Target="media/image631.jpeg"/><Relationship Id="rId658" Type="http://schemas.openxmlformats.org/officeDocument/2006/relationships/image" Target="media/image632.png"/><Relationship Id="rId659" Type="http://schemas.openxmlformats.org/officeDocument/2006/relationships/image" Target="media/image633.png"/><Relationship Id="rId660" Type="http://schemas.openxmlformats.org/officeDocument/2006/relationships/image" Target="media/image634.png"/><Relationship Id="rId661" Type="http://schemas.openxmlformats.org/officeDocument/2006/relationships/image" Target="media/image635.png"/><Relationship Id="rId662" Type="http://schemas.openxmlformats.org/officeDocument/2006/relationships/image" Target="media/image636.png"/><Relationship Id="rId663" Type="http://schemas.openxmlformats.org/officeDocument/2006/relationships/image" Target="media/image637.png"/><Relationship Id="rId664" Type="http://schemas.openxmlformats.org/officeDocument/2006/relationships/image" Target="media/image638.png"/><Relationship Id="rId665" Type="http://schemas.openxmlformats.org/officeDocument/2006/relationships/image" Target="media/image639.png"/><Relationship Id="rId666" Type="http://schemas.openxmlformats.org/officeDocument/2006/relationships/image" Target="media/image640.png"/><Relationship Id="rId667" Type="http://schemas.openxmlformats.org/officeDocument/2006/relationships/image" Target="media/image641.png"/><Relationship Id="rId668" Type="http://schemas.openxmlformats.org/officeDocument/2006/relationships/image" Target="media/image642.png"/><Relationship Id="rId669" Type="http://schemas.openxmlformats.org/officeDocument/2006/relationships/image" Target="media/image643.png"/><Relationship Id="rId670" Type="http://schemas.openxmlformats.org/officeDocument/2006/relationships/image" Target="media/image644.png"/><Relationship Id="rId671" Type="http://schemas.openxmlformats.org/officeDocument/2006/relationships/image" Target="media/image645.png"/><Relationship Id="rId672" Type="http://schemas.openxmlformats.org/officeDocument/2006/relationships/image" Target="media/image646.png"/><Relationship Id="rId673" Type="http://schemas.openxmlformats.org/officeDocument/2006/relationships/image" Target="media/image647.png"/><Relationship Id="rId674" Type="http://schemas.openxmlformats.org/officeDocument/2006/relationships/image" Target="media/image648.png"/><Relationship Id="rId675" Type="http://schemas.openxmlformats.org/officeDocument/2006/relationships/image" Target="media/image649.png"/><Relationship Id="rId676" Type="http://schemas.openxmlformats.org/officeDocument/2006/relationships/image" Target="media/image650.png"/><Relationship Id="rId677" Type="http://schemas.openxmlformats.org/officeDocument/2006/relationships/image" Target="media/image651.png"/><Relationship Id="rId678" Type="http://schemas.openxmlformats.org/officeDocument/2006/relationships/image" Target="media/image652.png"/><Relationship Id="rId679" Type="http://schemas.openxmlformats.org/officeDocument/2006/relationships/image" Target="media/image653.png"/><Relationship Id="rId680" Type="http://schemas.openxmlformats.org/officeDocument/2006/relationships/image" Target="media/image654.png"/><Relationship Id="rId681" Type="http://schemas.openxmlformats.org/officeDocument/2006/relationships/image" Target="media/image655.png"/><Relationship Id="rId682" Type="http://schemas.openxmlformats.org/officeDocument/2006/relationships/image" Target="media/image656.png"/><Relationship Id="rId683" Type="http://schemas.openxmlformats.org/officeDocument/2006/relationships/image" Target="media/image657.png"/><Relationship Id="rId684" Type="http://schemas.openxmlformats.org/officeDocument/2006/relationships/image" Target="media/image658.png"/><Relationship Id="rId685" Type="http://schemas.openxmlformats.org/officeDocument/2006/relationships/image" Target="media/image659.png"/><Relationship Id="rId686" Type="http://schemas.openxmlformats.org/officeDocument/2006/relationships/image" Target="media/image660.png"/><Relationship Id="rId687" Type="http://schemas.openxmlformats.org/officeDocument/2006/relationships/image" Target="media/image661.png"/><Relationship Id="rId688" Type="http://schemas.openxmlformats.org/officeDocument/2006/relationships/image" Target="media/image662.png"/><Relationship Id="rId689" Type="http://schemas.openxmlformats.org/officeDocument/2006/relationships/image" Target="media/image663.png"/><Relationship Id="rId690" Type="http://schemas.openxmlformats.org/officeDocument/2006/relationships/image" Target="media/image664.png"/><Relationship Id="rId691" Type="http://schemas.openxmlformats.org/officeDocument/2006/relationships/image" Target="media/image665.png"/><Relationship Id="rId692" Type="http://schemas.openxmlformats.org/officeDocument/2006/relationships/image" Target="media/image666.png"/><Relationship Id="rId693" Type="http://schemas.openxmlformats.org/officeDocument/2006/relationships/image" Target="media/image667.png"/><Relationship Id="rId694" Type="http://schemas.openxmlformats.org/officeDocument/2006/relationships/image" Target="media/image668.png"/><Relationship Id="rId628" Type="http://schemas.openxmlformats.org/officeDocument/2006/relationships/hyperlink" Target="https://www.sec.gov/Archives/edgar/data/1580560/000119312521178711/d109060dex31.htm" TargetMode="External"/><Relationship Id="rId629" Type="http://schemas.openxmlformats.org/officeDocument/2006/relationships/hyperlink" Target="https://www.sec.gov/Archives/edgar/data/1580560/000119312524071282/d783437dex31.htm" TargetMode="External"/><Relationship Id="rId630" Type="http://schemas.openxmlformats.org/officeDocument/2006/relationships/hyperlink" Target="https://www.sec.gov/Archives/edgar/data/1580560/000095017022004937/flyw-ex4_1.htm" TargetMode="External"/><Relationship Id="rId631" Type="http://schemas.openxmlformats.org/officeDocument/2006/relationships/hyperlink" Target="https://www.sec.gov/Archives/edgar/data/1580560/000119312521146481/d469729dex42.htm" TargetMode="External"/><Relationship Id="rId632" Type="http://schemas.openxmlformats.org/officeDocument/2006/relationships/hyperlink" Target="https://www.sec.gov/Archives/edgar/data/0001580560/000119312521164506/d469729dex101.htm" TargetMode="External"/><Relationship Id="rId633" Type="http://schemas.openxmlformats.org/officeDocument/2006/relationships/hyperlink" Target="https://www.sec.gov/Archives/edgar/data/1580560/000095017022004937/flyw-ex10_2.htm" TargetMode="External"/><Relationship Id="rId634" Type="http://schemas.openxmlformats.org/officeDocument/2006/relationships/hyperlink" Target="https://www.sec.gov/Archives/edgar/data/0001580560/000119312521164506/d469729dex103.htm" TargetMode="External"/><Relationship Id="rId635" Type="http://schemas.openxmlformats.org/officeDocument/2006/relationships/hyperlink" Target="https://www.sec.gov/Archives/edgar/data/1580560/000095017023007149/flyw-ex10_4.htm" TargetMode="External"/><Relationship Id="rId636" Type="http://schemas.openxmlformats.org/officeDocument/2006/relationships/hyperlink" Target="https://www.sec.gov/Archives/edgar/data/1580560/000119312521146481/d469729dex105.htm" TargetMode="External"/><Relationship Id="rId637" Type="http://schemas.openxmlformats.org/officeDocument/2006/relationships/hyperlink" Target="https://www.sec.gov/Archives/edgar/data/0001580560/000119312521164506/d469729dex107.htm" TargetMode="External"/><Relationship Id="rId640" Type="http://schemas.openxmlformats.org/officeDocument/2006/relationships/hyperlink" Target="https://www.sec.gov/Archives/edgar/data/0001580560/000119312521164506/d469729dex108.htm" TargetMode="External"/><Relationship Id="rId641" Type="http://schemas.openxmlformats.org/officeDocument/2006/relationships/hyperlink" Target="https://www.sec.gov/Archives/edgar/data/1580560/000095017024054762/flyw-ex10_20.htm" TargetMode="External"/><Relationship Id="rId642" Type="http://schemas.openxmlformats.org/officeDocument/2006/relationships/hyperlink" Target="https://www.sec.gov/Archives/edgar/data/0001580560/000119312521164506/d469729dex1010.htm" TargetMode="External"/><Relationship Id="rId643" Type="http://schemas.openxmlformats.org/officeDocument/2006/relationships/hyperlink" Target="https://www.sec.gov/Archives/edgar/data/0001580560/000119312521164506/d469729dex1011.htm" TargetMode="External"/><Relationship Id="rId644" Type="http://schemas.openxmlformats.org/officeDocument/2006/relationships/hyperlink" Target="https://www.sec.gov/Archives/edgar/data/1580560/000095017023039957/flyw-ex10_14.htm" TargetMode="External"/><Relationship Id="rId645" Type="http://schemas.openxmlformats.org/officeDocument/2006/relationships/hyperlink" Target="https://www.sec.gov/Archives/edgar/data/1580560/000095017023039957/flyw-ex10_1.htm" TargetMode="External"/><Relationship Id="rId646" Type="http://schemas.openxmlformats.org/officeDocument/2006/relationships/hyperlink" Target="https://www.sec.gov/Archives/edgar/data/1580560/000095017023007149/flyw-ex10_17.htm" TargetMode="External"/><Relationship Id="rId647" Type="http://schemas.openxmlformats.org/officeDocument/2006/relationships/hyperlink" Target="https://www.sec.gov/Archives/edgar/data/1580560/000095017024054762/flyw-ex10_15.htm" TargetMode="External"/><Relationship Id="rId648" Type="http://schemas.openxmlformats.org/officeDocument/2006/relationships/hyperlink" Target="https://www.sec.gov/Archives/edgar/data/1580560/000095017024021713/flyw-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2025-02-26T05:22:13Z</dcterms:created>
  <dcterms:modified xsi:type="dcterms:W3CDTF">2025-02-26T05:22:13Z</dcterms:modified>
</cp:coreProperties>
</file>