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6996430"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6225540"/>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53"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Natauri Jo</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920"/>
        <w:spacing w:after="0" w:line="361" w:lineRule="auto"/>
        <w:rPr>
          <w:sz w:val="20"/>
          <w:szCs w:val="20"/>
          <w:color w:val="auto"/>
        </w:rPr>
      </w:pPr>
      <w:r>
        <w:rPr>
          <w:rFonts w:ascii="Arial" w:cs="Arial" w:eastAsia="Arial" w:hAnsi="Arial"/>
          <w:sz w:val="16"/>
          <w:szCs w:val="16"/>
          <w:color w:val="0000FF"/>
        </w:rPr>
        <w:t>C/O GOLDMAN SACHS GROUP INC., 200 WEST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20" w:type="dxa"/>
            <w:vAlign w:val="bottom"/>
          </w:tcPr>
          <w:p>
            <w:pPr>
              <w:ind w:left="420"/>
              <w:spacing w:after="0"/>
              <w:rPr>
                <w:sz w:val="20"/>
                <w:szCs w:val="20"/>
                <w:color w:val="auto"/>
              </w:rPr>
            </w:pPr>
            <w:r>
              <w:rPr>
                <w:rFonts w:ascii="Arial" w:cs="Arial" w:eastAsia="Arial" w:hAnsi="Arial"/>
                <w:sz w:val="16"/>
                <w:szCs w:val="16"/>
                <w:color w:val="0000FF"/>
              </w:rPr>
              <w:t>10282</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1160" w:type="dxa"/>
            <w:vAlign w:val="bottom"/>
            <w:gridSpan w:val="3"/>
          </w:tcPr>
          <w:p>
            <w:pPr>
              <w:ind w:left="60"/>
              <w:spacing w:after="0"/>
              <w:rPr>
                <w:sz w:val="20"/>
                <w:szCs w:val="20"/>
                <w:color w:val="auto"/>
              </w:rPr>
            </w:pPr>
            <w:r>
              <w:rPr>
                <w:rFonts w:ascii="Arial" w:cs="Arial" w:eastAsia="Arial" w:hAnsi="Arial"/>
                <w:sz w:val="16"/>
                <w:szCs w:val="16"/>
                <w:color w:val="0000FF"/>
              </w:rPr>
              <w:t>11/30/2022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53" w:lineRule="exact"/>
        <w:rPr>
          <w:sz w:val="24"/>
          <w:szCs w:val="24"/>
          <w:color w:val="auto"/>
        </w:rPr>
      </w:pPr>
    </w:p>
    <w:p>
      <w:pPr>
        <w:sectPr>
          <w:pgSz w:w="11900" w:h="16838" w:orient="portrait"/>
          <w:cols w:equalWidth="0" w:num="2">
            <w:col w:w="3760" w:space="80"/>
            <w:col w:w="7240"/>
          </w:cols>
          <w:pgMar w:left="460" w:top="219" w:right="359" w:bottom="5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5"/>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Arial" w:cs="Arial" w:eastAsia="Arial" w:hAnsi="Arial"/>
                <w:sz w:val="16"/>
                <w:szCs w:val="16"/>
                <w:color w:val="0000FF"/>
                <w:w w:val="92"/>
              </w:rPr>
              <w:t>11/30/2022</w:t>
            </w:r>
          </w:p>
        </w:tc>
        <w:tc>
          <w:tcPr>
            <w:tcW w:w="100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120,500</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1,597,443</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(3)(4)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Arial" w:cs="Arial" w:eastAsia="Arial" w:hAnsi="Arial"/>
                <w:sz w:val="16"/>
                <w:szCs w:val="16"/>
                <w:color w:val="0000FF"/>
                <w:w w:val="92"/>
              </w:rPr>
              <w:t>11/30/2022</w:t>
            </w:r>
          </w:p>
        </w:tc>
        <w:tc>
          <w:tcPr>
            <w:tcW w:w="100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120,500</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21.18</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1,476,943</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(3)(4)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Arial" w:cs="Arial" w:eastAsia="Arial" w:hAnsi="Arial"/>
                <w:sz w:val="16"/>
                <w:szCs w:val="16"/>
                <w:color w:val="0000FF"/>
                <w:w w:val="94"/>
              </w:rPr>
              <w:t>12/01/2022</w:t>
            </w:r>
          </w:p>
        </w:tc>
        <w:tc>
          <w:tcPr>
            <w:tcW w:w="100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55,523</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968,851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(3)(4)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Arial" w:cs="Arial" w:eastAsia="Arial" w:hAnsi="Arial"/>
                <w:sz w:val="16"/>
                <w:szCs w:val="16"/>
                <w:color w:val="0000FF"/>
                <w:w w:val="94"/>
              </w:rPr>
              <w:t>12/01/2022</w:t>
            </w:r>
          </w:p>
        </w:tc>
        <w:tc>
          <w:tcPr>
            <w:tcW w:w="100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3"/>
              </w:rPr>
              <w:t>55,523</w:t>
            </w:r>
          </w:p>
        </w:tc>
        <w:tc>
          <w:tcPr>
            <w:tcW w:w="620" w:type="dxa"/>
            <w:vAlign w:val="bottom"/>
            <w:vMerge w:val="restart"/>
          </w:tcPr>
          <w:p>
            <w:pPr>
              <w:jc w:val="right"/>
              <w:ind w:right="115"/>
              <w:spacing w:after="0"/>
              <w:rPr>
                <w:sz w:val="20"/>
                <w:szCs w:val="20"/>
                <w:color w:val="auto"/>
              </w:rPr>
            </w:pPr>
            <w:r>
              <w:rPr>
                <w:rFonts w:ascii="Arial" w:cs="Arial" w:eastAsia="Arial" w:hAnsi="Arial"/>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21.62</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913,328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6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5"/>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3"/>
                <w:szCs w:val="13"/>
                <w:color w:val="0000FF"/>
              </w:rPr>
              <w:t>Voting</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ind w:right="15"/>
              <w:spacing w:after="0"/>
              <w:rPr>
                <w:sz w:val="20"/>
                <w:szCs w:val="20"/>
                <w:color w:val="auto"/>
              </w:rPr>
            </w:pPr>
            <w:r>
              <w:rPr>
                <w:rFonts w:ascii="Arial" w:cs="Arial" w:eastAsia="Arial" w:hAnsi="Arial"/>
                <w:sz w:val="11"/>
                <w:szCs w:val="11"/>
                <w:color w:val="008000"/>
              </w:rPr>
              <w:t>(2)</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120,500</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35"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11/30/2022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C</w:t>
            </w:r>
          </w:p>
        </w:tc>
        <w:tc>
          <w:tcPr>
            <w:tcW w:w="1000" w:type="dxa"/>
            <w:vAlign w:val="bottom"/>
            <w:vMerge w:val="restart"/>
          </w:tcPr>
          <w:p>
            <w:pPr>
              <w:jc w:val="right"/>
              <w:ind w:right="82"/>
              <w:spacing w:after="0" w:line="139" w:lineRule="exact"/>
              <w:rPr>
                <w:sz w:val="20"/>
                <w:szCs w:val="20"/>
                <w:color w:val="auto"/>
              </w:rPr>
            </w:pPr>
            <w:r>
              <w:rPr>
                <w:rFonts w:ascii="Arial" w:cs="Arial" w:eastAsia="Arial" w:hAnsi="Arial"/>
                <w:sz w:val="13"/>
                <w:szCs w:val="13"/>
                <w:color w:val="0000FF"/>
              </w:rPr>
              <w:t>120,500</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Arial" w:cs="Arial" w:eastAsia="Arial" w:hAnsi="Arial"/>
                <w:sz w:val="13"/>
                <w:szCs w:val="13"/>
                <w:color w:val="0000FF"/>
              </w:rPr>
              <w:t>1,258,859</w:t>
            </w:r>
          </w:p>
        </w:tc>
        <w:tc>
          <w:tcPr>
            <w:tcW w:w="50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64" w:lineRule="exact"/>
              <w:rPr>
                <w:sz w:val="20"/>
                <w:szCs w:val="20"/>
                <w:color w:val="auto"/>
              </w:rPr>
            </w:pPr>
            <w:r>
              <w:rPr>
                <w:rFonts w:ascii="Arial" w:cs="Arial" w:eastAsia="Arial" w:hAnsi="Arial"/>
                <w:sz w:val="7"/>
                <w:szCs w:val="7"/>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tcPr>
          <w:p>
            <w:pPr>
              <w:ind w:left="80"/>
              <w:spacing w:after="0" w:line="64"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(3)(4)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ind w:right="35"/>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3"/>
                <w:szCs w:val="13"/>
                <w:color w:val="0000FF"/>
              </w:rPr>
              <w:t>Voting</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15"/>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55"/>
              <w:spacing w:after="0"/>
              <w:rPr>
                <w:sz w:val="20"/>
                <w:szCs w:val="20"/>
                <w:color w:val="auto"/>
              </w:rPr>
            </w:pPr>
            <w:r>
              <w:rPr>
                <w:rFonts w:ascii="Arial" w:cs="Arial" w:eastAsia="Arial" w:hAnsi="Arial"/>
                <w:sz w:val="16"/>
                <w:szCs w:val="16"/>
                <w:color w:val="0000FF"/>
                <w:w w:val="98"/>
              </w:rPr>
              <w:t>55,523</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35"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12/01/2022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C</w:t>
            </w:r>
          </w:p>
        </w:tc>
        <w:tc>
          <w:tcPr>
            <w:tcW w:w="1000" w:type="dxa"/>
            <w:vAlign w:val="bottom"/>
            <w:vMerge w:val="restart"/>
          </w:tcPr>
          <w:p>
            <w:pPr>
              <w:jc w:val="right"/>
              <w:ind w:right="102"/>
              <w:spacing w:after="0" w:line="139" w:lineRule="exact"/>
              <w:rPr>
                <w:sz w:val="20"/>
                <w:szCs w:val="20"/>
                <w:color w:val="auto"/>
              </w:rPr>
            </w:pPr>
            <w:r>
              <w:rPr>
                <w:rFonts w:ascii="Arial" w:cs="Arial" w:eastAsia="Arial" w:hAnsi="Arial"/>
                <w:sz w:val="13"/>
                <w:szCs w:val="13"/>
                <w:color w:val="0000FF"/>
              </w:rPr>
              <w:t>55,523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Arial" w:cs="Arial" w:eastAsia="Arial" w:hAnsi="Arial"/>
                <w:sz w:val="13"/>
                <w:szCs w:val="13"/>
                <w:color w:val="0000FF"/>
              </w:rPr>
              <w:t>1,203,336</w:t>
            </w:r>
          </w:p>
        </w:tc>
        <w:tc>
          <w:tcPr>
            <w:tcW w:w="50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3"/>
                <w:szCs w:val="13"/>
                <w:color w:val="0000FF"/>
                <w:w w:val="85"/>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5"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-2284730</wp:posOffset>
            </wp:positionV>
            <wp:extent cx="28575" cy="228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8981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4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30" w:lineRule="exact"/>
        <w:rPr>
          <w:rFonts w:ascii="Arial" w:cs="Arial" w:eastAsia="Arial" w:hAnsi="Arial"/>
          <w:sz w:val="13"/>
          <w:szCs w:val="13"/>
          <w:color w:val="008000"/>
        </w:rPr>
      </w:pPr>
    </w:p>
    <w:p>
      <w:pPr>
        <w:jc w:val="both"/>
        <w:ind w:left="40" w:right="16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November 30, 2022, the reporting person consummated the sale of all 120,500 shares of Non-Voting Common Stock, resulting in the automatic conversion of such shares into Voting Common Stock upon the execution of the sale of such shares as reported in Table I.</w:t>
      </w:r>
    </w:p>
    <w:p>
      <w:pPr>
        <w:spacing w:after="0" w:line="30" w:lineRule="exact"/>
        <w:rPr>
          <w:rFonts w:ascii="Arial" w:cs="Arial" w:eastAsia="Arial" w:hAnsi="Arial"/>
          <w:sz w:val="13"/>
          <w:szCs w:val="13"/>
          <w:color w:val="008000"/>
        </w:rPr>
      </w:pPr>
    </w:p>
    <w:p>
      <w:pPr>
        <w:ind w:left="40" w:right="220" w:hanging="1"/>
        <w:spacing w:after="0" w:line="23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31" w:lineRule="exact"/>
        <w:rPr>
          <w:rFonts w:ascii="Arial" w:cs="Arial" w:eastAsia="Arial" w:hAnsi="Arial"/>
          <w:sz w:val="13"/>
          <w:szCs w:val="13"/>
          <w:color w:val="008000"/>
        </w:rPr>
      </w:pPr>
    </w:p>
    <w:p>
      <w:pPr>
        <w:ind w:left="40" w:right="22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30" w:lineRule="exact"/>
        <w:rPr>
          <w:rFonts w:ascii="Arial" w:cs="Arial" w:eastAsia="Arial" w:hAnsi="Arial"/>
          <w:sz w:val="13"/>
          <w:szCs w:val="13"/>
          <w:color w:val="008000"/>
        </w:rPr>
      </w:pPr>
    </w:p>
    <w:p>
      <w:pPr>
        <w:jc w:val="both"/>
        <w:ind w:left="40" w:right="22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December 1, 2022, the reporting person consummated the sale of all 55,523 shares of Non-Voting Common Stock, resulting in the automatic conversion of such shares into Voting Common Stock upon the execution of the sale of such shares as reported in Table I.</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Jamison Yardley, Attorney-</w:t>
            </w:r>
          </w:p>
        </w:tc>
        <w:tc>
          <w:tcPr>
            <w:tcW w:w="10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12/02/2022</w:t>
            </w:r>
          </w:p>
        </w:tc>
        <w:tc>
          <w:tcPr>
            <w:tcW w:w="0" w:type="dxa"/>
            <w:vAlign w:val="bottom"/>
          </w:tcPr>
          <w:p>
            <w:pPr>
              <w:spacing w:after="0"/>
              <w:rPr>
                <w:sz w:val="1"/>
                <w:szCs w:val="1"/>
                <w:color w:val="auto"/>
              </w:rPr>
            </w:pPr>
          </w:p>
        </w:tc>
      </w:tr>
      <w:tr>
        <w:trPr>
          <w:trHeight w:val="81"/>
        </w:trPr>
        <w:tc>
          <w:tcPr>
            <w:tcW w:w="420" w:type="dxa"/>
            <w:vAlign w:val="bottom"/>
            <w:vMerge w:val="restart"/>
          </w:tcPr>
          <w:p>
            <w:pPr>
              <w:spacing w:after="0" w:line="182" w:lineRule="exact"/>
              <w:rPr>
                <w:sz w:val="20"/>
                <w:szCs w:val="20"/>
                <w:color w:val="auto"/>
              </w:rPr>
            </w:pPr>
            <w:r>
              <w:rPr>
                <w:rFonts w:ascii="Arial" w:cs="Arial" w:eastAsia="Arial" w:hAnsi="Arial"/>
                <w:sz w:val="16"/>
                <w:szCs w:val="16"/>
                <w:color w:val="0000FF"/>
                <w:w w:val="91"/>
              </w:rPr>
              <w:t>in-fact</w:t>
            </w:r>
          </w:p>
        </w:tc>
        <w:tc>
          <w:tcPr>
            <w:tcW w:w="16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2022-12-02T15:49:08Z</dcterms:created>
  <dcterms:modified xsi:type="dcterms:W3CDTF">2022-12-02T15:49:08Z</dcterms:modified>
</cp:coreProperties>
</file>