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81598d8k.htm"/>
      <w:bookmarkStart w:id="1" w:name="ksd78159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February 27,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141 Tremont St #10</w:t>
      </w:r>
    </w:p>
    <w:p>
      <w:pPr>
        <w:pStyle w:val="TextBody"/>
        <w:bidi w:val="0"/>
        <w:spacing w:before="0" w:after="0"/>
        <w:jc w:val="center"/>
        <w:rPr>
          <w:rFonts w:ascii="Times New Roman" w:hAnsi="Times New Roman"/>
          <w:b/>
          <w:sz w:val="20"/>
        </w:rPr>
      </w:pPr>
      <w:r>
        <w:rPr>
          <w:rFonts w:ascii="Times New Roman" w:hAnsi="Times New Roman"/>
          <w:b/>
          <w:sz w:val="20"/>
        </w:rPr>
        <w:t>Boston, MA 02111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20" w:type="dxa"/>
        <w:jc w:val="left"/>
        <w:tblInd w:w="0" w:type="dxa"/>
        <w:tblLayout w:type="fixed"/>
        <w:tblCellMar>
          <w:top w:w="0" w:type="dxa"/>
          <w:left w:w="0" w:type="dxa"/>
          <w:bottom w:w="0" w:type="dxa"/>
          <w:right w:w="0" w:type="dxa"/>
        </w:tblCellMar>
      </w:tblPr>
      <w:tblGrid>
        <w:gridCol w:w="4985"/>
        <w:gridCol w:w="120"/>
        <w:gridCol w:w="740"/>
        <w:gridCol w:w="12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12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27, 2024, Flywire Corporation (“Flywire” or the “Company”) issued a press release (the “Press Release”) and is holding a conference call regarding its preliminary and unaudited financial results for the quarter and year ended December 31, 2023.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September 30, 2023, which are on file with the Securities and Exchange Commission (SEC) and available on the SEC’s website at https://www.sec.gov/. Additional factors may be described in those sections of Flywire’s Annual Report on Form 10-K for the year ended December 31, 2023, expected to be filed with the SEC in the first quarter of 2024.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27, 2024,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81598dex991.htm">
              <w:r>
                <w:rPr>
                  <w:rStyle w:val="InternetLink"/>
                </w:rPr>
                <w:t xml:space="preserve">Flywire Corporation Press Release dated February 27,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81598dex992.htm">
              <w:r>
                <w:rPr>
                  <w:rStyle w:val="InternetLink"/>
                </w:rPr>
                <w:t xml:space="preserve">Flywire Corporation Investor Presentation dated February 27,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Ellis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Michael Ellis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February 27, 2024 </w:t>
      </w:r>
    </w:p>
    <w:p>
      <w:pPr>
        <w:pStyle w:val="TextBody"/>
        <w:bidi w:val="0"/>
        <w:spacing w:before="0" w:after="0"/>
        <w:jc w:val="right"/>
        <w:rPr>
          <w:rFonts w:ascii="Times New Roman" w:hAnsi="Times New Roman"/>
          <w:b/>
          <w:sz w:val="20"/>
        </w:rPr>
      </w:pPr>
      <w:bookmarkStart w:id="2" w:name="d781598dex991.htm"/>
      <w:bookmarkStart w:id="3" w:name="ksd78159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Flywire Reports Fourth Quarter and Fiscal-Year 2023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Fourth Quarter Revenue Increased 37.5%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Fourth Quarter Revenue Less Ancillary Services Increased 42.6%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Provides First Quarter and Fiscal-Year 2024 Outlook </w:t>
      </w:r>
    </w:p>
    <w:p>
      <w:pPr>
        <w:pStyle w:val="TextBody"/>
        <w:bidi w:val="0"/>
        <w:spacing w:before="240" w:after="0"/>
        <w:jc w:val="left"/>
        <w:rPr>
          <w:rFonts w:ascii="Times New Roman" w:hAnsi="Times New Roman"/>
          <w:sz w:val="20"/>
        </w:rPr>
      </w:pPr>
      <w:r>
        <w:rPr>
          <w:rFonts w:ascii="Times New Roman" w:hAnsi="Times New Roman"/>
          <w:b/>
          <w:sz w:val="20"/>
        </w:rPr>
        <w:t>Boston, MA  February</w:t>
      </w:r>
      <w:r>
        <w:rPr>
          <w:rFonts w:ascii="Times New Roman" w:hAnsi="Times New Roman"/>
          <w:sz w:val="20"/>
        </w:rPr>
        <w:t> </w:t>
      </w:r>
      <w:r>
        <w:rPr>
          <w:rFonts w:ascii="Times New Roman" w:hAnsi="Times New Roman"/>
          <w:b/>
          <w:sz w:val="20"/>
        </w:rPr>
        <w:t>27, 2024:</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fourth quarter and fiscal-year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Our strong fourth quarter results, which included 37.5% year over year growth in revenue and 42.6% year over year growth in revenue less ancillary services, capped off an exceptional year for Flywire as we continue to show strong performance across the business, said Mike Massaro, CEO of Flywire. We are proud of all that we have accomplished in 2023, and excited for what is ahead for Flywire, with a plan that puts up strong growth numbers in a complex macro environment and further expands Adjusted EBITDA in alignment with our multi-year targets.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2023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37.5% to $100.5 million in the fourth quarter of 2023, compared to $73.1 million in the fourth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$61.8 million, resulting in Gross Margin of 61.5%, for the fourth quarter of 2023, compared to Gross Profit of $41.5 million and Gross Margin of 56.8% in the fourth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was $1.3 million in the fourth quarter of 2023, compared to net loss of $1.1 million in the fourth quarter of 2022.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33.2% to $5.4 billion in the fourth quarter of 2023, compared to $4.1 billion in the fourth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42.6% to $96.1 million in the fourth quarter of 2023, compared to $67.4 million in the fourth quarter of 2022. Revenue Less Ancillary Services in the fourth quarter of 2023 was estimated to be favorably impacted by changes in foreign exchange rates between September 30, 2023 and December 31, 2023 by approximately $0.7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$63.5 million, resulting in Adjusted Gross Margin of 66.1% in the fourth quarter of 2023, compared to Adjusted Gross Profit of $44.5 million and Adjusted Gross Margin of 66.0% in the fourth quarter of 2022. Prior year Adjusted Gross Profit and Adjusted Gross Margin have been recast to align with the updated methodology as described in the Key Operating Metrics and Non-GAAP Financial Measures section below.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$7.7 million in the fourth quarter of 2023, compared to $1.0 million in the fourth quarter of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Fiscal-Year 2023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39.3% to $403.1 million in fiscal-year 2023, compared to $289.4 million in fiscal-year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$247.4 million, resulting in Gross Margin of 61.4%, for fiscal-year 2023, compared to Gross Profit of $174.9 million and Gross Margin of 60.4% in fiscal-year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$8.6 million in fiscal-year 2023, compared to net loss of $39.3 million in fiscal-year 2022.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32.9% to $24.0 billion in fiscal-year 2023, compared to $18.1 billion in fiscal-year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42.8% to $381.5 million in fiscal-year 2023, compared to $267.1 million in fiscal-year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$254.1 million, resulting in Adjusted Gross Margin of 66.6% in fiscal-year 2023, compared to Adjusted Gross Profit of $181.9 million and Adjusted Gross Margin of 68.1% in fiscal-year 2022. Fiscal-year 2022 Adjusted Gross Profit and Adjusted Gross Margin have been recast to align with the updated methodology as described in the Key Operating Metrics and Non-GAAP Financial Measures section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$42.0 million in fiscal-year 2023, compared to $14.9 million in fiscal-year 2022, a 546 basis point expansion of our Adjusted EBITDA as a percentage of revenue less ancillary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Fiscal-Year 2023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education</w:t>
            </w:r>
            <w:r>
              <w:rPr>
                <w:rFonts w:ascii="Times New Roman" w:hAnsi="Times New Roman"/>
                <w:sz w:val="20"/>
              </w:rPr>
              <w:t xml:space="preserve">, the Company continued to expand its higher education footprint globally including notable growth in the United Kingdom and throughout Asia-Pacific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also continued to see success in its land and expand strategy </w:t>
            </w:r>
            <w:r>
              <w:rPr>
                <w:rFonts w:ascii="Times New Roman" w:hAnsi="Times New Roman"/>
                <w:b/>
                <w:sz w:val="20"/>
              </w:rPr>
              <w:t>in the U.S,.</w:t>
            </w:r>
            <w:r>
              <w:rPr>
                <w:rFonts w:ascii="Times New Roman" w:hAnsi="Times New Roman"/>
                <w:sz w:val="20"/>
              </w:rPr>
              <w:t xml:space="preserve"> increasing the footprint of its full-suite solution, and landing many blue-chip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travel</w:t>
            </w:r>
            <w:r>
              <w:rPr>
                <w:rFonts w:ascii="Times New Roman" w:hAnsi="Times New Roman"/>
                <w:sz w:val="20"/>
              </w:rPr>
              <w:t xml:space="preserve">, the Company experienced a significant increase in terms of clients signed and revenue realization from existing clients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B2B</w:t>
            </w:r>
            <w:r>
              <w:rPr>
                <w:rFonts w:ascii="Times New Roman" w:hAnsi="Times New Roman"/>
                <w:sz w:val="20"/>
              </w:rPr>
              <w:t xml:space="preserve">, the Company continued to sign larger enterprise deals and drive utilization among existing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healthcare</w:t>
            </w:r>
            <w:r>
              <w:rPr>
                <w:rFonts w:ascii="Times New Roman" w:hAnsi="Times New Roman"/>
                <w:sz w:val="20"/>
              </w:rPr>
              <w:t xml:space="preserve">, the Company accelerated our partnership strategy, solidifying relationships with </w:t>
            </w:r>
            <w:r>
              <w:rPr>
                <w:rFonts w:ascii="Times New Roman" w:hAnsi="Times New Roman"/>
                <w:b/>
                <w:sz w:val="20"/>
              </w:rPr>
              <w:t xml:space="preserve">Cerner and FinThrive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bolstered its global payment network with a focus on supporting its strategic payer markets like </w:t>
            </w:r>
            <w:r>
              <w:rPr>
                <w:rFonts w:ascii="Times New Roman" w:hAnsi="Times New Roman"/>
                <w:b/>
                <w:sz w:val="20"/>
              </w:rPr>
              <w:t>India and China</w:t>
            </w:r>
            <w:r>
              <w:rPr>
                <w:rFonts w:ascii="Times New Roman" w:hAnsi="Times New Roman"/>
                <w:sz w:val="20"/>
              </w:rPr>
              <w:t xml:space="preserve">, enhancing its relationships with </w:t>
            </w:r>
            <w:r>
              <w:rPr>
                <w:rFonts w:ascii="Times New Roman" w:hAnsi="Times New Roman"/>
                <w:b/>
                <w:sz w:val="20"/>
              </w:rPr>
              <w:t xml:space="preserve">WeChat Pay </w:t>
            </w:r>
            <w:r>
              <w:rPr>
                <w:rFonts w:ascii="Times New Roman" w:hAnsi="Times New Roman"/>
                <w:sz w:val="20"/>
              </w:rPr>
              <w:t xml:space="preserve">as well as three of the largest banks in India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continued its strong track record of strategic M&amp;A with the </w:t>
            </w:r>
            <w:r>
              <w:rPr>
                <w:rFonts w:ascii="Times New Roman" w:hAnsi="Times New Roman"/>
                <w:b/>
                <w:sz w:val="20"/>
              </w:rPr>
              <w:t>acquisition of</w:t>
            </w:r>
            <w:r>
              <w:rPr>
                <w:rFonts w:ascii="Times New Roman" w:hAnsi="Times New Roman"/>
                <w:sz w:val="20"/>
              </w:rPr>
              <w:t xml:space="preserve"> </w:t>
            </w:r>
            <w:r>
              <w:rPr>
                <w:rFonts w:ascii="Times New Roman" w:hAnsi="Times New Roman"/>
                <w:b/>
                <w:sz w:val="20"/>
              </w:rPr>
              <w:t>StudyLink</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Quarter and Fiscal-Year 2024 Outlook: </w:t>
      </w:r>
    </w:p>
    <w:p>
      <w:pPr>
        <w:pStyle w:val="TextBody"/>
        <w:bidi w:val="0"/>
        <w:spacing w:before="120" w:after="0"/>
        <w:jc w:val="left"/>
        <w:rPr>
          <w:rFonts w:ascii="Times New Roman" w:hAnsi="Times New Roman"/>
          <w:sz w:val="20"/>
        </w:rPr>
      </w:pPr>
      <w:r>
        <w:rPr>
          <w:rFonts w:ascii="Times New Roman" w:hAnsi="Times New Roman"/>
          <w:sz w:val="20"/>
        </w:rPr>
        <w:t xml:space="preserve">For Fiscal-Year 2024 we expect revenue less ancillary services to grow 30% at the midpoint of our guidance. We also expect to generate an approximately 320 basis point improvement in adjusted EBITDA as a percentage of revenue less ancillary services at the midpoint of our guidance, said Mike Ellis, CFO of Flywire. Our seasonality across the fiscal year, and our results for first quarter , are expected to be impacted by Canadian regulatory changes, which we expect will reduce the number of international study permit applications and delay some Canadian applications until later in the year. The changes may also lead some students to study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February 27, 2024, Flywire anticipates the following results for the first quarter and fiscal-year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97"/>
        <w:gridCol w:w="221"/>
        <w:gridCol w:w="2021"/>
      </w:tblGrid>
      <w:tr>
        <w:trPr/>
        <w:tc>
          <w:tcPr>
            <w:tcW w:w="469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Fiscal-Year 2024*</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$501 to $535 million</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1"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$483 to $509 million</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$65 to $76 million</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697"/>
        <w:gridCol w:w="221"/>
        <w:gridCol w:w="2021"/>
      </w:tblGrid>
      <w:tr>
        <w:trPr/>
        <w:tc>
          <w:tcPr>
            <w:tcW w:w="469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First Quarter 2024*</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$110 to $117 million</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1"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$106 to $111 million</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$9 to $11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foreign exchange rates prevailing as of December 31,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fourth quarter and fiscal-year 2023 financial results today at 5:00 pm ET. Hosting the call will be Mike Massaro, CEO, Rob Orgel, President and COO, and Mike Ellis,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Beginning with the quarter ended December 31, 2022, Flywire has excluded depreciation and amortization from the calculation of its adjusted Gross Profit, which it believes enhances the understanding of the Companys operating performance and enables more meaningful period to period comparisons. The Companys previously reported Adjusted Gross Profit and Adjusted Gross Margin for the three months and twelve months ended December 31, 2022 were recast to conform to the updated methodology and are reflected herein for comparison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if applicable, and (vi) employee 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 supports more than 3,800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September 30, 2023, which are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Annual Report on Form 10-K for the year ended December 31, 2023, expected to be filed with the SEC in the first quarter of 2024. The information in this release is provided only as of the date of this release, and Flywire undertakes no obligation to update any forward-looking statements contained in this release on account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Akil Hollis </w:t>
      </w:r>
    </w:p>
    <w:p>
      <w:pPr>
        <w:pStyle w:val="TextBody"/>
        <w:bidi w:val="0"/>
        <w:spacing w:before="0" w:after="0"/>
        <w:jc w:val="left"/>
        <w:rPr>
          <w:rFonts w:ascii="Times New Roman" w:hAnsi="Times New Roman"/>
          <w:b/>
          <w:sz w:val="20"/>
        </w:rPr>
      </w:pPr>
      <w:r>
        <w:rPr>
          <w:rFonts w:ascii="Times New Roman" w:hAnsi="Times New Roman"/>
          <w:b/>
          <w:sz w:val="20"/>
        </w:rPr>
        <w:t xml:space="preserve">ir@Flywire.com </w:t>
      </w:r>
    </w:p>
    <w:p>
      <w:pPr>
        <w:pStyle w:val="TextBody"/>
        <w:bidi w:val="0"/>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rPr>
      </w:pPr>
      <w:r>
        <w:rPr>
          <w:rFonts w:ascii="Times New Roman" w:hAnsi="Times New Roman"/>
          <w:b/>
          <w:sz w:val="20"/>
        </w:rPr>
        <w:t xml:space="preserve">Sarah.King@Flywire.com </w:t>
      </w:r>
    </w:p>
    <w:p>
      <w:pPr>
        <w:pStyle w:val="TextBody"/>
        <w:bidi w:val="0"/>
        <w:spacing w:before="240" w:after="0"/>
        <w:jc w:val="left"/>
        <w:rPr>
          <w:rFonts w:ascii="Times New Roman" w:hAnsi="Times New Roman"/>
          <w:sz w:val="20"/>
        </w:rPr>
      </w:pPr>
      <w:r>
        <w:rPr>
          <w:rFonts w:ascii="Times New Roman" w:hAnsi="Times New Roman"/>
          <w:sz w:val="20"/>
        </w:rPr>
        <w:t xml:space="preserve">Walker Sands </w:t>
      </w:r>
    </w:p>
    <w:p>
      <w:pPr>
        <w:pStyle w:val="TextBody"/>
        <w:bidi w:val="0"/>
        <w:spacing w:before="0" w:after="0"/>
        <w:jc w:val="left"/>
        <w:rPr>
          <w:rFonts w:ascii="Times New Roman" w:hAnsi="Times New Roman"/>
          <w:b/>
          <w:sz w:val="20"/>
        </w:rPr>
      </w:pPr>
      <w:r>
        <w:rPr>
          <w:rFonts w:ascii="Times New Roman" w:hAnsi="Times New Roman"/>
          <w:b/>
          <w:sz w:val="20"/>
        </w:rPr>
        <w:t xml:space="preserve">flywirepr@walkersands.com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9"/>
        <w:gridCol w:w="216"/>
        <w:gridCol w:w="171"/>
        <w:gridCol w:w="1528"/>
        <w:gridCol w:w="190"/>
        <w:gridCol w:w="173"/>
        <w:gridCol w:w="171"/>
        <w:gridCol w:w="1532"/>
        <w:gridCol w:w="155"/>
        <w:gridCol w:w="161"/>
        <w:gridCol w:w="140"/>
        <w:gridCol w:w="1221"/>
        <w:gridCol w:w="155"/>
        <w:gridCol w:w="161"/>
        <w:gridCol w:w="140"/>
        <w:gridCol w:w="1221"/>
        <w:gridCol w:w="161"/>
      </w:tblGrid>
      <w:tr>
        <w:trPr/>
        <w:tc>
          <w:tcPr>
            <w:tcW w:w="2709"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37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100,545</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32" w:type="dxa"/>
            <w:tcBorders/>
            <w:shd w:fill="CCEEFF" w:val="clear"/>
            <w:vAlign w:val="bottom"/>
          </w:tcPr>
          <w:p>
            <w:pPr>
              <w:pStyle w:val="TableContents"/>
              <w:bidi w:val="0"/>
              <w:spacing w:before="0" w:after="283"/>
              <w:jc w:val="right"/>
              <w:rPr/>
            </w:pPr>
            <w:r>
              <w:rPr/>
              <w:t>73,053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403,094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289,375</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528"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36,780</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29,585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147,339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107,933</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16,898</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12,692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62,028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50,257</w:t>
            </w:r>
          </w:p>
        </w:tc>
        <w:tc>
          <w:tcPr>
            <w:tcW w:w="161"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28,830</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20,287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107,621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78,456</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28,065</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19,860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107,624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82,949</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110,573</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82,424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424,612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319,595</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(10,028</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32" w:type="dxa"/>
            <w:tcBorders/>
            <w:vAlign w:val="bottom"/>
          </w:tcPr>
          <w:p>
            <w:pPr>
              <w:pStyle w:val="TableContents"/>
              <w:bidi w:val="0"/>
              <w:spacing w:before="0" w:after="283"/>
              <w:jc w:val="right"/>
              <w:rPr/>
            </w:pPr>
            <w:r>
              <w:rPr/>
              <w:t>(9,371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(21,518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(30,220</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(92</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(1,211</w:t>
            </w:r>
          </w:p>
        </w:tc>
        <w:tc>
          <w:tcPr>
            <w:tcW w:w="161"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5,638</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1,787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13,349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3,244</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7,707</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5,915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4,189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(9,172</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13,253</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7,375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17,166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(7,139</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3,225</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(1,996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(4,352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(37,359</w:t>
            </w:r>
          </w:p>
        </w:tc>
        <w:tc>
          <w:tcPr>
            <w:tcW w:w="161"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1,938</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(867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4,214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1,988</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1,287</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32" w:type="dxa"/>
            <w:tcBorders/>
            <w:vAlign w:val="bottom"/>
          </w:tcPr>
          <w:p>
            <w:pPr>
              <w:pStyle w:val="TableContents"/>
              <w:bidi w:val="0"/>
              <w:spacing w:before="0" w:after="283"/>
              <w:jc w:val="right"/>
              <w:rPr/>
            </w:pPr>
            <w:r>
              <w:rPr/>
              <w:t>(1,129</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(8,566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(39,347</w:t>
            </w:r>
          </w:p>
        </w:tc>
        <w:tc>
          <w:tcPr>
            <w:tcW w:w="161" w:type="dxa"/>
            <w:tcBorders/>
            <w:vAlign w:val="bottom"/>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3,731</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(1,105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3,232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(1,513</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5,018</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32" w:type="dxa"/>
            <w:tcBorders/>
            <w:vAlign w:val="bottom"/>
          </w:tcPr>
          <w:p>
            <w:pPr>
              <w:pStyle w:val="TableContents"/>
              <w:bidi w:val="0"/>
              <w:spacing w:before="0" w:after="283"/>
              <w:jc w:val="right"/>
              <w:rPr/>
            </w:pPr>
            <w:r>
              <w:rPr/>
              <w:t>(2,234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(5,334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(40,860</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 - basic and diluted</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1,287</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32" w:type="dxa"/>
            <w:tcBorders/>
            <w:shd w:fill="CCEEFF" w:val="clear"/>
            <w:vAlign w:val="bottom"/>
          </w:tcPr>
          <w:p>
            <w:pPr>
              <w:pStyle w:val="TableContents"/>
              <w:bidi w:val="0"/>
              <w:spacing w:before="0" w:after="283"/>
              <w:jc w:val="right"/>
              <w:rPr/>
            </w:pPr>
            <w:r>
              <w:rPr/>
              <w:t>(1,129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(8,566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(39,347</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basic</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0.01</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532"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(0.36</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diluted</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0.01</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532"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(0.36</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121,690,938</w:t>
            </w:r>
          </w:p>
        </w:tc>
        <w:tc>
          <w:tcPr>
            <w:tcW w:w="1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107,925,637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114,828,494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107,935,514</w:t>
            </w:r>
          </w:p>
        </w:tc>
        <w:tc>
          <w:tcPr>
            <w:tcW w:w="161" w:type="dxa"/>
            <w:tcBorders/>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21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28" w:type="dxa"/>
            <w:tcBorders/>
            <w:shd w:fill="CCEEFF" w:val="clear"/>
            <w:vAlign w:val="bottom"/>
          </w:tcPr>
          <w:p>
            <w:pPr>
              <w:pStyle w:val="TableContents"/>
              <w:bidi w:val="0"/>
              <w:spacing w:before="0" w:after="283"/>
              <w:jc w:val="right"/>
              <w:rPr/>
            </w:pPr>
            <w:r>
              <w:rPr/>
              <w:t>128,877,877</w:t>
            </w:r>
          </w:p>
        </w:tc>
        <w:tc>
          <w:tcPr>
            <w:tcW w:w="1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107,925,637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114,828,494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107,935,514</w:t>
            </w:r>
          </w:p>
        </w:tc>
        <w:tc>
          <w:tcPr>
            <w:tcW w:w="161" w:type="dxa"/>
            <w:tcBorders/>
            <w:shd w:fill="CCEEFF" w:val="clear"/>
            <w:vAlign w:val="bottom"/>
          </w:tcPr>
          <w:p>
            <w:pPr>
              <w:pStyle w:val="TableContents"/>
              <w:bidi w:val="0"/>
              <w:spacing w:before="0" w:after="283"/>
              <w:jc w:val="left"/>
              <w:rPr/>
            </w:pPr>
            <w:r>
              <w:rPr/>
              <w:t> </w:t>
            </w:r>
          </w:p>
        </w:tc>
      </w:tr>
      <w:tr>
        <w:trPr/>
        <w:tc>
          <w:tcPr>
            <w:tcW w:w="2709"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3"/>
        <w:gridCol w:w="229"/>
        <w:gridCol w:w="169"/>
        <w:gridCol w:w="1200"/>
        <w:gridCol w:w="155"/>
        <w:gridCol w:w="186"/>
        <w:gridCol w:w="186"/>
        <w:gridCol w:w="1188"/>
        <w:gridCol w:w="159"/>
      </w:tblGrid>
      <w:tr>
        <w:trPr/>
        <w:tc>
          <w:tcPr>
            <w:tcW w:w="6733"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654,608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349,177</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2,000</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18,215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13,697</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10,689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5,268</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113,945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62,970</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18,227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17,531</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815,684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450,643</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15,134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13,317</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108,178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97,616</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121,646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97,766</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19,089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14,945</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1,079,731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674,287</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12,587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13,325</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210,922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124,305</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43,315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34,423</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6,968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5,223</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273,792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177,276</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15,391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12,149</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4,431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2,959</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293,614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192,384</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December 31, 2023 and 2022; and no shares issued and outstanding as of December 31, 2023 and 2022</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December 31, 2023 and 2022; 123,010,207 shares issued and 120,695,162 shares outstanding as of December 31, 2023; 109,790,702 shares issued and 107,472,980 shares outstanding as of December 31, 2022</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December 31, 2023 and 2022; 1,873,320 shares issued and outstanding as of December 31, 2023 and 2022</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Treasury voting common stock, 2,315,045 and 2,317,722 shares as of December 31, 2023 and 2022, respectively, held at cost</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(747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(748</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959,302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649,756</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1,320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(1,912</w:t>
            </w:r>
          </w:p>
        </w:tc>
        <w:tc>
          <w:tcPr>
            <w:tcW w:w="159" w:type="dxa"/>
            <w:tcBorders/>
            <w:vAlign w:val="bottom"/>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(173,770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(165,204</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786,117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481,903</w:t>
            </w:r>
          </w:p>
        </w:tc>
        <w:tc>
          <w:tcPr>
            <w:tcW w:w="159" w:type="dxa"/>
            <w:tcBorders/>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0" w:type="dxa"/>
            <w:tcBorders/>
            <w:shd w:fill="CCEEFF" w:val="clear"/>
            <w:vAlign w:val="bottom"/>
          </w:tcPr>
          <w:p>
            <w:pPr>
              <w:pStyle w:val="TableContents"/>
              <w:bidi w:val="0"/>
              <w:spacing w:before="0" w:after="283"/>
              <w:jc w:val="right"/>
              <w:rPr/>
            </w:pPr>
            <w:r>
              <w:rPr/>
              <w:t>1,079,731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674,287</w:t>
            </w:r>
          </w:p>
        </w:tc>
        <w:tc>
          <w:tcPr>
            <w:tcW w:w="159" w:type="dxa"/>
            <w:tcBorders/>
            <w:shd w:fill="CCEEFF" w:val="clear"/>
            <w:vAlign w:val="bottom"/>
          </w:tcPr>
          <w:p>
            <w:pPr>
              <w:pStyle w:val="TableContents"/>
              <w:bidi w:val="0"/>
              <w:spacing w:before="0" w:after="283"/>
              <w:jc w:val="left"/>
              <w:rPr/>
            </w:pPr>
            <w:r>
              <w:rPr/>
              <w:t> </w:t>
            </w:r>
          </w:p>
        </w:tc>
      </w:tr>
      <w:tr>
        <w:trPr/>
        <w:tc>
          <w:tcPr>
            <w:tcW w:w="67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3"/>
        <w:gridCol w:w="232"/>
        <w:gridCol w:w="177"/>
        <w:gridCol w:w="1019"/>
        <w:gridCol w:w="196"/>
        <w:gridCol w:w="201"/>
        <w:gridCol w:w="177"/>
        <w:gridCol w:w="1022"/>
        <w:gridCol w:w="158"/>
      </w:tblGrid>
      <w:tr>
        <w:trPr/>
        <w:tc>
          <w:tcPr>
            <w:tcW w:w="7023"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7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(8,566</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(39,347</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15,764</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12,304</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43,726</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30,259</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1,789</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1,799</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380</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(2,805</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provision (benefit)</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72</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(1,708</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326</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152</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298</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348</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2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(2,082</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(323</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(5,394</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(1,928</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(50,975</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(30,917</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(4,279</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(11,318</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86,616</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48,932</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5,548</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6,761</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(467</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(4,510</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(1,260</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(1,872</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(871</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(400</w:t>
            </w:r>
          </w:p>
        </w:tc>
        <w:tc>
          <w:tcPr>
            <w:tcW w:w="158"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80,625</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5,427</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(5,004</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(5,717</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(1,009</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(1,353</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acquisition, net of cash acquired</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(32,764</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(17,140</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(453</w:t>
            </w:r>
          </w:p>
        </w:tc>
        <w:tc>
          <w:tcPr>
            <w:tcW w:w="158"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(38,777</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(24,663</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public offering, net of underwriter discounts and commissions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261,119</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costs related to public offering</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(1,062</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long-term debt</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(25,939</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(1,207</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(3,701</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tax withholdings for net settled option exercises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(8,483</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(2,564</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2,691</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1,271</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10,360</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6,963</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263,418</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(23,970</w:t>
            </w:r>
          </w:p>
        </w:tc>
        <w:tc>
          <w:tcPr>
            <w:tcW w:w="158"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(1,835</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5,023</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303,431</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(38,183</w:t>
            </w:r>
          </w:p>
        </w:tc>
        <w:tc>
          <w:tcPr>
            <w:tcW w:w="158"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232"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351,177</w:t>
            </w:r>
          </w:p>
        </w:tc>
        <w:tc>
          <w:tcPr>
            <w:tcW w:w="19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389,360</w:t>
            </w:r>
          </w:p>
        </w:tc>
        <w:tc>
          <w:tcPr>
            <w:tcW w:w="158"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654,608</w:t>
            </w:r>
          </w:p>
        </w:tc>
        <w:tc>
          <w:tcPr>
            <w:tcW w:w="19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351,177</w:t>
            </w:r>
          </w:p>
        </w:tc>
        <w:tc>
          <w:tcPr>
            <w:tcW w:w="158"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millions, except percentages) </w:t>
      </w:r>
    </w:p>
    <w:p>
      <w:pPr>
        <w:pStyle w:val="TextBody"/>
        <w:bidi w:val="0"/>
        <w:spacing w:before="240" w:after="0"/>
        <w:jc w:val="left"/>
        <w:rPr>
          <w:rFonts w:ascii="Times New Roman" w:hAnsi="Times New Roman"/>
          <w:b/>
          <w:sz w:val="20"/>
        </w:rPr>
      </w:pPr>
      <w:r>
        <w:rPr>
          <w:rFonts w:ascii="Times New Roman" w:hAnsi="Times New Roman"/>
          <w:b/>
          <w:sz w:val="20"/>
        </w:rPr>
        <w:t xml:space="preserve">Modified Methodology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1"/>
        <w:gridCol w:w="214"/>
        <w:gridCol w:w="191"/>
        <w:gridCol w:w="801"/>
        <w:gridCol w:w="394"/>
        <w:gridCol w:w="179"/>
        <w:gridCol w:w="191"/>
        <w:gridCol w:w="653"/>
        <w:gridCol w:w="275"/>
        <w:gridCol w:w="159"/>
        <w:gridCol w:w="140"/>
        <w:gridCol w:w="561"/>
        <w:gridCol w:w="275"/>
        <w:gridCol w:w="159"/>
        <w:gridCol w:w="140"/>
        <w:gridCol w:w="561"/>
        <w:gridCol w:w="281"/>
      </w:tblGrid>
      <w:tr>
        <w:trPr/>
        <w:tc>
          <w:tcPr>
            <w:tcW w:w="503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100.5</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73.1</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403.1</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289.4</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(4.0</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(20.4</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(0.4</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96.1</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67.4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381.5</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267.1</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36.8</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29.6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147.3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107.9</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8.4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6.6</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38.7</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31.6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155.7</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114.5</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(4.0</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(20.4</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(0.4</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(3.0</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(7.0</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32.6</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22.9</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127.4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85.2</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61.8</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41.5</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247.4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174.9</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61.5</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56.8</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61.4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60.4</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63.5</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44.5</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254.1</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181.9</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66.1</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66.0</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66.6</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68.1</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Previous Methodology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1"/>
        <w:gridCol w:w="214"/>
        <w:gridCol w:w="191"/>
        <w:gridCol w:w="801"/>
        <w:gridCol w:w="394"/>
        <w:gridCol w:w="179"/>
        <w:gridCol w:w="191"/>
        <w:gridCol w:w="653"/>
        <w:gridCol w:w="275"/>
        <w:gridCol w:w="159"/>
        <w:gridCol w:w="140"/>
        <w:gridCol w:w="561"/>
        <w:gridCol w:w="275"/>
        <w:gridCol w:w="159"/>
        <w:gridCol w:w="140"/>
        <w:gridCol w:w="561"/>
        <w:gridCol w:w="281"/>
      </w:tblGrid>
      <w:tr>
        <w:trPr/>
        <w:tc>
          <w:tcPr>
            <w:tcW w:w="5031"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100.5</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73.1</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403.1</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289.4</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(4.0</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(20.4</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(0.4</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96.1</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67.4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381.5</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267.1</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36.8</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29.6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147.3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107.9</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8.4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6.6</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38.7</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31.6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155.7</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114.5</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6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(4.0</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(19.4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(20.4</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(0.4</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(0.4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(1.9</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34.3</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25.9</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134.1</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92.2</w:t>
            </w:r>
          </w:p>
        </w:tc>
        <w:tc>
          <w:tcPr>
            <w:tcW w:w="281" w:type="dxa"/>
            <w:tcBorders/>
            <w:vAlign w:val="bottom"/>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61.8</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41.5</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247.4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174.9</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61.5</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56.8</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61.4</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60.4</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50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61.8</w:t>
            </w:r>
          </w:p>
        </w:tc>
        <w:tc>
          <w:tcPr>
            <w:tcW w:w="39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41.5</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247.4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174.9</w:t>
            </w:r>
          </w:p>
        </w:tc>
        <w:tc>
          <w:tcPr>
            <w:tcW w:w="281" w:type="dxa"/>
            <w:tcBorders/>
            <w:shd w:fill="CCEEFF" w:val="clear"/>
            <w:vAlign w:val="bottom"/>
          </w:tcPr>
          <w:p>
            <w:pPr>
              <w:pStyle w:val="TableContents"/>
              <w:bidi w:val="0"/>
              <w:spacing w:before="0" w:after="283"/>
              <w:jc w:val="left"/>
              <w:rPr/>
            </w:pPr>
            <w:r>
              <w:rPr/>
              <w:t> </w:t>
            </w:r>
          </w:p>
        </w:tc>
      </w:tr>
      <w:tr>
        <w:trPr/>
        <w:tc>
          <w:tcPr>
            <w:tcW w:w="5031"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64.3</w:t>
            </w:r>
          </w:p>
        </w:tc>
        <w:tc>
          <w:tcPr>
            <w:tcW w:w="39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61.6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64.8</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65.5</w:t>
            </w:r>
          </w:p>
        </w:tc>
        <w:tc>
          <w:tcPr>
            <w:tcW w:w="281" w:type="dxa"/>
            <w:tcBorders/>
            <w:vAlign w:val="bottom"/>
          </w:tcPr>
          <w:p>
            <w:pPr>
              <w:pStyle w:val="TableContents"/>
              <w:bidi w:val="0"/>
              <w:spacing w:before="0" w:after="283"/>
              <w:jc w:val="left"/>
              <w:rPr/>
            </w:pPr>
            <w:r>
              <w:rPr/>
              <w:t>% </w:t>
            </w:r>
          </w:p>
        </w:tc>
      </w:tr>
      <w:tr>
        <w:trPr/>
        <w:tc>
          <w:tcPr>
            <w:tcW w:w="5031"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7"/>
        <w:gridCol w:w="219"/>
        <w:gridCol w:w="232"/>
        <w:gridCol w:w="768"/>
        <w:gridCol w:w="257"/>
        <w:gridCol w:w="200"/>
        <w:gridCol w:w="232"/>
        <w:gridCol w:w="703"/>
        <w:gridCol w:w="155"/>
        <w:gridCol w:w="165"/>
        <w:gridCol w:w="140"/>
        <w:gridCol w:w="517"/>
        <w:gridCol w:w="155"/>
        <w:gridCol w:w="165"/>
        <w:gridCol w:w="140"/>
        <w:gridCol w:w="518"/>
        <w:gridCol w:w="162"/>
      </w:tblGrid>
      <w:tr>
        <w:trPr/>
        <w:tc>
          <w:tcPr>
            <w:tcW w:w="5477"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7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w:t>
            </w:r>
          </w:p>
        </w:tc>
        <w:tc>
          <w:tcPr>
            <w:tcW w:w="162" w:type="dxa"/>
            <w:tcBorders/>
            <w:vAlign w:val="bottom"/>
          </w:tcPr>
          <w:p>
            <w:pPr>
              <w:pStyle w:val="TableContents"/>
              <w:bidi w:val="0"/>
              <w:spacing w:before="0" w:after="283"/>
              <w:jc w:val="left"/>
              <w:rPr/>
            </w:pPr>
            <w:r>
              <w:rPr/>
              <w:t> </w:t>
            </w:r>
          </w:p>
        </w:tc>
      </w:tr>
      <w:tr>
        <w:trPr/>
        <w:tc>
          <w:tcPr>
            <w:tcW w:w="547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1.3</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(39.3</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0.1</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1.2</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(5.6</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1.9</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4.3</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14.1</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2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2.0</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(25.2</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12.9</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45.2</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31.2</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0.0</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(7.7</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9.1</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0.4</w:t>
            </w:r>
          </w:p>
        </w:tc>
        <w:tc>
          <w:tcPr>
            <w:tcW w:w="162" w:type="dxa"/>
            <w:tcBorders/>
            <w:vAlign w:val="bottom"/>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transaction costs</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0.4</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0.8</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0.1</w:t>
            </w:r>
          </w:p>
        </w:tc>
        <w:tc>
          <w:tcPr>
            <w:tcW w:w="257"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1.4</w:t>
            </w:r>
          </w:p>
        </w:tc>
        <w:tc>
          <w:tcPr>
            <w:tcW w:w="162" w:type="dxa"/>
            <w:tcBorders/>
            <w:vAlign w:val="bottom"/>
          </w:tcPr>
          <w:p>
            <w:pPr>
              <w:pStyle w:val="TableContents"/>
              <w:bidi w:val="0"/>
              <w:spacing w:before="0" w:after="283"/>
              <w:jc w:val="left"/>
              <w:rPr/>
            </w:pPr>
            <w:r>
              <w:rPr/>
              <w:t> </w:t>
            </w:r>
          </w:p>
        </w:tc>
      </w:tr>
      <w:tr>
        <w:trPr/>
        <w:tc>
          <w:tcPr>
            <w:tcW w:w="547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2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19"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7.7</w:t>
            </w:r>
          </w:p>
        </w:tc>
        <w:tc>
          <w:tcPr>
            <w:tcW w:w="257"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42.0</w:t>
            </w:r>
          </w:p>
        </w:tc>
        <w:tc>
          <w:tcPr>
            <w:tcW w:w="15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14.9</w:t>
            </w:r>
          </w:p>
        </w:tc>
        <w:tc>
          <w:tcPr>
            <w:tcW w:w="162" w:type="dxa"/>
            <w:tcBorders/>
            <w:shd w:fill="CCEEFF" w:val="clear"/>
            <w:vAlign w:val="bottom"/>
          </w:tcPr>
          <w:p>
            <w:pPr>
              <w:pStyle w:val="TableContents"/>
              <w:bidi w:val="0"/>
              <w:spacing w:before="0" w:after="283"/>
              <w:jc w:val="left"/>
              <w:rPr/>
            </w:pPr>
            <w:r>
              <w:rPr/>
              <w:t> </w:t>
            </w:r>
          </w:p>
        </w:tc>
      </w:tr>
      <w:tr>
        <w:trPr/>
        <w:tc>
          <w:tcPr>
            <w:tcW w:w="547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257"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9"/>
        <w:gridCol w:w="120"/>
        <w:gridCol w:w="301"/>
        <w:gridCol w:w="949"/>
        <w:gridCol w:w="275"/>
        <w:gridCol w:w="60"/>
        <w:gridCol w:w="330"/>
        <w:gridCol w:w="1040"/>
        <w:gridCol w:w="275"/>
        <w:gridCol w:w="60"/>
        <w:gridCol w:w="181"/>
        <w:gridCol w:w="724"/>
        <w:gridCol w:w="275"/>
        <w:gridCol w:w="60"/>
        <w:gridCol w:w="250"/>
        <w:gridCol w:w="999"/>
        <w:gridCol w:w="275"/>
        <w:gridCol w:w="60"/>
        <w:gridCol w:w="292"/>
        <w:gridCol w:w="1078"/>
        <w:gridCol w:w="275"/>
        <w:gridCol w:w="60"/>
        <w:gridCol w:w="181"/>
        <w:gridCol w:w="724"/>
        <w:gridCol w:w="282"/>
      </w:tblGrid>
      <w:tr>
        <w:trPr/>
        <w:tc>
          <w:tcPr>
            <w:tcW w:w="10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7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 2023</w:t>
            </w:r>
          </w:p>
        </w:tc>
        <w:tc>
          <w:tcPr>
            <w:tcW w:w="282" w:type="dxa"/>
            <w:tcBorders/>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82" w:type="dxa"/>
            <w:tcBorders/>
            <w:vAlign w:val="bottom"/>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329.7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73.4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403.1</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(19.4</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(2.2</w:t>
            </w:r>
          </w:p>
        </w:tc>
        <w:tc>
          <w:tcPr>
            <w:tcW w:w="282" w:type="dxa"/>
            <w:tcBorders/>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81.5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327.5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54.0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381.5</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81.5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82" w:type="dxa"/>
            <w:tcBorders/>
            <w:vAlign w:val="bottom"/>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85.8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82" w:type="dxa"/>
            <w:tcBorders/>
            <w:shd w:fill="CCEEFF" w:val="clear"/>
            <w:vAlign w:val="bottom"/>
          </w:tcPr>
          <w:p>
            <w:pPr>
              <w:pStyle w:val="TableContents"/>
              <w:bidi w:val="0"/>
              <w:spacing w:before="0" w:after="283"/>
              <w:jc w:val="left"/>
              <w:rPr/>
            </w:pPr>
            <w:r>
              <w:rPr/>
              <w:t>% </w:t>
            </w:r>
          </w:p>
        </w:tc>
      </w:tr>
      <w:tr>
        <w:trPr>
          <w:trHeight w:val="240" w:hRule="atLeast"/>
        </w:trPr>
        <w:tc>
          <w:tcPr>
            <w:tcW w:w="1079" w:type="dxa"/>
            <w:tcBorders/>
            <w:vAlign w:val="center"/>
          </w:tcPr>
          <w:p>
            <w:pPr>
              <w:pStyle w:val="TableContents"/>
              <w:bidi w:val="0"/>
              <w:spacing w:before="0" w:after="283"/>
              <w:jc w:val="left"/>
              <w:rPr>
                <w:sz w:val="4"/>
                <w:szCs w:val="4"/>
              </w:rPr>
            </w:pPr>
            <w:r>
              <w:rPr>
                <w:sz w:val="4"/>
                <w:szCs w:val="4"/>
              </w:rPr>
            </w:r>
          </w:p>
        </w:tc>
        <w:tc>
          <w:tcPr>
            <w:tcW w:w="4590" w:type="dxa"/>
            <w:gridSpan w:val="12"/>
            <w:tcBorders/>
            <w:vAlign w:val="center"/>
          </w:tcPr>
          <w:p>
            <w:pPr>
              <w:pStyle w:val="TableContents"/>
              <w:bidi w:val="0"/>
              <w:spacing w:before="0" w:after="283"/>
              <w:jc w:val="left"/>
              <w:rPr>
                <w:sz w:val="4"/>
                <w:szCs w:val="4"/>
              </w:rPr>
            </w:pPr>
            <w:r>
              <w:rPr>
                <w:sz w:val="4"/>
                <w:szCs w:val="4"/>
              </w:rPr>
            </w:r>
          </w:p>
        </w:tc>
        <w:tc>
          <w:tcPr>
            <w:tcW w:w="4536" w:type="dxa"/>
            <w:gridSpan w:val="12"/>
            <w:tcBorders/>
            <w:vAlign w:val="center"/>
          </w:tcPr>
          <w:p>
            <w:pPr>
              <w:pStyle w:val="TableContents"/>
              <w:bidi w:val="0"/>
              <w:spacing w:before="0" w:after="283"/>
              <w:jc w:val="left"/>
              <w:rPr>
                <w:sz w:val="4"/>
                <w:szCs w:val="4"/>
              </w:rPr>
            </w:pPr>
            <w:r>
              <w:rPr>
                <w:sz w:val="4"/>
                <w:szCs w:val="4"/>
              </w:rPr>
            </w:r>
          </w:p>
        </w:tc>
      </w:tr>
      <w:tr>
        <w:trPr/>
        <w:tc>
          <w:tcPr>
            <w:tcW w:w="107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Three Months Ended </w:t>
              <w:br/>
              <w:t>December 31,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w:t>
              <w:br/>
              <w:t>December 31, 2022</w:t>
            </w:r>
          </w:p>
        </w:tc>
        <w:tc>
          <w:tcPr>
            <w:tcW w:w="282" w:type="dxa"/>
            <w:tcBorders/>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82" w:type="dxa"/>
            <w:tcBorders/>
            <w:vAlign w:val="bottom"/>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16.4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73.1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224.2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65.2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289.4</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(20.4</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(1.9</w:t>
            </w:r>
          </w:p>
        </w:tc>
        <w:tc>
          <w:tcPr>
            <w:tcW w:w="282" w:type="dxa"/>
            <w:tcBorders/>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56.3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67.4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222.3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44.8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267.1</w:t>
            </w:r>
          </w:p>
        </w:tc>
        <w:tc>
          <w:tcPr>
            <w:tcW w:w="282" w:type="dxa"/>
            <w:tcBorders/>
            <w:shd w:fill="CCEEFF" w:val="clear"/>
            <w:vAlign w:val="bottom"/>
          </w:tcPr>
          <w:p>
            <w:pPr>
              <w:pStyle w:val="TableContents"/>
              <w:bidi w:val="0"/>
              <w:spacing w:before="0" w:after="283"/>
              <w:jc w:val="left"/>
              <w:rPr/>
            </w:pPr>
            <w:r>
              <w:rPr/>
              <w:t> </w:t>
            </w:r>
          </w:p>
        </w:tc>
      </w:tr>
      <w:tr>
        <w:trPr/>
        <w:tc>
          <w:tcPr>
            <w:tcW w:w="10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079"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77.6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22.4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77.5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82" w:type="dxa"/>
            <w:tcBorders/>
            <w:vAlign w:val="bottom"/>
          </w:tcPr>
          <w:p>
            <w:pPr>
              <w:pStyle w:val="TableContents"/>
              <w:bidi w:val="0"/>
              <w:spacing w:before="0" w:after="283"/>
              <w:jc w:val="left"/>
              <w:rPr/>
            </w:pPr>
            <w:r>
              <w:rPr/>
              <w:t>% </w:t>
            </w:r>
          </w:p>
        </w:tc>
      </w:tr>
      <w:tr>
        <w:trPr/>
        <w:tc>
          <w:tcPr>
            <w:tcW w:w="1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82"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Adjusted EBITDA Margin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62"/>
        <w:gridCol w:w="276"/>
        <w:gridCol w:w="191"/>
        <w:gridCol w:w="806"/>
        <w:gridCol w:w="397"/>
        <w:gridCol w:w="242"/>
        <w:gridCol w:w="191"/>
        <w:gridCol w:w="659"/>
        <w:gridCol w:w="275"/>
        <w:gridCol w:w="222"/>
        <w:gridCol w:w="140"/>
        <w:gridCol w:w="563"/>
        <w:gridCol w:w="275"/>
        <w:gridCol w:w="222"/>
        <w:gridCol w:w="140"/>
        <w:gridCol w:w="563"/>
        <w:gridCol w:w="281"/>
      </w:tblGrid>
      <w:tr>
        <w:trPr/>
        <w:tc>
          <w:tcPr>
            <w:tcW w:w="476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48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December 31,</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9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81"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1"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w:t>
            </w:r>
          </w:p>
        </w:tc>
        <w:tc>
          <w:tcPr>
            <w:tcW w:w="2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100.5</w:t>
            </w:r>
          </w:p>
        </w:tc>
        <w:tc>
          <w:tcPr>
            <w:tcW w:w="39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59" w:type="dxa"/>
            <w:tcBorders/>
            <w:shd w:fill="CCEEFF" w:val="clear"/>
            <w:vAlign w:val="bottom"/>
          </w:tcPr>
          <w:p>
            <w:pPr>
              <w:pStyle w:val="TableContents"/>
              <w:bidi w:val="0"/>
              <w:spacing w:before="0" w:after="283"/>
              <w:jc w:val="right"/>
              <w:rPr/>
            </w:pPr>
            <w:r>
              <w:rPr/>
              <w:t>73.1</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403.1</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289.4</w:t>
            </w:r>
          </w:p>
        </w:tc>
        <w:tc>
          <w:tcPr>
            <w:tcW w:w="281"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(B)</w:t>
            </w:r>
          </w:p>
        </w:tc>
        <w:tc>
          <w:tcPr>
            <w:tcW w:w="2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96.1</w:t>
            </w:r>
          </w:p>
        </w:tc>
        <w:tc>
          <w:tcPr>
            <w:tcW w:w="39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67.4</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381.5</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267.1</w:t>
            </w:r>
          </w:p>
        </w:tc>
        <w:tc>
          <w:tcPr>
            <w:tcW w:w="281"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(C)</w:t>
            </w:r>
          </w:p>
        </w:tc>
        <w:tc>
          <w:tcPr>
            <w:tcW w:w="2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w:t>
            </w:r>
          </w:p>
        </w:tc>
        <w:tc>
          <w:tcPr>
            <w:tcW w:w="39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(25.2</w:t>
            </w:r>
          </w:p>
        </w:tc>
        <w:tc>
          <w:tcPr>
            <w:tcW w:w="281"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(D)</w:t>
            </w:r>
          </w:p>
        </w:tc>
        <w:tc>
          <w:tcPr>
            <w:tcW w:w="2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7.7</w:t>
            </w:r>
          </w:p>
        </w:tc>
        <w:tc>
          <w:tcPr>
            <w:tcW w:w="39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42.0</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14.9</w:t>
            </w:r>
          </w:p>
        </w:tc>
        <w:tc>
          <w:tcPr>
            <w:tcW w:w="281"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Margin (C/A)</w:t>
            </w:r>
          </w:p>
        </w:tc>
        <w:tc>
          <w:tcPr>
            <w:tcW w:w="2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w:t>
            </w:r>
          </w:p>
        </w:tc>
        <w:tc>
          <w:tcPr>
            <w:tcW w:w="39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-8.7</w:t>
            </w:r>
          </w:p>
        </w:tc>
        <w:tc>
          <w:tcPr>
            <w:tcW w:w="281"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(D/A)</w:t>
            </w:r>
          </w:p>
        </w:tc>
        <w:tc>
          <w:tcPr>
            <w:tcW w:w="2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7.6</w:t>
            </w:r>
          </w:p>
        </w:tc>
        <w:tc>
          <w:tcPr>
            <w:tcW w:w="39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10.4</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5.1</w:t>
            </w:r>
          </w:p>
        </w:tc>
        <w:tc>
          <w:tcPr>
            <w:tcW w:w="281"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Margin using RLAS (C/B)</w:t>
            </w:r>
          </w:p>
        </w:tc>
        <w:tc>
          <w:tcPr>
            <w:tcW w:w="27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2.07</w:t>
            </w:r>
          </w:p>
        </w:tc>
        <w:tc>
          <w:tcPr>
            <w:tcW w:w="397"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2.18</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-0.23</w:t>
            </w:r>
          </w:p>
        </w:tc>
        <w:tc>
          <w:tcPr>
            <w:tcW w:w="27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-9.45</w:t>
            </w:r>
          </w:p>
        </w:tc>
        <w:tc>
          <w:tcPr>
            <w:tcW w:w="281"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using RLAS (D/B)</w:t>
            </w:r>
          </w:p>
        </w:tc>
        <w:tc>
          <w:tcPr>
            <w:tcW w:w="27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8.00</w:t>
            </w:r>
          </w:p>
        </w:tc>
        <w:tc>
          <w:tcPr>
            <w:tcW w:w="39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1.44</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11.02</w:t>
            </w:r>
          </w:p>
        </w:tc>
        <w:tc>
          <w:tcPr>
            <w:tcW w:w="27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5.56</w:t>
            </w:r>
          </w:p>
        </w:tc>
        <w:tc>
          <w:tcPr>
            <w:tcW w:w="281"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Revenue Less Ancillary Services at Constant Currency: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26"/>
        <w:gridCol w:w="178"/>
        <w:gridCol w:w="206"/>
        <w:gridCol w:w="852"/>
        <w:gridCol w:w="229"/>
        <w:gridCol w:w="150"/>
        <w:gridCol w:w="206"/>
        <w:gridCol w:w="660"/>
        <w:gridCol w:w="155"/>
        <w:gridCol w:w="124"/>
        <w:gridCol w:w="97"/>
        <w:gridCol w:w="718"/>
        <w:gridCol w:w="282"/>
        <w:gridCol w:w="124"/>
        <w:gridCol w:w="140"/>
        <w:gridCol w:w="576"/>
        <w:gridCol w:w="155"/>
        <w:gridCol w:w="124"/>
        <w:gridCol w:w="140"/>
        <w:gridCol w:w="576"/>
        <w:gridCol w:w="155"/>
        <w:gridCol w:w="124"/>
        <w:gridCol w:w="97"/>
        <w:gridCol w:w="718"/>
        <w:gridCol w:w="293"/>
      </w:tblGrid>
      <w:tr>
        <w:trPr/>
        <w:tc>
          <w:tcPr>
            <w:tcW w:w="312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12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23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December 31,</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7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312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w:t>
            </w:r>
          </w:p>
        </w:tc>
        <w:tc>
          <w:tcPr>
            <w:tcW w:w="28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w:t>
            </w:r>
          </w:p>
        </w:tc>
        <w:tc>
          <w:tcPr>
            <w:tcW w:w="293" w:type="dxa"/>
            <w:tcBorders/>
            <w:vAlign w:val="bottom"/>
          </w:tcPr>
          <w:p>
            <w:pPr>
              <w:pStyle w:val="TableContents"/>
              <w:bidi w:val="0"/>
              <w:spacing w:before="0" w:after="283"/>
              <w:jc w:val="left"/>
              <w:rPr/>
            </w:pPr>
            <w:r>
              <w:rPr/>
              <w:t> </w:t>
            </w:r>
          </w:p>
        </w:tc>
      </w:tr>
      <w:tr>
        <w:trP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100.5</w:t>
            </w:r>
          </w:p>
        </w:tc>
        <w:tc>
          <w:tcPr>
            <w:tcW w:w="22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73.1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37.5</w:t>
            </w:r>
          </w:p>
        </w:tc>
        <w:tc>
          <w:tcPr>
            <w:tcW w:w="28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403.1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289.4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39.3</w:t>
            </w:r>
          </w:p>
        </w:tc>
        <w:tc>
          <w:tcPr>
            <w:tcW w:w="293" w:type="dxa"/>
            <w:tcBorders/>
            <w:shd w:fill="CCEEFF" w:val="clear"/>
            <w:vAlign w:val="bottom"/>
          </w:tcPr>
          <w:p>
            <w:pPr>
              <w:pStyle w:val="TableContents"/>
              <w:bidi w:val="0"/>
              <w:spacing w:before="0" w:after="283"/>
              <w:jc w:val="left"/>
              <w:rPr/>
            </w:pPr>
            <w:r>
              <w:rPr/>
              <w:t>% </w:t>
            </w:r>
          </w:p>
        </w:tc>
      </w:tr>
      <w:tr>
        <w:trP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(4.4</w:t>
            </w:r>
          </w:p>
        </w:tc>
        <w:tc>
          <w:tcPr>
            <w:tcW w:w="22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3126"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7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96.1</w:t>
            </w:r>
          </w:p>
        </w:tc>
        <w:tc>
          <w:tcPr>
            <w:tcW w:w="22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67.4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42.6</w:t>
            </w:r>
          </w:p>
        </w:tc>
        <w:tc>
          <w:tcPr>
            <w:tcW w:w="28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381.5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267.1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42.8</w:t>
            </w:r>
          </w:p>
        </w:tc>
        <w:tc>
          <w:tcPr>
            <w:tcW w:w="293" w:type="dxa"/>
            <w:tcBorders/>
            <w:shd w:fill="CCEEFF" w:val="clear"/>
            <w:vAlign w:val="bottom"/>
          </w:tcPr>
          <w:p>
            <w:pPr>
              <w:pStyle w:val="TableContents"/>
              <w:bidi w:val="0"/>
              <w:spacing w:before="0" w:after="283"/>
              <w:jc w:val="left"/>
              <w:rPr/>
            </w:pPr>
            <w:r>
              <w:rPr/>
              <w:t>% </w:t>
            </w:r>
          </w:p>
        </w:tc>
      </w:tr>
      <w:tr>
        <w:trPr/>
        <w:tc>
          <w:tcPr>
            <w:tcW w:w="3126"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12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(1.5</w:t>
            </w:r>
          </w:p>
        </w:tc>
        <w:tc>
          <w:tcPr>
            <w:tcW w:w="22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3126"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at Constant Currency</w:t>
            </w:r>
          </w:p>
        </w:tc>
        <w:tc>
          <w:tcPr>
            <w:tcW w:w="178"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94.6</w:t>
            </w:r>
          </w:p>
        </w:tc>
        <w:tc>
          <w:tcPr>
            <w:tcW w:w="22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67.4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40.4</w:t>
            </w:r>
          </w:p>
        </w:tc>
        <w:tc>
          <w:tcPr>
            <w:tcW w:w="28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382.9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267.1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43.4</w:t>
            </w:r>
          </w:p>
        </w:tc>
        <w:tc>
          <w:tcPr>
            <w:tcW w:w="293" w:type="dxa"/>
            <w:tcBorders/>
            <w:shd w:fill="CCEEFF" w:val="clear"/>
            <w:vAlign w:val="bottom"/>
          </w:tcPr>
          <w:p>
            <w:pPr>
              <w:pStyle w:val="TableContents"/>
              <w:bidi w:val="0"/>
              <w:spacing w:before="0" w:after="283"/>
              <w:jc w:val="left"/>
              <w:rPr/>
            </w:pPr>
            <w:r>
              <w:rPr/>
              <w:t>% </w:t>
            </w:r>
          </w:p>
        </w:tc>
      </w:tr>
      <w:tr>
        <w:trPr/>
        <w:tc>
          <w:tcPr>
            <w:tcW w:w="3126"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Guidance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1"/>
        <w:gridCol w:w="223"/>
        <w:gridCol w:w="334"/>
        <w:gridCol w:w="1341"/>
        <w:gridCol w:w="374"/>
        <w:gridCol w:w="245"/>
        <w:gridCol w:w="334"/>
        <w:gridCol w:w="1344"/>
        <w:gridCol w:w="155"/>
        <w:gridCol w:w="166"/>
        <w:gridCol w:w="281"/>
        <w:gridCol w:w="1143"/>
        <w:gridCol w:w="312"/>
        <w:gridCol w:w="224"/>
        <w:gridCol w:w="282"/>
        <w:gridCol w:w="1145"/>
        <w:gridCol w:w="161"/>
      </w:tblGrid>
      <w:tr>
        <w:trPr/>
        <w:tc>
          <w:tcPr>
            <w:tcW w:w="214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4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9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 2024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3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161" w:type="dxa"/>
            <w:tcBorders/>
            <w:vAlign w:val="bottom"/>
          </w:tcPr>
          <w:p>
            <w:pPr>
              <w:pStyle w:val="TableContents"/>
              <w:bidi w:val="0"/>
              <w:spacing w:before="0" w:after="283"/>
              <w:jc w:val="left"/>
              <w:rPr/>
            </w:pPr>
            <w:r>
              <w:rPr/>
              <w:t> </w:t>
            </w:r>
          </w:p>
        </w:tc>
      </w:tr>
      <w:tr>
        <w:trPr/>
        <w:tc>
          <w:tcPr>
            <w:tcW w:w="214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Low  </w:t>
            </w:r>
          </w:p>
        </w:tc>
        <w:tc>
          <w:tcPr>
            <w:tcW w:w="37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7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High  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Low  </w:t>
            </w:r>
          </w:p>
        </w:tc>
        <w:tc>
          <w:tcPr>
            <w:tcW w:w="31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High  </w:t>
            </w:r>
          </w:p>
        </w:tc>
        <w:tc>
          <w:tcPr>
            <w:tcW w:w="161" w:type="dxa"/>
            <w:tcBorders/>
            <w:vAlign w:val="bottom"/>
          </w:tcPr>
          <w:p>
            <w:pPr>
              <w:pStyle w:val="TableContents"/>
              <w:bidi w:val="0"/>
              <w:spacing w:before="0" w:after="283"/>
              <w:jc w:val="left"/>
              <w:rPr/>
            </w:pPr>
            <w:r>
              <w:rPr/>
              <w:t> </w:t>
            </w:r>
          </w:p>
        </w:tc>
      </w:tr>
      <w:tr>
        <w:trPr/>
        <w:tc>
          <w:tcPr>
            <w:tcW w:w="2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3"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109.9</w:t>
            </w:r>
          </w:p>
        </w:tc>
        <w:tc>
          <w:tcPr>
            <w:tcW w:w="37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344" w:type="dxa"/>
            <w:tcBorders/>
            <w:shd w:fill="CCEEFF" w:val="clear"/>
            <w:vAlign w:val="bottom"/>
          </w:tcPr>
          <w:p>
            <w:pPr>
              <w:pStyle w:val="TableContents"/>
              <w:bidi w:val="0"/>
              <w:spacing w:before="0" w:after="283"/>
              <w:jc w:val="right"/>
              <w:rPr/>
            </w:pPr>
            <w:r>
              <w:rPr/>
              <w:t>117.1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500.6</w:t>
            </w:r>
          </w:p>
        </w:tc>
        <w:tc>
          <w:tcPr>
            <w:tcW w:w="31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534.6</w:t>
            </w:r>
          </w:p>
        </w:tc>
        <w:tc>
          <w:tcPr>
            <w:tcW w:w="161" w:type="dxa"/>
            <w:tcBorders/>
            <w:shd w:fill="CCEEFF" w:val="clear"/>
            <w:vAlign w:val="bottom"/>
          </w:tcPr>
          <w:p>
            <w:pPr>
              <w:pStyle w:val="TableContents"/>
              <w:bidi w:val="0"/>
              <w:spacing w:before="0" w:after="283"/>
              <w:jc w:val="left"/>
              <w:rPr/>
            </w:pPr>
            <w:r>
              <w:rPr/>
              <w:t> </w:t>
            </w:r>
          </w:p>
        </w:tc>
      </w:tr>
      <w:tr>
        <w:trPr/>
        <w:tc>
          <w:tcPr>
            <w:tcW w:w="2141"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2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sz w:val="4"/>
                <w:szCs w:val="4"/>
              </w:rPr>
            </w:pPr>
            <w:r>
              <w:rPr>
                <w:sz w:val="4"/>
                <w:szCs w:val="4"/>
              </w:rPr>
            </w:r>
          </w:p>
        </w:tc>
        <w:tc>
          <w:tcPr>
            <w:tcW w:w="1341"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sz w:val="4"/>
                <w:szCs w:val="4"/>
              </w:rPr>
            </w:pPr>
            <w:r>
              <w:rPr>
                <w:sz w:val="4"/>
                <w:szCs w:val="4"/>
              </w:rPr>
            </w:r>
          </w:p>
        </w:tc>
        <w:tc>
          <w:tcPr>
            <w:tcW w:w="13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14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2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 through cost for printing and mailing</w:t>
            </w:r>
          </w:p>
        </w:tc>
        <w:tc>
          <w:tcPr>
            <w:tcW w:w="223"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(3.6</w:t>
            </w:r>
          </w:p>
        </w:tc>
        <w:tc>
          <w:tcPr>
            <w:tcW w:w="37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(16.4</w:t>
            </w:r>
          </w:p>
        </w:tc>
        <w:tc>
          <w:tcPr>
            <w:tcW w:w="31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(21.4</w:t>
            </w:r>
          </w:p>
        </w:tc>
        <w:tc>
          <w:tcPr>
            <w:tcW w:w="161" w:type="dxa"/>
            <w:tcBorders/>
            <w:shd w:fill="CCEEFF" w:val="clear"/>
            <w:vAlign w:val="bottom"/>
          </w:tcPr>
          <w:p>
            <w:pPr>
              <w:pStyle w:val="TableContents"/>
              <w:bidi w:val="0"/>
              <w:spacing w:before="0" w:after="283"/>
              <w:jc w:val="left"/>
              <w:rPr/>
            </w:pPr>
            <w:r>
              <w:rPr/>
              <w:t>) </w:t>
            </w:r>
          </w:p>
        </w:tc>
      </w:tr>
      <w:tr>
        <w:trPr/>
        <w:tc>
          <w:tcPr>
            <w:tcW w:w="2141"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2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(0.3</w:t>
            </w:r>
          </w:p>
        </w:tc>
        <w:tc>
          <w:tcPr>
            <w:tcW w:w="37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(1.2</w:t>
            </w:r>
          </w:p>
        </w:tc>
        <w:tc>
          <w:tcPr>
            <w:tcW w:w="31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(4.2</w:t>
            </w:r>
          </w:p>
        </w:tc>
        <w:tc>
          <w:tcPr>
            <w:tcW w:w="161" w:type="dxa"/>
            <w:tcBorders/>
            <w:vAlign w:val="bottom"/>
          </w:tcPr>
          <w:p>
            <w:pPr>
              <w:pStyle w:val="TableContents"/>
              <w:bidi w:val="0"/>
              <w:spacing w:before="0" w:after="283"/>
              <w:jc w:val="left"/>
              <w:rPr/>
            </w:pPr>
            <w:r>
              <w:rPr/>
              <w:t>) </w:t>
            </w:r>
          </w:p>
        </w:tc>
      </w:tr>
      <w:tr>
        <w:trPr/>
        <w:tc>
          <w:tcPr>
            <w:tcW w:w="214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1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3"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106.0</w:t>
            </w:r>
          </w:p>
        </w:tc>
        <w:tc>
          <w:tcPr>
            <w:tcW w:w="37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w:t>
            </w:r>
          </w:p>
        </w:tc>
        <w:tc>
          <w:tcPr>
            <w:tcW w:w="1344" w:type="dxa"/>
            <w:tcBorders/>
            <w:shd w:fill="CCEEFF" w:val="clear"/>
            <w:vAlign w:val="bottom"/>
          </w:tcPr>
          <w:p>
            <w:pPr>
              <w:pStyle w:val="TableContents"/>
              <w:bidi w:val="0"/>
              <w:spacing w:before="0" w:after="283"/>
              <w:jc w:val="right"/>
              <w:rPr/>
            </w:pPr>
            <w:r>
              <w:rPr/>
              <w:t>111.0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483.0</w:t>
            </w:r>
          </w:p>
        </w:tc>
        <w:tc>
          <w:tcPr>
            <w:tcW w:w="312"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509.0</w:t>
            </w:r>
          </w:p>
        </w:tc>
        <w:tc>
          <w:tcPr>
            <w:tcW w:w="161" w:type="dxa"/>
            <w:tcBorders/>
            <w:shd w:fill="CCEEFF" w:val="clear"/>
            <w:vAlign w:val="bottom"/>
          </w:tcPr>
          <w:p>
            <w:pPr>
              <w:pStyle w:val="TableContents"/>
              <w:bidi w:val="0"/>
              <w:spacing w:before="0" w:after="283"/>
              <w:jc w:val="left"/>
              <w:rPr/>
            </w:pPr>
            <w:r>
              <w:rPr/>
              <w:t> </w:t>
            </w:r>
          </w:p>
        </w:tc>
      </w:tr>
      <w:tr>
        <w:trPr/>
        <w:tc>
          <w:tcPr>
            <w:tcW w:w="214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37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34"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14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9.0</w:t>
            </w:r>
          </w:p>
        </w:tc>
        <w:tc>
          <w:tcPr>
            <w:tcW w:w="37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w:t>
            </w:r>
          </w:p>
        </w:tc>
        <w:tc>
          <w:tcPr>
            <w:tcW w:w="1344" w:type="dxa"/>
            <w:tcBorders/>
            <w:vAlign w:val="bottom"/>
          </w:tcPr>
          <w:p>
            <w:pPr>
              <w:pStyle w:val="TableContents"/>
              <w:bidi w:val="0"/>
              <w:spacing w:before="0" w:after="283"/>
              <w:jc w:val="right"/>
              <w:rPr/>
            </w:pPr>
            <w:r>
              <w:rPr/>
              <w:t>11.0</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65.0</w:t>
            </w:r>
          </w:p>
        </w:tc>
        <w:tc>
          <w:tcPr>
            <w:tcW w:w="312"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45" w:type="dxa"/>
            <w:tcBorders/>
            <w:vAlign w:val="bottom"/>
          </w:tcPr>
          <w:p>
            <w:pPr>
              <w:pStyle w:val="TableContents"/>
              <w:bidi w:val="0"/>
              <w:spacing w:before="0" w:after="283"/>
              <w:jc w:val="right"/>
              <w:rPr/>
            </w:pPr>
            <w:r>
              <w:rPr/>
              <w:t>76.0</w:t>
            </w:r>
          </w:p>
        </w:tc>
        <w:tc>
          <w:tcPr>
            <w:tcW w:w="161" w:type="dxa"/>
            <w:tcBorders/>
            <w:vAlign w:val="bottom"/>
          </w:tcPr>
          <w:p>
            <w:pPr>
              <w:pStyle w:val="TableContents"/>
              <w:bidi w:val="0"/>
              <w:spacing w:before="0" w:after="283"/>
              <w:jc w:val="left"/>
              <w:rPr/>
            </w:pPr>
            <w:r>
              <w:rPr/>
              <w:t> </w:t>
            </w:r>
          </w:p>
        </w:tc>
      </w:tr>
    </w:tbl>
    <w:p>
      <w:pPr>
        <w:pStyle w:val="TextBody"/>
        <w:bidi w:val="0"/>
        <w:jc w:val="center"/>
        <w:rPr/>
      </w:pPr>
      <w:bookmarkStart w:id="4" w:name="d781598dex992.htm"/>
      <w:bookmarkStart w:id="5" w:name="ksd781598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Q4 2023 Earnings supplement February 27,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Disclosures This presentation includes forward -looking s ta tements within the mea ning of the Pr iva te Secur ities Litiga tion Refor m Act of 1995 a nd Section 21E of the Secur ities Excha nge Act of 1934, a s a mended. All s ta tements other tha n s ta tements of his tor ica l fa cts conta ined in this pr es enta tion, including s ta tements r ega r ding Flywir e’s a bility to s ucces s fully implement Flywir e’s bus ines s pla n, futur e r es ults of oper a tions a nd fina ncia l pos ition, bus ines s s tr a tegy a nd pla ns a nd Flywir e’s objectives for future opera tions , a re forwa rd -looking s tatements . The wor ds “believe,” “ma y,” “will,” “es tima te,” “continue,” “a nticipa te,” “intend,” “expect,” “pla ns ,” “potentia l,” “s eeks ,” “pr ojects ,” “s hould,” “could” a nd “would” a nd s imila r expr es s ions a r e intended to identify for wa r d -looking s ta tements , a lthough not a ll for wa r d-looking s ta tements conta in thes e identifying wor ds . Flywir e ha s ba s ed thes e for wa r d-looking s tatements la r gely on Flywir e’s cur r ent expecta tions a nd pr ojections a bout futur e events a nd fina ncia l tr ends tha t Flywir e believes ma y a ffect Flywir e’s fina ncia l condition, r es ults of oper a tions , business str a tegy, shor t-ter m a nd long-ter m bus ines s oper a tions a nd objectives , a nd fina ncia l needs . Thes e for wa r d-looking s tatements a r e s ubject to a number of r is ks , uncer ta inties a nd a s s umptions tha t a r e des cr ibed in the Ris k Fa ctor s a nd Ma na gement's Dis cus s ion a nd Ana lys is of Fina ncia l Condition a nd Res ults of Oper a tions s ections of Flywir e's Annua l Repor t on For m 10-K for the yea r ended December 31, 2022 a nd Qua r ter ly Repor t on For m 10-Q for the qua r ter ended September 30, 2023, which a r e on file with the Secur ities a nd Excha nge Commis s ion (SEC) a nd a va ila ble on the SEC's webs ite a t www.s ec.gov. Additiona l fa ctor s ma y be des cr ibed in thos e s ections of Flywir e's Annua l Repor t on For m 10-K for the yea r ended December 31, 2023 , expected to be filed with the SEC in the fir s t qua r ter of 2024. In light of thes e r is ks , uncer ta inties a nd a s s umptions , the for wa r d -looking events a nd cir cums ta nces dis cus s ed in this pr es enta tion ma y not occur a nd a ctua l r es ults could differ ma ter ia lly a nd a dver s ely fr om thos e a nticipa ted or implied in the for wa r d-looking s ta tements . You s hould not r ely upon for wa r d-looking s ta tements a s pr edictions of futur e events or per for ma nce. In a ddition, pr ojections , a s s umptions a nd es tima tes of the futur e per for ma nce of the indus tr ies in which Flywir e oper a tes a nd the ma r kets it s er ves a r e inher ently impr ecis e a nd s ubject to a high degr ee of uncer ta inty a nd r is k. All fina ncia l pr ojections conta ined in this pr es enta tion a r e for wa r d -looking s ta tements a nd a r e ba s ed on Flywir e’s ma na gement’s a s s es s ment of s uch ma tter s . It is unlikely, however , tha t the a s s umptions on which Flywir e ha s ba s ed its pr ojections will pr ove to be fully cor r ect or tha t the pr ojected figur es will be a tta ined. Flywir e’s a ctua l futur e r es ults ma y differ ma ter ia lly fr om Flywir e’s pr ojections , a nd it ma kes no expr es s or implied r epr es enta tion or wa r r a nty a s to a tta ina bility of the r es ults r eflected in thes e pr ojections . Inves tments in Flywir e’s s ecur ities involve a high degr ee of r is k a nd s hould be r ega r ded a s s pecula tive. Cer ta in infor ma tion conta ined in this pr es enta tion r ela tes to or is ba s ed on s tudies , publica tions , s ur veys a nd other da ta obta ined fr om thir d-pa r ty s our ces a nd Flywir e’s own inter na l es tima tes a nd r es ea r ch. While Flywir e believes thes e thir d-pa r ty s our ces to be r elia ble a s of the da te of this pr es enta tion, it ha s not independently ver ified, a nd ma kes no r epr es enta tion as to the adequacy, fair nes s , accur acy or completenes s of any infor mation obtained fr om thir d-pa r ty s our ces . In a ddition, a ll of the ma r ket da ta included in this pr es enta tion involves a number of a s s umptions a nd limita tions , a nd ther e ca n be no gua r a ntee a s to the a ccur a cy or r elia bility of s uch a s s umptions . Fina lly, while Flywir e believes its own inter na l r es ea r ch is r elia ble, s u ch r es ea r ch ha s not been ver ified by a ny independent s ou r ce. The infor ma tion in this pr es enta tion is pr ovided only a s of Febr ua r y 27, 2024, a nd Flywir e under ta kes no obliga tion to upda te any forwa rd-looking s tatements contained in this pr es enta tion on a ccount of new infor ma tion, futur e events , or other wis e, except a s r equir ed by la w. This pr es enta tion conta ins cer ta in non-GAAP fina ncia l mea s ur es a s defined by SEC r ules . Flywir e ha s pr ovided a r econcilia tion of thos e mea s ur es to the mos t dir ectly compa r a ble GAAP mea s ur es , which is a va ila ble in the Appendix. The compa ny ha s not pr ovided a qua ntita tive r econcilia tion fr om for eca s ted adjus ted EBITDA to for eca s ted GAAP net income (los s ) or to for eca s ted GAAP income (los s ) befor e income ta xes , beca us e it is una ble without ma king unr ea s ona ble effor ts , to ca lcula te cer ta in r econciling items with confidence. Thes e items include but a r e not limited to income ta xes which a r e dir ectly impa cted by unpr edicta ble fluctua tions in the ma r ket pr ice of the company's s tock.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Fulfillment Our mission is to deliver the most important and complex payments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2023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Q4 2023 $100.5 M 61.5% $1.3M Revenue Gross Margin Net Income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 -GAAP) Q4 2023 $5.4B $96.1M $63.5M $7.7M 1 1 1 1 +33% +43% + 43% + 692% Tota l Revenue Les s Adjus ted Adjus ted 2 pa yment Ancilla r y Gr os s Pr ofit EBITDA volume Ser vices 1. Repr es ents Y-o-Y Gr owth a s compa r ed to Q4 2022. 2. Pr ior yea r Adjus ted Gr os s Pr ofit ha s been r eca s t to a lign with the upda ted methodology a s des cr ibed in the Appendix. 6 See Appendix for r econcilia tion to GAAP a 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2023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FY 2023 $403.1M 61.4% $(8.6)M Revenue Gross Margin Net Loss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 -GAAP) FY 2023 $24.0B $381.5M $254.1M $42.0M 1 1 1 1 +33% +43% + 40% + 183% Tota l Revenue Les s Adjus ted Adjus ted 2 pa yment Ancilla r y Gr os s Pr ofit EBITDA volume Ser vices 1. Repr es ents Y-o-Y Gr owth a s compa r ed to FY 2022. 2. Pr ior yea r Adjus ted Gr os s Pr ofit ha s been r eca s t to a lign with the upda ted methodology a s des cr ibed in the Appendix. 9 See Appendix for r econcilia tion to GAAP a mounts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Business update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2023 Business highlights Adj. EBITDA expanded Strong overall revenue less 700+ New clients across by 546 bps YoY as a % of ancillary services growth of our verticals Revenue Less Ancillary +43% YoY Services [Add Image]S tudy Further strengthening our Continued strong execution Tight integrations with payments network in India, leading ERP systems in U.S. on our targeted M&amp;A strategy China and elsewhere education market See Appendix for reconciliation to GAAP amounts. 11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growth is underpinned by large TAMs* Education Healthcare Travel B2B (1) (1) (1) (1) $530B TAM $660B TAM $500B TAM $10T TAM 20.4% 4.6% 7.9% 7.4% (2) (2) ) (2) (2 Annual growth Annual growth Annual growth Annual growth out of pocket of luxury of international of global healthcare expenses travel market student market e-invoicing 18K+ 600+ 280BN 1.4BN (3) (3) (3) Colleges/Universities (3) US health systems Invoices sent International tourists ~8% &lt;10% &lt;1% &lt;1% FLYW adoption in ’23 FLYW adoption in ’23 FLYW adoption in ’23 FLYW adoption in ’23 among Higher -Ed Institutions among US health systems within global B2B invoices by travelers 12 *Adoption is as of December 31, 2023. For citations, please refer to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increase TAM penetration through key initiatives Education Healthcare Travel B2B $660B TAM $500B TAM $530B TAM $10T TAM ● Best -in-class, broadest● Strong channel partnerships● New geographies● New ecosystem integrations partnerships +&gt;40 others ● Prioritization of key sub - ● Deep agent solutions● Targeting specialty providers ● New travel end markets verticals $100B+ in out -of-pocket &amp; penetration (3) $16B ocean experience TAM (2) $50B cross -border spend 1,500 education agencies (4) (3) insurance market TA M $14B Niche OTAs TAM 75% of Australian international (1) students use education agents + A D J A C E N T O P P O R T U N I T I E S ● Offering payer services ● Offering integrated financing ● Enabling luxury travel ● Exploring cross -border Oppor tunity a cr os s 500K+ via partnership commissions strategic payables inter na tiona l s tudents a nd Fina nc ing a c c ou nts r e c e iva ble La r ge ly u ndigitize d pa yme nt 3 5 % of bu s ine s s e s r e por t tr a veler s via pa r tne r s hip be ne fits volu me tied to DMC bookings major challe nge with payable ● Managing international hos pitals ’ financial he alth pr oce s s ing cos ts and applications (4) wor kflows 13 For cita tions , plea s e r efer to a 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Education spotlight: Multiple levers to pull to sustain growth in education New client Geographic Product M&amp;A acquisition expansion Expansion ✔650+ total new clients ✔ 10 new ma r kets ✔Admissions softwa r e added in 2022 &amp; 2023 ope ne d s ince 2021 for &amp; top of funnel s igning educa tion ✔Agent por ta l a doption clients ✔Integrations with key ✔Bes t-in-cla ss domestic software providers ✔Repr es ents $10B+ in pa yments ca pa bilities (1) TAM Acquire higher Identify and add high - Grow footprint with Grow global footprint education customers value adjacencies customers 120%+ NRR 14 For citations, please refer to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Education spotlight: Plenty of runway for growth Progress with Higher -Ed Institutions Progress with Higher -Ed Students ~18K ~220M ~1,500 ~2M ~1,250 ~1M * Analyst Day 2023 Total Higher -Ed Analyst Day 2023 Total number of * (1) 2022 Institutions 2022 higher -ed students 8% Penetration of Higher-Ed Institutions &lt;1% Penetration of Higher-Ed Students *Flywire student payers in 12 months prior to Analyst Day 2022 and Flywire student payers in 2023 15 For citations, please refer to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Education spotlight: Continuum of software solutions software drives value SFS - Accounts Flywire Payment in payments Receivable Solution Enablement Platform Flywire offers a seamless Client leverages Flywire“full suite” (Student Client leverages Flywire Advantage consumer experience, Financial Software) to offer a more (platform + global payment network + leveraging our global payment comprehensive view of the student bill, vertical software) focused on payment network, working with a broad enhanced payment plan functionality, enablement (any combination of one time, range of Student Information collections management platform, e -store, recurring/installment, domestic, and/or and more Systems cross -border transactions) Flywire can receive and post student data ensuring full lifecycle management of the student account &gt;40 additional + Integrations with all major ERP/SIS providers to support both use cases integrations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 has built two very robust integrations with PeopleSoft to support Flywire's Student Financial Software &amp; Payments Education Enablement Platform spotlight: PeopleSoft expertise Deep experience working with PeopleSoft across higher education Since 2017 Flywire has maintained Oracle Gold Partner status Multiple languages are supported with our integration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 has built multiple robust integrations with Banner, Colleague &amp; Recruit to support Flywire's Student Financial Software &amp; Education Payments Enablement Platform spotlight: Ellucian expertise Deep experience working with ellucian across higher education Silver level partner Flywire has multiple validated integrations with Ellucian Platform integrations for all major configurations: On - Premise, Managed Service, or SaaS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Strength via increasingly global &amp; diversified revenue Our education businesses grew in the U.S. and internationally as we continued to expand with universities, colleges, and other education sectors, we expanded our solution set, and added domestic payments in more countries. Travel and B2B grew rapidly and contribute a larger share of Flywire’s Revenue Note: Represents share of total Flywire Revenue Less Ancillary Services in respective periods. Non-client Pay Any School revenue included in Non-US Education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Monetization spotlight: Strong spreads on our transaction volume $6BN E ● Spreads +/ - 15 basis points from average over two E years $4BN E ● Monetization Rate T and Adjusted T Gross Margins $2BN T driven by E T seasonality of payment type and vertical mix $0 Monetization Processing Transaction Seasonal Seasonal E T Rate Costs Volume Education Peak Travel Peak Monetization rate is the quotient of Transaction Revenue Less Ancillary Services divided by Transaction Payment Volume.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Growth algorithm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Flywire’s growth algorithm We continue to expect strong revenue growth in the medium term $Ms &amp; growing Mid -single digits % Mid -single digits % 120%+ NRR Prior FY Existing client Ramp of New clients Current FY Payer Revenue growth clients signed signed in revenue Services in prior year current year ● M&amp;A● Macro -conditions● New business and vertical opportunities Additional inputs to growth algorithm: 22 See Risk Factors in 10 -K for additional factors that could impact future revenue . *Illustrative chart - not to scale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NRR is core to Flywire’s growth Multiple land -and-expand opportunities contribute to NRR Additional segments within clients (e.g,. additional hospitals, school programs, subsidiaries) 125% Geographic expansion 2023 NRR New product modules Expanding our payment network Secular growth Consistent with 124% in 2022 and 3 -year average of 123% from 2019 to 2021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existing clients drive NRR &amp; revenue growth 2023 NRR is 125% New and legacy clients expand over time to drive long -term strong NRR 1.Represents revenue less ancillary services (RLAS) 2.Includes RLAS contribution from WPM clients integrated with Flywire's cross border education solution 3.Does not include RLAS contribution from Simplee, WPM clients not integrated with Flywire’s cross border education solution, Cohort Go, StudyLink, Student Expenses, Payables, and Pay Any School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Sales team’s 2023 productivity supports 2024 objectives Sales teams expanded across verticals and geographies 700+ Sales ramp time improvement of more clients than 30% from start date to first deal signed signed 2023 Relationship managers focused on driving adoption and best practices Clients signed throughout year expected to have full -year effect in 2024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areas of new client acquisition for 2024 Making investments that are expected to benefit multiple verticals &amp; opportunities Doubling down on Strategic payables successful G2M Increasing travel and education vertical Investments with high ROI payables, including commissions, Education Agent business, refunds and suppliers travel, B2B Capitalizing on new Client Excellence in partners, distribution &amp; API strategy opportunities via StudyLink Opportunities with new agents Grow channel teams, expand integration and schools engineering and certified integrations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Payer Services: Spotlight on Australian insurance Insurance explained: 1 OSHC / OVHC Insurance is a requirement of all international students and vocational worker applicants as part of Australia’s visa application process Today’s offering: &gt;$10M Flywire refers sales of policies by the top 6 insurance companies through a in 2023 combination of direct and indirect channels (primarily Flywire’s network of education counselors) Future opportunities: Attractive demographic of global students and travelers create multiple potential payer services opportunities 1. OSHC (Overseas Students Health Cover) Insurance / OVHC (Overseas Visitor Health Insurance) Flywire’s first &gt;$10M revenue payer services offering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2024 outlook* $106 – $111M $9 – $11M Revenue Less Ancillary Adjusted 1 Services EBITDA 1. Flywire has not provided a quantitative reconciliation of forecasted Adjusted EBITDA to forecasted GAAP net income (loss) or to forecasted GAAP income (loss) before income taxes within this presentation because Flywire is unable, without making unrea sonable efforts, to calculate certain reconciling items with confidence. These items include, but are not limited to income taxes which are direc tly impacted by unpredictable fluctuations in the market price of Flywire's stock. 29 29 *Assumes foreign exchange rates prevailing as of December 31,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2024 outlook* $483 – 509M $65 – 76M Revenue Less Ancillary Adjusted 1 Services EBITDA 1. Flywire has not provided a quantitative reconciliation of forecasted Adjusted EBITDA to forecasted GAAP net income (loss) or to forecasted GAAP income (loss) before income taxes within this presentation because Flywire is unable, without making unrea sonable efforts, to calculate certain reconciling items with confidence. These items include, but are not limited to income taxes which are direc tly impacted by unpredictable fluctuations in the market price of Flywire's stock. 30 30 *Assumes foreign exchange rates prevailing as of December 31,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at constant currency* $USD in Millions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 *Beginning with the quarter ended December 31, 2022, we have excluded depreciation and amortization from the calculation of ou r a djusted gross profit, which we believe enhances the understanding of the Company’s operating performance and enables more meaningful period to period comparisons. 33 $USD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34 $USD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Income (Loss) to Adjusted EBITDA reconciliation $USD in Millions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Adjusted EBITDA Margin reconciliation Adjusted EBITDA Margin Three Months Ended Year Ended December 31, December 31, 2023 2022 Rate 2023 2022 Revenue (A) $ 100.5 $ 73.1 $ 27.4 $ 403. 1 $ 289. 4 Revenue less ancillary services (B) 96.1 67.4 28.7 381.5 267.1 EBITDA (C) 2.0 1.5 0.5 (0.9) (25.2) Adjusted EBITDA (D) 7.7 1.0 6.7 42.0 14.9 EBITDA Margin (C/A) 2.0% 2.0% 0.0% -0.2% -8.7% Adjusted EBITDA Margin (D/A) 7.6% 1.3% 6.3% 10.4% 5.1% EBITDA Margin using RLAS (C/B) 2.07% 2.18% -0.1% -0.23% -9.45% Adjusted EBITDA Margin using RLAS (D/B) 8.00% 1.44% 6.6% 11.02% 5.56%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Revenue to Revenue Less Ancillary Services Guidance $USD in Millions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Source appendix Slide 12 1. For TAM calculations: a. Education: Based on net household payments to educational institutions in OECD countries in 2020 according to the Organisatio n for Economic Co -operation and Development (OECD) and payments made to private education institutions in Southeast Asia in 2015 according to EY Parthenon b. Healthcare: Based on U.S. out of pocket healthcare spending in 2019 according to the Centers for Medicare &amp; Medicaid Services and cross -border healthcare payments in 2020 according to Patients Without Borders c. Travel: Based on global travel industry revenue in 2020 according to IBISWorld and management’s estimates that approximately 41% of the non -business and professional travel payment volume is addressable by our solutions d. B2B: Based on cross -border B2B inflows in 2020 according to Juniper and management’s estimates that at least 75% of total B2B pa yment volume is made by medium to large businesses and potentially addressable by our solutions 2. For growth calculations: a. Education: HolonIQ International Education Market Report, February 2022 b. Healthcare: CMS Office of the Actuary, 2021 -2030 Projections of National Health Expenditures, March 2022 c. Travel: Growth rate represents 2023E - 2025E projection to adjust for Covid bounce back; Technacio Luxury Travel Market Forecast and Analysis 2021 -2025 d. B2B: Facts &amp; Factors E-Invoicing Market Report, February 2021 3. For adoption calculations: a. Education: UNESCO World Higher Education Database International Handbook of Universities, Edition 2021 b. Healthcare: Agency for Healthcare Research and Quality, Compendium of U.S. Health Systems Report, 2018 c. Travel: Statista Report on Number of International Tourist Arrivals Worldwide from 1950 to 2021 (using 2019 to adjust for Cov id) d. B2B: Billentis e -Invoicing journey Report, September 2019 Slide 13 1. Australian government Department of Education International Education Agent Report, 2018 2. Based on U.S. out of pocket healthcare spending in 2019 according to the Centers for Medicare &amp; Medicaid Services 3. Grand View Research estimates of luxury yachting market size market 2022, Grandview Research estimate of diving market size 2 022 , and Spherical Insights estimate of global cruise ship tourism market size 2023; Xola report on 2022 booking trends in the US; PhocusWright report on OTA market size 2021; D -EDGE Hospitality Solutions report on hotel dist ribution trends 2022 and management estimates of niche OTA share of market 4. Balance 2023 List of B2B Statistics, 2023, IMF report on Working Abroad: the Benefits Flowing from Nationals Working in Other Economies 2004; International Citizens Ins ura nce overview of International Health Insurance, accessed 2024; Number of mobile tertiary international students according to UNESCO Institute for Statistics 2021; AECC Stud y Abroad Consultants health insurance for students, accessed 2024; World Wealth Report 2023; William Russell report on international life insurance, accessed 2024; Tourism academy report on US inbound travelers 2021; Ins ureMyTrip report on cost of travel insurance 2023 Slide 14 1. Based on net household payments to educational institutions in OECD countries in 2020 according to the Organisation for Econo mic Co-operation and Development (OECD); payments made to private education institutions in Southeast Asia in 2015 according to EY Parthenon; and household education spending in Latin America and the Caribbean accordi ng to Education Finance and Policy, January 2019 Slide 15 1. World Bank Tertiary Education Overview, October 2021 38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10322</Words>
  <Characters>52208</Characters>
  <CharactersWithSpaces>64081</CharactersWithSpaces>
  <Paragraphs>3849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