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rPr/>
      </w:pPr>
      <w:hyperlink w:anchor="toc">
        <w:bookmarkStart w:id="0" w:name="d359255ddef14a.htm"/>
        <w:bookmarkStart w:id="1" w:name="ksd359255ddef14a"/>
        <w:bookmarkEnd w:id="0"/>
        <w:bookmarkEnd w:id="1"/>
        <w:r>
          <w:rPr>
            <w:rStyle w:val="InternetLink"/>
          </w:rPr>
          <w:t>Table of Contents</w:t>
        </w:r>
      </w:hyperlink>
    </w:p>
    <w:p>
      <w:pPr>
        <w:pStyle w:val="TextBody"/>
        <w:spacing w:lineRule="atLeast" w:line="141" w:before="0" w:after="0"/>
        <w:jc w:val="left"/>
        <w:rPr>
          <w:highlight w:val="white"/>
          <w:bdr w:val="single" w:sz="2" w:space="1" w:color="000000"/>
        </w:rPr>
      </w:pPr>
      <w:r>
        <w:rPr>
          <w:highlight w:val="white"/>
          <w:bdr w:val="single" w:sz="2" w:space="1" w:color="000000"/>
        </w:rPr>
        <w:t> </w:t>
      </w:r>
    </w:p>
    <w:p>
      <w:pPr>
        <w:pStyle w:val="TextBody"/>
        <w:spacing w:lineRule="atLeast" w:line="141" w:before="0" w:after="40"/>
        <w:jc w:val="left"/>
        <w:rPr>
          <w:highlight w:val="white"/>
          <w:bdr w:val="single" w:sz="2" w:space="1" w:color="000000"/>
        </w:rPr>
      </w:pPr>
      <w:r>
        <w:rPr>
          <w:highlight w:val="white"/>
          <w:bdr w:val="single" w:sz="2" w:space="1" w:color="000000"/>
        </w:rPr>
        <w:t> </w:t>
      </w:r>
    </w:p>
    <w:p>
      <w:pPr>
        <w:pStyle w:val="TextBody"/>
        <w:spacing w:before="240" w:after="0"/>
        <w:jc w:val="center"/>
        <w:rPr>
          <w:rFonts w:ascii="Times New Roman" w:hAnsi="Times New Roman"/>
          <w:b/>
          <w:sz w:val="36"/>
          <w:highlight w:val="white"/>
        </w:rPr>
      </w:pPr>
      <w:r>
        <w:rPr>
          <w:rFonts w:ascii="Times New Roman" w:hAnsi="Times New Roman"/>
          <w:b/>
          <w:sz w:val="36"/>
          <w:highlight w:val="white"/>
        </w:rPr>
        <w:t xml:space="preserve">UNITED STATES </w:t>
      </w:r>
    </w:p>
    <w:p>
      <w:pPr>
        <w:pStyle w:val="TextBody"/>
        <w:spacing w:before="0" w:after="0"/>
        <w:jc w:val="center"/>
        <w:rPr>
          <w:rFonts w:ascii="Times New Roman" w:hAnsi="Times New Roman"/>
          <w:b/>
          <w:sz w:val="36"/>
          <w:highlight w:val="white"/>
        </w:rPr>
      </w:pPr>
      <w:r>
        <w:rPr>
          <w:rFonts w:ascii="Times New Roman" w:hAnsi="Times New Roman"/>
          <w:b/>
          <w:sz w:val="36"/>
          <w:highlight w:val="white"/>
        </w:rPr>
        <w:t xml:space="preserve">SECURITIES AND EXCHANGE COMMISSION </w:t>
      </w:r>
    </w:p>
    <w:p>
      <w:pPr>
        <w:pStyle w:val="TextBody"/>
        <w:spacing w:before="0" w:after="0"/>
        <w:jc w:val="center"/>
        <w:rPr>
          <w:rFonts w:ascii="Times New Roman" w:hAnsi="Times New Roman"/>
          <w:b/>
          <w:sz w:val="24"/>
          <w:highlight w:val="white"/>
        </w:rPr>
      </w:pPr>
      <w:r>
        <w:rPr>
          <w:rFonts w:ascii="Times New Roman" w:hAnsi="Times New Roman"/>
          <w:b/>
          <w:sz w:val="24"/>
          <w:highlight w:val="white"/>
        </w:rPr>
        <w:t xml:space="preserve">Washington, D.C. 20549 </w:t>
      </w:r>
    </w:p>
    <w:p>
      <w:pPr>
        <w:pStyle w:val="TextBody"/>
        <w:spacing w:before="0" w:after="0"/>
        <w:jc w:val="left"/>
        <w:rPr>
          <w:highlight w:val="white"/>
        </w:rPr>
      </w:pPr>
      <w:r>
        <w:rPr>
          <w:highlight w:val="white"/>
        </w:rPr>
        <w:t> </w:t>
      </w:r>
    </w:p>
    <w:p>
      <w:pPr>
        <w:pStyle w:val="TextBody"/>
        <w:spacing w:lineRule="atLeast" w:line="141" w:before="0" w:after="40"/>
        <w:jc w:val="center"/>
        <w:rPr>
          <w:highlight w:val="white"/>
          <w:bdr w:val="single" w:sz="8" w:space="1" w:color="000000"/>
        </w:rPr>
      </w:pPr>
      <w:r>
        <w:rPr>
          <w:highlight w:val="white"/>
          <w:bdr w:val="single" w:sz="8" w:space="1" w:color="000000"/>
        </w:rPr>
        <w:t> </w:t>
      </w:r>
    </w:p>
    <w:p>
      <w:pPr>
        <w:pStyle w:val="TextBody"/>
        <w:spacing w:before="240" w:after="0"/>
        <w:jc w:val="center"/>
        <w:rPr>
          <w:rFonts w:ascii="Times New Roman" w:hAnsi="Times New Roman"/>
          <w:b/>
          <w:sz w:val="36"/>
          <w:highlight w:val="white"/>
        </w:rPr>
      </w:pPr>
      <w:r>
        <w:rPr>
          <w:rFonts w:ascii="Times New Roman" w:hAnsi="Times New Roman"/>
          <w:b/>
          <w:sz w:val="36"/>
          <w:highlight w:val="white"/>
        </w:rPr>
        <w:t xml:space="preserve">SCHEDULE 14A INFORMATION </w:t>
      </w:r>
    </w:p>
    <w:p>
      <w:pPr>
        <w:pStyle w:val="TextBody"/>
        <w:spacing w:before="120" w:after="0"/>
        <w:jc w:val="center"/>
        <w:rPr>
          <w:rFonts w:ascii="Times New Roman" w:hAnsi="Times New Roman"/>
          <w:b/>
          <w:sz w:val="24"/>
          <w:highlight w:val="white"/>
        </w:rPr>
      </w:pPr>
      <w:r>
        <w:rPr>
          <w:rFonts w:ascii="Times New Roman" w:hAnsi="Times New Roman"/>
          <w:b/>
          <w:sz w:val="24"/>
          <w:highlight w:val="white"/>
        </w:rPr>
        <w:t xml:space="preserve">Proxy Statement Pursuant to </w:t>
      </w:r>
    </w:p>
    <w:p>
      <w:pPr>
        <w:pStyle w:val="TextBody"/>
        <w:spacing w:before="120" w:after="0"/>
        <w:jc w:val="center"/>
        <w:rPr>
          <w:rFonts w:ascii="Times New Roman" w:hAnsi="Times New Roman"/>
          <w:b/>
          <w:sz w:val="24"/>
          <w:highlight w:val="white"/>
        </w:rPr>
      </w:pPr>
      <w:r>
        <w:rPr>
          <w:rFonts w:ascii="Times New Roman" w:hAnsi="Times New Roman"/>
          <w:b/>
          <w:sz w:val="24"/>
          <w:highlight w:val="white"/>
        </w:rPr>
        <w:t>Section </w:t>
      </w:r>
    </w:p>
    <w:p>
      <w:pPr>
        <w:pStyle w:val="TextBody"/>
        <w:spacing w:before="120" w:after="0"/>
        <w:jc w:val="center"/>
        <w:rPr>
          <w:rFonts w:ascii="Times New Roman" w:hAnsi="Times New Roman"/>
          <w:b/>
          <w:sz w:val="24"/>
          <w:highlight w:val="white"/>
        </w:rPr>
      </w:pPr>
      <w:r>
        <w:rPr>
          <w:rFonts w:ascii="Times New Roman" w:hAnsi="Times New Roman"/>
          <w:b/>
          <w:sz w:val="24"/>
          <w:highlight w:val="white"/>
        </w:rPr>
        <w:t xml:space="preserve">14(a) of the </w:t>
      </w:r>
    </w:p>
    <w:p>
      <w:pPr>
        <w:pStyle w:val="TextBody"/>
        <w:spacing w:before="0" w:after="0"/>
        <w:jc w:val="center"/>
        <w:rPr>
          <w:rFonts w:ascii="Times New Roman" w:hAnsi="Times New Roman"/>
          <w:b/>
          <w:sz w:val="24"/>
          <w:highlight w:val="white"/>
        </w:rPr>
      </w:pPr>
      <w:r>
        <w:rPr>
          <w:rFonts w:ascii="Times New Roman" w:hAnsi="Times New Roman"/>
          <w:b/>
          <w:sz w:val="24"/>
          <w:highlight w:val="white"/>
        </w:rPr>
        <w:t xml:space="preserve">Securities Exchange Act of 1934 </w:t>
      </w:r>
    </w:p>
    <w:p>
      <w:pPr>
        <w:pStyle w:val="TextBody"/>
        <w:spacing w:before="0" w:after="0"/>
        <w:jc w:val="center"/>
        <w:rPr>
          <w:rFonts w:ascii="Times New Roman" w:hAnsi="Times New Roman"/>
          <w:b/>
          <w:sz w:val="24"/>
          <w:highlight w:val="white"/>
        </w:rPr>
      </w:pPr>
      <w:r>
        <w:rPr>
          <w:rFonts w:ascii="Times New Roman" w:hAnsi="Times New Roman"/>
          <w:b/>
          <w:sz w:val="24"/>
          <w:highlight w:val="white"/>
        </w:rPr>
        <w:t xml:space="preserve">(Amendment No.) </w:t>
      </w:r>
    </w:p>
    <w:p>
      <w:pPr>
        <w:pStyle w:val="TextBody"/>
        <w:spacing w:before="0" w:after="0"/>
        <w:jc w:val="left"/>
        <w:rPr>
          <w:highlight w:val="white"/>
        </w:rPr>
      </w:pPr>
      <w:r>
        <w:rPr>
          <w:highlight w:val="white"/>
        </w:rPr>
        <w:t> </w:t>
      </w:r>
    </w:p>
    <w:p>
      <w:pPr>
        <w:pStyle w:val="TextBody"/>
        <w:spacing w:lineRule="atLeast" w:line="141" w:before="0" w:after="40"/>
        <w:jc w:val="center"/>
        <w:rPr>
          <w:highlight w:val="white"/>
          <w:bdr w:val="single" w:sz="8" w:space="1" w:color="000000"/>
        </w:rPr>
      </w:pPr>
      <w:r>
        <w:rPr>
          <w:highlight w:val="white"/>
          <w:bdr w:val="single" w:sz="8" w:space="1" w:color="000000"/>
        </w:rPr>
        <w:t>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Filed by the Registrant  ☒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Filed by a party other than the Registrant  ☐ </w:t>
      </w:r>
    </w:p>
    <w:p>
      <w:pPr>
        <w:pStyle w:val="TextBody"/>
        <w:spacing w:before="480" w:after="0"/>
        <w:jc w:val="left"/>
        <w:rPr>
          <w:rFonts w:ascii="Times New Roman" w:hAnsi="Times New Roman"/>
          <w:sz w:val="20"/>
          <w:highlight w:val="white"/>
        </w:rPr>
      </w:pPr>
      <w:r>
        <w:rPr>
          <w:rFonts w:ascii="Times New Roman" w:hAnsi="Times New Roman"/>
          <w:sz w:val="20"/>
          <w:highlight w:val="white"/>
        </w:rPr>
        <w:t xml:space="preserve">Check the appropriate box: </w:t>
      </w:r>
    </w:p>
    <w:p>
      <w:pPr>
        <w:pStyle w:val="TextBody"/>
        <w:spacing w:before="0" w:after="0"/>
        <w:jc w:val="left"/>
        <w:rPr>
          <w:highlight w:val="white"/>
        </w:rPr>
      </w:pPr>
      <w:r>
        <w:rPr>
          <w:highlight w:val="white"/>
        </w:rPr>
        <w:t> </w:t>
      </w:r>
    </w:p>
    <w:tbl>
      <w:tblPr>
        <w:tblW w:w="2650" w:type="dxa"/>
        <w:jc w:val="left"/>
        <w:tblInd w:w="0" w:type="dxa"/>
        <w:tblCellMar>
          <w:top w:w="0" w:type="dxa"/>
          <w:left w:w="0" w:type="dxa"/>
          <w:bottom w:w="0" w:type="dxa"/>
          <w:right w:w="0" w:type="dxa"/>
        </w:tblCellMar>
      </w:tblPr>
      <w:tblGrid>
        <w:gridCol w:w="245"/>
        <w:gridCol w:w="2405"/>
      </w:tblGrid>
      <w:tr>
        <w:trPr/>
        <w:tc>
          <w:tcPr>
            <w:tcW w:w="245" w:type="dxa"/>
            <w:tcBorders/>
            <w:shd w:fill="auto" w:val="clear"/>
            <w:vAlign w:val="center"/>
          </w:tcPr>
          <w:p>
            <w:pPr>
              <w:pStyle w:val="TableContents"/>
              <w:spacing w:before="0" w:after="283"/>
              <w:jc w:val="left"/>
              <w:rPr/>
            </w:pPr>
            <w:r>
              <w:rPr/>
              <w:t>☐</w:t>
            </w:r>
          </w:p>
        </w:tc>
        <w:tc>
          <w:tcPr>
            <w:tcW w:w="24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spacing w:before="0" w:after="0"/>
        <w:jc w:val="left"/>
        <w:rPr>
          <w:highlight w:val="white"/>
        </w:rPr>
      </w:pPr>
      <w:r>
        <w:rPr>
          <w:highlight w:val="white"/>
        </w:rPr>
        <w:t> </w:t>
      </w:r>
    </w:p>
    <w:tbl>
      <w:tblPr>
        <w:tblW w:w="5980" w:type="dxa"/>
        <w:jc w:val="left"/>
        <w:tblInd w:w="0" w:type="dxa"/>
        <w:tblCellMar>
          <w:top w:w="0" w:type="dxa"/>
          <w:left w:w="0" w:type="dxa"/>
          <w:bottom w:w="0" w:type="dxa"/>
          <w:right w:w="0" w:type="dxa"/>
        </w:tblCellMar>
      </w:tblPr>
      <w:tblGrid>
        <w:gridCol w:w="245"/>
        <w:gridCol w:w="5735"/>
      </w:tblGrid>
      <w:tr>
        <w:trPr/>
        <w:tc>
          <w:tcPr>
            <w:tcW w:w="245" w:type="dxa"/>
            <w:tcBorders/>
            <w:shd w:fill="auto" w:val="clear"/>
            <w:vAlign w:val="center"/>
          </w:tcPr>
          <w:p>
            <w:pPr>
              <w:pStyle w:val="TableContents"/>
              <w:spacing w:before="0" w:after="283"/>
              <w:jc w:val="left"/>
              <w:rPr/>
            </w:pPr>
            <w:r>
              <w:rPr/>
              <w:t>☐</w:t>
            </w:r>
          </w:p>
        </w:tc>
        <w:tc>
          <w:tcPr>
            <w:tcW w:w="573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Confidential, for Use of the Commission Only (as permitted by Rule </w:t>
            </w:r>
          </w:p>
          <w:p>
            <w:pPr>
              <w:pStyle w:val="TableContents"/>
              <w:spacing w:before="0" w:after="0"/>
              <w:jc w:val="left"/>
              <w:rPr>
                <w:rFonts w:ascii="Times New Roman" w:hAnsi="Times New Roman"/>
                <w:b/>
                <w:spacing w:val="0"/>
                <w:sz w:val="20"/>
              </w:rPr>
            </w:pPr>
            <w:r>
              <w:rPr>
                <w:rFonts w:ascii="Times New Roman" w:hAnsi="Times New Roman"/>
                <w:b/>
                <w:spacing w:val="0"/>
                <w:sz w:val="20"/>
              </w:rPr>
              <w:t>14a-6(e)(2))</w:t>
            </w:r>
          </w:p>
        </w:tc>
      </w:tr>
    </w:tbl>
    <w:p>
      <w:pPr>
        <w:pStyle w:val="TextBody"/>
        <w:spacing w:before="0" w:after="0"/>
        <w:jc w:val="left"/>
        <w:rPr>
          <w:highlight w:val="white"/>
        </w:rPr>
      </w:pPr>
      <w:r>
        <w:rPr>
          <w:highlight w:val="white"/>
        </w:rPr>
        <w:t> </w:t>
      </w:r>
    </w:p>
    <w:tbl>
      <w:tblPr>
        <w:tblW w:w="2530" w:type="dxa"/>
        <w:jc w:val="left"/>
        <w:tblInd w:w="0" w:type="dxa"/>
        <w:tblCellMar>
          <w:top w:w="0" w:type="dxa"/>
          <w:left w:w="0" w:type="dxa"/>
          <w:bottom w:w="0" w:type="dxa"/>
          <w:right w:w="0" w:type="dxa"/>
        </w:tblCellMar>
      </w:tblPr>
      <w:tblGrid>
        <w:gridCol w:w="245"/>
        <w:gridCol w:w="2285"/>
      </w:tblGrid>
      <w:tr>
        <w:trPr/>
        <w:tc>
          <w:tcPr>
            <w:tcW w:w="245" w:type="dxa"/>
            <w:tcBorders/>
            <w:shd w:fill="auto" w:val="clear"/>
            <w:vAlign w:val="center"/>
          </w:tcPr>
          <w:p>
            <w:pPr>
              <w:pStyle w:val="TableContents"/>
              <w:spacing w:before="0" w:after="283"/>
              <w:jc w:val="left"/>
              <w:rPr/>
            </w:pPr>
            <w:r>
              <w:rPr/>
              <w:t>☒</w:t>
            </w:r>
          </w:p>
        </w:tc>
        <w:tc>
          <w:tcPr>
            <w:tcW w:w="22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spacing w:before="0" w:after="0"/>
        <w:jc w:val="left"/>
        <w:rPr>
          <w:highlight w:val="white"/>
        </w:rPr>
      </w:pPr>
      <w:r>
        <w:rPr>
          <w:highlight w:val="white"/>
        </w:rPr>
        <w:t> </w:t>
      </w:r>
    </w:p>
    <w:tbl>
      <w:tblPr>
        <w:tblW w:w="2890" w:type="dxa"/>
        <w:jc w:val="left"/>
        <w:tblInd w:w="0" w:type="dxa"/>
        <w:tblCellMar>
          <w:top w:w="0" w:type="dxa"/>
          <w:left w:w="0" w:type="dxa"/>
          <w:bottom w:w="0" w:type="dxa"/>
          <w:right w:w="0" w:type="dxa"/>
        </w:tblCellMar>
      </w:tblPr>
      <w:tblGrid>
        <w:gridCol w:w="245"/>
        <w:gridCol w:w="2645"/>
      </w:tblGrid>
      <w:tr>
        <w:trPr/>
        <w:tc>
          <w:tcPr>
            <w:tcW w:w="245" w:type="dxa"/>
            <w:tcBorders/>
            <w:shd w:fill="auto" w:val="clear"/>
            <w:vAlign w:val="center"/>
          </w:tcPr>
          <w:p>
            <w:pPr>
              <w:pStyle w:val="TableContents"/>
              <w:spacing w:before="0" w:after="283"/>
              <w:jc w:val="left"/>
              <w:rPr/>
            </w:pPr>
            <w:r>
              <w:rPr/>
              <w:t>☐</w:t>
            </w:r>
          </w:p>
        </w:tc>
        <w:tc>
          <w:tcPr>
            <w:tcW w:w="26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spacing w:before="0" w:after="0"/>
        <w:jc w:val="left"/>
        <w:rPr>
          <w:highlight w:val="white"/>
        </w:rPr>
      </w:pPr>
      <w:r>
        <w:rPr>
          <w:highlight w:val="white"/>
        </w:rPr>
        <w:t> </w:t>
      </w:r>
    </w:p>
    <w:tbl>
      <w:tblPr>
        <w:tblW w:w="2815" w:type="dxa"/>
        <w:jc w:val="left"/>
        <w:tblInd w:w="0" w:type="dxa"/>
        <w:tblCellMar>
          <w:top w:w="0" w:type="dxa"/>
          <w:left w:w="0" w:type="dxa"/>
          <w:bottom w:w="0" w:type="dxa"/>
          <w:right w:w="0" w:type="dxa"/>
        </w:tblCellMar>
      </w:tblPr>
      <w:tblGrid>
        <w:gridCol w:w="245"/>
        <w:gridCol w:w="2570"/>
      </w:tblGrid>
      <w:tr>
        <w:trPr/>
        <w:tc>
          <w:tcPr>
            <w:tcW w:w="245" w:type="dxa"/>
            <w:tcBorders/>
            <w:shd w:fill="auto" w:val="clear"/>
            <w:vAlign w:val="center"/>
          </w:tcPr>
          <w:p>
            <w:pPr>
              <w:pStyle w:val="TableContents"/>
              <w:spacing w:before="0" w:after="283"/>
              <w:jc w:val="left"/>
              <w:rPr/>
            </w:pPr>
            <w:r>
              <w:rPr/>
              <w:t>☐</w:t>
            </w:r>
          </w:p>
        </w:tc>
        <w:tc>
          <w:tcPr>
            <w:tcW w:w="25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Soliciting Material under Rule </w:t>
            </w:r>
          </w:p>
          <w:p>
            <w:pPr>
              <w:pStyle w:val="TableContents"/>
              <w:spacing w:before="0" w:after="0"/>
              <w:jc w:val="left"/>
              <w:rPr>
                <w:rFonts w:ascii="Times New Roman" w:hAnsi="Times New Roman"/>
                <w:spacing w:val="0"/>
                <w:sz w:val="20"/>
              </w:rPr>
            </w:pPr>
            <w:r>
              <w:rPr>
                <w:rFonts w:ascii="Times New Roman" w:hAnsi="Times New Roman"/>
                <w:spacing w:val="0"/>
                <w:sz w:val="20"/>
              </w:rPr>
              <w:t>14a-12</w:t>
            </w:r>
          </w:p>
        </w:tc>
      </w:tr>
    </w:tbl>
    <w:p>
      <w:pPr>
        <w:pStyle w:val="TextBody"/>
        <w:spacing w:before="240" w:after="0"/>
        <w:jc w:val="center"/>
        <w:rPr>
          <w:rFonts w:ascii="Times New Roman" w:hAnsi="Times New Roman"/>
          <w:b/>
          <w:sz w:val="36"/>
          <w:highlight w:val="white"/>
        </w:rPr>
      </w:pPr>
      <w:r>
        <w:rPr>
          <w:rFonts w:ascii="Times New Roman" w:hAnsi="Times New Roman"/>
          <w:b/>
          <w:sz w:val="36"/>
          <w:highlight w:val="white"/>
        </w:rPr>
        <w:t xml:space="preserve">FLYWIRE CORPORATION </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(Name of Registrant as Specified in its Charter) </w:t>
      </w:r>
    </w:p>
    <w:p>
      <w:pPr>
        <w:pStyle w:val="TextBody"/>
        <w:spacing w:before="240" w:after="0"/>
        <w:jc w:val="center"/>
        <w:rPr>
          <w:rFonts w:ascii="Times New Roman" w:hAnsi="Times New Roman"/>
          <w:b/>
          <w:sz w:val="20"/>
          <w:highlight w:val="white"/>
        </w:rPr>
      </w:pPr>
      <w:r>
        <w:rPr>
          <w:rFonts w:ascii="Times New Roman" w:hAnsi="Times New Roman"/>
          <w:b/>
          <w:sz w:val="20"/>
          <w:highlight w:val="white"/>
        </w:rPr>
        <w:t xml:space="preserve">(Name of Person(s) Filing Proxy Statement, if Other Than the Registrant)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Payment of Filing Fee (Check the appropriate box): </w:t>
      </w:r>
    </w:p>
    <w:p>
      <w:pPr>
        <w:pStyle w:val="TextBody"/>
        <w:spacing w:before="0" w:after="0"/>
        <w:jc w:val="left"/>
        <w:rPr>
          <w:highlight w:val="white"/>
        </w:rPr>
      </w:pPr>
      <w:r>
        <w:rPr>
          <w:highlight w:val="white"/>
        </w:rPr>
        <w:t> </w:t>
      </w:r>
    </w:p>
    <w:tbl>
      <w:tblPr>
        <w:tblW w:w="1615" w:type="dxa"/>
        <w:jc w:val="left"/>
        <w:tblInd w:w="0" w:type="dxa"/>
        <w:tblCellMar>
          <w:top w:w="0" w:type="dxa"/>
          <w:left w:w="0" w:type="dxa"/>
          <w:bottom w:w="0" w:type="dxa"/>
          <w:right w:w="0" w:type="dxa"/>
        </w:tblCellMar>
      </w:tblPr>
      <w:tblGrid>
        <w:gridCol w:w="245"/>
        <w:gridCol w:w="1370"/>
      </w:tblGrid>
      <w:tr>
        <w:trPr/>
        <w:tc>
          <w:tcPr>
            <w:tcW w:w="245" w:type="dxa"/>
            <w:tcBorders/>
            <w:shd w:fill="auto" w:val="clear"/>
            <w:vAlign w:val="center"/>
          </w:tcPr>
          <w:p>
            <w:pPr>
              <w:pStyle w:val="TableContents"/>
              <w:spacing w:before="0" w:after="283"/>
              <w:jc w:val="left"/>
              <w:rPr/>
            </w:pPr>
            <w:r>
              <w:rPr/>
              <w:t>☒</w:t>
            </w:r>
          </w:p>
        </w:tc>
        <w:tc>
          <w:tcPr>
            <w:tcW w:w="13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spacing w:before="0" w:after="0"/>
        <w:jc w:val="left"/>
        <w:rPr>
          <w:highlight w:val="white"/>
        </w:rPr>
      </w:pPr>
      <w:r>
        <w:rPr>
          <w:highlight w:val="white"/>
        </w:rPr>
        <w:t> </w:t>
      </w:r>
    </w:p>
    <w:tbl>
      <w:tblPr>
        <w:tblW w:w="4150" w:type="dxa"/>
        <w:jc w:val="left"/>
        <w:tblInd w:w="0" w:type="dxa"/>
        <w:tblCellMar>
          <w:top w:w="0" w:type="dxa"/>
          <w:left w:w="0" w:type="dxa"/>
          <w:bottom w:w="0" w:type="dxa"/>
          <w:right w:w="0" w:type="dxa"/>
        </w:tblCellMar>
      </w:tblPr>
      <w:tblGrid>
        <w:gridCol w:w="245"/>
        <w:gridCol w:w="3905"/>
      </w:tblGrid>
      <w:tr>
        <w:trPr/>
        <w:tc>
          <w:tcPr>
            <w:tcW w:w="245" w:type="dxa"/>
            <w:tcBorders/>
            <w:shd w:fill="auto" w:val="clear"/>
            <w:vAlign w:val="center"/>
          </w:tcPr>
          <w:p>
            <w:pPr>
              <w:pStyle w:val="TableContents"/>
              <w:spacing w:before="0" w:after="283"/>
              <w:jc w:val="left"/>
              <w:rPr/>
            </w:pPr>
            <w:r>
              <w:rPr/>
              <w:t>☐</w:t>
            </w:r>
          </w:p>
        </w:tc>
        <w:tc>
          <w:tcPr>
            <w:tcW w:w="39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spacing w:before="0" w:after="0"/>
        <w:jc w:val="left"/>
        <w:rPr>
          <w:highlight w:val="white"/>
        </w:rPr>
      </w:pPr>
      <w:r>
        <w:rPr>
          <w:highlight w:val="white"/>
        </w:rPr>
        <w:t> </w:t>
      </w:r>
    </w:p>
    <w:tbl>
      <w:tblPr>
        <w:tblW w:w="6865" w:type="dxa"/>
        <w:jc w:val="left"/>
        <w:tblInd w:w="0" w:type="dxa"/>
        <w:tblCellMar>
          <w:top w:w="0" w:type="dxa"/>
          <w:left w:w="0" w:type="dxa"/>
          <w:bottom w:w="0" w:type="dxa"/>
          <w:right w:w="0" w:type="dxa"/>
        </w:tblCellMar>
      </w:tblPr>
      <w:tblGrid>
        <w:gridCol w:w="245"/>
        <w:gridCol w:w="6620"/>
      </w:tblGrid>
      <w:tr>
        <w:trPr/>
        <w:tc>
          <w:tcPr>
            <w:tcW w:w="245" w:type="dxa"/>
            <w:tcBorders/>
            <w:shd w:fill="auto" w:val="clear"/>
            <w:vAlign w:val="center"/>
          </w:tcPr>
          <w:p>
            <w:pPr>
              <w:pStyle w:val="TableContents"/>
              <w:spacing w:before="0" w:after="283"/>
              <w:jc w:val="left"/>
              <w:rPr/>
            </w:pPr>
            <w:r>
              <w:rPr/>
              <w:t>☐</w:t>
            </w:r>
          </w:p>
        </w:tc>
        <w:tc>
          <w:tcPr>
            <w:tcW w:w="66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w:t>
            </w:r>
          </w:p>
          <w:p>
            <w:pPr>
              <w:pStyle w:val="TableContents"/>
              <w:spacing w:before="0" w:after="0"/>
              <w:jc w:val="left"/>
              <w:rPr>
                <w:rFonts w:ascii="Times New Roman" w:hAnsi="Times New Roman"/>
                <w:spacing w:val="0"/>
                <w:sz w:val="20"/>
              </w:rPr>
            </w:pPr>
            <w:r>
              <w:rPr>
                <w:rFonts w:ascii="Times New Roman" w:hAnsi="Times New Roman"/>
                <w:spacing w:val="0"/>
                <w:sz w:val="20"/>
              </w:rPr>
              <w:t>14a-6(i)(1)</w:t>
            </w:r>
          </w:p>
          <w:p>
            <w:pPr>
              <w:pStyle w:val="TableContents"/>
              <w:spacing w:before="0" w:after="0"/>
              <w:jc w:val="left"/>
              <w:rPr>
                <w:rFonts w:ascii="Times New Roman" w:hAnsi="Times New Roman"/>
                <w:sz w:val="20"/>
              </w:rPr>
            </w:pPr>
            <w:r>
              <w:rPr>
                <w:rFonts w:ascii="Times New Roman" w:hAnsi="Times New Roman"/>
                <w:sz w:val="20"/>
              </w:rPr>
              <w:t xml:space="preserve">and </w:t>
            </w:r>
          </w:p>
          <w:p>
            <w:pPr>
              <w:pStyle w:val="TableContents"/>
              <w:spacing w:before="0" w:after="0"/>
              <w:jc w:val="left"/>
              <w:rPr>
                <w:rFonts w:ascii="Times New Roman" w:hAnsi="Times New Roman"/>
                <w:spacing w:val="0"/>
                <w:sz w:val="20"/>
              </w:rPr>
            </w:pPr>
            <w:r>
              <w:rPr>
                <w:rFonts w:ascii="Times New Roman" w:hAnsi="Times New Roman"/>
                <w:spacing w:val="0"/>
                <w:sz w:val="20"/>
              </w:rPr>
              <w:t>0-11.</w:t>
            </w:r>
          </w:p>
        </w:tc>
      </w:tr>
    </w:tbl>
    <w:p>
      <w:pPr>
        <w:pStyle w:val="TextBody"/>
        <w:spacing w:before="0" w:after="0"/>
        <w:jc w:val="left"/>
        <w:rPr>
          <w:highlight w:val="white"/>
        </w:rPr>
      </w:pPr>
      <w:r>
        <w:rPr>
          <w:highlight w:val="white"/>
        </w:rPr>
        <w:t> </w:t>
      </w:r>
    </w:p>
    <w:p>
      <w:pPr>
        <w:pStyle w:val="TextBody"/>
        <w:spacing w:lineRule="atLeast" w:line="141" w:before="0" w:after="0"/>
        <w:jc w:val="left"/>
        <w:rPr>
          <w:highlight w:val="white"/>
          <w:bdr w:val="single" w:sz="2" w:space="1" w:color="000000"/>
        </w:rPr>
      </w:pPr>
      <w:r>
        <w:rPr>
          <w:highlight w:val="white"/>
          <w:bdr w:val="single" w:sz="2" w:space="1" w:color="000000"/>
        </w:rPr>
        <w:t> </w:t>
      </w:r>
    </w:p>
    <w:p>
      <w:pPr>
        <w:pStyle w:val="TextBody"/>
        <w:spacing w:lineRule="atLeast" w:line="141" w:before="0" w:after="40"/>
        <w:jc w:val="left"/>
        <w:rPr>
          <w:highlight w:val="white"/>
          <w:bdr w:val="single" w:sz="2" w:space="1" w:color="000000"/>
        </w:rPr>
      </w:pPr>
      <w:r>
        <w:rPr>
          <w:highlight w:val="white"/>
          <w:bdr w:val="single" w:sz="2" w:space="1" w:color="000000"/>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right"/>
        <w:rPr>
          <w:rFonts w:ascii="Times New Roman" w:hAnsi="Times New Roman"/>
          <w:sz w:val="20"/>
        </w:rPr>
      </w:pPr>
      <w:r>
        <w:rPr>
          <w:rFonts w:ascii="Times New Roman" w:hAnsi="Times New Roman"/>
          <w:sz w:val="20"/>
        </w:rPr>
        <w:t xml:space="preserve">April 25, 2023 </w:t>
      </w:r>
    </w:p>
    <w:p>
      <w:pPr>
        <w:pStyle w:val="TextBody"/>
        <w:spacing w:before="240" w:after="0"/>
        <w:jc w:val="left"/>
        <w:rPr>
          <w:rFonts w:ascii="Times New Roman" w:hAnsi="Times New Roman"/>
          <w:sz w:val="20"/>
        </w:rPr>
      </w:pPr>
      <w:r>
        <w:rPr>
          <w:rFonts w:ascii="Times New Roman" w:hAnsi="Times New Roman"/>
          <w:sz w:val="20"/>
        </w:rPr>
        <w:t xml:space="preserve">You are cordially invited to attend the 2023 Annual Meeting of Stockholders of Flywire Corporation (Flywire) that will be held on Tuesday, June 6, 2023 at 11:00 a.m. EDT (the Annual Meeting). The Annual Meeting will be held virtually via live audio webcast on the internet at www.virtualshareholdermeeting.com/FLYW2023. Even though our Annual Meeting will be held virtually, stockholders will still have the ability to participate in the meeting and vote their shares at the Annual Meeting if they wish. </w:t>
      </w:r>
    </w:p>
    <w:p>
      <w:pPr>
        <w:pStyle w:val="TextBody"/>
        <w:spacing w:before="240" w:after="0"/>
        <w:jc w:val="left"/>
        <w:rPr>
          <w:rFonts w:ascii="Times New Roman" w:hAnsi="Times New Roman"/>
          <w:sz w:val="20"/>
        </w:rPr>
      </w:pPr>
      <w:r>
        <w:rPr>
          <w:rFonts w:ascii="Times New Roman" w:hAnsi="Times New Roman"/>
          <w:sz w:val="20"/>
        </w:rPr>
        <w:t xml:space="preserve">Details regarding the Annual Meeting and the business to be conducted are described in the accompanying proxy materials. Also included is a copy of our annual report on Form 10-K for the year ended December 31, 2022. We encourage you to read this information carefully. Your vote is important. Whether or not you plan to attend the Annual Meeting, we hope you will vote as soon as possible. You may vote over the internet, by telephone or by mailing a proxy card, if you have requested one. Please review the instructions on the Notice of Internet Availability of Proxy Materials you received in the mail regarding each of these voting options. </w:t>
      </w:r>
    </w:p>
    <w:p>
      <w:pPr>
        <w:pStyle w:val="TextBody"/>
        <w:spacing w:before="240" w:after="0"/>
        <w:jc w:val="left"/>
        <w:rPr>
          <w:rFonts w:ascii="Times New Roman" w:hAnsi="Times New Roman"/>
          <w:sz w:val="20"/>
        </w:rPr>
      </w:pPr>
      <w:r>
        <w:rPr>
          <w:rFonts w:ascii="Times New Roman" w:hAnsi="Times New Roman"/>
          <w:sz w:val="20"/>
        </w:rPr>
        <w:t xml:space="preserve">Thank you for your ongoing support of Flywire. </w:t>
      </w:r>
    </w:p>
    <w:p>
      <w:pPr>
        <w:pStyle w:val="TextBody"/>
        <w:spacing w:before="240" w:after="0"/>
        <w:jc w:val="left"/>
        <w:rPr>
          <w:rFonts w:ascii="Times New Roman" w:hAnsi="Times New Roman"/>
          <w:sz w:val="20"/>
        </w:rPr>
      </w:pPr>
      <w:r>
        <w:rPr>
          <w:rFonts w:ascii="Times New Roman" w:hAnsi="Times New Roman"/>
          <w:sz w:val="20"/>
        </w:rPr>
        <w:t xml:space="preserve">Very truly yours, </w:t>
      </w:r>
    </w:p>
    <w:p>
      <w:pPr>
        <w:pStyle w:val="TextBody"/>
        <w:spacing w:before="360" w:after="0"/>
        <w:jc w:val="left"/>
        <w:rPr>
          <w:rFonts w:ascii="Times New Roman" w:hAnsi="Times New Roman"/>
          <w:sz w:val="20"/>
        </w:rPr>
      </w:pPr>
      <w:r>
        <w:rPr>
          <w:rFonts w:ascii="Times New Roman" w:hAnsi="Times New Roman"/>
          <w:sz w:val="20"/>
        </w:rPr>
        <w:t xml:space="preserve">Michael Massaro </w:t>
      </w:r>
    </w:p>
    <w:p>
      <w:pPr>
        <w:pStyle w:val="TextBody"/>
        <w:spacing w:before="0" w:after="0"/>
        <w:jc w:val="left"/>
        <w:rPr>
          <w:rFonts w:ascii="Times New Roman" w:hAnsi="Times New Roman"/>
          <w:i/>
          <w:sz w:val="20"/>
        </w:rPr>
      </w:pPr>
      <w:r>
        <w:rPr>
          <w:rFonts w:ascii="Times New Roman" w:hAnsi="Times New Roman"/>
          <w:i/>
          <w:sz w:val="20"/>
        </w:rPr>
        <w:t xml:space="preserve">Chief Executive Officer and Director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FLYWIRE CORPORATION </w:t>
      </w:r>
    </w:p>
    <w:p>
      <w:pPr>
        <w:pStyle w:val="TextBody"/>
        <w:spacing w:before="0" w:after="0"/>
        <w:jc w:val="center"/>
        <w:rPr>
          <w:rFonts w:ascii="Times New Roman" w:hAnsi="Times New Roman"/>
          <w:b/>
          <w:sz w:val="20"/>
        </w:rPr>
      </w:pPr>
      <w:r>
        <w:rPr>
          <w:rFonts w:ascii="Times New Roman" w:hAnsi="Times New Roman"/>
          <w:b/>
          <w:sz w:val="20"/>
        </w:rPr>
        <w:t xml:space="preserve">141 Tremont St., 10th Floor </w:t>
      </w:r>
    </w:p>
    <w:p>
      <w:pPr>
        <w:pStyle w:val="TextBody"/>
        <w:spacing w:before="0" w:after="0"/>
        <w:jc w:val="center"/>
        <w:rPr>
          <w:rFonts w:ascii="Times New Roman" w:hAnsi="Times New Roman"/>
          <w:b/>
          <w:sz w:val="20"/>
        </w:rPr>
      </w:pPr>
      <w:r>
        <w:rPr>
          <w:rFonts w:ascii="Times New Roman" w:hAnsi="Times New Roman"/>
          <w:b/>
          <w:sz w:val="20"/>
        </w:rPr>
        <w:t xml:space="preserve">Boston, Massachusetts 02111 </w:t>
      </w:r>
    </w:p>
    <w:p>
      <w:pPr>
        <w:pStyle w:val="TextBody"/>
        <w:spacing w:before="240" w:after="0"/>
        <w:jc w:val="center"/>
        <w:rPr>
          <w:rFonts w:ascii="Times New Roman" w:hAnsi="Times New Roman"/>
          <w:b/>
          <w:sz w:val="20"/>
        </w:rPr>
      </w:pPr>
      <w:r>
        <w:rPr>
          <w:rFonts w:ascii="Times New Roman" w:hAnsi="Times New Roman"/>
          <w:b/>
          <w:sz w:val="20"/>
        </w:rPr>
        <w:t xml:space="preserve">NOTICE OF ANNUAL MEETING </w:t>
      </w:r>
    </w:p>
    <w:p>
      <w:pPr>
        <w:pStyle w:val="TextBody"/>
        <w:spacing w:before="0" w:after="0"/>
        <w:jc w:val="center"/>
        <w:rPr>
          <w:rFonts w:ascii="Times New Roman" w:hAnsi="Times New Roman"/>
          <w:b/>
          <w:sz w:val="20"/>
        </w:rPr>
      </w:pPr>
      <w:r>
        <w:rPr>
          <w:rFonts w:ascii="Times New Roman" w:hAnsi="Times New Roman"/>
          <w:b/>
          <w:sz w:val="20"/>
        </w:rPr>
        <w:t xml:space="preserve">FOR 2023 ANNUAL MEETING OF STOCKHOLDERS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856"/>
        <w:gridCol w:w="120"/>
        <w:gridCol w:w="8229"/>
      </w:tblGrid>
      <w:tr>
        <w:trPr/>
        <w:tc>
          <w:tcPr>
            <w:tcW w:w="185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229" w:type="dxa"/>
            <w:tcBorders/>
            <w:shd w:fill="auto" w:val="clear"/>
            <w:vAlign w:val="center"/>
          </w:tcPr>
          <w:p>
            <w:pPr>
              <w:pStyle w:val="TableContents"/>
              <w:spacing w:before="0" w:after="283"/>
              <w:rPr>
                <w:sz w:val="4"/>
                <w:szCs w:val="4"/>
              </w:rPr>
            </w:pPr>
            <w:r>
              <w:rPr>
                <w:sz w:val="4"/>
                <w:szCs w:val="4"/>
              </w:rPr>
            </w:r>
          </w:p>
        </w:tc>
      </w:tr>
      <w:tr>
        <w:trPr/>
        <w:tc>
          <w:tcPr>
            <w:tcW w:w="1856" w:type="dxa"/>
            <w:tcBorders/>
            <w:shd w:fill="auto" w:val="clear"/>
            <w:vAlign w:val="center"/>
          </w:tcPr>
          <w:p>
            <w:pPr>
              <w:pStyle w:val="TableContents"/>
              <w:spacing w:before="0" w:after="283"/>
              <w:rPr>
                <w:b/>
              </w:rPr>
            </w:pPr>
            <w:r>
              <w:rPr>
                <w:b/>
              </w:rPr>
              <w:t>Time and Date:</w:t>
            </w:r>
          </w:p>
        </w:tc>
        <w:tc>
          <w:tcPr>
            <w:tcW w:w="120" w:type="dxa"/>
            <w:tcBorders/>
            <w:shd w:fill="auto" w:val="clear"/>
            <w:vAlign w:val="center"/>
          </w:tcPr>
          <w:p>
            <w:pPr>
              <w:pStyle w:val="TableContents"/>
              <w:spacing w:before="0" w:after="283"/>
              <w:rPr/>
            </w:pPr>
            <w:r>
              <w:rPr/>
              <w:t>  </w:t>
            </w:r>
          </w:p>
        </w:tc>
        <w:tc>
          <w:tcPr>
            <w:tcW w:w="8229" w:type="dxa"/>
            <w:tcBorders/>
            <w:shd w:fill="auto" w:val="clear"/>
            <w:vAlign w:val="center"/>
          </w:tcPr>
          <w:p>
            <w:pPr>
              <w:pStyle w:val="TableContents"/>
              <w:spacing w:before="0" w:after="283"/>
              <w:rPr/>
            </w:pPr>
            <w:r>
              <w:rPr/>
              <w:t>Tuesday, June 6, 2023 at 11:00 a.m. EDT.</w:t>
            </w:r>
          </w:p>
        </w:tc>
      </w:tr>
      <w:tr>
        <w:trPr/>
        <w:tc>
          <w:tcPr>
            <w:tcW w:w="1856" w:type="dxa"/>
            <w:tcBorders/>
            <w:shd w:fill="auto" w:val="clear"/>
            <w:vAlign w:val="center"/>
          </w:tcPr>
          <w:p>
            <w:pPr>
              <w:pStyle w:val="TableContents"/>
              <w:spacing w:before="0" w:after="283"/>
              <w:rPr>
                <w:sz w:val="4"/>
                <w:szCs w:val="4"/>
              </w:rPr>
            </w:pPr>
            <w:r>
              <w:rPr>
                <w:sz w:val="4"/>
                <w:szCs w:val="4"/>
              </w:rPr>
            </w:r>
          </w:p>
        </w:tc>
        <w:tc>
          <w:tcPr>
            <w:tcW w:w="8349" w:type="dxa"/>
            <w:gridSpan w:val="2"/>
            <w:tcBorders/>
            <w:shd w:fill="auto" w:val="clear"/>
            <w:vAlign w:val="center"/>
          </w:tcPr>
          <w:p>
            <w:pPr>
              <w:pStyle w:val="TableContents"/>
              <w:spacing w:before="0" w:after="283"/>
              <w:rPr>
                <w:sz w:val="4"/>
                <w:szCs w:val="4"/>
              </w:rPr>
            </w:pPr>
            <w:r>
              <w:rPr>
                <w:sz w:val="4"/>
                <w:szCs w:val="4"/>
              </w:rPr>
            </w:r>
          </w:p>
        </w:tc>
      </w:tr>
      <w:tr>
        <w:trPr/>
        <w:tc>
          <w:tcPr>
            <w:tcW w:w="1856" w:type="dxa"/>
            <w:tcBorders/>
            <w:shd w:fill="auto" w:val="clear"/>
            <w:vAlign w:val="center"/>
          </w:tcPr>
          <w:p>
            <w:pPr>
              <w:pStyle w:val="TableContents"/>
              <w:spacing w:before="0" w:after="283"/>
              <w:rPr>
                <w:b/>
              </w:rPr>
            </w:pPr>
            <w:r>
              <w:rPr>
                <w:b/>
              </w:rPr>
              <w:t>Place:</w:t>
            </w:r>
          </w:p>
        </w:tc>
        <w:tc>
          <w:tcPr>
            <w:tcW w:w="120" w:type="dxa"/>
            <w:tcBorders/>
            <w:shd w:fill="auto" w:val="clear"/>
            <w:vAlign w:val="center"/>
          </w:tcPr>
          <w:p>
            <w:pPr>
              <w:pStyle w:val="TableContents"/>
              <w:spacing w:before="0" w:after="283"/>
              <w:rPr/>
            </w:pPr>
            <w:r>
              <w:rPr/>
              <w:t>  </w:t>
            </w:r>
          </w:p>
        </w:tc>
        <w:tc>
          <w:tcPr>
            <w:tcW w:w="8229" w:type="dxa"/>
            <w:tcBorders/>
            <w:shd w:fill="auto" w:val="clear"/>
            <w:vAlign w:val="center"/>
          </w:tcPr>
          <w:p>
            <w:pPr>
              <w:pStyle w:val="TableContents"/>
              <w:spacing w:before="0" w:after="283"/>
              <w:rPr/>
            </w:pPr>
            <w:r>
              <w:rPr/>
              <w:t>The Annual Meeting will be held via live webcast at www.virtualshareholdermeeting.com/FLYW2023. To participate, you will need the 16-digit control number provided on your proxy card or voting instruction form.</w:t>
            </w:r>
          </w:p>
        </w:tc>
      </w:tr>
      <w:tr>
        <w:trPr/>
        <w:tc>
          <w:tcPr>
            <w:tcW w:w="1856" w:type="dxa"/>
            <w:tcBorders/>
            <w:shd w:fill="auto" w:val="clear"/>
            <w:vAlign w:val="center"/>
          </w:tcPr>
          <w:p>
            <w:pPr>
              <w:pStyle w:val="TableContents"/>
              <w:spacing w:before="0" w:after="283"/>
              <w:rPr>
                <w:sz w:val="4"/>
                <w:szCs w:val="4"/>
              </w:rPr>
            </w:pPr>
            <w:r>
              <w:rPr>
                <w:sz w:val="4"/>
                <w:szCs w:val="4"/>
              </w:rPr>
            </w:r>
          </w:p>
        </w:tc>
        <w:tc>
          <w:tcPr>
            <w:tcW w:w="8349" w:type="dxa"/>
            <w:gridSpan w:val="2"/>
            <w:tcBorders/>
            <w:shd w:fill="auto" w:val="clear"/>
            <w:vAlign w:val="center"/>
          </w:tcPr>
          <w:p>
            <w:pPr>
              <w:pStyle w:val="TableContents"/>
              <w:spacing w:before="0" w:after="283"/>
              <w:rPr>
                <w:sz w:val="4"/>
                <w:szCs w:val="4"/>
              </w:rPr>
            </w:pPr>
            <w:r>
              <w:rPr>
                <w:sz w:val="4"/>
                <w:szCs w:val="4"/>
              </w:rPr>
            </w:r>
          </w:p>
        </w:tc>
      </w:tr>
      <w:tr>
        <w:trPr/>
        <w:tc>
          <w:tcPr>
            <w:tcW w:w="1856" w:type="dxa"/>
            <w:tcBorders/>
            <w:shd w:fill="auto" w:val="clear"/>
            <w:vAlign w:val="center"/>
          </w:tcPr>
          <w:p>
            <w:pPr>
              <w:pStyle w:val="TableContents"/>
              <w:spacing w:before="0" w:after="283"/>
              <w:rPr>
                <w:b/>
              </w:rPr>
            </w:pPr>
            <w:r>
              <w:rPr>
                <w:b/>
              </w:rPr>
              <w:t>Items of Business:</w:t>
            </w:r>
          </w:p>
        </w:tc>
        <w:tc>
          <w:tcPr>
            <w:tcW w:w="120" w:type="dxa"/>
            <w:tcBorders/>
            <w:shd w:fill="auto" w:val="clear"/>
            <w:vAlign w:val="center"/>
          </w:tcPr>
          <w:p>
            <w:pPr>
              <w:pStyle w:val="TableContents"/>
              <w:spacing w:before="0" w:after="283"/>
              <w:rPr/>
            </w:pPr>
            <w:r>
              <w:rPr/>
              <w:t>  </w:t>
            </w:r>
          </w:p>
        </w:tc>
        <w:tc>
          <w:tcPr>
            <w:tcW w:w="8229" w:type="dxa"/>
            <w:tcBorders/>
            <w:shd w:fill="auto" w:val="clear"/>
            <w:vAlign w:val="center"/>
          </w:tcPr>
          <w:p>
            <w:pPr>
              <w:pStyle w:val="TableContents"/>
              <w:spacing w:before="0" w:after="283"/>
              <w:rPr>
                <w:i/>
              </w:rPr>
            </w:pPr>
            <w:r>
              <w:rPr>
                <w:i/>
              </w:rPr>
              <w:t>Proposal 1: To elect the two directors named in the proxy statement accompanying this notice to serve as Class II directors until the annual meeting held in 2026 and until their successors are duly elected and qualified.</w:t>
            </w:r>
          </w:p>
        </w:tc>
      </w:tr>
      <w:tr>
        <w:trPr/>
        <w:tc>
          <w:tcPr>
            <w:tcW w:w="1856" w:type="dxa"/>
            <w:tcBorders/>
            <w:shd w:fill="auto" w:val="clear"/>
            <w:vAlign w:val="center"/>
          </w:tcPr>
          <w:p>
            <w:pPr>
              <w:pStyle w:val="TableContents"/>
              <w:spacing w:before="0" w:after="283"/>
              <w:rPr>
                <w:sz w:val="4"/>
                <w:szCs w:val="4"/>
              </w:rPr>
            </w:pPr>
            <w:r>
              <w:rPr>
                <w:sz w:val="4"/>
                <w:szCs w:val="4"/>
              </w:rPr>
            </w:r>
          </w:p>
        </w:tc>
        <w:tc>
          <w:tcPr>
            <w:tcW w:w="8349" w:type="dxa"/>
            <w:gridSpan w:val="2"/>
            <w:tcBorders/>
            <w:shd w:fill="auto" w:val="clear"/>
            <w:vAlign w:val="center"/>
          </w:tcPr>
          <w:p>
            <w:pPr>
              <w:pStyle w:val="TableContents"/>
              <w:spacing w:before="0" w:after="283"/>
              <w:rPr>
                <w:sz w:val="4"/>
                <w:szCs w:val="4"/>
              </w:rPr>
            </w:pPr>
            <w:r>
              <w:rPr>
                <w:sz w:val="4"/>
                <w:szCs w:val="4"/>
              </w:rPr>
            </w:r>
          </w:p>
        </w:tc>
      </w:tr>
      <w:tr>
        <w:trPr/>
        <w:tc>
          <w:tcPr>
            <w:tcW w:w="185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229" w:type="dxa"/>
            <w:tcBorders/>
            <w:shd w:fill="auto" w:val="clear"/>
            <w:vAlign w:val="center"/>
          </w:tcPr>
          <w:p>
            <w:pPr>
              <w:pStyle w:val="TableContents"/>
              <w:spacing w:before="0" w:after="283"/>
              <w:rPr>
                <w:i/>
              </w:rPr>
            </w:pPr>
            <w:r>
              <w:rPr>
                <w:i/>
              </w:rPr>
              <w:t>Proposal 2: To ratify the appointment of PricewaterhouseCoopers LLP as Flywire Corporation’s independent registered public accounting firm for the year ending December 31, 2023.</w:t>
            </w:r>
          </w:p>
        </w:tc>
      </w:tr>
      <w:tr>
        <w:trPr/>
        <w:tc>
          <w:tcPr>
            <w:tcW w:w="1856" w:type="dxa"/>
            <w:tcBorders/>
            <w:shd w:fill="auto" w:val="clear"/>
            <w:vAlign w:val="center"/>
          </w:tcPr>
          <w:p>
            <w:pPr>
              <w:pStyle w:val="TableContents"/>
              <w:spacing w:before="0" w:after="283"/>
              <w:rPr>
                <w:sz w:val="4"/>
                <w:szCs w:val="4"/>
              </w:rPr>
            </w:pPr>
            <w:r>
              <w:rPr>
                <w:sz w:val="4"/>
                <w:szCs w:val="4"/>
              </w:rPr>
            </w:r>
          </w:p>
        </w:tc>
        <w:tc>
          <w:tcPr>
            <w:tcW w:w="8349" w:type="dxa"/>
            <w:gridSpan w:val="2"/>
            <w:tcBorders/>
            <w:shd w:fill="auto" w:val="clear"/>
            <w:vAlign w:val="center"/>
          </w:tcPr>
          <w:p>
            <w:pPr>
              <w:pStyle w:val="TableContents"/>
              <w:spacing w:before="0" w:after="283"/>
              <w:rPr>
                <w:sz w:val="4"/>
                <w:szCs w:val="4"/>
              </w:rPr>
            </w:pPr>
            <w:r>
              <w:rPr>
                <w:sz w:val="4"/>
                <w:szCs w:val="4"/>
              </w:rPr>
            </w:r>
          </w:p>
        </w:tc>
      </w:tr>
      <w:tr>
        <w:trPr/>
        <w:tc>
          <w:tcPr>
            <w:tcW w:w="185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229" w:type="dxa"/>
            <w:tcBorders/>
            <w:shd w:fill="auto" w:val="clear"/>
            <w:vAlign w:val="center"/>
          </w:tcPr>
          <w:p>
            <w:pPr>
              <w:pStyle w:val="TableContents"/>
              <w:spacing w:before="0" w:after="283"/>
              <w:rPr>
                <w:i/>
              </w:rPr>
            </w:pPr>
            <w:r>
              <w:rPr>
                <w:i/>
              </w:rPr>
              <w:t>Proposal 3: To approve, on a non-binding, advisory basis, the compensation of Flywire Corporation’s named executive officers as described in this proxy statement.</w:t>
            </w:r>
          </w:p>
        </w:tc>
      </w:tr>
      <w:tr>
        <w:trPr/>
        <w:tc>
          <w:tcPr>
            <w:tcW w:w="1856" w:type="dxa"/>
            <w:tcBorders/>
            <w:shd w:fill="auto" w:val="clear"/>
            <w:vAlign w:val="center"/>
          </w:tcPr>
          <w:p>
            <w:pPr>
              <w:pStyle w:val="TableContents"/>
              <w:spacing w:before="0" w:after="283"/>
              <w:rPr>
                <w:sz w:val="4"/>
                <w:szCs w:val="4"/>
              </w:rPr>
            </w:pPr>
            <w:r>
              <w:rPr>
                <w:sz w:val="4"/>
                <w:szCs w:val="4"/>
              </w:rPr>
            </w:r>
          </w:p>
        </w:tc>
        <w:tc>
          <w:tcPr>
            <w:tcW w:w="8349" w:type="dxa"/>
            <w:gridSpan w:val="2"/>
            <w:tcBorders/>
            <w:shd w:fill="auto" w:val="clear"/>
            <w:vAlign w:val="center"/>
          </w:tcPr>
          <w:p>
            <w:pPr>
              <w:pStyle w:val="TableContents"/>
              <w:spacing w:before="0" w:after="283"/>
              <w:rPr>
                <w:sz w:val="4"/>
                <w:szCs w:val="4"/>
              </w:rPr>
            </w:pPr>
            <w:r>
              <w:rPr>
                <w:sz w:val="4"/>
                <w:szCs w:val="4"/>
              </w:rPr>
            </w:r>
          </w:p>
        </w:tc>
      </w:tr>
      <w:tr>
        <w:trPr/>
        <w:tc>
          <w:tcPr>
            <w:tcW w:w="185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229" w:type="dxa"/>
            <w:tcBorders/>
            <w:shd w:fill="auto" w:val="clear"/>
            <w:vAlign w:val="center"/>
          </w:tcPr>
          <w:p>
            <w:pPr>
              <w:pStyle w:val="TableContents"/>
              <w:spacing w:before="0" w:after="283"/>
              <w:rPr>
                <w:i/>
              </w:rPr>
            </w:pPr>
            <w:r>
              <w:rPr>
                <w:i/>
              </w:rPr>
              <w:t>Proposal 4: Select, on a non-binding, advisory basis, the frequency with which future stockholder advisory votes on the compensation of Flywire Corporation’s named executive officers will be conducted.</w:t>
            </w:r>
          </w:p>
        </w:tc>
      </w:tr>
      <w:tr>
        <w:trPr/>
        <w:tc>
          <w:tcPr>
            <w:tcW w:w="1856" w:type="dxa"/>
            <w:tcBorders/>
            <w:shd w:fill="auto" w:val="clear"/>
            <w:vAlign w:val="center"/>
          </w:tcPr>
          <w:p>
            <w:pPr>
              <w:pStyle w:val="TableContents"/>
              <w:spacing w:before="0" w:after="283"/>
              <w:rPr>
                <w:sz w:val="4"/>
                <w:szCs w:val="4"/>
              </w:rPr>
            </w:pPr>
            <w:r>
              <w:rPr>
                <w:sz w:val="4"/>
                <w:szCs w:val="4"/>
              </w:rPr>
            </w:r>
          </w:p>
        </w:tc>
        <w:tc>
          <w:tcPr>
            <w:tcW w:w="8349" w:type="dxa"/>
            <w:gridSpan w:val="2"/>
            <w:tcBorders/>
            <w:shd w:fill="auto" w:val="clear"/>
            <w:vAlign w:val="center"/>
          </w:tcPr>
          <w:p>
            <w:pPr>
              <w:pStyle w:val="TableContents"/>
              <w:spacing w:before="0" w:after="283"/>
              <w:rPr>
                <w:sz w:val="4"/>
                <w:szCs w:val="4"/>
              </w:rPr>
            </w:pPr>
            <w:r>
              <w:rPr>
                <w:sz w:val="4"/>
                <w:szCs w:val="4"/>
              </w:rPr>
            </w:r>
          </w:p>
        </w:tc>
      </w:tr>
      <w:tr>
        <w:trPr/>
        <w:tc>
          <w:tcPr>
            <w:tcW w:w="185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229" w:type="dxa"/>
            <w:tcBorders/>
            <w:shd w:fill="auto" w:val="clear"/>
            <w:vAlign w:val="center"/>
          </w:tcPr>
          <w:p>
            <w:pPr>
              <w:pStyle w:val="TableContents"/>
              <w:spacing w:before="0" w:after="283"/>
              <w:rPr/>
            </w:pPr>
            <w:r>
              <w:rPr/>
              <w:t>To transact such other business as may properly come before the Annual Meeting or any adjournment thereof.</w:t>
            </w:r>
          </w:p>
        </w:tc>
      </w:tr>
      <w:tr>
        <w:trPr/>
        <w:tc>
          <w:tcPr>
            <w:tcW w:w="1856" w:type="dxa"/>
            <w:tcBorders/>
            <w:shd w:fill="auto" w:val="clear"/>
            <w:vAlign w:val="center"/>
          </w:tcPr>
          <w:p>
            <w:pPr>
              <w:pStyle w:val="TableContents"/>
              <w:spacing w:before="0" w:after="283"/>
              <w:rPr>
                <w:sz w:val="4"/>
                <w:szCs w:val="4"/>
              </w:rPr>
            </w:pPr>
            <w:r>
              <w:rPr>
                <w:sz w:val="4"/>
                <w:szCs w:val="4"/>
              </w:rPr>
            </w:r>
          </w:p>
        </w:tc>
        <w:tc>
          <w:tcPr>
            <w:tcW w:w="8349" w:type="dxa"/>
            <w:gridSpan w:val="2"/>
            <w:tcBorders/>
            <w:shd w:fill="auto" w:val="clear"/>
            <w:vAlign w:val="center"/>
          </w:tcPr>
          <w:p>
            <w:pPr>
              <w:pStyle w:val="TableContents"/>
              <w:spacing w:before="0" w:after="283"/>
              <w:rPr>
                <w:sz w:val="4"/>
                <w:szCs w:val="4"/>
              </w:rPr>
            </w:pPr>
            <w:r>
              <w:rPr>
                <w:sz w:val="4"/>
                <w:szCs w:val="4"/>
              </w:rPr>
            </w:r>
          </w:p>
        </w:tc>
      </w:tr>
      <w:tr>
        <w:trPr/>
        <w:tc>
          <w:tcPr>
            <w:tcW w:w="185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229" w:type="dxa"/>
            <w:tcBorders/>
            <w:shd w:fill="auto" w:val="clear"/>
            <w:vAlign w:val="center"/>
          </w:tcPr>
          <w:p>
            <w:pPr>
              <w:pStyle w:val="TableContents"/>
              <w:spacing w:before="0" w:after="283"/>
              <w:rPr/>
            </w:pPr>
            <w:r>
              <w:rPr/>
              <w:t>These items of business are more fully described in the proxy statement accompanying this notice.</w:t>
            </w:r>
          </w:p>
        </w:tc>
      </w:tr>
      <w:tr>
        <w:trPr/>
        <w:tc>
          <w:tcPr>
            <w:tcW w:w="1856" w:type="dxa"/>
            <w:tcBorders/>
            <w:shd w:fill="auto" w:val="clear"/>
            <w:vAlign w:val="center"/>
          </w:tcPr>
          <w:p>
            <w:pPr>
              <w:pStyle w:val="TableContents"/>
              <w:spacing w:before="0" w:after="283"/>
              <w:rPr>
                <w:sz w:val="4"/>
                <w:szCs w:val="4"/>
              </w:rPr>
            </w:pPr>
            <w:r>
              <w:rPr>
                <w:sz w:val="4"/>
                <w:szCs w:val="4"/>
              </w:rPr>
            </w:r>
          </w:p>
        </w:tc>
        <w:tc>
          <w:tcPr>
            <w:tcW w:w="8349" w:type="dxa"/>
            <w:gridSpan w:val="2"/>
            <w:tcBorders/>
            <w:shd w:fill="auto" w:val="clear"/>
            <w:vAlign w:val="center"/>
          </w:tcPr>
          <w:p>
            <w:pPr>
              <w:pStyle w:val="TableContents"/>
              <w:spacing w:before="0" w:after="283"/>
              <w:rPr>
                <w:sz w:val="4"/>
                <w:szCs w:val="4"/>
              </w:rPr>
            </w:pPr>
            <w:r>
              <w:rPr>
                <w:sz w:val="4"/>
                <w:szCs w:val="4"/>
              </w:rPr>
            </w:r>
          </w:p>
        </w:tc>
      </w:tr>
      <w:tr>
        <w:trPr/>
        <w:tc>
          <w:tcPr>
            <w:tcW w:w="1856" w:type="dxa"/>
            <w:tcBorders/>
            <w:shd w:fill="auto" w:val="clear"/>
            <w:vAlign w:val="center"/>
          </w:tcPr>
          <w:p>
            <w:pPr>
              <w:pStyle w:val="TableContents"/>
              <w:spacing w:before="0" w:after="283"/>
              <w:rPr>
                <w:b/>
              </w:rPr>
            </w:pPr>
            <w:r>
              <w:rPr>
                <w:b/>
              </w:rPr>
              <w:t>Adjournments and Postponements:</w:t>
            </w:r>
          </w:p>
        </w:tc>
        <w:tc>
          <w:tcPr>
            <w:tcW w:w="120" w:type="dxa"/>
            <w:tcBorders/>
            <w:shd w:fill="auto" w:val="clear"/>
            <w:vAlign w:val="center"/>
          </w:tcPr>
          <w:p>
            <w:pPr>
              <w:pStyle w:val="TableContents"/>
              <w:spacing w:before="0" w:after="283"/>
              <w:rPr/>
            </w:pPr>
            <w:r>
              <w:rPr/>
              <w:t>  </w:t>
            </w:r>
          </w:p>
        </w:tc>
        <w:tc>
          <w:tcPr>
            <w:tcW w:w="8229" w:type="dxa"/>
            <w:tcBorders/>
            <w:shd w:fill="auto" w:val="clear"/>
            <w:vAlign w:val="center"/>
          </w:tcPr>
          <w:p>
            <w:pPr>
              <w:pStyle w:val="TableContents"/>
              <w:spacing w:before="0" w:after="283"/>
              <w:rPr/>
            </w:pPr>
            <w:r>
              <w:rPr/>
              <w:t>Any action on the items of business described above may be considered at the Annual Meeting at the time and on the date specified above or at any time and date to which the Annual Meeting may be properly adjourned or postponed.</w:t>
            </w:r>
          </w:p>
        </w:tc>
      </w:tr>
      <w:tr>
        <w:trPr/>
        <w:tc>
          <w:tcPr>
            <w:tcW w:w="1856" w:type="dxa"/>
            <w:tcBorders/>
            <w:shd w:fill="auto" w:val="clear"/>
            <w:vAlign w:val="center"/>
          </w:tcPr>
          <w:p>
            <w:pPr>
              <w:pStyle w:val="TableContents"/>
              <w:spacing w:before="0" w:after="283"/>
              <w:rPr>
                <w:sz w:val="4"/>
                <w:szCs w:val="4"/>
              </w:rPr>
            </w:pPr>
            <w:r>
              <w:rPr>
                <w:sz w:val="4"/>
                <w:szCs w:val="4"/>
              </w:rPr>
            </w:r>
          </w:p>
        </w:tc>
        <w:tc>
          <w:tcPr>
            <w:tcW w:w="8349" w:type="dxa"/>
            <w:gridSpan w:val="2"/>
            <w:tcBorders/>
            <w:shd w:fill="auto" w:val="clear"/>
            <w:vAlign w:val="center"/>
          </w:tcPr>
          <w:p>
            <w:pPr>
              <w:pStyle w:val="TableContents"/>
              <w:spacing w:before="0" w:after="283"/>
              <w:rPr>
                <w:sz w:val="4"/>
                <w:szCs w:val="4"/>
              </w:rPr>
            </w:pPr>
            <w:r>
              <w:rPr>
                <w:sz w:val="4"/>
                <w:szCs w:val="4"/>
              </w:rPr>
            </w:r>
          </w:p>
        </w:tc>
      </w:tr>
      <w:tr>
        <w:trPr/>
        <w:tc>
          <w:tcPr>
            <w:tcW w:w="1856" w:type="dxa"/>
            <w:tcBorders/>
            <w:shd w:fill="auto" w:val="clear"/>
            <w:vAlign w:val="center"/>
          </w:tcPr>
          <w:p>
            <w:pPr>
              <w:pStyle w:val="TableContents"/>
              <w:spacing w:before="0" w:after="283"/>
              <w:rPr>
                <w:b/>
              </w:rPr>
            </w:pPr>
            <w:r>
              <w:rPr>
                <w:b/>
              </w:rPr>
              <w:t>Record Date:</w:t>
            </w:r>
          </w:p>
        </w:tc>
        <w:tc>
          <w:tcPr>
            <w:tcW w:w="120" w:type="dxa"/>
            <w:tcBorders/>
            <w:shd w:fill="auto" w:val="clear"/>
            <w:vAlign w:val="center"/>
          </w:tcPr>
          <w:p>
            <w:pPr>
              <w:pStyle w:val="TableContents"/>
              <w:spacing w:before="0" w:after="283"/>
              <w:rPr/>
            </w:pPr>
            <w:r>
              <w:rPr/>
              <w:t>  </w:t>
            </w:r>
          </w:p>
        </w:tc>
        <w:tc>
          <w:tcPr>
            <w:tcW w:w="8229" w:type="dxa"/>
            <w:tcBorders/>
            <w:shd w:fill="auto" w:val="clear"/>
            <w:vAlign w:val="center"/>
          </w:tcPr>
          <w:p>
            <w:pPr>
              <w:pStyle w:val="TableContents"/>
              <w:spacing w:before="0" w:after="283"/>
              <w:rPr/>
            </w:pPr>
            <w:r>
              <w:rPr/>
              <w:t>You are entitled to vote if you were a stockholder of record as of the close of business on April 10, 2023.</w:t>
            </w:r>
          </w:p>
        </w:tc>
      </w:tr>
      <w:tr>
        <w:trPr/>
        <w:tc>
          <w:tcPr>
            <w:tcW w:w="1856" w:type="dxa"/>
            <w:tcBorders/>
            <w:shd w:fill="auto" w:val="clear"/>
            <w:vAlign w:val="center"/>
          </w:tcPr>
          <w:p>
            <w:pPr>
              <w:pStyle w:val="TableContents"/>
              <w:spacing w:before="0" w:after="283"/>
              <w:rPr>
                <w:sz w:val="4"/>
                <w:szCs w:val="4"/>
              </w:rPr>
            </w:pPr>
            <w:r>
              <w:rPr>
                <w:sz w:val="4"/>
                <w:szCs w:val="4"/>
              </w:rPr>
            </w:r>
          </w:p>
        </w:tc>
        <w:tc>
          <w:tcPr>
            <w:tcW w:w="8349" w:type="dxa"/>
            <w:gridSpan w:val="2"/>
            <w:tcBorders/>
            <w:shd w:fill="auto" w:val="clear"/>
            <w:vAlign w:val="center"/>
          </w:tcPr>
          <w:p>
            <w:pPr>
              <w:pStyle w:val="TableContents"/>
              <w:spacing w:before="0" w:after="283"/>
              <w:rPr>
                <w:sz w:val="4"/>
                <w:szCs w:val="4"/>
              </w:rPr>
            </w:pPr>
            <w:r>
              <w:rPr>
                <w:sz w:val="4"/>
                <w:szCs w:val="4"/>
              </w:rPr>
            </w:r>
          </w:p>
        </w:tc>
      </w:tr>
      <w:tr>
        <w:trPr/>
        <w:tc>
          <w:tcPr>
            <w:tcW w:w="1856" w:type="dxa"/>
            <w:tcBorders/>
            <w:shd w:fill="auto" w:val="clear"/>
            <w:vAlign w:val="center"/>
          </w:tcPr>
          <w:p>
            <w:pPr>
              <w:pStyle w:val="TableContents"/>
              <w:spacing w:before="0" w:after="283"/>
              <w:rPr>
                <w:b/>
              </w:rPr>
            </w:pPr>
            <w:r>
              <w:rPr>
                <w:b/>
              </w:rPr>
              <w:t>Voting:</w:t>
            </w:r>
          </w:p>
        </w:tc>
        <w:tc>
          <w:tcPr>
            <w:tcW w:w="120" w:type="dxa"/>
            <w:tcBorders/>
            <w:shd w:fill="auto" w:val="clear"/>
            <w:vAlign w:val="center"/>
          </w:tcPr>
          <w:p>
            <w:pPr>
              <w:pStyle w:val="TableContents"/>
              <w:spacing w:before="0" w:after="283"/>
              <w:rPr/>
            </w:pPr>
            <w:r>
              <w:rPr/>
              <w:t>  </w:t>
            </w:r>
          </w:p>
        </w:tc>
        <w:tc>
          <w:tcPr>
            <w:tcW w:w="8229" w:type="dxa"/>
            <w:tcBorders/>
            <w:shd w:fill="auto" w:val="clear"/>
            <w:vAlign w:val="center"/>
          </w:tcPr>
          <w:p>
            <w:pPr>
              <w:pStyle w:val="TableContents"/>
              <w:spacing w:before="0" w:after="283"/>
              <w:rPr/>
            </w:pPr>
            <w:r>
              <w:rPr/>
              <w:t>Your vote is very important. Whether or not you plan to attend the Annual Meeting, we encourage you to read the proxy statement and vote on the internet or by telephone or submit your proxy card, if you have requested one, as soon as possible. For specific instructions on how to vote your shares, please refer to the section entitled “Questions and Answers About Procedural Matters.”</w:t>
            </w:r>
          </w:p>
        </w:tc>
      </w:tr>
    </w:tbl>
    <w:p>
      <w:pPr>
        <w:pStyle w:val="TextBody"/>
        <w:spacing w:before="240" w:after="0"/>
        <w:jc w:val="left"/>
        <w:rPr>
          <w:rFonts w:ascii="Times New Roman" w:hAnsi="Times New Roman"/>
          <w:sz w:val="20"/>
        </w:rPr>
      </w:pPr>
      <w:r>
        <w:rPr>
          <w:rFonts w:ascii="Times New Roman" w:hAnsi="Times New Roman"/>
          <w:sz w:val="20"/>
        </w:rPr>
        <w:t xml:space="preserve">A Notice of Internet Availability of Proxy Materials (Notice) has been mailed to stockholders of record on or about April 25, 2023. The Notice contains instructions on how to access our proxy statement for our 2023 Annual Meeting of Stockholders and our annual report on Form 10-K for the year ended December 31, 2022 (together, the proxy materials). The Notice also provides instructions on how to vote online, by telephone or by mail and includes instructions on how to receive a paper copy of proxy materials by mail. The proxy materials can be accessed directly at the following internet address: www.proxyvote.com. </w:t>
      </w:r>
    </w:p>
    <w:p>
      <w:pPr>
        <w:pStyle w:val="TextBody"/>
        <w:spacing w:before="240" w:after="0"/>
        <w:jc w:val="left"/>
        <w:rPr>
          <w:rFonts w:ascii="Times New Roman" w:hAnsi="Times New Roman"/>
          <w:sz w:val="20"/>
        </w:rPr>
      </w:pPr>
      <w:r>
        <w:rPr>
          <w:rFonts w:ascii="Times New Roman" w:hAnsi="Times New Roman"/>
          <w:sz w:val="20"/>
        </w:rPr>
        <w:t xml:space="preserve">By order of the Board of Directors, </w:t>
      </w:r>
    </w:p>
    <w:p>
      <w:pPr>
        <w:pStyle w:val="TextBody"/>
        <w:spacing w:before="240" w:after="0"/>
        <w:jc w:val="left"/>
        <w:rPr>
          <w:rFonts w:ascii="Times New Roman" w:hAnsi="Times New Roman"/>
          <w:sz w:val="20"/>
        </w:rPr>
      </w:pPr>
      <w:r>
        <w:rPr>
          <w:rFonts w:ascii="Times New Roman" w:hAnsi="Times New Roman"/>
          <w:sz w:val="20"/>
        </w:rPr>
        <w:t xml:space="preserve">Michael Massaro </w:t>
      </w:r>
    </w:p>
    <w:p>
      <w:pPr>
        <w:pStyle w:val="TextBody"/>
        <w:spacing w:before="0" w:after="0"/>
        <w:jc w:val="left"/>
        <w:rPr>
          <w:rFonts w:ascii="Times New Roman" w:hAnsi="Times New Roman"/>
          <w:i/>
          <w:sz w:val="20"/>
        </w:rPr>
      </w:pPr>
      <w:r>
        <w:rPr>
          <w:rFonts w:ascii="Times New Roman" w:hAnsi="Times New Roman"/>
          <w:i/>
          <w:sz w:val="20"/>
        </w:rPr>
        <w:t xml:space="preserve">Chief Executive Officer and Director </w:t>
      </w:r>
    </w:p>
    <w:p>
      <w:pPr>
        <w:pStyle w:val="TextBody"/>
        <w:spacing w:before="240" w:after="0"/>
        <w:jc w:val="left"/>
        <w:rPr>
          <w:rFonts w:ascii="Times New Roman" w:hAnsi="Times New Roman"/>
          <w:i/>
          <w:sz w:val="20"/>
        </w:rPr>
      </w:pPr>
      <w:r>
        <w:rPr>
          <w:rFonts w:ascii="Times New Roman" w:hAnsi="Times New Roman"/>
          <w:i/>
          <w:sz w:val="20"/>
        </w:rPr>
        <w:t xml:space="preserve">This notice of annual meeting, proxy statement and accompanying form of proxy card are being made available on or about April 25, 2023.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sz w:val="20"/>
        </w:rPr>
      </w:pPr>
      <w:bookmarkStart w:id="2" w:name="toc"/>
      <w:bookmarkEnd w:id="2"/>
      <w:r>
        <w:rPr>
          <w:rFonts w:ascii="Times New Roman" w:hAnsi="Times New Roman"/>
          <w:sz w:val="20"/>
        </w:rPr>
        <w:t xml:space="preserve">TABLE OF CONTENTS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9495"/>
        <w:gridCol w:w="120"/>
        <w:gridCol w:w="96"/>
        <w:gridCol w:w="419"/>
        <w:gridCol w:w="75"/>
      </w:tblGrid>
      <w:tr>
        <w:trPr/>
        <w:tc>
          <w:tcPr>
            <w:tcW w:w="94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15" w:type="dxa"/>
            <w:gridSpan w:val="2"/>
            <w:tcBorders/>
            <w:shd w:fill="auto" w:val="clear"/>
            <w:vAlign w:val="center"/>
          </w:tcPr>
          <w:p>
            <w:pPr>
              <w:pStyle w:val="TableContents"/>
              <w:spacing w:before="0" w:after="283"/>
              <w:jc w:val="center"/>
              <w:rPr>
                <w:b/>
              </w:rPr>
            </w:pPr>
            <w:r>
              <w:rPr>
                <w:b/>
              </w:rPr>
              <w:t>Page</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59255_1">
              <w:r>
                <w:rPr>
                  <w:rStyle w:val="InternetLink"/>
                  <w:rFonts w:ascii="Times New Roman" w:hAnsi="Times New Roman"/>
                  <w:sz w:val="20"/>
                </w:rPr>
                <w:t>QUESTIONS AND ANSWERS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59255_2">
              <w:r>
                <w:rPr>
                  <w:rStyle w:val="InternetLink"/>
                  <w:rFonts w:ascii="Times New Roman" w:hAnsi="Times New Roman"/>
                  <w:sz w:val="20"/>
                </w:rPr>
                <w:t>Annual Meeting</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59255_3">
              <w:r>
                <w:rPr>
                  <w:rStyle w:val="InternetLink"/>
                  <w:rFonts w:ascii="Times New Roman" w:hAnsi="Times New Roman"/>
                  <w:sz w:val="20"/>
                </w:rPr>
                <w:t>Stock Ownership</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59255_4">
              <w:r>
                <w:rPr>
                  <w:rStyle w:val="InternetLink"/>
                  <w:rFonts w:ascii="Times New Roman" w:hAnsi="Times New Roman"/>
                  <w:sz w:val="20"/>
                </w:rPr>
                <w:t>Quorum and Voting</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59255_5">
              <w:r>
                <w:rPr>
                  <w:rStyle w:val="InternetLink"/>
                  <w:rFonts w:ascii="Times New Roman" w:hAnsi="Times New Roman"/>
                  <w:sz w:val="20"/>
                </w:rPr>
                <w:t>Stockholder Proposals and Director Nominations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6</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59255_6">
              <w:r>
                <w:rPr>
                  <w:rStyle w:val="InternetLink"/>
                  <w:rFonts w:ascii="Times New Roman" w:hAnsi="Times New Roman"/>
                  <w:sz w:val="20"/>
                </w:rPr>
                <w:t>Additional Information about the Proxy Materials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7</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59255_7">
              <w:r>
                <w:rPr>
                  <w:rStyle w:val="InternetLink"/>
                  <w:rFonts w:ascii="Times New Roman" w:hAnsi="Times New Roman"/>
                  <w:sz w:val="20"/>
                </w:rPr>
                <w:t>IMPORTANT NOTICE REGARDING THE AVAILABILITY OF PROXY MATERIALS FOR THE STOCKHOLDER MEETING TO BE HELD ON JUNE 6, 2023</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7</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59255_8">
              <w:r>
                <w:rPr>
                  <w:rStyle w:val="InternetLink"/>
                  <w:rFonts w:ascii="Times New Roman" w:hAnsi="Times New Roman"/>
                  <w:sz w:val="20"/>
                </w:rPr>
                <w:t>PROPOSAL 1—ELECTION OF DIRECTORS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8</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59255_9">
              <w:r>
                <w:rPr>
                  <w:rStyle w:val="InternetLink"/>
                  <w:rFonts w:ascii="Times New Roman" w:hAnsi="Times New Roman"/>
                  <w:sz w:val="20"/>
                </w:rPr>
                <w:t>General</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8</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59255_10">
              <w:r>
                <w:rPr>
                  <w:rStyle w:val="InternetLink"/>
                  <w:rFonts w:ascii="Times New Roman" w:hAnsi="Times New Roman"/>
                  <w:sz w:val="20"/>
                </w:rPr>
                <w:t>Nominees for Election as Class II Directors at the Annual Meeting</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8</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59255_11">
              <w:r>
                <w:rPr>
                  <w:rStyle w:val="InternetLink"/>
                  <w:rFonts w:ascii="Times New Roman" w:hAnsi="Times New Roman"/>
                  <w:sz w:val="20"/>
                </w:rPr>
                <w:t>Required Vote and Recommendation of the Board of Directors for Proposal 1</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9</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59255_12">
              <w:r>
                <w:rPr>
                  <w:rStyle w:val="InternetLink"/>
                  <w:rFonts w:ascii="Times New Roman" w:hAnsi="Times New Roman"/>
                  <w:sz w:val="20"/>
                </w:rPr>
                <w:t>Continuing Directors Not Standing for Election</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10</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59255_13">
              <w:r>
                <w:rPr>
                  <w:rStyle w:val="InternetLink"/>
                  <w:rFonts w:ascii="Times New Roman" w:hAnsi="Times New Roman"/>
                  <w:sz w:val="20"/>
                </w:rPr>
                <w:t>PROPOSAL 2—RATIFICATION OF THE APPOINTMENT OF INDEPENDENT REGISTERED PUBLIC ACCOUNTING FIRM</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12</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59255_14">
              <w:r>
                <w:rPr>
                  <w:rStyle w:val="InternetLink"/>
                  <w:rFonts w:ascii="Times New Roman" w:hAnsi="Times New Roman"/>
                  <w:sz w:val="20"/>
                </w:rPr>
                <w:t>General</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12</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59255_15">
              <w:r>
                <w:rPr>
                  <w:rStyle w:val="InternetLink"/>
                  <w:rFonts w:ascii="Times New Roman" w:hAnsi="Times New Roman"/>
                  <w:sz w:val="20"/>
                </w:rPr>
                <w:t>Principal Accounting Fees and Services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12</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59255_16">
              <w:r>
                <w:rPr>
                  <w:rStyle w:val="InternetLink"/>
                  <w:rFonts w:ascii="Times New Roman" w:hAnsi="Times New Roman"/>
                  <w:sz w:val="20"/>
                </w:rPr>
                <w:t>Pre-Approval of Audit and Non-Audit Services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13</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59255_17">
              <w:r>
                <w:rPr>
                  <w:rStyle w:val="InternetLink"/>
                  <w:rFonts w:ascii="Times New Roman" w:hAnsi="Times New Roman"/>
                  <w:sz w:val="20"/>
                </w:rPr>
                <w:t>PROPOSAL 3: ADVISORY VOTE ON EXECUTIVE COMPENSATION </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14</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59255_18">
              <w:r>
                <w:rPr>
                  <w:rStyle w:val="InternetLink"/>
                  <w:rFonts w:ascii="Times New Roman" w:hAnsi="Times New Roman"/>
                  <w:sz w:val="20"/>
                </w:rPr>
                <w:t>PROPOSAL 4: ADVISORY VOTE ON THE FREQUENCY OF STOCKHOLDER ADVISORY VOTES ON EXECUTIVE COMPENSATION </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15</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59255_19">
              <w:r>
                <w:rPr>
                  <w:rStyle w:val="InternetLink"/>
                  <w:rFonts w:ascii="Times New Roman" w:hAnsi="Times New Roman"/>
                  <w:sz w:val="20"/>
                </w:rPr>
                <w:t>CORPORATE GOVERNANCE</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16</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59255_20">
              <w:r>
                <w:rPr>
                  <w:rStyle w:val="InternetLink"/>
                  <w:rFonts w:ascii="Times New Roman" w:hAnsi="Times New Roman"/>
                  <w:sz w:val="20"/>
                </w:rPr>
                <w:t>Code of Conduct</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16</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59255_21">
              <w:r>
                <w:rPr>
                  <w:rStyle w:val="InternetLink"/>
                  <w:rFonts w:ascii="Times New Roman" w:hAnsi="Times New Roman"/>
                  <w:sz w:val="20"/>
                </w:rPr>
                <w:t>Board Composition</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17</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59255_22">
              <w:r>
                <w:rPr>
                  <w:rStyle w:val="InternetLink"/>
                  <w:rFonts w:ascii="Times New Roman" w:hAnsi="Times New Roman"/>
                  <w:sz w:val="20"/>
                </w:rPr>
                <w:t>Director Independence</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17</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59255_23">
              <w:r>
                <w:rPr>
                  <w:rStyle w:val="InternetLink"/>
                  <w:rFonts w:ascii="Times New Roman" w:hAnsi="Times New Roman"/>
                  <w:sz w:val="20"/>
                </w:rPr>
                <w:t>Board Leadership Structure</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17</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59255_24">
              <w:r>
                <w:rPr>
                  <w:rStyle w:val="InternetLink"/>
                  <w:rFonts w:ascii="Times New Roman" w:hAnsi="Times New Roman"/>
                  <w:sz w:val="20"/>
                </w:rPr>
                <w:t>Board Committees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18</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59255_25">
              <w:r>
                <w:rPr>
                  <w:rStyle w:val="InternetLink"/>
                  <w:rFonts w:ascii="Times New Roman" w:hAnsi="Times New Roman"/>
                  <w:sz w:val="20"/>
                </w:rPr>
                <w:t>Compensation Committee Interlocks and Insider Participation</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22</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59255_26">
              <w:r>
                <w:rPr>
                  <w:rStyle w:val="InternetLink"/>
                  <w:rFonts w:ascii="Times New Roman" w:hAnsi="Times New Roman"/>
                  <w:sz w:val="20"/>
                </w:rPr>
                <w:t>Meetings of the Board of Directors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22</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59255_27">
              <w:r>
                <w:rPr>
                  <w:rStyle w:val="InternetLink"/>
                  <w:rFonts w:ascii="Times New Roman" w:hAnsi="Times New Roman"/>
                  <w:sz w:val="20"/>
                </w:rPr>
                <w:t>Board Oversight of Risk</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22</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59255_28">
              <w:r>
                <w:rPr>
                  <w:rStyle w:val="InternetLink"/>
                  <w:rFonts w:ascii="Times New Roman" w:hAnsi="Times New Roman"/>
                  <w:sz w:val="20"/>
                </w:rPr>
                <w:t>Director Compensation</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22</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59255_29">
              <w:r>
                <w:rPr>
                  <w:rStyle w:val="InternetLink"/>
                  <w:rFonts w:ascii="Times New Roman" w:hAnsi="Times New Roman"/>
                  <w:sz w:val="20"/>
                </w:rPr>
                <w:t>Stockholder Communications with the Board of Directors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24</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59255_30">
              <w:r>
                <w:rPr>
                  <w:rStyle w:val="InternetLink"/>
                  <w:rFonts w:ascii="Times New Roman" w:hAnsi="Times New Roman"/>
                  <w:sz w:val="20"/>
                </w:rPr>
                <w:t>INFORMATION ABOUT OUR EXECUTIVE OFFICERS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25</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59255_31">
              <w:r>
                <w:rPr>
                  <w:rStyle w:val="InternetLink"/>
                  <w:rFonts w:ascii="Times New Roman" w:hAnsi="Times New Roman"/>
                  <w:sz w:val="20"/>
                </w:rPr>
                <w:t>EXECUTIVE COMPENSATION</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27</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59255_32">
              <w:r>
                <w:rPr>
                  <w:rStyle w:val="InternetLink"/>
                  <w:rFonts w:ascii="Times New Roman" w:hAnsi="Times New Roman"/>
                  <w:sz w:val="20"/>
                </w:rPr>
                <w:t>Severance and Change in Control Benefits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36</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59255_33">
              <w:r>
                <w:rPr>
                  <w:rStyle w:val="InternetLink"/>
                  <w:rFonts w:ascii="Times New Roman" w:hAnsi="Times New Roman"/>
                  <w:sz w:val="20"/>
                </w:rPr>
                <w:t>Summary Compensation Table</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38</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59255_34">
              <w:r>
                <w:rPr>
                  <w:rStyle w:val="InternetLink"/>
                  <w:rFonts w:ascii="Times New Roman" w:hAnsi="Times New Roman"/>
                  <w:sz w:val="20"/>
                </w:rPr>
                <w:t>Narrative Explanation of Certain Aspects of the Summary Compensation Table</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toc359255_35">
              <w:r>
                <w:rPr>
                  <w:rStyle w:val="InternetLink"/>
                  <w:rFonts w:ascii="Times New Roman" w:hAnsi="Times New Roman"/>
                  <w:sz w:val="20"/>
                </w:rPr>
                <w:t>Outstanding Equity Awards at Fiscal 2022 Year End</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40</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59255_36">
              <w:r>
                <w:rPr>
                  <w:rStyle w:val="InternetLink"/>
                  <w:rFonts w:ascii="Times New Roman" w:hAnsi="Times New Roman"/>
                  <w:sz w:val="20"/>
                </w:rPr>
                <w:t>Employee Benefits and Perquisites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toc359255_37">
              <w:r>
                <w:rPr>
                  <w:rStyle w:val="InternetLink"/>
                  <w:rFonts w:ascii="Times New Roman" w:hAnsi="Times New Roman"/>
                  <w:sz w:val="20"/>
                </w:rPr>
                <w:t>SECURITY OWNERSHIP OF CERTAIN BENEFICIAL OWNERS AND MANAGEMENT</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51</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59255_38">
              <w:r>
                <w:rPr>
                  <w:rStyle w:val="InternetLink"/>
                  <w:rFonts w:ascii="Times New Roman" w:hAnsi="Times New Roman"/>
                  <w:sz w:val="20"/>
                </w:rPr>
                <w:t>CERTAIN RELATIONSHIPS AND RELATED PARTY TRANSACTIONS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54</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59255_39">
              <w:r>
                <w:rPr>
                  <w:rStyle w:val="InternetLink"/>
                  <w:rFonts w:ascii="Times New Roman" w:hAnsi="Times New Roman"/>
                  <w:sz w:val="20"/>
                </w:rPr>
                <w:t>AUDIT COMMITTEE REPORT</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55</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59255_40">
              <w:r>
                <w:rPr>
                  <w:rStyle w:val="InternetLink"/>
                  <w:rFonts w:ascii="Times New Roman" w:hAnsi="Times New Roman"/>
                  <w:sz w:val="20"/>
                </w:rPr>
                <w:t>OTHER MATTERS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57</w:t>
            </w:r>
          </w:p>
        </w:tc>
        <w:tc>
          <w:tcPr>
            <w:tcW w:w="75" w:type="dxa"/>
            <w:tcBorders/>
            <w:shd w:fill="auto" w:val="cle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FLYWIRE CORPORATION </w:t>
      </w:r>
    </w:p>
    <w:p>
      <w:pPr>
        <w:pStyle w:val="TextBody"/>
        <w:spacing w:before="0" w:after="0"/>
        <w:jc w:val="center"/>
        <w:rPr>
          <w:rFonts w:ascii="Times New Roman" w:hAnsi="Times New Roman"/>
          <w:b/>
          <w:sz w:val="20"/>
        </w:rPr>
      </w:pPr>
      <w:r>
        <w:rPr>
          <w:rFonts w:ascii="Times New Roman" w:hAnsi="Times New Roman"/>
          <w:b/>
          <w:sz w:val="20"/>
        </w:rPr>
        <w:t xml:space="preserve">141 Tremont St., 10th Floor </w:t>
      </w:r>
    </w:p>
    <w:p>
      <w:pPr>
        <w:pStyle w:val="TextBody"/>
        <w:spacing w:before="0" w:after="0"/>
        <w:jc w:val="center"/>
        <w:rPr>
          <w:rFonts w:ascii="Times New Roman" w:hAnsi="Times New Roman"/>
          <w:b/>
          <w:sz w:val="20"/>
        </w:rPr>
      </w:pPr>
      <w:r>
        <w:rPr>
          <w:rFonts w:ascii="Times New Roman" w:hAnsi="Times New Roman"/>
          <w:b/>
          <w:sz w:val="20"/>
        </w:rPr>
        <w:t xml:space="preserve">Boston, Massachusetts 02111 </w:t>
      </w:r>
    </w:p>
    <w:p>
      <w:pPr>
        <w:pStyle w:val="TextBody"/>
        <w:spacing w:before="240" w:after="0"/>
        <w:jc w:val="center"/>
        <w:rPr>
          <w:rFonts w:ascii="Times New Roman" w:hAnsi="Times New Roman"/>
          <w:b/>
          <w:sz w:val="20"/>
        </w:rPr>
      </w:pPr>
      <w:r>
        <w:rPr>
          <w:rFonts w:ascii="Times New Roman" w:hAnsi="Times New Roman"/>
          <w:b/>
          <w:sz w:val="20"/>
        </w:rPr>
        <w:t xml:space="preserve">PROXY STATEMENT FOR 2023 ANNUAL MEETING OF STOCKHOLDERS </w:t>
      </w:r>
    </w:p>
    <w:p>
      <w:pPr>
        <w:pStyle w:val="TextBody"/>
        <w:spacing w:before="240" w:after="0"/>
        <w:jc w:val="left"/>
        <w:rPr>
          <w:rFonts w:ascii="Times New Roman" w:hAnsi="Times New Roman"/>
          <w:sz w:val="20"/>
        </w:rPr>
      </w:pPr>
      <w:r>
        <w:rPr>
          <w:rFonts w:ascii="Times New Roman" w:hAnsi="Times New Roman"/>
          <w:sz w:val="20"/>
        </w:rPr>
        <w:t xml:space="preserve">This proxy statement is furnished in connection with the solicitation of proxies by our Board of Directors for use at the 2023 Annual Meeting of Stockholders (the Annual Meeting) to be held at 11:00 a.m. EDT on Tuesday, June 6, 2023, and any postponements or adjournments thereof. The Annual Meeting will be held virtually via a live audio webcast on the internet at www.virtualshareholdermeeting.com/FLYW2023. There will not be a physical meeting location available for in-person participation. We believe holding our Annual Meeting online will facilitate greater stockholder attendance while still providing comparable rights and opportunities to participate, including the ability to ask questions, as a stockholder would have if he, she or they were attending our Annual Meeting in person. Beginning on or about April 25, 2023, we mailed to our stockholders a Notice of Internet Availability of Proxy Materials (Notice) containing instructions on how to access our proxy materials. As used in this proxy statement, the terms “Flywire,” the “Company,” “we,” “us,” and “our” mean Flywire Corporation unless the context indicates otherwise. Unless otherwise noted or unless the context provides otherwise, all references in this proxy statement to our “common stock” refers to our voting common stock. </w:t>
      </w:r>
    </w:p>
    <w:p>
      <w:pPr>
        <w:pStyle w:val="TextBody"/>
        <w:spacing w:before="480" w:after="0"/>
        <w:jc w:val="center"/>
        <w:rPr>
          <w:rFonts w:ascii="Times New Roman" w:hAnsi="Times New Roman"/>
          <w:b/>
          <w:sz w:val="20"/>
        </w:rPr>
      </w:pPr>
      <w:bookmarkStart w:id="3" w:name="toc359255_1"/>
      <w:bookmarkEnd w:id="3"/>
      <w:r>
        <w:rPr>
          <w:rFonts w:ascii="Times New Roman" w:hAnsi="Times New Roman"/>
          <w:b/>
          <w:sz w:val="20"/>
        </w:rPr>
        <w:t xml:space="preserve">QUESTIONS AND ANSWERS ABOUT PROCEDURAL MATTERS </w:t>
      </w:r>
    </w:p>
    <w:p>
      <w:pPr>
        <w:pStyle w:val="TextBody"/>
        <w:spacing w:before="240" w:after="0"/>
        <w:jc w:val="left"/>
        <w:rPr>
          <w:rFonts w:ascii="Times New Roman" w:hAnsi="Times New Roman"/>
          <w:b/>
          <w:sz w:val="20"/>
        </w:rPr>
      </w:pPr>
      <w:bookmarkStart w:id="4" w:name="toc359255_2"/>
      <w:bookmarkEnd w:id="4"/>
      <w:r>
        <w:rPr>
          <w:rFonts w:ascii="Times New Roman" w:hAnsi="Times New Roman"/>
          <w:b/>
          <w:sz w:val="20"/>
        </w:rPr>
        <w:t xml:space="preserve">Annual Meeting </w:t>
      </w:r>
    </w:p>
    <w:p>
      <w:pPr>
        <w:pStyle w:val="TextBody"/>
        <w:spacing w:before="0" w:after="0"/>
        <w:jc w:val="left"/>
        <w:rPr/>
      </w:pPr>
      <w:r>
        <w:rPr/>
        <w:t> </w:t>
      </w:r>
    </w:p>
    <w:tbl>
      <w:tblPr>
        <w:tblW w:w="4030" w:type="dxa"/>
        <w:jc w:val="left"/>
        <w:tblInd w:w="0" w:type="dxa"/>
        <w:tblCellMar>
          <w:top w:w="0" w:type="dxa"/>
          <w:left w:w="0" w:type="dxa"/>
          <w:bottom w:w="0" w:type="dxa"/>
          <w:right w:w="0" w:type="dxa"/>
        </w:tblCellMar>
      </w:tblPr>
      <w:tblGrid>
        <w:gridCol w:w="290"/>
        <w:gridCol w:w="3740"/>
      </w:tblGrid>
      <w:tr>
        <w:trPr/>
        <w:tc>
          <w:tcPr>
            <w:tcW w:w="290" w:type="dxa"/>
            <w:tcBorders/>
            <w:shd w:fill="auto" w:val="clear"/>
            <w:vAlign w:val="center"/>
          </w:tcPr>
          <w:p>
            <w:pPr>
              <w:pStyle w:val="TableContents"/>
              <w:spacing w:before="0" w:after="283"/>
              <w:jc w:val="left"/>
              <w:rPr>
                <w:b/>
              </w:rPr>
            </w:pPr>
            <w:r>
              <w:rPr>
                <w:b/>
              </w:rPr>
              <w:t>Q:</w:t>
            </w:r>
          </w:p>
        </w:tc>
        <w:tc>
          <w:tcPr>
            <w:tcW w:w="374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Why am I receiving these proxy materials?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27"/>
        <w:gridCol w:w="9978"/>
      </w:tblGrid>
      <w:tr>
        <w:trPr/>
        <w:tc>
          <w:tcPr>
            <w:tcW w:w="227" w:type="dxa"/>
            <w:tcBorders/>
            <w:shd w:fill="auto" w:val="clear"/>
            <w:vAlign w:val="center"/>
          </w:tcPr>
          <w:p>
            <w:pPr>
              <w:pStyle w:val="TableContents"/>
              <w:spacing w:before="0" w:after="283"/>
              <w:jc w:val="left"/>
              <w:rPr>
                <w:b/>
              </w:rPr>
            </w:pPr>
            <w:r>
              <w:rPr>
                <w:b/>
              </w:rPr>
              <w:t>A:</w:t>
            </w:r>
          </w:p>
        </w:tc>
        <w:tc>
          <w:tcPr>
            <w:tcW w:w="997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Board of Directors is providing these proxy materials to you in connection with the solicitation of proxies for use at the Annual Meeting to be held on Tuesday, June 6, 2023 at 11:00 a.m. EDT, and at any adjournment or postponement thereof, for the purpose of considering and acting upon the matters set forth herein. The notice of Annual Meeting, this proxy statement and accompanying form of proxy card are being made available to you on or about April 25, 2023. This proxy statement includes information that we are required to provide to you under Securities and Exchange Commission (SEC) rules and that is designed to assist you in voting your shares. </w:t>
            </w:r>
          </w:p>
        </w:tc>
      </w:tr>
    </w:tbl>
    <w:p>
      <w:pPr>
        <w:pStyle w:val="TextBody"/>
        <w:spacing w:before="0" w:after="0"/>
        <w:jc w:val="left"/>
        <w:rPr/>
      </w:pPr>
      <w:r>
        <w:rPr/>
        <w:t> </w:t>
      </w:r>
    </w:p>
    <w:tbl>
      <w:tblPr>
        <w:tblW w:w="3805" w:type="dxa"/>
        <w:jc w:val="left"/>
        <w:tblInd w:w="0" w:type="dxa"/>
        <w:tblCellMar>
          <w:top w:w="0" w:type="dxa"/>
          <w:left w:w="0" w:type="dxa"/>
          <w:bottom w:w="0" w:type="dxa"/>
          <w:right w:w="0" w:type="dxa"/>
        </w:tblCellMar>
      </w:tblPr>
      <w:tblGrid>
        <w:gridCol w:w="290"/>
        <w:gridCol w:w="3515"/>
      </w:tblGrid>
      <w:tr>
        <w:trPr/>
        <w:tc>
          <w:tcPr>
            <w:tcW w:w="290" w:type="dxa"/>
            <w:tcBorders/>
            <w:shd w:fill="auto" w:val="clear"/>
            <w:vAlign w:val="center"/>
          </w:tcPr>
          <w:p>
            <w:pPr>
              <w:pStyle w:val="TableContents"/>
              <w:spacing w:before="0" w:after="283"/>
              <w:jc w:val="left"/>
              <w:rPr>
                <w:b/>
              </w:rPr>
            </w:pPr>
            <w:r>
              <w:rPr>
                <w:b/>
              </w:rPr>
              <w:t>Q:</w:t>
            </w:r>
          </w:p>
        </w:tc>
        <w:tc>
          <w:tcPr>
            <w:tcW w:w="351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What is included in the proxy materials? </w:t>
            </w:r>
          </w:p>
        </w:tc>
      </w:tr>
    </w:tbl>
    <w:p>
      <w:pPr>
        <w:pStyle w:val="TextBody"/>
        <w:spacing w:before="0" w:after="0"/>
        <w:jc w:val="left"/>
        <w:rPr/>
      </w:pPr>
      <w:r>
        <w:rPr/>
        <w:t> </w:t>
      </w:r>
    </w:p>
    <w:tbl>
      <w:tblPr>
        <w:tblW w:w="2710" w:type="dxa"/>
        <w:jc w:val="left"/>
        <w:tblInd w:w="0" w:type="dxa"/>
        <w:tblCellMar>
          <w:top w:w="0" w:type="dxa"/>
          <w:left w:w="0" w:type="dxa"/>
          <w:bottom w:w="0" w:type="dxa"/>
          <w:right w:w="0" w:type="dxa"/>
        </w:tblCellMar>
      </w:tblPr>
      <w:tblGrid>
        <w:gridCol w:w="290"/>
        <w:gridCol w:w="2420"/>
      </w:tblGrid>
      <w:tr>
        <w:trPr/>
        <w:tc>
          <w:tcPr>
            <w:tcW w:w="290" w:type="dxa"/>
            <w:tcBorders/>
            <w:shd w:fill="auto" w:val="clear"/>
            <w:vAlign w:val="center"/>
          </w:tcPr>
          <w:p>
            <w:pPr>
              <w:pStyle w:val="TableContents"/>
              <w:spacing w:before="0" w:after="283"/>
              <w:jc w:val="left"/>
              <w:rPr>
                <w:b/>
              </w:rPr>
            </w:pPr>
            <w:r>
              <w:rPr>
                <w:b/>
              </w:rPr>
              <w:t>A:</w:t>
            </w:r>
          </w:p>
        </w:tc>
        <w:tc>
          <w:tcPr>
            <w:tcW w:w="24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proxy materials include: </w:t>
            </w:r>
          </w:p>
        </w:tc>
      </w:tr>
    </w:tbl>
    <w:p>
      <w:pPr>
        <w:pStyle w:val="TextBody"/>
        <w:spacing w:before="0" w:after="0"/>
        <w:jc w:val="left"/>
        <w:rPr/>
      </w:pPr>
      <w:r>
        <w:rPr/>
        <w:t> </w:t>
      </w:r>
    </w:p>
    <w:tbl>
      <w:tblPr>
        <w:tblW w:w="4045" w:type="dxa"/>
        <w:jc w:val="left"/>
        <w:tblInd w:w="0" w:type="dxa"/>
        <w:tblCellMar>
          <w:top w:w="0" w:type="dxa"/>
          <w:left w:w="0" w:type="dxa"/>
          <w:bottom w:w="0" w:type="dxa"/>
          <w:right w:w="0" w:type="dxa"/>
        </w:tblCellMar>
      </w:tblPr>
      <w:tblGrid>
        <w:gridCol w:w="75"/>
        <w:gridCol w:w="110"/>
        <w:gridCol w:w="60"/>
        <w:gridCol w:w="38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8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This proxy statement for the Annual Meeting; </w:t>
            </w:r>
          </w:p>
        </w:tc>
      </w:tr>
    </w:tbl>
    <w:p>
      <w:pPr>
        <w:pStyle w:val="TextBody"/>
        <w:spacing w:before="0" w:after="0"/>
        <w:jc w:val="left"/>
        <w:rPr/>
      </w:pPr>
      <w:r>
        <w:rPr/>
        <w:t> </w:t>
      </w:r>
    </w:p>
    <w:tbl>
      <w:tblPr>
        <w:tblW w:w="8575" w:type="dxa"/>
        <w:jc w:val="left"/>
        <w:tblInd w:w="0" w:type="dxa"/>
        <w:tblCellMar>
          <w:top w:w="0" w:type="dxa"/>
          <w:left w:w="0" w:type="dxa"/>
          <w:bottom w:w="0" w:type="dxa"/>
          <w:right w:w="0" w:type="dxa"/>
        </w:tblCellMar>
      </w:tblPr>
      <w:tblGrid>
        <w:gridCol w:w="75"/>
        <w:gridCol w:w="110"/>
        <w:gridCol w:w="60"/>
        <w:gridCol w:w="83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3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annual report on Form 10-K for the year ended December 31, 2022 (the 2022 Annual Report);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proxy card or a voting instruction form for the Annual Meeting, if you have requested that the proxy materials be mailed to you. </w:t>
            </w:r>
          </w:p>
        </w:tc>
      </w:tr>
    </w:tbl>
    <w:p>
      <w:pPr>
        <w:pStyle w:val="TextBody"/>
        <w:spacing w:before="0" w:after="0"/>
        <w:jc w:val="left"/>
        <w:rPr/>
      </w:pPr>
      <w:r>
        <w:rPr/>
        <w:t> </w:t>
      </w:r>
    </w:p>
    <w:tbl>
      <w:tblPr>
        <w:tblW w:w="5005" w:type="dxa"/>
        <w:jc w:val="left"/>
        <w:tblInd w:w="0" w:type="dxa"/>
        <w:tblCellMar>
          <w:top w:w="0" w:type="dxa"/>
          <w:left w:w="0" w:type="dxa"/>
          <w:bottom w:w="0" w:type="dxa"/>
          <w:right w:w="0" w:type="dxa"/>
        </w:tblCellMar>
      </w:tblPr>
      <w:tblGrid>
        <w:gridCol w:w="290"/>
        <w:gridCol w:w="4715"/>
      </w:tblGrid>
      <w:tr>
        <w:trPr/>
        <w:tc>
          <w:tcPr>
            <w:tcW w:w="290" w:type="dxa"/>
            <w:tcBorders/>
            <w:shd w:fill="auto" w:val="clear"/>
            <w:vAlign w:val="center"/>
          </w:tcPr>
          <w:p>
            <w:pPr>
              <w:pStyle w:val="TableContents"/>
              <w:spacing w:before="0" w:after="283"/>
              <w:jc w:val="left"/>
              <w:rPr>
                <w:b/>
              </w:rPr>
            </w:pPr>
            <w:r>
              <w:rPr>
                <w:b/>
              </w:rPr>
              <w:t>Q:</w:t>
            </w:r>
          </w:p>
        </w:tc>
        <w:tc>
          <w:tcPr>
            <w:tcW w:w="471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How can I get electronic access to the proxy materials?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0"/>
        <w:gridCol w:w="9955"/>
      </w:tblGrid>
      <w:tr>
        <w:trPr/>
        <w:tc>
          <w:tcPr>
            <w:tcW w:w="250" w:type="dxa"/>
            <w:tcBorders/>
            <w:shd w:fill="auto" w:val="clear"/>
            <w:vAlign w:val="center"/>
          </w:tcPr>
          <w:p>
            <w:pPr>
              <w:pStyle w:val="TableContents"/>
              <w:spacing w:before="0" w:after="283"/>
              <w:jc w:val="left"/>
              <w:rPr>
                <w:b/>
              </w:rPr>
            </w:pPr>
            <w:r>
              <w:rPr>
                <w:b/>
              </w:rPr>
              <w:t>A:</w:t>
            </w:r>
          </w:p>
        </w:tc>
        <w:tc>
          <w:tcPr>
            <w:tcW w:w="99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proxy materials are available at www.proxyvote.com and at https://ir.flywire.com. Our website address is included for reference only. The information contained on our website is not incorporated by reference into this proxy statement. </w:t>
            </w:r>
          </w:p>
        </w:tc>
      </w:tr>
    </w:tbl>
    <w:p>
      <w:pPr>
        <w:pStyle w:val="TextBody"/>
        <w:spacing w:before="120" w:after="0"/>
        <w:jc w:val="left"/>
        <w:rPr>
          <w:rFonts w:ascii="Times New Roman" w:hAnsi="Times New Roman"/>
          <w:sz w:val="20"/>
        </w:rPr>
      </w:pPr>
      <w:r>
        <w:rPr>
          <w:rFonts w:ascii="Times New Roman" w:hAnsi="Times New Roman"/>
          <w:sz w:val="20"/>
        </w:rPr>
        <w:t xml:space="preserve">You can find directions on how to instruct us to send future proxy materials to you by email at www.proxyvote.com. Choosing to receive future proxy materials by email will save us the cost of printing and mailing documents to you and will reduce the impact of our annual meetings on the environment. If you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choose to receive future proxy materials by email, you will receive an email message next year with instructions containing a link to those materials and a link to the proxy voting website. Your election to receive proxy materials by email will remain in effect until you terminate it. </w:t>
      </w:r>
    </w:p>
    <w:p>
      <w:pPr>
        <w:pStyle w:val="TextBody"/>
        <w:spacing w:before="0" w:after="0"/>
        <w:jc w:val="left"/>
        <w:rPr/>
      </w:pPr>
      <w:r>
        <w:rPr/>
        <w:t> </w:t>
      </w:r>
    </w:p>
    <w:tbl>
      <w:tblPr>
        <w:tblW w:w="5020" w:type="dxa"/>
        <w:jc w:val="left"/>
        <w:tblInd w:w="0" w:type="dxa"/>
        <w:tblCellMar>
          <w:top w:w="0" w:type="dxa"/>
          <w:left w:w="0" w:type="dxa"/>
          <w:bottom w:w="0" w:type="dxa"/>
          <w:right w:w="0" w:type="dxa"/>
        </w:tblCellMar>
      </w:tblPr>
      <w:tblGrid>
        <w:gridCol w:w="290"/>
        <w:gridCol w:w="4730"/>
      </w:tblGrid>
      <w:tr>
        <w:trPr/>
        <w:tc>
          <w:tcPr>
            <w:tcW w:w="290" w:type="dxa"/>
            <w:tcBorders/>
            <w:shd w:fill="auto" w:val="clear"/>
            <w:vAlign w:val="center"/>
          </w:tcPr>
          <w:p>
            <w:pPr>
              <w:pStyle w:val="TableContents"/>
              <w:spacing w:before="0" w:after="283"/>
              <w:jc w:val="left"/>
              <w:rPr>
                <w:b/>
              </w:rPr>
            </w:pPr>
            <w:r>
              <w:rPr>
                <w:b/>
              </w:rPr>
              <w:t>Q:</w:t>
            </w:r>
          </w:p>
        </w:tc>
        <w:tc>
          <w:tcPr>
            <w:tcW w:w="473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What information is contained in this proxy statement?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8"/>
        <w:gridCol w:w="9957"/>
      </w:tblGrid>
      <w:tr>
        <w:trPr/>
        <w:tc>
          <w:tcPr>
            <w:tcW w:w="248" w:type="dxa"/>
            <w:tcBorders/>
            <w:shd w:fill="auto" w:val="clear"/>
            <w:vAlign w:val="center"/>
          </w:tcPr>
          <w:p>
            <w:pPr>
              <w:pStyle w:val="TableContents"/>
              <w:spacing w:before="0" w:after="283"/>
              <w:jc w:val="left"/>
              <w:rPr>
                <w:b/>
              </w:rPr>
            </w:pPr>
            <w:r>
              <w:rPr>
                <w:b/>
              </w:rPr>
              <w:t>A:</w:t>
            </w:r>
          </w:p>
        </w:tc>
        <w:tc>
          <w:tcPr>
            <w:tcW w:w="995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information in this proxy statement relates to the proposals to be voted on at the Annual Meeting, the voting process, the compensation of our directors and certain of our executive officers, corporate governance, and certain other required information. </w:t>
            </w:r>
          </w:p>
        </w:tc>
      </w:tr>
    </w:tbl>
    <w:p>
      <w:pPr>
        <w:pStyle w:val="TextBody"/>
        <w:spacing w:before="0" w:after="0"/>
        <w:jc w:val="left"/>
        <w:rPr/>
      </w:pPr>
      <w:r>
        <w:rPr/>
        <w:t> </w:t>
      </w:r>
    </w:p>
    <w:tbl>
      <w:tblPr>
        <w:tblW w:w="2920" w:type="dxa"/>
        <w:jc w:val="left"/>
        <w:tblInd w:w="0" w:type="dxa"/>
        <w:tblCellMar>
          <w:top w:w="0" w:type="dxa"/>
          <w:left w:w="0" w:type="dxa"/>
          <w:bottom w:w="0" w:type="dxa"/>
          <w:right w:w="0" w:type="dxa"/>
        </w:tblCellMar>
      </w:tblPr>
      <w:tblGrid>
        <w:gridCol w:w="290"/>
        <w:gridCol w:w="2630"/>
      </w:tblGrid>
      <w:tr>
        <w:trPr/>
        <w:tc>
          <w:tcPr>
            <w:tcW w:w="290" w:type="dxa"/>
            <w:tcBorders/>
            <w:shd w:fill="auto" w:val="clear"/>
            <w:vAlign w:val="center"/>
          </w:tcPr>
          <w:p>
            <w:pPr>
              <w:pStyle w:val="TableContents"/>
              <w:spacing w:before="0" w:after="283"/>
              <w:jc w:val="left"/>
              <w:rPr>
                <w:b/>
              </w:rPr>
            </w:pPr>
            <w:r>
              <w:rPr>
                <w:b/>
              </w:rPr>
              <w:t>Q:</w:t>
            </w:r>
          </w:p>
        </w:tc>
        <w:tc>
          <w:tcPr>
            <w:tcW w:w="263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Where is the Annual Meeting?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80"/>
        <w:gridCol w:w="9925"/>
      </w:tblGrid>
      <w:tr>
        <w:trPr/>
        <w:tc>
          <w:tcPr>
            <w:tcW w:w="280" w:type="dxa"/>
            <w:tcBorders/>
            <w:shd w:fill="auto" w:val="clear"/>
            <w:vAlign w:val="center"/>
          </w:tcPr>
          <w:p>
            <w:pPr>
              <w:pStyle w:val="TableContents"/>
              <w:spacing w:before="0" w:after="283"/>
              <w:jc w:val="left"/>
              <w:rPr>
                <w:b/>
              </w:rPr>
            </w:pPr>
            <w:r>
              <w:rPr>
                <w:b/>
              </w:rPr>
              <w:t>A:</w:t>
            </w:r>
          </w:p>
        </w:tc>
        <w:tc>
          <w:tcPr>
            <w:tcW w:w="99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Annual Meeting will be held virtually via live audio webcast on the internet at www.virtualshareholdermeeting.com/FLYW2023. </w:t>
            </w:r>
          </w:p>
        </w:tc>
      </w:tr>
    </w:tbl>
    <w:p>
      <w:pPr>
        <w:pStyle w:val="TextBody"/>
        <w:spacing w:before="0" w:after="0"/>
        <w:jc w:val="left"/>
        <w:rPr/>
      </w:pPr>
      <w:r>
        <w:rPr/>
        <w:t> </w:t>
      </w:r>
    </w:p>
    <w:tbl>
      <w:tblPr>
        <w:tblW w:w="3205" w:type="dxa"/>
        <w:jc w:val="left"/>
        <w:tblInd w:w="0" w:type="dxa"/>
        <w:tblCellMar>
          <w:top w:w="0" w:type="dxa"/>
          <w:left w:w="0" w:type="dxa"/>
          <w:bottom w:w="0" w:type="dxa"/>
          <w:right w:w="0" w:type="dxa"/>
        </w:tblCellMar>
      </w:tblPr>
      <w:tblGrid>
        <w:gridCol w:w="290"/>
        <w:gridCol w:w="2915"/>
      </w:tblGrid>
      <w:tr>
        <w:trPr/>
        <w:tc>
          <w:tcPr>
            <w:tcW w:w="290" w:type="dxa"/>
            <w:tcBorders/>
            <w:shd w:fill="auto" w:val="clear"/>
            <w:vAlign w:val="center"/>
          </w:tcPr>
          <w:p>
            <w:pPr>
              <w:pStyle w:val="TableContents"/>
              <w:spacing w:before="0" w:after="283"/>
              <w:jc w:val="left"/>
              <w:rPr>
                <w:b/>
              </w:rPr>
            </w:pPr>
            <w:r>
              <w:rPr>
                <w:b/>
              </w:rPr>
              <w:t>Q:</w:t>
            </w:r>
          </w:p>
        </w:tc>
        <w:tc>
          <w:tcPr>
            <w:tcW w:w="291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Can I attend the Annual Meeting?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3"/>
        <w:gridCol w:w="9952"/>
      </w:tblGrid>
      <w:tr>
        <w:trPr/>
        <w:tc>
          <w:tcPr>
            <w:tcW w:w="253" w:type="dxa"/>
            <w:tcBorders/>
            <w:shd w:fill="auto" w:val="clear"/>
            <w:vAlign w:val="center"/>
          </w:tcPr>
          <w:p>
            <w:pPr>
              <w:pStyle w:val="TableContents"/>
              <w:spacing w:before="0" w:after="283"/>
              <w:jc w:val="left"/>
              <w:rPr>
                <w:b/>
              </w:rPr>
            </w:pPr>
            <w:r>
              <w:rPr>
                <w:b/>
              </w:rPr>
              <w:t>A:</w:t>
            </w:r>
          </w:p>
        </w:tc>
        <w:tc>
          <w:tcPr>
            <w:tcW w:w="995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You are invited to attend the Annual Meeting if you were a stockholder of record or a beneficial owner as of April 10, 2023 (the Record Date). The Annual Meeting will begin promptly at 11:00 a.m. EDT on Tuesday, June 6, 2023. </w:t>
            </w:r>
          </w:p>
        </w:tc>
      </w:tr>
    </w:tbl>
    <w:p>
      <w:pPr>
        <w:pStyle w:val="TextBody"/>
        <w:spacing w:before="360" w:after="0"/>
        <w:jc w:val="left"/>
        <w:rPr>
          <w:rFonts w:ascii="Times New Roman" w:hAnsi="Times New Roman"/>
          <w:b/>
          <w:sz w:val="20"/>
        </w:rPr>
      </w:pPr>
      <w:bookmarkStart w:id="5" w:name="toc359255_3"/>
      <w:bookmarkEnd w:id="5"/>
      <w:r>
        <w:rPr>
          <w:rFonts w:ascii="Times New Roman" w:hAnsi="Times New Roman"/>
          <w:b/>
          <w:sz w:val="20"/>
        </w:rPr>
        <w:t xml:space="preserve">Stock Ownership </w:t>
      </w:r>
    </w:p>
    <w:p>
      <w:pPr>
        <w:pStyle w:val="TextBody"/>
        <w:spacing w:before="0" w:after="0"/>
        <w:jc w:val="left"/>
        <w:rPr/>
      </w:pPr>
      <w:r>
        <w:rPr/>
        <w:t> </w:t>
      </w:r>
    </w:p>
    <w:tbl>
      <w:tblPr>
        <w:tblW w:w="8710" w:type="dxa"/>
        <w:jc w:val="left"/>
        <w:tblInd w:w="0" w:type="dxa"/>
        <w:tblCellMar>
          <w:top w:w="0" w:type="dxa"/>
          <w:left w:w="0" w:type="dxa"/>
          <w:bottom w:w="0" w:type="dxa"/>
          <w:right w:w="0" w:type="dxa"/>
        </w:tblCellMar>
      </w:tblPr>
      <w:tblGrid>
        <w:gridCol w:w="290"/>
        <w:gridCol w:w="8420"/>
      </w:tblGrid>
      <w:tr>
        <w:trPr/>
        <w:tc>
          <w:tcPr>
            <w:tcW w:w="290" w:type="dxa"/>
            <w:tcBorders/>
            <w:shd w:fill="auto" w:val="clear"/>
            <w:vAlign w:val="center"/>
          </w:tcPr>
          <w:p>
            <w:pPr>
              <w:pStyle w:val="TableContents"/>
              <w:spacing w:before="0" w:after="283"/>
              <w:jc w:val="left"/>
              <w:rPr>
                <w:b/>
              </w:rPr>
            </w:pPr>
            <w:r>
              <w:rPr>
                <w:b/>
              </w:rPr>
              <w:t>Q:</w:t>
            </w:r>
          </w:p>
        </w:tc>
        <w:tc>
          <w:tcPr>
            <w:tcW w:w="842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What is the difference between holding shares as a stockholder of record and as a beneficial owner?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34"/>
        <w:gridCol w:w="9971"/>
      </w:tblGrid>
      <w:tr>
        <w:trPr/>
        <w:tc>
          <w:tcPr>
            <w:tcW w:w="234" w:type="dxa"/>
            <w:tcBorders/>
            <w:shd w:fill="auto" w:val="clear"/>
            <w:vAlign w:val="center"/>
          </w:tcPr>
          <w:p>
            <w:pPr>
              <w:pStyle w:val="TableContents"/>
              <w:spacing w:before="0" w:after="283"/>
              <w:jc w:val="left"/>
              <w:rPr>
                <w:b/>
              </w:rPr>
            </w:pPr>
            <w:r>
              <w:rPr>
                <w:b/>
              </w:rPr>
              <w:t>A:</w:t>
            </w:r>
          </w:p>
        </w:tc>
        <w:tc>
          <w:tcPr>
            <w:tcW w:w="997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Stockholders of record</w:t>
            </w:r>
            <w:r>
              <w:rPr>
                <w:rFonts w:ascii="Times New Roman" w:hAnsi="Times New Roman"/>
                <w:sz w:val="20"/>
              </w:rPr>
              <w:t xml:space="preserve">—If your shares are registered directly in your name with our transfer agent, Computershare Inc. (Computershare), you are considered, with respect to those shares, the “stockholder of record,” and the Notice was provided to you directly by us. As the stockholder of record, you have the right to grant your voting proxy directly to the individuals listed on the proxy card or to vote at the Annual Meeting. </w:t>
            </w:r>
          </w:p>
        </w:tc>
      </w:tr>
    </w:tbl>
    <w:p>
      <w:pPr>
        <w:pStyle w:val="TextBody"/>
        <w:spacing w:before="120" w:after="0"/>
        <w:jc w:val="left"/>
        <w:rPr>
          <w:rFonts w:ascii="Times New Roman" w:hAnsi="Times New Roman"/>
          <w:sz w:val="20"/>
        </w:rPr>
      </w:pPr>
      <w:r>
        <w:rPr>
          <w:rFonts w:ascii="Times New Roman" w:hAnsi="Times New Roman"/>
          <w:i/>
          <w:sz w:val="20"/>
        </w:rPr>
        <w:t>Beneficial owners</w:t>
      </w:r>
      <w:r>
        <w:rPr>
          <w:rFonts w:ascii="Times New Roman" w:hAnsi="Times New Roman"/>
          <w:sz w:val="20"/>
        </w:rPr>
        <w:t xml:space="preserve">—Many Flywire stockholders hold their shares through a broker, bank, trustee or other nominee, rather than directly in their own name. If your shares are held in a brokerage account or by a bank or another nominee (commonly referred to as being held in “street name”), you are considered the “beneficial owner” of such shares. The Notice was forwarded to you by your broker, trustee or nominee who is considered, with respect to those shares, the stockholder of record. </w:t>
      </w:r>
    </w:p>
    <w:p>
      <w:pPr>
        <w:pStyle w:val="TextBody"/>
        <w:spacing w:before="120" w:after="0"/>
        <w:jc w:val="left"/>
        <w:rPr>
          <w:rFonts w:ascii="Times New Roman" w:hAnsi="Times New Roman"/>
          <w:sz w:val="20"/>
        </w:rPr>
      </w:pPr>
      <w:r>
        <w:rPr>
          <w:rFonts w:ascii="Times New Roman" w:hAnsi="Times New Roman"/>
          <w:sz w:val="20"/>
        </w:rPr>
        <w:t xml:space="preserve">As the beneficial owner, you have the right to direct your broker, trustee or nominee on how to vote your shares. Beneficial owners are also invited to attend the Annual Meeting. However, since beneficial owners are not stockholders of record, you may not vote your shares at the Annual Meeting unless you follow your broker’s procedures for obtaining a legal proxy. If you request a printed copy of the proxy materials by mail, your broker or nominee will provide a voting instruction card for you to use. </w:t>
      </w:r>
    </w:p>
    <w:p>
      <w:pPr>
        <w:pStyle w:val="TextBody"/>
        <w:spacing w:before="360" w:after="0"/>
        <w:jc w:val="left"/>
        <w:rPr>
          <w:rFonts w:ascii="Times New Roman" w:hAnsi="Times New Roman"/>
          <w:b/>
          <w:sz w:val="20"/>
        </w:rPr>
      </w:pPr>
      <w:bookmarkStart w:id="6" w:name="toc359255_4"/>
      <w:bookmarkEnd w:id="6"/>
      <w:r>
        <w:rPr>
          <w:rFonts w:ascii="Times New Roman" w:hAnsi="Times New Roman"/>
          <w:b/>
          <w:sz w:val="20"/>
        </w:rPr>
        <w:t xml:space="preserve">Quorum and Voting </w:t>
      </w:r>
    </w:p>
    <w:p>
      <w:pPr>
        <w:pStyle w:val="TextBody"/>
        <w:spacing w:before="0" w:after="0"/>
        <w:jc w:val="left"/>
        <w:rPr/>
      </w:pPr>
      <w:r>
        <w:rPr/>
        <w:t> </w:t>
      </w:r>
    </w:p>
    <w:tbl>
      <w:tblPr>
        <w:tblW w:w="8155" w:type="dxa"/>
        <w:jc w:val="left"/>
        <w:tblInd w:w="0" w:type="dxa"/>
        <w:tblCellMar>
          <w:top w:w="0" w:type="dxa"/>
          <w:left w:w="0" w:type="dxa"/>
          <w:bottom w:w="0" w:type="dxa"/>
          <w:right w:w="0" w:type="dxa"/>
        </w:tblCellMar>
      </w:tblPr>
      <w:tblGrid>
        <w:gridCol w:w="290"/>
        <w:gridCol w:w="7865"/>
      </w:tblGrid>
      <w:tr>
        <w:trPr/>
        <w:tc>
          <w:tcPr>
            <w:tcW w:w="290" w:type="dxa"/>
            <w:tcBorders/>
            <w:shd w:fill="auto" w:val="clear"/>
            <w:vAlign w:val="center"/>
          </w:tcPr>
          <w:p>
            <w:pPr>
              <w:pStyle w:val="TableContents"/>
              <w:spacing w:before="0" w:after="283"/>
              <w:jc w:val="left"/>
              <w:rPr>
                <w:b/>
              </w:rPr>
            </w:pPr>
            <w:r>
              <w:rPr>
                <w:b/>
              </w:rPr>
              <w:t>Q:</w:t>
            </w:r>
          </w:p>
        </w:tc>
        <w:tc>
          <w:tcPr>
            <w:tcW w:w="786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How many shares must be present or represented to conduct business at the Annual Meeting?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35"/>
        <w:gridCol w:w="9970"/>
      </w:tblGrid>
      <w:tr>
        <w:trPr/>
        <w:tc>
          <w:tcPr>
            <w:tcW w:w="235" w:type="dxa"/>
            <w:tcBorders/>
            <w:shd w:fill="auto" w:val="clear"/>
            <w:vAlign w:val="center"/>
          </w:tcPr>
          <w:p>
            <w:pPr>
              <w:pStyle w:val="TableContents"/>
              <w:spacing w:before="0" w:after="283"/>
              <w:jc w:val="left"/>
              <w:rPr>
                <w:b/>
              </w:rPr>
            </w:pPr>
            <w:r>
              <w:rPr>
                <w:b/>
              </w:rPr>
              <w:t>A:</w:t>
            </w:r>
          </w:p>
        </w:tc>
        <w:tc>
          <w:tcPr>
            <w:tcW w:w="99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quorum is the minimum number of shares required to be present at the Annual Meeting for the meeting to be properly held under our Bylaws and the General Corporation Law of the State of Delaware. The presence, in person or represented by proxy, of the holders of a majority of the voting power of the shares of stock issued and outstanding and entitled to vote at the meeting will constitute a quorum at the meeting. </w:t>
            </w:r>
          </w:p>
        </w:tc>
      </w:tr>
    </w:tbl>
    <w:p>
      <w:pPr>
        <w:pStyle w:val="TextBody"/>
        <w:spacing w:before="120" w:after="0"/>
        <w:jc w:val="left"/>
        <w:rPr>
          <w:rFonts w:ascii="Times New Roman" w:hAnsi="Times New Roman"/>
          <w:sz w:val="20"/>
        </w:rPr>
      </w:pPr>
      <w:r>
        <w:rPr>
          <w:rFonts w:ascii="Times New Roman" w:hAnsi="Times New Roman"/>
          <w:sz w:val="20"/>
        </w:rPr>
        <w:t xml:space="preserve">A proxy submitted by a stockholder may indicate that the shares represented by the proxy are not being voted with respect to a particular matter.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Under the General Corporation Law of the State of Delaware, abstentions and broker “non-votes” are counted as present and entitled to vote and are, therefore, included for purposes of determining whether a quorum is present at the Annual Meeting. </w:t>
      </w:r>
    </w:p>
    <w:p>
      <w:pPr>
        <w:pStyle w:val="TextBody"/>
        <w:spacing w:before="120" w:after="0"/>
        <w:jc w:val="left"/>
        <w:rPr>
          <w:rFonts w:ascii="Times New Roman" w:hAnsi="Times New Roman"/>
          <w:sz w:val="20"/>
        </w:rPr>
      </w:pPr>
      <w:r>
        <w:rPr>
          <w:rFonts w:ascii="Times New Roman" w:hAnsi="Times New Roman"/>
          <w:sz w:val="20"/>
        </w:rPr>
        <w:t xml:space="preserve">A broker non-vote occurs when a nominee holding shares for a beneficial owner does not vote on a particular proposal because the nominee does not have discretionary voting power with respect to that item and has not received instructions from the beneficial owner. </w:t>
      </w:r>
    </w:p>
    <w:p>
      <w:pPr>
        <w:pStyle w:val="TextBody"/>
        <w:spacing w:before="0" w:after="0"/>
        <w:jc w:val="left"/>
        <w:rPr/>
      </w:pPr>
      <w:r>
        <w:rPr/>
        <w:t> </w:t>
      </w:r>
    </w:p>
    <w:tbl>
      <w:tblPr>
        <w:tblW w:w="4255" w:type="dxa"/>
        <w:jc w:val="left"/>
        <w:tblInd w:w="0" w:type="dxa"/>
        <w:tblCellMar>
          <w:top w:w="0" w:type="dxa"/>
          <w:left w:w="0" w:type="dxa"/>
          <w:bottom w:w="0" w:type="dxa"/>
          <w:right w:w="0" w:type="dxa"/>
        </w:tblCellMar>
      </w:tblPr>
      <w:tblGrid>
        <w:gridCol w:w="290"/>
        <w:gridCol w:w="3965"/>
      </w:tblGrid>
      <w:tr>
        <w:trPr/>
        <w:tc>
          <w:tcPr>
            <w:tcW w:w="290" w:type="dxa"/>
            <w:tcBorders/>
            <w:shd w:fill="auto" w:val="clear"/>
            <w:vAlign w:val="center"/>
          </w:tcPr>
          <w:p>
            <w:pPr>
              <w:pStyle w:val="TableContents"/>
              <w:spacing w:before="0" w:after="283"/>
              <w:jc w:val="left"/>
              <w:rPr>
                <w:b/>
              </w:rPr>
            </w:pPr>
            <w:r>
              <w:rPr>
                <w:b/>
              </w:rPr>
              <w:t>Q:</w:t>
            </w:r>
          </w:p>
        </w:tc>
        <w:tc>
          <w:tcPr>
            <w:tcW w:w="396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Who is entitled to vote at the Annual Meeting?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31"/>
        <w:gridCol w:w="9974"/>
      </w:tblGrid>
      <w:tr>
        <w:trPr/>
        <w:tc>
          <w:tcPr>
            <w:tcW w:w="231" w:type="dxa"/>
            <w:tcBorders/>
            <w:shd w:fill="auto" w:val="clear"/>
            <w:vAlign w:val="center"/>
          </w:tcPr>
          <w:p>
            <w:pPr>
              <w:pStyle w:val="TableContents"/>
              <w:spacing w:before="0" w:after="283"/>
              <w:jc w:val="left"/>
              <w:rPr>
                <w:b/>
              </w:rPr>
            </w:pPr>
            <w:r>
              <w:rPr>
                <w:b/>
              </w:rPr>
              <w:t>A:</w:t>
            </w:r>
          </w:p>
        </w:tc>
        <w:tc>
          <w:tcPr>
            <w:tcW w:w="9974"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Holders of record of our common stock at the close of business on the Record Date are entitled to receive notice of and to vote their shares at the Annual Meeting. As of the Record Date, we had 108,736,781 shares of common stock outstanding. In deciding all matters at the Annual Meeting, each holder of shares of our common stock will be entitled to one vote for each share of common stock held as of the close of business on the Record Date. We do not have cumulative voting rights for the election of directors. </w:t>
            </w:r>
          </w:p>
        </w:tc>
      </w:tr>
    </w:tbl>
    <w:p>
      <w:pPr>
        <w:pStyle w:val="TextBody"/>
        <w:spacing w:before="0" w:after="0"/>
        <w:jc w:val="left"/>
        <w:rPr/>
      </w:pPr>
      <w:r>
        <w:rPr/>
        <w:t> </w:t>
      </w:r>
    </w:p>
    <w:tbl>
      <w:tblPr>
        <w:tblW w:w="4540" w:type="dxa"/>
        <w:jc w:val="left"/>
        <w:tblInd w:w="0" w:type="dxa"/>
        <w:tblCellMar>
          <w:top w:w="0" w:type="dxa"/>
          <w:left w:w="0" w:type="dxa"/>
          <w:bottom w:w="0" w:type="dxa"/>
          <w:right w:w="0" w:type="dxa"/>
        </w:tblCellMar>
      </w:tblPr>
      <w:tblGrid>
        <w:gridCol w:w="290"/>
        <w:gridCol w:w="4250"/>
      </w:tblGrid>
      <w:tr>
        <w:trPr/>
        <w:tc>
          <w:tcPr>
            <w:tcW w:w="290" w:type="dxa"/>
            <w:tcBorders/>
            <w:shd w:fill="auto" w:val="clear"/>
            <w:vAlign w:val="center"/>
          </w:tcPr>
          <w:p>
            <w:pPr>
              <w:pStyle w:val="TableContents"/>
              <w:spacing w:before="0" w:after="283"/>
              <w:jc w:val="left"/>
              <w:rPr>
                <w:b/>
              </w:rPr>
            </w:pPr>
            <w:r>
              <w:rPr>
                <w:b/>
              </w:rPr>
              <w:t>Q:</w:t>
            </w:r>
          </w:p>
        </w:tc>
        <w:tc>
          <w:tcPr>
            <w:tcW w:w="425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How can I vote my shares at the Annual Meeting?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29"/>
        <w:gridCol w:w="9976"/>
      </w:tblGrid>
      <w:tr>
        <w:trPr/>
        <w:tc>
          <w:tcPr>
            <w:tcW w:w="229" w:type="dxa"/>
            <w:tcBorders/>
            <w:shd w:fill="auto" w:val="clear"/>
            <w:vAlign w:val="center"/>
          </w:tcPr>
          <w:p>
            <w:pPr>
              <w:pStyle w:val="TableContents"/>
              <w:spacing w:before="0" w:after="283"/>
              <w:jc w:val="left"/>
              <w:rPr>
                <w:b/>
              </w:rPr>
            </w:pPr>
            <w:r>
              <w:rPr>
                <w:b/>
              </w:rPr>
              <w:t>A:</w:t>
            </w:r>
          </w:p>
        </w:tc>
        <w:tc>
          <w:tcPr>
            <w:tcW w:w="997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Shares held in your name as the stockholder of record may be voted at the Annual Meeting. Shares held beneficially in street name may be voted in person at the Annual Meeting only if you obtain a legal proxy from the broker, trustee or other nominee that holds your shares giving you the right to vote the shares. Even if you plan to attend the Annual Meeting, we recommend that you also submit your proxy card, if you have requested one, or following the voting directions described below, so that your vote will be counted if you later decide not to attend the Annual Meeting. </w:t>
            </w:r>
          </w:p>
        </w:tc>
      </w:tr>
    </w:tbl>
    <w:p>
      <w:pPr>
        <w:pStyle w:val="TextBody"/>
        <w:spacing w:before="0" w:after="0"/>
        <w:jc w:val="left"/>
        <w:rPr/>
      </w:pPr>
      <w:r>
        <w:rPr/>
        <w:t> </w:t>
      </w:r>
    </w:p>
    <w:tbl>
      <w:tblPr>
        <w:tblW w:w="5845" w:type="dxa"/>
        <w:jc w:val="left"/>
        <w:tblInd w:w="0" w:type="dxa"/>
        <w:tblCellMar>
          <w:top w:w="0" w:type="dxa"/>
          <w:left w:w="0" w:type="dxa"/>
          <w:bottom w:w="0" w:type="dxa"/>
          <w:right w:w="0" w:type="dxa"/>
        </w:tblCellMar>
      </w:tblPr>
      <w:tblGrid>
        <w:gridCol w:w="290"/>
        <w:gridCol w:w="5555"/>
      </w:tblGrid>
      <w:tr>
        <w:trPr/>
        <w:tc>
          <w:tcPr>
            <w:tcW w:w="290" w:type="dxa"/>
            <w:tcBorders/>
            <w:shd w:fill="auto" w:val="clear"/>
            <w:vAlign w:val="center"/>
          </w:tcPr>
          <w:p>
            <w:pPr>
              <w:pStyle w:val="TableContents"/>
              <w:spacing w:before="0" w:after="283"/>
              <w:jc w:val="left"/>
              <w:rPr>
                <w:b/>
              </w:rPr>
            </w:pPr>
            <w:r>
              <w:rPr>
                <w:b/>
              </w:rPr>
              <w:t>Q:</w:t>
            </w:r>
          </w:p>
        </w:tc>
        <w:tc>
          <w:tcPr>
            <w:tcW w:w="555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How can I vote my shares without attending the Annual Meeting?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87"/>
        <w:gridCol w:w="9918"/>
      </w:tblGrid>
      <w:tr>
        <w:trPr/>
        <w:tc>
          <w:tcPr>
            <w:tcW w:w="287" w:type="dxa"/>
            <w:tcBorders/>
            <w:shd w:fill="auto" w:val="clear"/>
            <w:vAlign w:val="center"/>
          </w:tcPr>
          <w:p>
            <w:pPr>
              <w:pStyle w:val="TableContents"/>
              <w:spacing w:before="0" w:after="283"/>
              <w:jc w:val="left"/>
              <w:rPr>
                <w:b/>
              </w:rPr>
            </w:pPr>
            <w:r>
              <w:rPr>
                <w:b/>
              </w:rPr>
              <w:t>A:</w:t>
            </w:r>
          </w:p>
        </w:tc>
        <w:tc>
          <w:tcPr>
            <w:tcW w:w="991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Stockholder of record</w:t>
            </w:r>
            <w:r>
              <w:rPr>
                <w:rFonts w:ascii="Times New Roman" w:hAnsi="Times New Roman"/>
                <w:sz w:val="20"/>
              </w:rPr>
              <w:t xml:space="preserve">—If you are a stockholder of record, there are three ways to vote without attending the Annual Meeting: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Via the Internet</w:t>
            </w:r>
            <w:r>
              <w:rPr>
                <w:rFonts w:ascii="Times New Roman" w:hAnsi="Times New Roman"/>
                <w:sz w:val="20"/>
              </w:rPr>
              <w:t xml:space="preserve">—You may vote by proxy via the internet by following the instructions provided in the Notice or, if you requested printed copies of the proxy materials by mail, by following the instructions provided in the proxy card.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By Telephone</w:t>
            </w:r>
            <w:r>
              <w:rPr>
                <w:rFonts w:ascii="Times New Roman" w:hAnsi="Times New Roman"/>
                <w:sz w:val="20"/>
              </w:rPr>
              <w:t xml:space="preserve">—You may vote by proxy by telephone by following the instructions provided in the Notice or, if you requested printed copies of the proxy materials by mail, by calling the toll free number found on the proxy card.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By Mail</w:t>
            </w:r>
            <w:r>
              <w:rPr>
                <w:rFonts w:ascii="Times New Roman" w:hAnsi="Times New Roman"/>
                <w:sz w:val="20"/>
              </w:rPr>
              <w:t xml:space="preserve">—If you request printed copies of the proxy materials by mail, you will receive a proxy card and you may vote by proxy by filling out the proxy card and returning it in the envelope provided. </w:t>
            </w:r>
          </w:p>
        </w:tc>
      </w:tr>
    </w:tbl>
    <w:p>
      <w:pPr>
        <w:pStyle w:val="TextBody"/>
        <w:spacing w:before="120" w:after="0"/>
        <w:jc w:val="left"/>
        <w:rPr>
          <w:rFonts w:ascii="Times New Roman" w:hAnsi="Times New Roman"/>
          <w:sz w:val="20"/>
        </w:rPr>
      </w:pPr>
      <w:r>
        <w:rPr>
          <w:rFonts w:ascii="Times New Roman" w:hAnsi="Times New Roman"/>
          <w:i/>
          <w:sz w:val="20"/>
        </w:rPr>
        <w:t>Beneficial owners</w:t>
      </w:r>
      <w:r>
        <w:rPr>
          <w:rFonts w:ascii="Times New Roman" w:hAnsi="Times New Roman"/>
          <w:sz w:val="20"/>
        </w:rPr>
        <w:t xml:space="preserve">—If you are a beneficial owner holding shares through a bank, broker or other nominee, please refer to your Notice or other information forwarded by your bank or broker to see which voting options are available to you. </w:t>
      </w:r>
    </w:p>
    <w:p>
      <w:pPr>
        <w:pStyle w:val="TextBody"/>
        <w:spacing w:before="0" w:after="0"/>
        <w:jc w:val="left"/>
        <w:rPr/>
      </w:pPr>
      <w:r>
        <w:rPr/>
        <w:t> </w:t>
      </w:r>
    </w:p>
    <w:tbl>
      <w:tblPr>
        <w:tblW w:w="5230" w:type="dxa"/>
        <w:jc w:val="left"/>
        <w:tblInd w:w="0" w:type="dxa"/>
        <w:tblCellMar>
          <w:top w:w="0" w:type="dxa"/>
          <w:left w:w="0" w:type="dxa"/>
          <w:bottom w:w="0" w:type="dxa"/>
          <w:right w:w="0" w:type="dxa"/>
        </w:tblCellMar>
      </w:tblPr>
      <w:tblGrid>
        <w:gridCol w:w="290"/>
        <w:gridCol w:w="4940"/>
      </w:tblGrid>
      <w:tr>
        <w:trPr/>
        <w:tc>
          <w:tcPr>
            <w:tcW w:w="290" w:type="dxa"/>
            <w:tcBorders/>
            <w:shd w:fill="auto" w:val="clear"/>
            <w:vAlign w:val="center"/>
          </w:tcPr>
          <w:p>
            <w:pPr>
              <w:pStyle w:val="TableContents"/>
              <w:spacing w:before="0" w:after="283"/>
              <w:jc w:val="left"/>
              <w:rPr>
                <w:b/>
              </w:rPr>
            </w:pPr>
            <w:r>
              <w:rPr>
                <w:b/>
              </w:rPr>
              <w:t>Q:</w:t>
            </w:r>
          </w:p>
        </w:tc>
        <w:tc>
          <w:tcPr>
            <w:tcW w:w="494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What happens if I do not give specific voting instructions? </w:t>
            </w:r>
          </w:p>
        </w:tc>
      </w:tr>
    </w:tbl>
    <w:p>
      <w:pPr>
        <w:pStyle w:val="TextBody"/>
        <w:spacing w:before="0" w:after="0"/>
        <w:jc w:val="left"/>
        <w:rPr/>
      </w:pPr>
      <w:r>
        <w:rPr/>
        <w:t> </w:t>
      </w:r>
    </w:p>
    <w:tbl>
      <w:tblPr>
        <w:tblW w:w="5785" w:type="dxa"/>
        <w:jc w:val="left"/>
        <w:tblInd w:w="0" w:type="dxa"/>
        <w:tblCellMar>
          <w:top w:w="0" w:type="dxa"/>
          <w:left w:w="0" w:type="dxa"/>
          <w:bottom w:w="0" w:type="dxa"/>
          <w:right w:w="0" w:type="dxa"/>
        </w:tblCellMar>
      </w:tblPr>
      <w:tblGrid>
        <w:gridCol w:w="290"/>
        <w:gridCol w:w="5495"/>
      </w:tblGrid>
      <w:tr>
        <w:trPr/>
        <w:tc>
          <w:tcPr>
            <w:tcW w:w="290" w:type="dxa"/>
            <w:tcBorders/>
            <w:shd w:fill="auto" w:val="clear"/>
            <w:vAlign w:val="center"/>
          </w:tcPr>
          <w:p>
            <w:pPr>
              <w:pStyle w:val="TableContents"/>
              <w:spacing w:before="0" w:after="283"/>
              <w:jc w:val="left"/>
              <w:rPr>
                <w:b/>
              </w:rPr>
            </w:pPr>
            <w:r>
              <w:rPr>
                <w:b/>
              </w:rPr>
              <w:t>A:</w:t>
            </w:r>
          </w:p>
        </w:tc>
        <w:tc>
          <w:tcPr>
            <w:tcW w:w="54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Stockholder of record</w:t>
            </w:r>
            <w:r>
              <w:rPr>
                <w:rFonts w:ascii="Times New Roman" w:hAnsi="Times New Roman"/>
                <w:sz w:val="20"/>
              </w:rPr>
              <w:t xml:space="preserve">—If you are a stockholder of record and you: </w:t>
            </w:r>
          </w:p>
        </w:tc>
      </w:tr>
    </w:tbl>
    <w:p>
      <w:pPr>
        <w:pStyle w:val="TextBody"/>
        <w:spacing w:before="0" w:after="0"/>
        <w:jc w:val="left"/>
        <w:rPr/>
      </w:pPr>
      <w:r>
        <w:rPr/>
        <w:t> </w:t>
      </w:r>
    </w:p>
    <w:tbl>
      <w:tblPr>
        <w:tblW w:w="10165" w:type="dxa"/>
        <w:jc w:val="left"/>
        <w:tblInd w:w="0" w:type="dxa"/>
        <w:tblCellMar>
          <w:top w:w="0" w:type="dxa"/>
          <w:left w:w="0" w:type="dxa"/>
          <w:bottom w:w="0" w:type="dxa"/>
          <w:right w:w="0" w:type="dxa"/>
        </w:tblCellMar>
      </w:tblPr>
      <w:tblGrid>
        <w:gridCol w:w="75"/>
        <w:gridCol w:w="110"/>
        <w:gridCol w:w="60"/>
        <w:gridCol w:w="99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Indicate when voting via the internet or by telephone that you wish to vote as recommended by our Board of Directors; 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Sign and return a proxy card without giving specific voting instructions, then the persons named as proxy holders will vote your shares in the manner recommended by our Board of Directors on all matters presented in this proxy statement and as the proxy holders may determine in their discretion with respect to any other matters properly presented for a vote at the Annual Meeting.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i/>
          <w:sz w:val="20"/>
        </w:rPr>
        <w:t>Beneficial owners</w:t>
      </w:r>
      <w:r>
        <w:rPr>
          <w:rFonts w:ascii="Times New Roman" w:hAnsi="Times New Roman"/>
          <w:sz w:val="20"/>
        </w:rPr>
        <w:t xml:space="preserve">—If you are a beneficial owner of shares held in street name and do not provide the organization that holds your shares with specific voting instructions then, under applicable rules, the organization that holds your shares may generally vote on “routine” matters but cannot vote on “non-routine” matters. However, several large brokers have recently eliminated the practice of discretionary voting of uninstructed shares, including on matters generally identified as “routine”. If the organization that holds your shares does not receive instructions from you on how to vote your shares on a non-routine matter, that organization will inform the inspector of election that it does not have the authority to vote on this matter with respect to your shares. This is generally referred to as a “broker non-vote.” </w:t>
      </w:r>
    </w:p>
    <w:p>
      <w:pPr>
        <w:pStyle w:val="TextBody"/>
        <w:spacing w:before="0" w:after="0"/>
        <w:jc w:val="left"/>
        <w:rPr/>
      </w:pPr>
      <w:r>
        <w:rPr/>
        <w:t> </w:t>
      </w:r>
    </w:p>
    <w:tbl>
      <w:tblPr>
        <w:tblW w:w="5080" w:type="dxa"/>
        <w:jc w:val="left"/>
        <w:tblInd w:w="0" w:type="dxa"/>
        <w:tblCellMar>
          <w:top w:w="0" w:type="dxa"/>
          <w:left w:w="0" w:type="dxa"/>
          <w:bottom w:w="0" w:type="dxa"/>
          <w:right w:w="0" w:type="dxa"/>
        </w:tblCellMar>
      </w:tblPr>
      <w:tblGrid>
        <w:gridCol w:w="290"/>
        <w:gridCol w:w="4790"/>
      </w:tblGrid>
      <w:tr>
        <w:trPr/>
        <w:tc>
          <w:tcPr>
            <w:tcW w:w="290" w:type="dxa"/>
            <w:tcBorders/>
            <w:shd w:fill="auto" w:val="clear"/>
            <w:vAlign w:val="center"/>
          </w:tcPr>
          <w:p>
            <w:pPr>
              <w:pStyle w:val="TableContents"/>
              <w:spacing w:before="0" w:after="283"/>
              <w:jc w:val="left"/>
              <w:rPr>
                <w:b/>
              </w:rPr>
            </w:pPr>
            <w:r>
              <w:rPr>
                <w:b/>
              </w:rPr>
              <w:t>Q:</w:t>
            </w:r>
          </w:p>
        </w:tc>
        <w:tc>
          <w:tcPr>
            <w:tcW w:w="479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What proposals will be voted on at the Annual Meeting?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4"/>
        <w:gridCol w:w="9961"/>
      </w:tblGrid>
      <w:tr>
        <w:trPr/>
        <w:tc>
          <w:tcPr>
            <w:tcW w:w="244" w:type="dxa"/>
            <w:tcBorders/>
            <w:shd w:fill="auto" w:val="clear"/>
            <w:vAlign w:val="center"/>
          </w:tcPr>
          <w:p>
            <w:pPr>
              <w:pStyle w:val="TableContents"/>
              <w:spacing w:before="0" w:after="283"/>
              <w:jc w:val="left"/>
              <w:rPr>
                <w:b/>
              </w:rPr>
            </w:pPr>
            <w:r>
              <w:rPr>
                <w:b/>
              </w:rPr>
              <w:t>A:</w:t>
            </w:r>
          </w:p>
        </w:tc>
        <w:tc>
          <w:tcPr>
            <w:tcW w:w="996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following chart sets forth the proposals scheduled for a vote at the Annual Meeting, our Board of Directors recommendation with respect to such proposals, the vote required for such proposals to be approved and whether broker discretionary voting is allowed on such proposal.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5"/>
        <w:gridCol w:w="60"/>
        <w:gridCol w:w="5503"/>
        <w:gridCol w:w="120"/>
        <w:gridCol w:w="1394"/>
        <w:gridCol w:w="120"/>
        <w:gridCol w:w="978"/>
        <w:gridCol w:w="120"/>
        <w:gridCol w:w="1155"/>
      </w:tblGrid>
      <w:tr>
        <w:trPr/>
        <w:tc>
          <w:tcPr>
            <w:tcW w:w="7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50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9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Proposal</w:t>
            </w:r>
          </w:p>
        </w:tc>
        <w:tc>
          <w:tcPr>
            <w:tcW w:w="60" w:type="dxa"/>
            <w:tcBorders/>
            <w:shd w:fill="auto" w:val="clear"/>
            <w:vAlign w:val="center"/>
          </w:tcPr>
          <w:p>
            <w:pPr>
              <w:pStyle w:val="TableContents"/>
              <w:spacing w:before="0" w:after="283"/>
              <w:rPr/>
            </w:pPr>
            <w:r>
              <w:rPr/>
              <w:t> </w:t>
            </w:r>
          </w:p>
        </w:tc>
        <w:tc>
          <w:tcPr>
            <w:tcW w:w="5503"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94"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Board Recommendation</w:t>
            </w:r>
          </w:p>
        </w:tc>
        <w:tc>
          <w:tcPr>
            <w:tcW w:w="120" w:type="dxa"/>
            <w:tcBorders/>
            <w:shd w:fill="auto" w:val="clear"/>
            <w:vAlign w:val="center"/>
          </w:tcPr>
          <w:p>
            <w:pPr>
              <w:pStyle w:val="TableContents"/>
              <w:spacing w:before="0" w:after="283"/>
              <w:rPr/>
            </w:pPr>
            <w:r>
              <w:rPr/>
              <w:t>  </w:t>
            </w:r>
          </w:p>
        </w:tc>
        <w:tc>
          <w:tcPr>
            <w:tcW w:w="978"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Vote Required</w:t>
            </w:r>
          </w:p>
        </w:tc>
        <w:tc>
          <w:tcPr>
            <w:tcW w:w="120" w:type="dxa"/>
            <w:tcBorders/>
            <w:shd w:fill="auto" w:val="clear"/>
            <w:vAlign w:val="center"/>
          </w:tcPr>
          <w:p>
            <w:pPr>
              <w:pStyle w:val="TableContents"/>
              <w:spacing w:before="0" w:after="283"/>
              <w:rPr/>
            </w:pPr>
            <w:r>
              <w:rPr/>
              <w:t>  </w:t>
            </w:r>
          </w:p>
        </w:tc>
        <w:tc>
          <w:tcPr>
            <w:tcW w:w="115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Broker Discretionary</w:t>
              <w:br/>
              <w:t>Voting Allowed</w:t>
            </w:r>
          </w:p>
        </w:tc>
      </w:tr>
      <w:tr>
        <w:trPr/>
        <w:tc>
          <w:tcPr>
            <w:tcW w:w="755" w:type="dxa"/>
            <w:tcBorders/>
            <w:shd w:fill="auto" w:val="clear"/>
            <w:vAlign w:val="center"/>
          </w:tcPr>
          <w:p>
            <w:pPr>
              <w:pStyle w:val="TableContents"/>
              <w:spacing w:before="0" w:after="283"/>
              <w:rPr>
                <w:b/>
                <w:sz w:val="18"/>
              </w:rPr>
            </w:pPr>
            <w:r>
              <w:rPr>
                <w:b/>
                <w:sz w:val="18"/>
              </w:rPr>
              <w:t>Proposal 1:</w:t>
            </w:r>
          </w:p>
        </w:tc>
        <w:tc>
          <w:tcPr>
            <w:tcW w:w="60" w:type="dxa"/>
            <w:tcBorders/>
            <w:shd w:fill="auto" w:val="clear"/>
            <w:vAlign w:val="center"/>
          </w:tcPr>
          <w:p>
            <w:pPr>
              <w:pStyle w:val="TableContents"/>
              <w:spacing w:before="0" w:after="283"/>
              <w:rPr/>
            </w:pPr>
            <w:r>
              <w:rPr/>
              <w:t> </w:t>
            </w:r>
          </w:p>
        </w:tc>
        <w:tc>
          <w:tcPr>
            <w:tcW w:w="5503" w:type="dxa"/>
            <w:tcBorders/>
            <w:shd w:fill="auto" w:val="clear"/>
            <w:vAlign w:val="center"/>
          </w:tcPr>
          <w:p>
            <w:pPr>
              <w:pStyle w:val="TableContents"/>
              <w:spacing w:before="0" w:after="283"/>
              <w:rPr/>
            </w:pPr>
            <w:r>
              <w:rPr/>
              <w:t>Elect two directors to serve as Class II directors until the 2026 Annual Meeting of Stockholders</w:t>
            </w:r>
          </w:p>
        </w:tc>
        <w:tc>
          <w:tcPr>
            <w:tcW w:w="120" w:type="dxa"/>
            <w:tcBorders/>
            <w:shd w:fill="auto" w:val="clear"/>
            <w:vAlign w:val="center"/>
          </w:tcPr>
          <w:p>
            <w:pPr>
              <w:pStyle w:val="TableContents"/>
              <w:spacing w:before="0" w:after="283"/>
              <w:rPr/>
            </w:pPr>
            <w:r>
              <w:rPr/>
              <w:t>  </w:t>
            </w:r>
          </w:p>
        </w:tc>
        <w:tc>
          <w:tcPr>
            <w:tcW w:w="1394" w:type="dxa"/>
            <w:tcBorders/>
            <w:shd w:fill="auto" w:val="clear"/>
            <w:vAlign w:val="center"/>
          </w:tcPr>
          <w:p>
            <w:pPr>
              <w:pStyle w:val="TableContents"/>
              <w:spacing w:before="0" w:after="283"/>
              <w:jc w:val="center"/>
              <w:rPr/>
            </w:pPr>
            <w:r>
              <w:rPr/>
              <w:t>FOR</w:t>
            </w:r>
          </w:p>
        </w:tc>
        <w:tc>
          <w:tcPr>
            <w:tcW w:w="120" w:type="dxa"/>
            <w:tcBorders/>
            <w:shd w:fill="auto" w:val="clear"/>
            <w:vAlign w:val="center"/>
          </w:tcPr>
          <w:p>
            <w:pPr>
              <w:pStyle w:val="TableContents"/>
              <w:spacing w:before="0" w:after="283"/>
              <w:rPr/>
            </w:pPr>
            <w:r>
              <w:rPr/>
              <w:t>  </w:t>
            </w:r>
          </w:p>
        </w:tc>
        <w:tc>
          <w:tcPr>
            <w:tcW w:w="978" w:type="dxa"/>
            <w:tcBorders/>
            <w:shd w:fill="auto" w:val="clear"/>
            <w:vAlign w:val="center"/>
          </w:tcPr>
          <w:p>
            <w:pPr>
              <w:pStyle w:val="TableContents"/>
              <w:spacing w:before="0" w:after="283"/>
              <w:jc w:val="center"/>
              <w:rPr/>
            </w:pPr>
            <w:r>
              <w:rPr/>
              <w:t>Plurality</w:t>
            </w:r>
          </w:p>
        </w:tc>
        <w:tc>
          <w:tcPr>
            <w:tcW w:w="120" w:type="dxa"/>
            <w:tcBorders/>
            <w:shd w:fill="auto" w:val="clear"/>
            <w:vAlign w:val="center"/>
          </w:tcPr>
          <w:p>
            <w:pPr>
              <w:pStyle w:val="TableContents"/>
              <w:spacing w:before="0" w:after="283"/>
              <w:rPr/>
            </w:pPr>
            <w:r>
              <w:rPr/>
              <w:t>  </w:t>
            </w:r>
          </w:p>
        </w:tc>
        <w:tc>
          <w:tcPr>
            <w:tcW w:w="1155" w:type="dxa"/>
            <w:tcBorders/>
            <w:shd w:fill="auto" w:val="clear"/>
            <w:vAlign w:val="center"/>
          </w:tcPr>
          <w:p>
            <w:pPr>
              <w:pStyle w:val="TableContents"/>
              <w:spacing w:before="0" w:after="283"/>
              <w:jc w:val="center"/>
              <w:rPr/>
            </w:pPr>
            <w:r>
              <w:rPr/>
              <w:t>No</w:t>
            </w:r>
          </w:p>
        </w:tc>
      </w:tr>
      <w:tr>
        <w:trPr/>
        <w:tc>
          <w:tcPr>
            <w:tcW w:w="755" w:type="dxa"/>
            <w:tcBorders/>
            <w:shd w:fill="auto" w:val="clear"/>
            <w:vAlign w:val="center"/>
          </w:tcPr>
          <w:p>
            <w:pPr>
              <w:pStyle w:val="TableContents"/>
              <w:spacing w:before="0" w:after="283"/>
              <w:rPr>
                <w:b/>
                <w:sz w:val="18"/>
              </w:rPr>
            </w:pPr>
            <w:r>
              <w:rPr>
                <w:b/>
                <w:sz w:val="18"/>
              </w:rPr>
              <w:t>Proposal 2:</w:t>
            </w:r>
          </w:p>
        </w:tc>
        <w:tc>
          <w:tcPr>
            <w:tcW w:w="60" w:type="dxa"/>
            <w:tcBorders/>
            <w:shd w:fill="auto" w:val="clear"/>
            <w:vAlign w:val="center"/>
          </w:tcPr>
          <w:p>
            <w:pPr>
              <w:pStyle w:val="TableContents"/>
              <w:spacing w:before="0" w:after="283"/>
              <w:rPr/>
            </w:pPr>
            <w:r>
              <w:rPr/>
              <w:t> </w:t>
            </w:r>
          </w:p>
        </w:tc>
        <w:tc>
          <w:tcPr>
            <w:tcW w:w="5503" w:type="dxa"/>
            <w:tcBorders/>
            <w:shd w:fill="auto" w:val="clear"/>
            <w:vAlign w:val="center"/>
          </w:tcPr>
          <w:p>
            <w:pPr>
              <w:pStyle w:val="TableContents"/>
              <w:spacing w:before="0" w:after="283"/>
              <w:rPr/>
            </w:pPr>
            <w:r>
              <w:rPr/>
              <w:t>Ratify the appointment of PricewaterhouseCoopers LLP as Flywire Corporation’s independent registered public accounting firm for the year ending December 31, 2023</w:t>
            </w:r>
          </w:p>
        </w:tc>
        <w:tc>
          <w:tcPr>
            <w:tcW w:w="120" w:type="dxa"/>
            <w:tcBorders/>
            <w:shd w:fill="auto" w:val="clear"/>
            <w:vAlign w:val="center"/>
          </w:tcPr>
          <w:p>
            <w:pPr>
              <w:pStyle w:val="TableContents"/>
              <w:spacing w:before="0" w:after="283"/>
              <w:rPr/>
            </w:pPr>
            <w:r>
              <w:rPr/>
              <w:t>  </w:t>
            </w:r>
          </w:p>
        </w:tc>
        <w:tc>
          <w:tcPr>
            <w:tcW w:w="1394" w:type="dxa"/>
            <w:tcBorders/>
            <w:shd w:fill="auto" w:val="clear"/>
            <w:vAlign w:val="center"/>
          </w:tcPr>
          <w:p>
            <w:pPr>
              <w:pStyle w:val="TableContents"/>
              <w:spacing w:before="0" w:after="283"/>
              <w:jc w:val="center"/>
              <w:rPr/>
            </w:pPr>
            <w:r>
              <w:rPr/>
              <w:t>FOR</w:t>
            </w:r>
          </w:p>
        </w:tc>
        <w:tc>
          <w:tcPr>
            <w:tcW w:w="120" w:type="dxa"/>
            <w:tcBorders/>
            <w:shd w:fill="auto" w:val="clear"/>
            <w:vAlign w:val="center"/>
          </w:tcPr>
          <w:p>
            <w:pPr>
              <w:pStyle w:val="TableContents"/>
              <w:spacing w:before="0" w:after="283"/>
              <w:rPr/>
            </w:pPr>
            <w:r>
              <w:rPr/>
              <w:t>  </w:t>
            </w:r>
          </w:p>
        </w:tc>
        <w:tc>
          <w:tcPr>
            <w:tcW w:w="978" w:type="dxa"/>
            <w:tcBorders/>
            <w:shd w:fill="auto" w:val="clear"/>
            <w:vAlign w:val="center"/>
          </w:tcPr>
          <w:p>
            <w:pPr>
              <w:pStyle w:val="TableContents"/>
              <w:spacing w:before="0" w:after="283"/>
              <w:jc w:val="center"/>
              <w:rPr/>
            </w:pPr>
            <w:r>
              <w:rPr/>
              <w:t>Majority Voted</w:t>
            </w:r>
          </w:p>
        </w:tc>
        <w:tc>
          <w:tcPr>
            <w:tcW w:w="120" w:type="dxa"/>
            <w:tcBorders/>
            <w:shd w:fill="auto" w:val="clear"/>
            <w:vAlign w:val="center"/>
          </w:tcPr>
          <w:p>
            <w:pPr>
              <w:pStyle w:val="TableContents"/>
              <w:spacing w:before="0" w:after="283"/>
              <w:rPr/>
            </w:pPr>
            <w:r>
              <w:rPr/>
              <w:t>  </w:t>
            </w:r>
          </w:p>
        </w:tc>
        <w:tc>
          <w:tcPr>
            <w:tcW w:w="1155" w:type="dxa"/>
            <w:tcBorders/>
            <w:shd w:fill="auto" w:val="clear"/>
            <w:vAlign w:val="center"/>
          </w:tcPr>
          <w:p>
            <w:pPr>
              <w:pStyle w:val="TableContents"/>
              <w:spacing w:before="0" w:after="283"/>
              <w:jc w:val="center"/>
              <w:rPr/>
            </w:pPr>
            <w:r>
              <w:rPr/>
              <w:t>Yes</w:t>
            </w:r>
          </w:p>
        </w:tc>
      </w:tr>
      <w:tr>
        <w:trPr/>
        <w:tc>
          <w:tcPr>
            <w:tcW w:w="755" w:type="dxa"/>
            <w:tcBorders/>
            <w:shd w:fill="auto" w:val="clear"/>
            <w:vAlign w:val="center"/>
          </w:tcPr>
          <w:p>
            <w:pPr>
              <w:pStyle w:val="TableContents"/>
              <w:spacing w:before="0" w:after="283"/>
              <w:rPr>
                <w:b/>
                <w:sz w:val="18"/>
              </w:rPr>
            </w:pPr>
            <w:r>
              <w:rPr>
                <w:b/>
                <w:sz w:val="18"/>
              </w:rPr>
              <w:t>Proposal 3:</w:t>
            </w:r>
          </w:p>
        </w:tc>
        <w:tc>
          <w:tcPr>
            <w:tcW w:w="60" w:type="dxa"/>
            <w:tcBorders/>
            <w:shd w:fill="auto" w:val="clear"/>
            <w:vAlign w:val="center"/>
          </w:tcPr>
          <w:p>
            <w:pPr>
              <w:pStyle w:val="TableContents"/>
              <w:spacing w:before="0" w:after="283"/>
              <w:rPr/>
            </w:pPr>
            <w:r>
              <w:rPr/>
              <w:t> </w:t>
            </w:r>
          </w:p>
        </w:tc>
        <w:tc>
          <w:tcPr>
            <w:tcW w:w="5503" w:type="dxa"/>
            <w:tcBorders/>
            <w:shd w:fill="auto" w:val="clear"/>
            <w:vAlign w:val="center"/>
          </w:tcPr>
          <w:p>
            <w:pPr>
              <w:pStyle w:val="TableContents"/>
              <w:spacing w:before="0" w:after="283"/>
              <w:rPr/>
            </w:pPr>
            <w:r>
              <w:rPr/>
              <w:t>Approve, on a non-binding, advisory basis, the compensation of Flywire Corporation’s named executive officers</w:t>
            </w:r>
          </w:p>
        </w:tc>
        <w:tc>
          <w:tcPr>
            <w:tcW w:w="120" w:type="dxa"/>
            <w:tcBorders/>
            <w:shd w:fill="auto" w:val="clear"/>
            <w:vAlign w:val="center"/>
          </w:tcPr>
          <w:p>
            <w:pPr>
              <w:pStyle w:val="TableContents"/>
              <w:spacing w:before="0" w:after="283"/>
              <w:rPr/>
            </w:pPr>
            <w:r>
              <w:rPr/>
              <w:t>  </w:t>
            </w:r>
          </w:p>
        </w:tc>
        <w:tc>
          <w:tcPr>
            <w:tcW w:w="1394" w:type="dxa"/>
            <w:tcBorders/>
            <w:shd w:fill="auto" w:val="clear"/>
            <w:vAlign w:val="center"/>
          </w:tcPr>
          <w:p>
            <w:pPr>
              <w:pStyle w:val="TableContents"/>
              <w:spacing w:before="0" w:after="283"/>
              <w:jc w:val="center"/>
              <w:rPr/>
            </w:pPr>
            <w:r>
              <w:rPr/>
              <w:t>FOR</w:t>
            </w:r>
          </w:p>
        </w:tc>
        <w:tc>
          <w:tcPr>
            <w:tcW w:w="120" w:type="dxa"/>
            <w:tcBorders/>
            <w:shd w:fill="auto" w:val="clear"/>
            <w:vAlign w:val="center"/>
          </w:tcPr>
          <w:p>
            <w:pPr>
              <w:pStyle w:val="TableContents"/>
              <w:spacing w:before="0" w:after="283"/>
              <w:rPr/>
            </w:pPr>
            <w:r>
              <w:rPr/>
              <w:t>  </w:t>
            </w:r>
          </w:p>
        </w:tc>
        <w:tc>
          <w:tcPr>
            <w:tcW w:w="978" w:type="dxa"/>
            <w:tcBorders/>
            <w:shd w:fill="auto" w:val="clear"/>
            <w:vAlign w:val="center"/>
          </w:tcPr>
          <w:p>
            <w:pPr>
              <w:pStyle w:val="TableContents"/>
              <w:spacing w:before="0" w:after="283"/>
              <w:jc w:val="center"/>
              <w:rPr/>
            </w:pPr>
            <w:r>
              <w:rPr/>
              <w:t>Majority Voted</w:t>
            </w:r>
          </w:p>
        </w:tc>
        <w:tc>
          <w:tcPr>
            <w:tcW w:w="120" w:type="dxa"/>
            <w:tcBorders/>
            <w:shd w:fill="auto" w:val="clear"/>
            <w:vAlign w:val="center"/>
          </w:tcPr>
          <w:p>
            <w:pPr>
              <w:pStyle w:val="TableContents"/>
              <w:spacing w:before="0" w:after="283"/>
              <w:rPr/>
            </w:pPr>
            <w:r>
              <w:rPr/>
              <w:t>  </w:t>
            </w:r>
          </w:p>
        </w:tc>
        <w:tc>
          <w:tcPr>
            <w:tcW w:w="1155" w:type="dxa"/>
            <w:tcBorders/>
            <w:shd w:fill="auto" w:val="clear"/>
            <w:vAlign w:val="center"/>
          </w:tcPr>
          <w:p>
            <w:pPr>
              <w:pStyle w:val="TableContents"/>
              <w:spacing w:before="0" w:after="283"/>
              <w:jc w:val="center"/>
              <w:rPr/>
            </w:pPr>
            <w:r>
              <w:rPr/>
              <w:t>No</w:t>
            </w:r>
          </w:p>
        </w:tc>
      </w:tr>
      <w:tr>
        <w:trPr/>
        <w:tc>
          <w:tcPr>
            <w:tcW w:w="755" w:type="dxa"/>
            <w:tcBorders/>
            <w:shd w:fill="auto" w:val="clear"/>
            <w:vAlign w:val="center"/>
          </w:tcPr>
          <w:p>
            <w:pPr>
              <w:pStyle w:val="TableContents"/>
              <w:spacing w:before="0" w:after="283"/>
              <w:rPr>
                <w:b/>
                <w:sz w:val="18"/>
              </w:rPr>
            </w:pPr>
            <w:r>
              <w:rPr>
                <w:b/>
                <w:sz w:val="18"/>
              </w:rPr>
              <w:t>Proposal 4:</w:t>
            </w:r>
          </w:p>
        </w:tc>
        <w:tc>
          <w:tcPr>
            <w:tcW w:w="60" w:type="dxa"/>
            <w:tcBorders/>
            <w:shd w:fill="auto" w:val="clear"/>
            <w:vAlign w:val="center"/>
          </w:tcPr>
          <w:p>
            <w:pPr>
              <w:pStyle w:val="TableContents"/>
              <w:spacing w:before="0" w:after="283"/>
              <w:rPr/>
            </w:pPr>
            <w:r>
              <w:rPr/>
              <w:t> </w:t>
            </w:r>
          </w:p>
        </w:tc>
        <w:tc>
          <w:tcPr>
            <w:tcW w:w="5503" w:type="dxa"/>
            <w:tcBorders/>
            <w:shd w:fill="auto" w:val="clear"/>
            <w:vAlign w:val="center"/>
          </w:tcPr>
          <w:p>
            <w:pPr>
              <w:pStyle w:val="TableContents"/>
              <w:spacing w:before="0" w:after="283"/>
              <w:rPr/>
            </w:pPr>
            <w:r>
              <w:rPr/>
              <w:t>Select, on a non-binding, advisory basis, the frequency of an advisory vote on compensation of Flywire Corporation’s named executive officers</w:t>
            </w:r>
          </w:p>
        </w:tc>
        <w:tc>
          <w:tcPr>
            <w:tcW w:w="120" w:type="dxa"/>
            <w:tcBorders/>
            <w:shd w:fill="auto" w:val="clear"/>
            <w:vAlign w:val="center"/>
          </w:tcPr>
          <w:p>
            <w:pPr>
              <w:pStyle w:val="TableContents"/>
              <w:spacing w:before="0" w:after="283"/>
              <w:rPr/>
            </w:pPr>
            <w:r>
              <w:rPr/>
              <w:t>  </w:t>
            </w:r>
          </w:p>
        </w:tc>
        <w:tc>
          <w:tcPr>
            <w:tcW w:w="1394" w:type="dxa"/>
            <w:tcBorders/>
            <w:shd w:fill="auto" w:val="clear"/>
            <w:vAlign w:val="center"/>
          </w:tcPr>
          <w:p>
            <w:pPr>
              <w:pStyle w:val="TableContents"/>
              <w:spacing w:before="0" w:after="283"/>
              <w:jc w:val="center"/>
              <w:rPr/>
            </w:pPr>
            <w:r>
              <w:rPr/>
              <w:t>1 Year</w:t>
            </w:r>
          </w:p>
        </w:tc>
        <w:tc>
          <w:tcPr>
            <w:tcW w:w="120" w:type="dxa"/>
            <w:tcBorders/>
            <w:shd w:fill="auto" w:val="clear"/>
            <w:vAlign w:val="center"/>
          </w:tcPr>
          <w:p>
            <w:pPr>
              <w:pStyle w:val="TableContents"/>
              <w:spacing w:before="0" w:after="283"/>
              <w:rPr/>
            </w:pPr>
            <w:r>
              <w:rPr/>
              <w:t>  </w:t>
            </w:r>
          </w:p>
        </w:tc>
        <w:tc>
          <w:tcPr>
            <w:tcW w:w="978" w:type="dxa"/>
            <w:tcBorders/>
            <w:shd w:fill="auto" w:val="clear"/>
            <w:vAlign w:val="center"/>
          </w:tcPr>
          <w:p>
            <w:pPr>
              <w:pStyle w:val="TableContents"/>
              <w:spacing w:before="0" w:after="283"/>
              <w:jc w:val="center"/>
              <w:rPr/>
            </w:pPr>
            <w:r>
              <w:rPr/>
              <w:t>Most Cast</w:t>
            </w:r>
          </w:p>
        </w:tc>
        <w:tc>
          <w:tcPr>
            <w:tcW w:w="120" w:type="dxa"/>
            <w:tcBorders/>
            <w:shd w:fill="auto" w:val="clear"/>
            <w:vAlign w:val="center"/>
          </w:tcPr>
          <w:p>
            <w:pPr>
              <w:pStyle w:val="TableContents"/>
              <w:spacing w:before="0" w:after="283"/>
              <w:rPr/>
            </w:pPr>
            <w:r>
              <w:rPr/>
              <w:t>  </w:t>
            </w:r>
          </w:p>
        </w:tc>
        <w:tc>
          <w:tcPr>
            <w:tcW w:w="1155" w:type="dxa"/>
            <w:tcBorders/>
            <w:shd w:fill="auto" w:val="clear"/>
            <w:vAlign w:val="center"/>
          </w:tcPr>
          <w:p>
            <w:pPr>
              <w:pStyle w:val="TableContents"/>
              <w:spacing w:before="0" w:after="283"/>
              <w:jc w:val="center"/>
              <w:rPr/>
            </w:pPr>
            <w:r>
              <w:rPr/>
              <w:t>No</w:t>
            </w:r>
          </w:p>
        </w:tc>
      </w:tr>
    </w:tbl>
    <w:p>
      <w:pPr>
        <w:pStyle w:val="TextBody"/>
        <w:spacing w:before="240" w:after="0"/>
        <w:jc w:val="left"/>
        <w:rPr>
          <w:rFonts w:ascii="Times New Roman" w:hAnsi="Times New Roman"/>
          <w:i/>
          <w:sz w:val="20"/>
        </w:rPr>
      </w:pPr>
      <w:r>
        <w:rPr>
          <w:rFonts w:ascii="Times New Roman" w:hAnsi="Times New Roman"/>
          <w:i/>
          <w:sz w:val="20"/>
        </w:rPr>
        <w:t xml:space="preserve">Plurality—Directors will be elected by a plurality of the votes cast at the meeting. Consequently, the director nominees receiving the most votes of the holders of our common stock will be elected as directors. Only votes cast FOR a nominee will be counted. A properly executed proxy marked “WITHHOLD” and “broker non-votes” with respect to the election of one or more directors will not be voted with respect to the director or directors indicated. </w:t>
      </w:r>
    </w:p>
    <w:p>
      <w:pPr>
        <w:pStyle w:val="TextBody"/>
        <w:spacing w:before="120" w:after="0"/>
        <w:jc w:val="left"/>
        <w:rPr>
          <w:rFonts w:ascii="Times New Roman" w:hAnsi="Times New Roman"/>
          <w:i/>
          <w:sz w:val="20"/>
        </w:rPr>
      </w:pPr>
      <w:r>
        <w:rPr>
          <w:rFonts w:ascii="Times New Roman" w:hAnsi="Times New Roman"/>
          <w:i/>
          <w:sz w:val="20"/>
        </w:rPr>
        <w:t xml:space="preserve">Majority Voted—The proposal will be approved by the affirmative vote of the holders of a majority of the shares of common stock that are present in person or represented by proxy at the meeting and are voted FOR or AGAINST the matter. Abstentions and broker non-votes will not be counted as votes cast either FOR or AGAINST this proposal and will have no effect on the outcome of the proposal. </w:t>
      </w:r>
    </w:p>
    <w:p>
      <w:pPr>
        <w:pStyle w:val="TextBody"/>
        <w:spacing w:before="120" w:after="0"/>
        <w:jc w:val="left"/>
        <w:rPr>
          <w:rFonts w:ascii="Times New Roman" w:hAnsi="Times New Roman"/>
          <w:i/>
          <w:sz w:val="20"/>
        </w:rPr>
      </w:pPr>
      <w:r>
        <w:rPr>
          <w:rFonts w:ascii="Times New Roman" w:hAnsi="Times New Roman"/>
          <w:i/>
          <w:sz w:val="20"/>
        </w:rPr>
        <w:t xml:space="preserve">Most Cast—The frequency receiving the greatest number of votes cast by stockholders will be deemed to be the preferred frequency of our stockholders. Abstentions and broker non-votes will have no effect on the outcome of the proposal. </w:t>
      </w:r>
    </w:p>
    <w:p>
      <w:pPr>
        <w:pStyle w:val="TextBody"/>
        <w:spacing w:before="120" w:after="0"/>
        <w:jc w:val="left"/>
        <w:rPr>
          <w:rFonts w:ascii="Times New Roman" w:hAnsi="Times New Roman"/>
          <w:i/>
          <w:sz w:val="20"/>
        </w:rPr>
      </w:pPr>
      <w:r>
        <w:rPr>
          <w:rFonts w:ascii="Times New Roman" w:hAnsi="Times New Roman"/>
          <w:i/>
          <w:sz w:val="20"/>
        </w:rPr>
        <w:t xml:space="preserve">Broker Discretionary Voting—occurs when a broker does not receive voting instructions from the beneficial owner and votes those shares in its discretion on any proposal on which it is permitted to vote.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Even though your votes on Proposal 3 and Proposal 4 are advisory and therefore will not be binding on us, our Board of Directors or its compensation committee will review the voting results and take them into consideration when making future decisions regarding executive compensation and the frequency of the stockholder advisory votes on the compensation of our named executive officers. </w:t>
      </w:r>
    </w:p>
    <w:p>
      <w:pPr>
        <w:pStyle w:val="TextBody"/>
        <w:spacing w:before="0" w:after="0"/>
        <w:jc w:val="left"/>
        <w:rPr/>
      </w:pPr>
      <w:r>
        <w:rPr/>
        <w:t> </w:t>
      </w:r>
    </w:p>
    <w:tbl>
      <w:tblPr>
        <w:tblW w:w="6535" w:type="dxa"/>
        <w:jc w:val="left"/>
        <w:tblInd w:w="0" w:type="dxa"/>
        <w:tblCellMar>
          <w:top w:w="0" w:type="dxa"/>
          <w:left w:w="0" w:type="dxa"/>
          <w:bottom w:w="0" w:type="dxa"/>
          <w:right w:w="0" w:type="dxa"/>
        </w:tblCellMar>
      </w:tblPr>
      <w:tblGrid>
        <w:gridCol w:w="290"/>
        <w:gridCol w:w="6245"/>
      </w:tblGrid>
      <w:tr>
        <w:trPr/>
        <w:tc>
          <w:tcPr>
            <w:tcW w:w="290" w:type="dxa"/>
            <w:tcBorders/>
            <w:shd w:fill="auto" w:val="clear"/>
            <w:vAlign w:val="center"/>
          </w:tcPr>
          <w:p>
            <w:pPr>
              <w:pStyle w:val="TableContents"/>
              <w:spacing w:before="0" w:after="283"/>
              <w:jc w:val="left"/>
              <w:rPr>
                <w:b/>
              </w:rPr>
            </w:pPr>
            <w:r>
              <w:rPr>
                <w:b/>
              </w:rPr>
              <w:t>Q:</w:t>
            </w:r>
          </w:p>
        </w:tc>
        <w:tc>
          <w:tcPr>
            <w:tcW w:w="624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What happens if additional matters are presented at the Annual Meeting?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31"/>
        <w:gridCol w:w="9974"/>
      </w:tblGrid>
      <w:tr>
        <w:trPr/>
        <w:tc>
          <w:tcPr>
            <w:tcW w:w="231" w:type="dxa"/>
            <w:tcBorders/>
            <w:shd w:fill="auto" w:val="clear"/>
            <w:vAlign w:val="center"/>
          </w:tcPr>
          <w:p>
            <w:pPr>
              <w:pStyle w:val="TableContents"/>
              <w:spacing w:before="0" w:after="283"/>
              <w:jc w:val="left"/>
              <w:rPr>
                <w:b/>
              </w:rPr>
            </w:pPr>
            <w:r>
              <w:rPr>
                <w:b/>
              </w:rPr>
              <w:t>A:</w:t>
            </w:r>
          </w:p>
        </w:tc>
        <w:tc>
          <w:tcPr>
            <w:tcW w:w="9974"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the proxy card and acting thereunder will have discretion to vote on those matters in accordance with their best judgment. We do not currently anticipate that any other matters will be raised at the Annual Meeting. </w:t>
            </w:r>
          </w:p>
        </w:tc>
      </w:tr>
    </w:tbl>
    <w:p>
      <w:pPr>
        <w:pStyle w:val="TextBody"/>
        <w:spacing w:before="0" w:after="0"/>
        <w:jc w:val="left"/>
        <w:rPr/>
      </w:pPr>
      <w:r>
        <w:rPr/>
        <w:t> </w:t>
      </w:r>
    </w:p>
    <w:tbl>
      <w:tblPr>
        <w:tblW w:w="3175" w:type="dxa"/>
        <w:jc w:val="left"/>
        <w:tblInd w:w="0" w:type="dxa"/>
        <w:tblCellMar>
          <w:top w:w="0" w:type="dxa"/>
          <w:left w:w="0" w:type="dxa"/>
          <w:bottom w:w="0" w:type="dxa"/>
          <w:right w:w="0" w:type="dxa"/>
        </w:tblCellMar>
      </w:tblPr>
      <w:tblGrid>
        <w:gridCol w:w="290"/>
        <w:gridCol w:w="2885"/>
      </w:tblGrid>
      <w:tr>
        <w:trPr/>
        <w:tc>
          <w:tcPr>
            <w:tcW w:w="290" w:type="dxa"/>
            <w:tcBorders/>
            <w:shd w:fill="auto" w:val="clear"/>
            <w:vAlign w:val="center"/>
          </w:tcPr>
          <w:p>
            <w:pPr>
              <w:pStyle w:val="TableContents"/>
              <w:spacing w:before="0" w:after="283"/>
              <w:jc w:val="left"/>
              <w:rPr>
                <w:b/>
              </w:rPr>
            </w:pPr>
            <w:r>
              <w:rPr>
                <w:b/>
              </w:rPr>
              <w:t>Q:</w:t>
            </w:r>
          </w:p>
        </w:tc>
        <w:tc>
          <w:tcPr>
            <w:tcW w:w="288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Can I change or revoke my vote?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8"/>
        <w:gridCol w:w="9937"/>
      </w:tblGrid>
      <w:tr>
        <w:trPr/>
        <w:tc>
          <w:tcPr>
            <w:tcW w:w="268" w:type="dxa"/>
            <w:tcBorders/>
            <w:shd w:fill="auto" w:val="clear"/>
            <w:vAlign w:val="center"/>
          </w:tcPr>
          <w:p>
            <w:pPr>
              <w:pStyle w:val="TableContents"/>
              <w:spacing w:before="0" w:after="283"/>
              <w:jc w:val="left"/>
              <w:rPr>
                <w:b/>
              </w:rPr>
            </w:pPr>
            <w:r>
              <w:rPr>
                <w:b/>
              </w:rPr>
              <w:t>A:</w:t>
            </w:r>
          </w:p>
        </w:tc>
        <w:tc>
          <w:tcPr>
            <w:tcW w:w="993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Subject to any rules your broker, trustee or nominee may have, you may change your proxy instructions at any time before your proxy is voted at the Annual Meeting. </w:t>
            </w:r>
          </w:p>
        </w:tc>
      </w:tr>
    </w:tbl>
    <w:p>
      <w:pPr>
        <w:pStyle w:val="TextBody"/>
        <w:spacing w:before="120" w:after="0"/>
        <w:jc w:val="left"/>
        <w:rPr>
          <w:rFonts w:ascii="Times New Roman" w:hAnsi="Times New Roman"/>
          <w:sz w:val="20"/>
        </w:rPr>
      </w:pPr>
      <w:r>
        <w:rPr>
          <w:rFonts w:ascii="Times New Roman" w:hAnsi="Times New Roman"/>
          <w:sz w:val="20"/>
        </w:rPr>
        <w:t xml:space="preserve">If you are a stockholder of record, you may change your vote by (1) filing with our Corporate Secretary, prior to your shares being voted at the Annual Meeting, a written notice of revocation or a duly executed proxy card, in either case dated later than the prior proxy card relating to the same shares, or (2) by attending the Annual Meeting and voting in person (although attendance at the Annual Meeting will not, by itself, revoke a proxy). A stockholder of record that has voted via the internet or by telephone may also change his or her vote by later making a timely and valid internet or telephone vote. </w:t>
      </w:r>
    </w:p>
    <w:p>
      <w:pPr>
        <w:pStyle w:val="TextBody"/>
        <w:spacing w:before="120" w:after="0"/>
        <w:jc w:val="left"/>
        <w:rPr>
          <w:rFonts w:ascii="Times New Roman" w:hAnsi="Times New Roman"/>
          <w:sz w:val="20"/>
        </w:rPr>
      </w:pPr>
      <w:r>
        <w:rPr>
          <w:rFonts w:ascii="Times New Roman" w:hAnsi="Times New Roman"/>
          <w:sz w:val="20"/>
        </w:rPr>
        <w:t xml:space="preserve">If you are a beneficial owner of shares held in street name, you may change your vote (1) by submitting new voting instructions to your broker, trustee or other nominee or (2) if you have obtained a legal proxy from the broker, trustee or other nominee that holds your shares giving you the right to vote the shares, by attending the Annual Meeting and voting in person (although attendance at the Annual Meeting will not, by itself, revoke a proxy). </w:t>
      </w:r>
    </w:p>
    <w:p>
      <w:pPr>
        <w:pStyle w:val="TextBody"/>
        <w:spacing w:before="120" w:after="0"/>
        <w:jc w:val="left"/>
        <w:rPr>
          <w:rFonts w:ascii="Times New Roman" w:hAnsi="Times New Roman"/>
          <w:sz w:val="20"/>
        </w:rPr>
      </w:pPr>
      <w:r>
        <w:rPr>
          <w:rFonts w:ascii="Times New Roman" w:hAnsi="Times New Roman"/>
          <w:sz w:val="20"/>
        </w:rPr>
        <w:t xml:space="preserve">Any written notice of revocation or subsequent proxy card must be received by our Corporate Secretary prior to the taking of the vote at the Annual Meeting. Such written notice of revocation or subsequent proxy card should be hand delivered to our Corporate Secretary or should be sent so as to be delivered to our principal executive offices, Attention: Corporate Secretary. </w:t>
      </w:r>
    </w:p>
    <w:p>
      <w:pPr>
        <w:pStyle w:val="TextBody"/>
        <w:spacing w:before="0" w:after="0"/>
        <w:jc w:val="left"/>
        <w:rPr/>
      </w:pPr>
      <w:r>
        <w:rPr/>
        <w:t> </w:t>
      </w:r>
    </w:p>
    <w:tbl>
      <w:tblPr>
        <w:tblW w:w="5860" w:type="dxa"/>
        <w:jc w:val="left"/>
        <w:tblInd w:w="0" w:type="dxa"/>
        <w:tblCellMar>
          <w:top w:w="0" w:type="dxa"/>
          <w:left w:w="0" w:type="dxa"/>
          <w:bottom w:w="0" w:type="dxa"/>
          <w:right w:w="0" w:type="dxa"/>
        </w:tblCellMar>
      </w:tblPr>
      <w:tblGrid>
        <w:gridCol w:w="290"/>
        <w:gridCol w:w="5570"/>
      </w:tblGrid>
      <w:tr>
        <w:trPr/>
        <w:tc>
          <w:tcPr>
            <w:tcW w:w="290" w:type="dxa"/>
            <w:tcBorders/>
            <w:shd w:fill="auto" w:val="clear"/>
            <w:vAlign w:val="center"/>
          </w:tcPr>
          <w:p>
            <w:pPr>
              <w:pStyle w:val="TableContents"/>
              <w:spacing w:before="0" w:after="283"/>
              <w:jc w:val="left"/>
              <w:rPr>
                <w:b/>
              </w:rPr>
            </w:pPr>
            <w:r>
              <w:rPr>
                <w:b/>
              </w:rPr>
              <w:t>Q:</w:t>
            </w:r>
          </w:p>
        </w:tc>
        <w:tc>
          <w:tcPr>
            <w:tcW w:w="557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Who will bear the cost of soliciting votes for the Annual Meeting?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23"/>
        <w:gridCol w:w="9982"/>
      </w:tblGrid>
      <w:tr>
        <w:trPr/>
        <w:tc>
          <w:tcPr>
            <w:tcW w:w="223" w:type="dxa"/>
            <w:tcBorders/>
            <w:shd w:fill="auto" w:val="clear"/>
            <w:vAlign w:val="center"/>
          </w:tcPr>
          <w:p>
            <w:pPr>
              <w:pStyle w:val="TableContents"/>
              <w:spacing w:before="0" w:after="283"/>
              <w:jc w:val="left"/>
              <w:rPr>
                <w:b/>
              </w:rPr>
            </w:pPr>
            <w:r>
              <w:rPr>
                <w:b/>
              </w:rPr>
              <w:t>A:</w:t>
            </w:r>
          </w:p>
        </w:tc>
        <w:tc>
          <w:tcPr>
            <w:tcW w:w="998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We will bear all expenses of this solicitation, including the cost of preparing and mailing these proxy materials. We may reimburse brokerage firms, custodians, nominees, fiduciaries and other persons representing beneficial owners of common stock for their reasonable expenses in forwarding solicitation material to such beneficial owners. Our directors, officers and employees may also solicit proxies in person or by other means of communication. Such directors, officers and employees will not be additionally compensated but may be reimbursed for reasonable out-of-pocket expenses in connection with such solicitation. We may engage the services of a professional proxy solicitation firm to aid in the solicitation of proxies from certain brokers, bank nominees and other institutional owners. Our costs for such services, if retained, will not be significant. If you choose to access the proxy materials and/or vote through the internet, you are responsible for any internet access charges you may incur. </w:t>
            </w:r>
          </w:p>
        </w:tc>
      </w:tr>
    </w:tbl>
    <w:p>
      <w:pPr>
        <w:pStyle w:val="TextBody"/>
        <w:spacing w:before="0" w:after="0"/>
        <w:jc w:val="left"/>
        <w:rPr/>
      </w:pPr>
      <w:r>
        <w:rPr/>
        <w:t> </w:t>
      </w:r>
    </w:p>
    <w:tbl>
      <w:tblPr>
        <w:tblW w:w="2395" w:type="dxa"/>
        <w:jc w:val="left"/>
        <w:tblInd w:w="0" w:type="dxa"/>
        <w:tblCellMar>
          <w:top w:w="0" w:type="dxa"/>
          <w:left w:w="0" w:type="dxa"/>
          <w:bottom w:w="0" w:type="dxa"/>
          <w:right w:w="0" w:type="dxa"/>
        </w:tblCellMar>
      </w:tblPr>
      <w:tblGrid>
        <w:gridCol w:w="290"/>
        <w:gridCol w:w="2105"/>
      </w:tblGrid>
      <w:tr>
        <w:trPr/>
        <w:tc>
          <w:tcPr>
            <w:tcW w:w="290" w:type="dxa"/>
            <w:tcBorders/>
            <w:shd w:fill="auto" w:val="clear"/>
            <w:vAlign w:val="center"/>
          </w:tcPr>
          <w:p>
            <w:pPr>
              <w:pStyle w:val="TableContents"/>
              <w:spacing w:before="0" w:after="283"/>
              <w:jc w:val="left"/>
              <w:rPr>
                <w:b/>
              </w:rPr>
            </w:pPr>
            <w:r>
              <w:rPr>
                <w:b/>
              </w:rPr>
              <w:t>Q:</w:t>
            </w:r>
          </w:p>
        </w:tc>
        <w:tc>
          <w:tcPr>
            <w:tcW w:w="210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Is my vote confidential?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6"/>
        <w:gridCol w:w="9949"/>
      </w:tblGrid>
      <w:tr>
        <w:trPr/>
        <w:tc>
          <w:tcPr>
            <w:tcW w:w="256" w:type="dxa"/>
            <w:tcBorders/>
            <w:shd w:fill="auto" w:val="clear"/>
            <w:vAlign w:val="center"/>
          </w:tcPr>
          <w:p>
            <w:pPr>
              <w:pStyle w:val="TableContents"/>
              <w:spacing w:before="0" w:after="283"/>
              <w:jc w:val="left"/>
              <w:rPr>
                <w:b/>
              </w:rPr>
            </w:pPr>
            <w:r>
              <w:rPr>
                <w:b/>
              </w:rPr>
              <w:t>A:</w:t>
            </w:r>
          </w:p>
        </w:tc>
        <w:tc>
          <w:tcPr>
            <w:tcW w:w="9949"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Proxy instructions, ballots, and voting tabulations that identify individual stockholders are handled in a manner that protects your voting privacy. Your vote will not be disclosed either within Flywire or to third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283"/>
              <w:jc w:val="left"/>
              <w:rPr/>
            </w:pPr>
            <w:r>
              <w:rPr/>
              <w:t xml:space="preserve">parties, except as necessary to meet applicable legal requirements, to allow for the tabulation of votes and certification of the vote, or to facilitate a successful proxy solicitation. </w:t>
            </w:r>
          </w:p>
        </w:tc>
      </w:tr>
    </w:tbl>
    <w:p>
      <w:pPr>
        <w:pStyle w:val="TextBody"/>
        <w:spacing w:before="0" w:after="0"/>
        <w:jc w:val="left"/>
        <w:rPr/>
      </w:pPr>
      <w:r>
        <w:rPr/>
        <w:t> </w:t>
      </w:r>
    </w:p>
    <w:tbl>
      <w:tblPr>
        <w:tblW w:w="5275" w:type="dxa"/>
        <w:jc w:val="left"/>
        <w:tblInd w:w="0" w:type="dxa"/>
        <w:tblCellMar>
          <w:top w:w="0" w:type="dxa"/>
          <w:left w:w="0" w:type="dxa"/>
          <w:bottom w:w="0" w:type="dxa"/>
          <w:right w:w="0" w:type="dxa"/>
        </w:tblCellMar>
      </w:tblPr>
      <w:tblGrid>
        <w:gridCol w:w="290"/>
        <w:gridCol w:w="4985"/>
      </w:tblGrid>
      <w:tr>
        <w:trPr/>
        <w:tc>
          <w:tcPr>
            <w:tcW w:w="290" w:type="dxa"/>
            <w:tcBorders/>
            <w:shd w:fill="auto" w:val="clear"/>
            <w:vAlign w:val="center"/>
          </w:tcPr>
          <w:p>
            <w:pPr>
              <w:pStyle w:val="TableContents"/>
              <w:spacing w:before="0" w:after="283"/>
              <w:jc w:val="left"/>
              <w:rPr>
                <w:b/>
              </w:rPr>
            </w:pPr>
            <w:r>
              <w:rPr>
                <w:b/>
              </w:rPr>
              <w:t>Q:</w:t>
            </w:r>
          </w:p>
        </w:tc>
        <w:tc>
          <w:tcPr>
            <w:tcW w:w="498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Where can I find the voting results of the Annual Meeting?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2"/>
        <w:gridCol w:w="9943"/>
      </w:tblGrid>
      <w:tr>
        <w:trPr/>
        <w:tc>
          <w:tcPr>
            <w:tcW w:w="262" w:type="dxa"/>
            <w:tcBorders/>
            <w:shd w:fill="auto" w:val="clear"/>
            <w:vAlign w:val="center"/>
          </w:tcPr>
          <w:p>
            <w:pPr>
              <w:pStyle w:val="TableContents"/>
              <w:spacing w:before="0" w:after="283"/>
              <w:jc w:val="left"/>
              <w:rPr>
                <w:b/>
              </w:rPr>
            </w:pPr>
            <w:r>
              <w:rPr>
                <w:b/>
              </w:rPr>
              <w:t>A:</w:t>
            </w:r>
          </w:p>
        </w:tc>
        <w:tc>
          <w:tcPr>
            <w:tcW w:w="994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We intend to announce preliminary voting results at the Annual Meeting and will publish final results in a current report on Form 8-K within four business days after the Annual Meeting. </w:t>
            </w:r>
          </w:p>
        </w:tc>
      </w:tr>
    </w:tbl>
    <w:p>
      <w:pPr>
        <w:pStyle w:val="TextBody"/>
        <w:spacing w:before="360" w:after="0"/>
        <w:jc w:val="left"/>
        <w:rPr>
          <w:rFonts w:ascii="Times New Roman" w:hAnsi="Times New Roman"/>
          <w:b/>
          <w:sz w:val="20"/>
        </w:rPr>
      </w:pPr>
      <w:bookmarkStart w:id="7" w:name="toc359255_5"/>
      <w:bookmarkEnd w:id="7"/>
      <w:r>
        <w:rPr>
          <w:rFonts w:ascii="Times New Roman" w:hAnsi="Times New Roman"/>
          <w:b/>
          <w:sz w:val="20"/>
        </w:rPr>
        <w:t xml:space="preserve">Stockholder Proposals and Director Nominations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0"/>
        <w:gridCol w:w="9935"/>
      </w:tblGrid>
      <w:tr>
        <w:trPr/>
        <w:tc>
          <w:tcPr>
            <w:tcW w:w="270" w:type="dxa"/>
            <w:tcBorders/>
            <w:shd w:fill="auto" w:val="clear"/>
            <w:vAlign w:val="center"/>
          </w:tcPr>
          <w:p>
            <w:pPr>
              <w:pStyle w:val="TableContents"/>
              <w:spacing w:before="0" w:after="283"/>
              <w:jc w:val="left"/>
              <w:rPr>
                <w:b/>
              </w:rPr>
            </w:pPr>
            <w:r>
              <w:rPr>
                <w:b/>
              </w:rPr>
              <w:t>Q:</w:t>
            </w:r>
          </w:p>
        </w:tc>
        <w:tc>
          <w:tcPr>
            <w:tcW w:w="993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What is the deadline to propose actions for consideration at next year’s annual meeting of stockholders or to nominate in individuals to serve as directors? </w:t>
            </w:r>
          </w:p>
        </w:tc>
      </w:tr>
    </w:tbl>
    <w:p>
      <w:pPr>
        <w:pStyle w:val="TextBody"/>
        <w:spacing w:before="0" w:after="0"/>
        <w:jc w:val="left"/>
        <w:rPr/>
      </w:pPr>
      <w:r>
        <w:rPr/>
        <w:t> </w:t>
      </w:r>
    </w:p>
    <w:tbl>
      <w:tblPr>
        <w:tblW w:w="9175" w:type="dxa"/>
        <w:jc w:val="left"/>
        <w:tblInd w:w="0" w:type="dxa"/>
        <w:tblCellMar>
          <w:top w:w="0" w:type="dxa"/>
          <w:left w:w="0" w:type="dxa"/>
          <w:bottom w:w="0" w:type="dxa"/>
          <w:right w:w="0" w:type="dxa"/>
        </w:tblCellMar>
      </w:tblPr>
      <w:tblGrid>
        <w:gridCol w:w="290"/>
        <w:gridCol w:w="8885"/>
      </w:tblGrid>
      <w:tr>
        <w:trPr/>
        <w:tc>
          <w:tcPr>
            <w:tcW w:w="290" w:type="dxa"/>
            <w:tcBorders/>
            <w:shd w:fill="auto" w:val="clear"/>
            <w:vAlign w:val="center"/>
          </w:tcPr>
          <w:p>
            <w:pPr>
              <w:pStyle w:val="TableContents"/>
              <w:spacing w:before="0" w:after="283"/>
              <w:jc w:val="left"/>
              <w:rPr>
                <w:b/>
              </w:rPr>
            </w:pPr>
            <w:r>
              <w:rPr>
                <w:b/>
              </w:rPr>
              <w:t>A:</w:t>
            </w:r>
          </w:p>
        </w:tc>
        <w:tc>
          <w:tcPr>
            <w:tcW w:w="88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You may submit proposals, including director nominations, for consideration at future stockholder meetings. </w:t>
            </w:r>
          </w:p>
        </w:tc>
      </w:tr>
    </w:tbl>
    <w:p>
      <w:pPr>
        <w:pStyle w:val="TextBody"/>
        <w:spacing w:before="120" w:after="0"/>
        <w:jc w:val="left"/>
        <w:rPr>
          <w:rFonts w:ascii="Times New Roman" w:hAnsi="Times New Roman"/>
          <w:sz w:val="20"/>
        </w:rPr>
      </w:pPr>
      <w:r>
        <w:rPr>
          <w:rFonts w:ascii="Times New Roman" w:hAnsi="Times New Roman"/>
          <w:i/>
          <w:sz w:val="20"/>
        </w:rPr>
        <w:t>Requirements for stockholder proposals to be considered for inclusion in our proxy materials</w:t>
      </w:r>
      <w:r>
        <w:rPr>
          <w:rFonts w:ascii="Times New Roman" w:hAnsi="Times New Roman"/>
          <w:sz w:val="20"/>
        </w:rPr>
        <w:t xml:space="preserve">—Stockholders may present proper proposals for inclusion in our proxy statement and for consideration at our next annual meeting of stockholders by submitting their proposals in writing to our Corporate Secretary in a timely manner. In order to be included in the proxy statement for the 2024 annual meeting of stockholders, stockholder proposals must be received by our Corporate Secretary no later than December 27, 2023, and must otherwise comply with the requirements of Rule 14a-8 of the Securities Exchange Act of 1934, as amended (the Exchange Act). </w:t>
      </w:r>
    </w:p>
    <w:p>
      <w:pPr>
        <w:pStyle w:val="TextBody"/>
        <w:spacing w:before="120" w:after="0"/>
        <w:jc w:val="left"/>
        <w:rPr>
          <w:rFonts w:ascii="Times New Roman" w:hAnsi="Times New Roman"/>
          <w:sz w:val="20"/>
        </w:rPr>
      </w:pPr>
      <w:r>
        <w:rPr>
          <w:rFonts w:ascii="Times New Roman" w:hAnsi="Times New Roman"/>
          <w:i/>
          <w:sz w:val="20"/>
        </w:rPr>
        <w:t>Requirements for stockholder proposals to be brought before an annual meeting</w:t>
      </w:r>
      <w:r>
        <w:rPr>
          <w:rFonts w:ascii="Times New Roman" w:hAnsi="Times New Roman"/>
          <w:sz w:val="20"/>
        </w:rPr>
        <w:t xml:space="preserve">—In addition, our bylaws establish an advance notice procedure for stockholders who wish to present certain matters before an annual meeting of stockholders. In general, nominations for the election of directors may be made by our Board of Directors or any committee thereof or any stockholder, who is a stockholder of record on the date of the giving of such notice and on the record date for the determination of stockholders entitled to vote at such meeting, who is entitled to vote at such meeting and who has delivered written notice to our Corporate Secretary no later than the Notice Deadline (as defined below), which notice must contain specified information concerning the nominees and concerning the stockholder proposing such nominations. </w:t>
      </w:r>
    </w:p>
    <w:p>
      <w:pPr>
        <w:pStyle w:val="TextBody"/>
        <w:spacing w:before="120" w:after="0"/>
        <w:jc w:val="left"/>
        <w:rPr>
          <w:rFonts w:ascii="Times New Roman" w:hAnsi="Times New Roman"/>
          <w:sz w:val="20"/>
        </w:rPr>
      </w:pPr>
      <w:r>
        <w:rPr>
          <w:rFonts w:ascii="Times New Roman" w:hAnsi="Times New Roman"/>
          <w:sz w:val="20"/>
        </w:rPr>
        <w:t xml:space="preserve">Our bylaws also provide that the only business that may be conducted at an annual meeting is business that is (1) specified in the notice of meeting (or any supplement thereto) given by or at the direction of our Board of Directors, (2) otherwise properly brought before the meeting by or at the direction of our Board of Directors (or any committee thereto) or (3) properly brought before the meeting by a stockholder who has delivered written notice to our Corporate Secretary no later than the Notice Deadline (as defined below). </w:t>
      </w:r>
    </w:p>
    <w:p>
      <w:pPr>
        <w:pStyle w:val="TextBody"/>
        <w:spacing w:before="120" w:after="0"/>
        <w:jc w:val="left"/>
        <w:rPr>
          <w:rFonts w:ascii="Times New Roman" w:hAnsi="Times New Roman"/>
          <w:sz w:val="20"/>
        </w:rPr>
      </w:pPr>
      <w:r>
        <w:rPr>
          <w:rFonts w:ascii="Times New Roman" w:hAnsi="Times New Roman"/>
          <w:sz w:val="20"/>
        </w:rPr>
        <w:t xml:space="preserve">The “Notice Deadline” is defined as that date which is not less than 90 days nor more than 120 days prior to the one year anniversary of the previous year’s annual meeting of stockholders. As a result, the Notice Deadline for the 2024 annual meeting of stockholders is between February 7, 2024 and March 8, 2024. If a stockholder who has notified us of his or her intention to present a proposal at an annual meeting does not appear to present his or her proposal at such meeting, we need not present the proposal for vote at such meeting. </w:t>
      </w:r>
    </w:p>
    <w:p>
      <w:pPr>
        <w:pStyle w:val="TextBody"/>
        <w:spacing w:before="120" w:after="0"/>
        <w:jc w:val="left"/>
        <w:rPr>
          <w:rFonts w:ascii="Times New Roman" w:hAnsi="Times New Roman"/>
          <w:sz w:val="20"/>
        </w:rPr>
      </w:pPr>
      <w:r>
        <w:rPr>
          <w:rFonts w:ascii="Times New Roman" w:hAnsi="Times New Roman"/>
          <w:i/>
          <w:sz w:val="20"/>
        </w:rPr>
        <w:t>Recommendation of director candidates</w:t>
      </w:r>
      <w:r>
        <w:rPr>
          <w:rFonts w:ascii="Times New Roman" w:hAnsi="Times New Roman"/>
          <w:sz w:val="20"/>
        </w:rPr>
        <w:t>—You may recommend candidates to our Board of Directors for consideration by our nominating and corporate governance committee by following the procedures set forth below in “</w:t>
      </w:r>
      <w:r>
        <w:rPr>
          <w:rFonts w:ascii="Times New Roman" w:hAnsi="Times New Roman"/>
          <w:i/>
          <w:sz w:val="20"/>
        </w:rPr>
        <w:t>Corporate Governance—Board Committees – Nominating and Corporate Governance Committee.</w:t>
      </w:r>
      <w:r>
        <w:rPr>
          <w:rFonts w:ascii="Times New Roman" w:hAnsi="Times New Roman"/>
          <w:sz w:val="20"/>
        </w:rPr>
        <w:t xml:space="preserve">” </w:t>
      </w:r>
    </w:p>
    <w:p>
      <w:pPr>
        <w:pStyle w:val="TextBody"/>
        <w:spacing w:before="0" w:after="0"/>
        <w:jc w:val="left"/>
        <w:rPr/>
      </w:pPr>
      <w:r>
        <w:rPr/>
        <w:t> </w:t>
      </w:r>
    </w:p>
    <w:tbl>
      <w:tblPr>
        <w:tblW w:w="9580" w:type="dxa"/>
        <w:jc w:val="left"/>
        <w:tblInd w:w="0" w:type="dxa"/>
        <w:tblCellMar>
          <w:top w:w="0" w:type="dxa"/>
          <w:left w:w="0" w:type="dxa"/>
          <w:bottom w:w="0" w:type="dxa"/>
          <w:right w:w="0" w:type="dxa"/>
        </w:tblCellMar>
      </w:tblPr>
      <w:tblGrid>
        <w:gridCol w:w="290"/>
        <w:gridCol w:w="9290"/>
      </w:tblGrid>
      <w:tr>
        <w:trPr/>
        <w:tc>
          <w:tcPr>
            <w:tcW w:w="290" w:type="dxa"/>
            <w:tcBorders/>
            <w:shd w:fill="auto" w:val="clear"/>
            <w:vAlign w:val="center"/>
          </w:tcPr>
          <w:p>
            <w:pPr>
              <w:pStyle w:val="TableContents"/>
              <w:spacing w:before="0" w:after="283"/>
              <w:jc w:val="left"/>
              <w:rPr>
                <w:b/>
              </w:rPr>
            </w:pPr>
            <w:r>
              <w:rPr>
                <w:b/>
              </w:rPr>
              <w:t>Q:</w:t>
            </w:r>
          </w:p>
        </w:tc>
        <w:tc>
          <w:tcPr>
            <w:tcW w:w="929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How may I obtain a copy of the bylaw provisions regarding stockholder proposals and director nominations?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5"/>
        <w:gridCol w:w="9950"/>
      </w:tblGrid>
      <w:tr>
        <w:trPr/>
        <w:tc>
          <w:tcPr>
            <w:tcW w:w="255" w:type="dxa"/>
            <w:tcBorders/>
            <w:shd w:fill="auto" w:val="clear"/>
            <w:vAlign w:val="center"/>
          </w:tcPr>
          <w:p>
            <w:pPr>
              <w:pStyle w:val="TableContents"/>
              <w:spacing w:before="0" w:after="283"/>
              <w:jc w:val="left"/>
              <w:rPr>
                <w:b/>
              </w:rPr>
            </w:pPr>
            <w:r>
              <w:rPr>
                <w:b/>
              </w:rPr>
              <w:t>A:</w:t>
            </w:r>
          </w:p>
        </w:tc>
        <w:tc>
          <w:tcPr>
            <w:tcW w:w="99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copy of the full text of the bylaw provisions discussed above may be obtained by writing to our Corporate Secretary. In addition, this and other information about Flywire may be obtained at the website maintained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283"/>
              <w:jc w:val="left"/>
              <w:rPr/>
            </w:pPr>
            <w:r>
              <w:rPr/>
              <w:t xml:space="preserve">by the SEC that contains reports, proxy and information statements, and other information regarding registrants that file electronically with the SEC. The address of the SEC’s website is www.sec.gov. All notices of proposals by stockholders, whether or not included in our proxy materials, should be sent to our principal executive offices, Attention: Corporate Secretary. </w:t>
            </w:r>
          </w:p>
        </w:tc>
      </w:tr>
    </w:tbl>
    <w:p>
      <w:pPr>
        <w:pStyle w:val="TextBody"/>
        <w:spacing w:before="360" w:after="0"/>
        <w:jc w:val="left"/>
        <w:rPr>
          <w:rFonts w:ascii="Times New Roman" w:hAnsi="Times New Roman"/>
          <w:b/>
          <w:sz w:val="20"/>
        </w:rPr>
      </w:pPr>
      <w:bookmarkStart w:id="8" w:name="toc359255_6"/>
      <w:bookmarkEnd w:id="8"/>
      <w:r>
        <w:rPr>
          <w:rFonts w:ascii="Times New Roman" w:hAnsi="Times New Roman"/>
          <w:b/>
          <w:sz w:val="20"/>
        </w:rPr>
        <w:t xml:space="preserve">Additional Information about the Proxy Materials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83"/>
        <w:gridCol w:w="9922"/>
      </w:tblGrid>
      <w:tr>
        <w:trPr/>
        <w:tc>
          <w:tcPr>
            <w:tcW w:w="283" w:type="dxa"/>
            <w:tcBorders/>
            <w:shd w:fill="auto" w:val="clear"/>
            <w:vAlign w:val="center"/>
          </w:tcPr>
          <w:p>
            <w:pPr>
              <w:pStyle w:val="TableContents"/>
              <w:spacing w:before="0" w:after="283"/>
              <w:jc w:val="left"/>
              <w:rPr>
                <w:b/>
              </w:rPr>
            </w:pPr>
            <w:r>
              <w:rPr>
                <w:b/>
              </w:rPr>
              <w:t>Q:</w:t>
            </w:r>
          </w:p>
        </w:tc>
        <w:tc>
          <w:tcPr>
            <w:tcW w:w="9922"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Why did I receive a notice regarding the availability of proxy materials on the internet instead of a full set of proxy materials?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24"/>
        <w:gridCol w:w="9981"/>
      </w:tblGrid>
      <w:tr>
        <w:trPr/>
        <w:tc>
          <w:tcPr>
            <w:tcW w:w="224" w:type="dxa"/>
            <w:tcBorders/>
            <w:shd w:fill="auto" w:val="clear"/>
            <w:vAlign w:val="center"/>
          </w:tcPr>
          <w:p>
            <w:pPr>
              <w:pStyle w:val="TableContents"/>
              <w:spacing w:before="0" w:after="283"/>
              <w:jc w:val="left"/>
              <w:rPr>
                <w:b/>
              </w:rPr>
            </w:pPr>
            <w:r>
              <w:rPr>
                <w:b/>
              </w:rPr>
              <w:t>A:</w:t>
            </w:r>
          </w:p>
        </w:tc>
        <w:tc>
          <w:tcPr>
            <w:tcW w:w="998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 accordance with SEC rules, we have elected to furnish our proxy materials, including this proxy statement and the 2022 Annual Report, to our stockholders primarily via the internet. Beginning on or about April 25, 2023, we mailed to our stockholders a “Notice of Internet Availability of Proxy Materials” that contains notice of the Annual Meeting and instructions on how to access our proxy materials on the internet, how to vote at the Annual Meeting, and how to request printed copies of the proxy materials. Stockholders may request to receive all future proxy materials in printed form by mail or electronically by e-mail by following the instructions contained at www.proxyvote.com. We encourage stockholders to take advantage of the availability of the proxy materials on the internet to help reduce the environmental impact of our annual meetings.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3"/>
        <w:gridCol w:w="9932"/>
      </w:tblGrid>
      <w:tr>
        <w:trPr/>
        <w:tc>
          <w:tcPr>
            <w:tcW w:w="273" w:type="dxa"/>
            <w:tcBorders/>
            <w:shd w:fill="auto" w:val="clear"/>
            <w:vAlign w:val="center"/>
          </w:tcPr>
          <w:p>
            <w:pPr>
              <w:pStyle w:val="TableContents"/>
              <w:spacing w:before="0" w:after="283"/>
              <w:jc w:val="left"/>
              <w:rPr>
                <w:b/>
              </w:rPr>
            </w:pPr>
            <w:r>
              <w:rPr>
                <w:b/>
              </w:rPr>
              <w:t>Q:</w:t>
            </w:r>
          </w:p>
        </w:tc>
        <w:tc>
          <w:tcPr>
            <w:tcW w:w="9932"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What does it mean if multiple members of my household are stockholders but we only received one Notice or full set of proxy materials in the mail?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22"/>
        <w:gridCol w:w="9983"/>
      </w:tblGrid>
      <w:tr>
        <w:trPr/>
        <w:tc>
          <w:tcPr>
            <w:tcW w:w="222" w:type="dxa"/>
            <w:tcBorders/>
            <w:shd w:fill="auto" w:val="clear"/>
            <w:vAlign w:val="center"/>
          </w:tcPr>
          <w:p>
            <w:pPr>
              <w:pStyle w:val="TableContents"/>
              <w:spacing w:before="0" w:after="283"/>
              <w:jc w:val="left"/>
              <w:rPr>
                <w:b/>
              </w:rPr>
            </w:pPr>
            <w:r>
              <w:rPr>
                <w:b/>
              </w:rPr>
              <w:t>A:</w:t>
            </w:r>
          </w:p>
        </w:tc>
        <w:tc>
          <w:tcPr>
            <w:tcW w:w="998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We have adopted a procedure called “householding,” which the SEC has approved. Under this procedure, we deliver a single copy of the Notice and, if applicable, the proxy materials to multiple stockholders who share the same address unless we received contrary instructions from one or more of the stockholders. This procedure reduces our printing costs, mailing costs, and fees. Stockholders who participate in householding will continue to be able to access and receive separate proxy cards. Upon written request, we will deliver promptly a separate copy of the Notice and, if applicable, the proxy materials to any stockholder at a shared address to which we delivered a single copy of any of these documents. To receive a separate copy of the Notice and, if applicable, the proxy materials, stockholders should send their requests to our principal executive offices, Attention: Corporate Secretary. Stockholders who hold shares in street name (as described below) may contact their brokerage firm, bank, broker-dealer, or other similar organization to request information about householding. </w:t>
            </w:r>
          </w:p>
        </w:tc>
      </w:tr>
    </w:tbl>
    <w:p>
      <w:pPr>
        <w:pStyle w:val="TextBody"/>
        <w:spacing w:before="0" w:after="0"/>
        <w:jc w:val="left"/>
        <w:rPr/>
      </w:pPr>
      <w:r>
        <w:rPr/>
        <w:t> </w:t>
      </w:r>
    </w:p>
    <w:tbl>
      <w:tblPr>
        <w:tblW w:w="6205" w:type="dxa"/>
        <w:jc w:val="left"/>
        <w:tblInd w:w="0" w:type="dxa"/>
        <w:tblCellMar>
          <w:top w:w="0" w:type="dxa"/>
          <w:left w:w="0" w:type="dxa"/>
          <w:bottom w:w="0" w:type="dxa"/>
          <w:right w:w="0" w:type="dxa"/>
        </w:tblCellMar>
      </w:tblPr>
      <w:tblGrid>
        <w:gridCol w:w="290"/>
        <w:gridCol w:w="5915"/>
      </w:tblGrid>
      <w:tr>
        <w:trPr/>
        <w:tc>
          <w:tcPr>
            <w:tcW w:w="290" w:type="dxa"/>
            <w:tcBorders/>
            <w:shd w:fill="auto" w:val="clear"/>
            <w:vAlign w:val="center"/>
          </w:tcPr>
          <w:p>
            <w:pPr>
              <w:pStyle w:val="TableContents"/>
              <w:spacing w:before="0" w:after="283"/>
              <w:jc w:val="left"/>
              <w:rPr>
                <w:b/>
              </w:rPr>
            </w:pPr>
            <w:r>
              <w:rPr>
                <w:b/>
              </w:rPr>
              <w:t>Q:</w:t>
            </w:r>
          </w:p>
        </w:tc>
        <w:tc>
          <w:tcPr>
            <w:tcW w:w="591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What is the mailing address for Flywire’s principal executive offices?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4"/>
        <w:gridCol w:w="9931"/>
      </w:tblGrid>
      <w:tr>
        <w:trPr/>
        <w:tc>
          <w:tcPr>
            <w:tcW w:w="274" w:type="dxa"/>
            <w:tcBorders/>
            <w:shd w:fill="auto" w:val="clear"/>
            <w:vAlign w:val="center"/>
          </w:tcPr>
          <w:p>
            <w:pPr>
              <w:pStyle w:val="TableContents"/>
              <w:spacing w:before="0" w:after="283"/>
              <w:jc w:val="left"/>
              <w:rPr>
                <w:b/>
              </w:rPr>
            </w:pPr>
            <w:r>
              <w:rPr>
                <w:b/>
              </w:rPr>
              <w:t>A:</w:t>
            </w:r>
          </w:p>
        </w:tc>
        <w:tc>
          <w:tcPr>
            <w:tcW w:w="993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principal executive offices are located at 141 Tremont St., 10th Floor, Boston, MA 02111. The telephone number at that location is (617) 329-4524. </w:t>
            </w:r>
          </w:p>
        </w:tc>
      </w:tr>
    </w:tbl>
    <w:p>
      <w:pPr>
        <w:pStyle w:val="TextBody"/>
        <w:spacing w:before="120" w:after="0"/>
        <w:jc w:val="left"/>
        <w:rPr>
          <w:rFonts w:ascii="Times New Roman" w:hAnsi="Times New Roman"/>
          <w:sz w:val="20"/>
        </w:rPr>
      </w:pPr>
      <w:r>
        <w:rPr>
          <w:rFonts w:ascii="Times New Roman" w:hAnsi="Times New Roman"/>
          <w:sz w:val="20"/>
        </w:rPr>
        <w:t xml:space="preserve">Any written requests for additional information, copies of the proxy materials and 2022 Annual Report, notices of stockholder proposals, recommendations for candidates to our Board of Directors, communications to our Board of Directors or any other communications should be sent to the address above. </w:t>
      </w:r>
    </w:p>
    <w:p>
      <w:pPr>
        <w:pStyle w:val="TextBody"/>
        <w:spacing w:before="240" w:after="0"/>
        <w:jc w:val="center"/>
        <w:rPr>
          <w:rFonts w:ascii="Times New Roman" w:hAnsi="Times New Roman"/>
          <w:b/>
          <w:sz w:val="20"/>
        </w:rPr>
      </w:pPr>
      <w:bookmarkStart w:id="9" w:name="toc359255_7"/>
      <w:bookmarkEnd w:id="9"/>
      <w:r>
        <w:rPr>
          <w:rFonts w:ascii="Times New Roman" w:hAnsi="Times New Roman"/>
          <w:b/>
          <w:sz w:val="20"/>
        </w:rPr>
        <w:t xml:space="preserve">IMPORTANT NOTICE REGARDING THE AVAILABILITY OF PROXY MATERIALS FOR THE </w:t>
      </w:r>
    </w:p>
    <w:p>
      <w:pPr>
        <w:pStyle w:val="TextBody"/>
        <w:spacing w:before="0" w:after="0"/>
        <w:jc w:val="center"/>
        <w:rPr>
          <w:rFonts w:ascii="Times New Roman" w:hAnsi="Times New Roman"/>
          <w:b/>
          <w:sz w:val="20"/>
        </w:rPr>
      </w:pPr>
      <w:r>
        <w:rPr>
          <w:rFonts w:ascii="Times New Roman" w:hAnsi="Times New Roman"/>
          <w:b/>
          <w:sz w:val="20"/>
        </w:rPr>
        <w:t xml:space="preserve">STOCKHOLDER MEETING TO BE HELD ON JUNE 6, 2023. </w:t>
      </w:r>
    </w:p>
    <w:p>
      <w:pPr>
        <w:pStyle w:val="TextBody"/>
        <w:spacing w:before="240" w:after="0"/>
        <w:jc w:val="center"/>
        <w:rPr>
          <w:rFonts w:ascii="Times New Roman" w:hAnsi="Times New Roman"/>
          <w:b/>
          <w:sz w:val="20"/>
        </w:rPr>
      </w:pPr>
      <w:r>
        <w:rPr>
          <w:rFonts w:ascii="Times New Roman" w:hAnsi="Times New Roman"/>
          <w:b/>
          <w:sz w:val="20"/>
        </w:rPr>
        <w:t xml:space="preserve">The proxy statement and the 2022 Annual Report are available on-line at www.proxyvote.com.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 w:name="toc359255_8"/>
      <w:bookmarkEnd w:id="10"/>
      <w:r>
        <w:rPr>
          <w:rFonts w:ascii="Times New Roman" w:hAnsi="Times New Roman"/>
          <w:b/>
          <w:sz w:val="20"/>
        </w:rPr>
        <w:t xml:space="preserve">PROPOSAL 1 </w:t>
      </w:r>
    </w:p>
    <w:p>
      <w:pPr>
        <w:pStyle w:val="TextBody"/>
        <w:spacing w:before="0" w:after="0"/>
        <w:jc w:val="center"/>
        <w:rPr>
          <w:rFonts w:ascii="Times New Roman" w:hAnsi="Times New Roman"/>
          <w:b/>
          <w:sz w:val="20"/>
        </w:rPr>
      </w:pPr>
      <w:r>
        <w:rPr>
          <w:rFonts w:ascii="Times New Roman" w:hAnsi="Times New Roman"/>
          <w:b/>
          <w:sz w:val="20"/>
        </w:rPr>
        <w:t xml:space="preserve">ELECTION OF DIRECTORS </w:t>
      </w:r>
    </w:p>
    <w:p>
      <w:pPr>
        <w:pStyle w:val="TextBody"/>
        <w:spacing w:before="240" w:after="0"/>
        <w:jc w:val="left"/>
        <w:rPr>
          <w:rFonts w:ascii="Times New Roman" w:hAnsi="Times New Roman"/>
          <w:b/>
          <w:sz w:val="20"/>
        </w:rPr>
      </w:pPr>
      <w:bookmarkStart w:id="11" w:name="toc359255_9"/>
      <w:bookmarkEnd w:id="11"/>
      <w:r>
        <w:rPr>
          <w:rFonts w:ascii="Times New Roman" w:hAnsi="Times New Roman"/>
          <w:b/>
          <w:sz w:val="20"/>
        </w:rPr>
        <w:t xml:space="preserve">General </w:t>
      </w:r>
    </w:p>
    <w:p>
      <w:pPr>
        <w:pStyle w:val="TextBody"/>
        <w:spacing w:before="120" w:after="0"/>
        <w:jc w:val="left"/>
        <w:rPr>
          <w:rFonts w:ascii="Times New Roman" w:hAnsi="Times New Roman"/>
          <w:sz w:val="20"/>
        </w:rPr>
      </w:pPr>
      <w:r>
        <w:rPr>
          <w:rFonts w:ascii="Times New Roman" w:hAnsi="Times New Roman"/>
          <w:sz w:val="20"/>
        </w:rPr>
        <w:t xml:space="preserve">Our Board of Directors may establish the authorized number of directors from time to time by resolution. Our Board of Directors is currently comprised of six members who are divided into three classes with staggered three-year terms. A director serves in office until his or her respective successor is duly elected and qualified or until his or her earlier death or resignation. This classification of the Board of Directors into three classes with staggered three-year terms may have the effect of delaying or preventing changes in our control or management. Your proxy cannot be voted for a greater number of persons than the number of nominees named in this proxy statement. </w:t>
      </w:r>
    </w:p>
    <w:p>
      <w:pPr>
        <w:pStyle w:val="TextBody"/>
        <w:spacing w:before="360" w:after="0"/>
        <w:jc w:val="left"/>
        <w:rPr>
          <w:rFonts w:ascii="Times New Roman" w:hAnsi="Times New Roman"/>
          <w:b/>
          <w:sz w:val="20"/>
        </w:rPr>
      </w:pPr>
      <w:bookmarkStart w:id="12" w:name="toc359255_10"/>
      <w:bookmarkEnd w:id="12"/>
      <w:r>
        <w:rPr>
          <w:rFonts w:ascii="Times New Roman" w:hAnsi="Times New Roman"/>
          <w:b/>
          <w:sz w:val="20"/>
        </w:rPr>
        <w:t xml:space="preserve">Nominees for Election as Class II Directors at the Annual Meeting </w:t>
      </w:r>
    </w:p>
    <w:p>
      <w:pPr>
        <w:pStyle w:val="TextBody"/>
        <w:spacing w:before="120" w:after="0"/>
        <w:jc w:val="left"/>
        <w:rPr>
          <w:rFonts w:ascii="Times New Roman" w:hAnsi="Times New Roman"/>
          <w:sz w:val="20"/>
        </w:rPr>
      </w:pPr>
      <w:r>
        <w:rPr>
          <w:rFonts w:ascii="Times New Roman" w:hAnsi="Times New Roman"/>
          <w:sz w:val="20"/>
        </w:rPr>
        <w:t xml:space="preserve">This year’s nominees for election to the Board of Directors as our Class II directors to serve for a term of three years expiring at the 2026 annual meeting of stockholders, or until their successors have been duly elected and qualified or until their earlier death, resignation or removal, are provided below. All of the nominees listed below are currently directors of the Company. The age of each director as of April 10, 2023 is set forth below. Each of the nominees has agreed to serve as a director if elected, and we have no reason to believe that any nominee will be unable to serve if elected. </w:t>
      </w:r>
    </w:p>
    <w:p>
      <w:pPr>
        <w:pStyle w:val="TextBody"/>
        <w:spacing w:before="0" w:after="0"/>
        <w:jc w:val="left"/>
        <w:rPr/>
      </w:pPr>
      <w:r>
        <w:rPr/>
        <w:t> </w:t>
      </w:r>
    </w:p>
    <w:tbl>
      <w:tblPr>
        <w:tblW w:w="3540" w:type="dxa"/>
        <w:jc w:val="left"/>
        <w:tblInd w:w="0" w:type="dxa"/>
        <w:tblCellMar>
          <w:top w:w="0" w:type="dxa"/>
          <w:left w:w="0" w:type="dxa"/>
          <w:bottom w:w="0" w:type="dxa"/>
          <w:right w:w="0" w:type="dxa"/>
        </w:tblCellMar>
      </w:tblPr>
      <w:tblGrid>
        <w:gridCol w:w="1385"/>
        <w:gridCol w:w="120"/>
        <w:gridCol w:w="425"/>
        <w:gridCol w:w="120"/>
        <w:gridCol w:w="1490"/>
      </w:tblGrid>
      <w:tr>
        <w:trPr/>
        <w:tc>
          <w:tcPr>
            <w:tcW w:w="13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90" w:type="dxa"/>
            <w:tcBorders/>
            <w:shd w:fill="auto" w:val="clear"/>
            <w:vAlign w:val="center"/>
          </w:tcPr>
          <w:p>
            <w:pPr>
              <w:pStyle w:val="TableContents"/>
              <w:spacing w:before="0" w:after="283"/>
              <w:rPr>
                <w:sz w:val="4"/>
                <w:szCs w:val="4"/>
              </w:rPr>
            </w:pPr>
            <w:r>
              <w:rPr>
                <w:sz w:val="4"/>
                <w:szCs w:val="4"/>
              </w:rPr>
            </w:r>
          </w:p>
        </w:tc>
      </w:tr>
      <w:tr>
        <w:trPr/>
        <w:tc>
          <w:tcPr>
            <w:tcW w:w="1385" w:type="dxa"/>
            <w:tcBorders/>
            <w:shd w:fill="auto" w:val="clear"/>
            <w:vAlign w:val="center"/>
          </w:tcPr>
          <w:p>
            <w:pPr>
              <w:pStyle w:val="TableContents"/>
              <w:spacing w:before="0" w:after="283"/>
              <w:rPr>
                <w:b/>
              </w:rPr>
            </w:pPr>
            <w:r>
              <w:rPr>
                <w:b/>
              </w:rPr>
              <w:t>Name</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center"/>
              <w:rPr>
                <w:b/>
              </w:rPr>
            </w:pPr>
            <w:r>
              <w:rPr>
                <w:b/>
              </w:rPr>
              <w:t>Age</w:t>
            </w:r>
          </w:p>
        </w:tc>
        <w:tc>
          <w:tcPr>
            <w:tcW w:w="120" w:type="dxa"/>
            <w:tcBorders/>
            <w:shd w:fill="auto" w:val="clear"/>
            <w:vAlign w:val="center"/>
          </w:tcPr>
          <w:p>
            <w:pPr>
              <w:pStyle w:val="TableContents"/>
              <w:spacing w:before="0" w:after="283"/>
              <w:rPr/>
            </w:pPr>
            <w:r>
              <w:rPr/>
              <w:t>  </w:t>
            </w:r>
          </w:p>
        </w:tc>
        <w:tc>
          <w:tcPr>
            <w:tcW w:w="1490" w:type="dxa"/>
            <w:tcBorders/>
            <w:shd w:fill="auto" w:val="clear"/>
            <w:vAlign w:val="center"/>
          </w:tcPr>
          <w:p>
            <w:pPr>
              <w:pStyle w:val="TableContents"/>
              <w:spacing w:before="0" w:after="283"/>
              <w:jc w:val="center"/>
              <w:rPr>
                <w:b/>
              </w:rPr>
            </w:pPr>
            <w:r>
              <w:rPr>
                <w:b/>
              </w:rPr>
              <w:t>Director Since</w:t>
            </w:r>
          </w:p>
        </w:tc>
      </w:tr>
      <w:tr>
        <w:trPr/>
        <w:tc>
          <w:tcPr>
            <w:tcW w:w="13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Alex Finkelstein</w:t>
            </w:r>
          </w:p>
        </w:tc>
        <w:tc>
          <w:tcPr>
            <w:tcW w:w="12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before="0" w:after="283"/>
              <w:jc w:val="center"/>
              <w:rPr/>
            </w:pPr>
            <w:r>
              <w:rPr/>
              <w:t>47</w:t>
            </w:r>
          </w:p>
        </w:tc>
        <w:tc>
          <w:tcPr>
            <w:tcW w:w="120" w:type="dxa"/>
            <w:tcBorders/>
            <w:shd w:fill="CCEEFF" w:val="clear"/>
            <w:vAlign w:val="center"/>
          </w:tcPr>
          <w:p>
            <w:pPr>
              <w:pStyle w:val="TableContents"/>
              <w:spacing w:before="0" w:after="283"/>
              <w:rPr/>
            </w:pPr>
            <w:r>
              <w:rPr/>
              <w:t>  </w:t>
            </w:r>
          </w:p>
        </w:tc>
        <w:tc>
          <w:tcPr>
            <w:tcW w:w="1490" w:type="dxa"/>
            <w:tcBorders/>
            <w:shd w:fill="CCEEFF" w:val="clear"/>
            <w:vAlign w:val="center"/>
          </w:tcPr>
          <w:p>
            <w:pPr>
              <w:pStyle w:val="TableContents"/>
              <w:spacing w:before="0" w:after="283"/>
              <w:jc w:val="center"/>
              <w:rPr/>
            </w:pPr>
            <w:r>
              <w:rPr/>
              <w:t>2011</w:t>
            </w:r>
          </w:p>
        </w:tc>
      </w:tr>
      <w:tr>
        <w:trPr/>
        <w:tc>
          <w:tcPr>
            <w:tcW w:w="13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Matthew Harris</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center"/>
              <w:rPr/>
            </w:pPr>
            <w:r>
              <w:rPr/>
              <w:t>50</w:t>
            </w:r>
          </w:p>
        </w:tc>
        <w:tc>
          <w:tcPr>
            <w:tcW w:w="120" w:type="dxa"/>
            <w:tcBorders/>
            <w:shd w:fill="auto" w:val="clear"/>
            <w:vAlign w:val="center"/>
          </w:tcPr>
          <w:p>
            <w:pPr>
              <w:pStyle w:val="TableContents"/>
              <w:spacing w:before="0" w:after="283"/>
              <w:rPr/>
            </w:pPr>
            <w:r>
              <w:rPr/>
              <w:t>  </w:t>
            </w:r>
          </w:p>
        </w:tc>
        <w:tc>
          <w:tcPr>
            <w:tcW w:w="1490" w:type="dxa"/>
            <w:tcBorders/>
            <w:shd w:fill="auto" w:val="clear"/>
            <w:vAlign w:val="center"/>
          </w:tcPr>
          <w:p>
            <w:pPr>
              <w:pStyle w:val="TableContents"/>
              <w:spacing w:before="0" w:after="283"/>
              <w:jc w:val="center"/>
              <w:rPr/>
            </w:pPr>
            <w:r>
              <w:rPr/>
              <w:t>2015</w:t>
            </w:r>
          </w:p>
        </w:tc>
      </w:tr>
    </w:tbl>
    <w:p>
      <w:pPr>
        <w:pStyle w:val="TextBody"/>
        <w:spacing w:before="240" w:after="0"/>
        <w:jc w:val="left"/>
        <w:rPr>
          <w:rFonts w:ascii="Times New Roman" w:hAnsi="Times New Roman"/>
          <w:sz w:val="20"/>
        </w:rPr>
      </w:pPr>
      <w:r>
        <w:rPr>
          <w:rFonts w:ascii="Times New Roman" w:hAnsi="Times New Roman"/>
          <w:sz w:val="20"/>
        </w:rPr>
        <w:t xml:space="preserve">The following is additional information about each of the nominees as of the date of this proxy statement, including their business experience, public company director positions held currently or at any time during the last five years, involvement in certain legal or administrative proceedings, if applicable, and the experiences, qualifications, attributes or skills that caused the nominating and corporate governance committee and our Board of Directors to determine that the nominees should serve as one of our directors.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986"/>
        <w:gridCol w:w="120"/>
        <w:gridCol w:w="79"/>
        <w:gridCol w:w="346"/>
        <w:gridCol w:w="60"/>
        <w:gridCol w:w="120"/>
        <w:gridCol w:w="8494"/>
      </w:tblGrid>
      <w:tr>
        <w:trPr/>
        <w:tc>
          <w:tcPr>
            <w:tcW w:w="98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494" w:type="dxa"/>
            <w:tcBorders/>
            <w:shd w:fill="auto" w:val="clear"/>
            <w:vAlign w:val="center"/>
          </w:tcPr>
          <w:p>
            <w:pPr>
              <w:pStyle w:val="TableContents"/>
              <w:spacing w:before="0" w:after="283"/>
              <w:rPr>
                <w:sz w:val="4"/>
                <w:szCs w:val="4"/>
              </w:rPr>
            </w:pPr>
            <w:r>
              <w:rPr>
                <w:sz w:val="4"/>
                <w:szCs w:val="4"/>
              </w:rPr>
            </w:r>
          </w:p>
        </w:tc>
      </w:tr>
      <w:tr>
        <w:trPr/>
        <w:tc>
          <w:tcPr>
            <w:tcW w:w="986" w:type="dxa"/>
            <w:tcBorders/>
            <w:shd w:fill="auto" w:val="clear"/>
            <w:vAlign w:val="center"/>
          </w:tcPr>
          <w:p>
            <w:pPr>
              <w:pStyle w:val="TableContents"/>
              <w:spacing w:before="0" w:after="283"/>
              <w:rPr>
                <w:b/>
              </w:rPr>
            </w:pPr>
            <w:r>
              <w:rPr>
                <w:b/>
              </w:rPr>
              <w:t>Name</w:t>
            </w:r>
          </w:p>
        </w:tc>
        <w:tc>
          <w:tcPr>
            <w:tcW w:w="120" w:type="dxa"/>
            <w:tcBorders/>
            <w:shd w:fill="auto" w:val="clear"/>
            <w:vAlign w:val="center"/>
          </w:tcPr>
          <w:p>
            <w:pPr>
              <w:pStyle w:val="TableContents"/>
              <w:spacing w:before="0" w:after="283"/>
              <w:rPr/>
            </w:pPr>
            <w:r>
              <w:rPr/>
              <w:t>  </w:t>
            </w:r>
          </w:p>
        </w:tc>
        <w:tc>
          <w:tcPr>
            <w:tcW w:w="425" w:type="dxa"/>
            <w:gridSpan w:val="2"/>
            <w:tcBorders/>
            <w:shd w:fill="auto" w:val="clear"/>
            <w:vAlign w:val="center"/>
          </w:tcPr>
          <w:p>
            <w:pPr>
              <w:pStyle w:val="TableContents"/>
              <w:spacing w:before="0" w:after="283"/>
              <w:jc w:val="center"/>
              <w:rPr>
                <w:b/>
              </w:rPr>
            </w:pPr>
            <w:r>
              <w:rPr>
                <w:b/>
              </w:rPr>
              <w:t>Age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494" w:type="dxa"/>
            <w:tcBorders/>
            <w:shd w:fill="auto" w:val="clear"/>
            <w:vAlign w:val="center"/>
          </w:tcPr>
          <w:p>
            <w:pPr>
              <w:pStyle w:val="TableContents"/>
              <w:spacing w:before="0" w:after="283"/>
              <w:jc w:val="center"/>
              <w:rPr>
                <w:b/>
              </w:rPr>
            </w:pPr>
            <w:r>
              <w:rPr>
                <w:b/>
              </w:rPr>
              <w:t>Principal Occupation and Business Experience</w:t>
            </w:r>
          </w:p>
        </w:tc>
      </w:tr>
      <w:tr>
        <w:trPr/>
        <w:tc>
          <w:tcPr>
            <w:tcW w:w="986"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Alex Finkelstein</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346" w:type="dxa"/>
            <w:tcBorders/>
            <w:shd w:fill="CCEEFF" w:val="clear"/>
            <w:vAlign w:val="center"/>
          </w:tcPr>
          <w:p>
            <w:pPr>
              <w:pStyle w:val="TableContents"/>
              <w:spacing w:before="0" w:after="283"/>
              <w:jc w:val="right"/>
              <w:rPr/>
            </w:pPr>
            <w:r>
              <w:rPr/>
              <w:t>47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494" w:type="dxa"/>
            <w:tcBorders/>
            <w:shd w:fill="CCEEFF" w:val="clear"/>
            <w:vAlign w:val="center"/>
          </w:tcPr>
          <w:p>
            <w:pPr>
              <w:pStyle w:val="TableContents"/>
              <w:spacing w:before="0" w:after="283"/>
              <w:rPr/>
            </w:pPr>
            <w:r>
              <w:rPr/>
              <w:t>Mr. Finkelstein has served as a member of our Board of Directors since 2011. Mr. Finkelstein has served as a General Partner at Spark Capital, a venture capital firm, since 2005. Mr. Finkelstein began his career at Cambridge Associates before joining two early-stage venture capital firms. After a few years, he took a break from the venture capital industry to write and sell a number of original television shows to networks including FOX, Discovery, and E!. Mr. Finkelstein later returned to the venture capital industry and joined Spark at its inception. Mr. Finkelstein earned his Bachelor of Arts in Political Science from Middlebury College. We believe Mr. Finkelstein is qualified to serve on our Board of Directors because of his extensive business experience with technology companies, including experience in the formation, development and business strategy of multiple start-up companies.</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85"/>
        <w:gridCol w:w="120"/>
        <w:gridCol w:w="79"/>
        <w:gridCol w:w="346"/>
        <w:gridCol w:w="60"/>
        <w:gridCol w:w="120"/>
        <w:gridCol w:w="8695"/>
      </w:tblGrid>
      <w:tr>
        <w:trPr/>
        <w:tc>
          <w:tcPr>
            <w:tcW w:w="7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695" w:type="dxa"/>
            <w:tcBorders/>
            <w:shd w:fill="auto" w:val="clear"/>
            <w:vAlign w:val="center"/>
          </w:tcPr>
          <w:p>
            <w:pPr>
              <w:pStyle w:val="TableContents"/>
              <w:spacing w:before="0" w:after="283"/>
              <w:rPr>
                <w:sz w:val="4"/>
                <w:szCs w:val="4"/>
              </w:rPr>
            </w:pPr>
            <w:r>
              <w:rPr>
                <w:sz w:val="4"/>
                <w:szCs w:val="4"/>
              </w:rPr>
            </w:r>
          </w:p>
        </w:tc>
      </w:tr>
      <w:tr>
        <w:trPr/>
        <w:tc>
          <w:tcPr>
            <w:tcW w:w="785" w:type="dxa"/>
            <w:tcBorders/>
            <w:shd w:fill="auto" w:val="clear"/>
            <w:vAlign w:val="center"/>
          </w:tcPr>
          <w:p>
            <w:pPr>
              <w:pStyle w:val="TableContents"/>
              <w:spacing w:before="0" w:after="283"/>
              <w:rPr>
                <w:b/>
              </w:rPr>
            </w:pPr>
            <w:r>
              <w:rPr>
                <w:b/>
              </w:rPr>
              <w:t>Name</w:t>
            </w:r>
          </w:p>
        </w:tc>
        <w:tc>
          <w:tcPr>
            <w:tcW w:w="120" w:type="dxa"/>
            <w:tcBorders/>
            <w:shd w:fill="auto" w:val="clear"/>
            <w:vAlign w:val="center"/>
          </w:tcPr>
          <w:p>
            <w:pPr>
              <w:pStyle w:val="TableContents"/>
              <w:spacing w:before="0" w:after="283"/>
              <w:rPr/>
            </w:pPr>
            <w:r>
              <w:rPr/>
              <w:t>  </w:t>
            </w:r>
          </w:p>
        </w:tc>
        <w:tc>
          <w:tcPr>
            <w:tcW w:w="425" w:type="dxa"/>
            <w:gridSpan w:val="2"/>
            <w:tcBorders/>
            <w:shd w:fill="auto" w:val="clear"/>
            <w:vAlign w:val="center"/>
          </w:tcPr>
          <w:p>
            <w:pPr>
              <w:pStyle w:val="TableContents"/>
              <w:spacing w:before="0" w:after="283"/>
              <w:jc w:val="center"/>
              <w:rPr>
                <w:b/>
              </w:rPr>
            </w:pPr>
            <w:r>
              <w:rPr>
                <w:b/>
              </w:rPr>
              <w:t>Age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95" w:type="dxa"/>
            <w:tcBorders/>
            <w:shd w:fill="auto" w:val="clear"/>
            <w:vAlign w:val="center"/>
          </w:tcPr>
          <w:p>
            <w:pPr>
              <w:pStyle w:val="TableContents"/>
              <w:spacing w:before="0" w:after="283"/>
              <w:jc w:val="center"/>
              <w:rPr>
                <w:b/>
              </w:rPr>
            </w:pPr>
            <w:r>
              <w:rPr>
                <w:b/>
              </w:rPr>
              <w:t>Principal Occupation and Business Experience</w:t>
            </w:r>
          </w:p>
        </w:tc>
      </w:tr>
      <w:tr>
        <w:trPr/>
        <w:tc>
          <w:tcPr>
            <w:tcW w:w="785" w:type="dxa"/>
            <w:tcBorders/>
            <w:shd w:fill="auto" w:val="clear"/>
            <w:vAlign w:val="center"/>
          </w:tcPr>
          <w:p>
            <w:pPr>
              <w:pStyle w:val="TableContents"/>
              <w:spacing w:before="0" w:after="283"/>
              <w:rPr>
                <w:sz w:val="4"/>
                <w:szCs w:val="4"/>
              </w:rPr>
            </w:pPr>
            <w:r>
              <w:rPr>
                <w:sz w:val="4"/>
                <w:szCs w:val="4"/>
              </w:rPr>
            </w:r>
          </w:p>
        </w:tc>
        <w:tc>
          <w:tcPr>
            <w:tcW w:w="605" w:type="dxa"/>
            <w:gridSpan w:val="4"/>
            <w:tcBorders/>
            <w:shd w:fill="auto" w:val="clear"/>
            <w:vAlign w:val="center"/>
          </w:tcPr>
          <w:p>
            <w:pPr>
              <w:pStyle w:val="TableContents"/>
              <w:spacing w:before="0" w:after="283"/>
              <w:rPr>
                <w:sz w:val="4"/>
                <w:szCs w:val="4"/>
              </w:rPr>
            </w:pPr>
            <w:r>
              <w:rPr>
                <w:sz w:val="4"/>
                <w:szCs w:val="4"/>
              </w:rPr>
            </w:r>
          </w:p>
        </w:tc>
        <w:tc>
          <w:tcPr>
            <w:tcW w:w="8815" w:type="dxa"/>
            <w:gridSpan w:val="2"/>
            <w:tcBorders/>
            <w:shd w:fill="auto" w:val="clear"/>
            <w:vAlign w:val="center"/>
          </w:tcPr>
          <w:p>
            <w:pPr>
              <w:pStyle w:val="TableContents"/>
              <w:spacing w:before="0" w:after="283"/>
              <w:rPr>
                <w:sz w:val="4"/>
                <w:szCs w:val="4"/>
              </w:rPr>
            </w:pPr>
            <w:r>
              <w:rPr>
                <w:sz w:val="4"/>
                <w:szCs w:val="4"/>
              </w:rPr>
            </w:r>
          </w:p>
        </w:tc>
      </w:tr>
      <w:tr>
        <w:trPr/>
        <w:tc>
          <w:tcPr>
            <w:tcW w:w="7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Matthew Harris</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346" w:type="dxa"/>
            <w:tcBorders/>
            <w:shd w:fill="auto" w:val="clear"/>
            <w:vAlign w:val="center"/>
          </w:tcPr>
          <w:p>
            <w:pPr>
              <w:pStyle w:val="TableContents"/>
              <w:spacing w:before="0" w:after="283"/>
              <w:jc w:val="right"/>
              <w:rPr/>
            </w:pPr>
            <w:r>
              <w:rPr/>
              <w:t>50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95" w:type="dxa"/>
            <w:tcBorders/>
            <w:shd w:fill="auto" w:val="clear"/>
            <w:vAlign w:val="center"/>
          </w:tcPr>
          <w:p>
            <w:pPr>
              <w:pStyle w:val="TableContents"/>
              <w:spacing w:before="0" w:after="283"/>
              <w:rPr/>
            </w:pPr>
            <w:r>
              <w:rPr/>
              <w:t>Mr. Harris has served as a member of our Board of Directors since January 2015. Mr. Harris joined Bain Capital Ventures in September 2012 to lead the New York City office, where he currently serves as a Partner. Mr. Harris focuses on business services companies, with a particular interest in financial services. Mr. Harris has served as a member of the board of directors of AvidXchange Holdings, Inc., a provider of accounts payable automation software and payment solutions for middle market businesses and their suppliers, since July 2015. Mr. Harris has also served as a member of the board of directors of BTRS Holdings Inc. (f/k/a Factor Systems, Inc. (dba Billtrust)), a provider of cloud-based software and integrated payment processing solutions, until December 2022. Prior to joining Bain Capital Ventures, Mr. Harris founded Village Ventures, Inc., an early stage venture capital firm focused on the media and financial services sectors, and served as Managing Director from January 2000 to September 2012. Mr. Harris holds a Bachelor of Arts degree from Williams College. We believe Mr. Harris is qualified to serve on our Board of Directors because of his extensive business experience with technology companies, including experience in the formation, development and business strategy of multiple start-up companies in the payments sector.</w:t>
            </w:r>
          </w:p>
        </w:tc>
      </w:tr>
    </w:tbl>
    <w:p>
      <w:pPr>
        <w:pStyle w:val="TextBody"/>
        <w:spacing w:before="360" w:after="0"/>
        <w:jc w:val="left"/>
        <w:rPr>
          <w:rFonts w:ascii="Times New Roman" w:hAnsi="Times New Roman"/>
          <w:b/>
          <w:sz w:val="20"/>
        </w:rPr>
      </w:pPr>
      <w:bookmarkStart w:id="13" w:name="toc359255_11"/>
      <w:bookmarkEnd w:id="13"/>
      <w:r>
        <w:rPr>
          <w:rFonts w:ascii="Times New Roman" w:hAnsi="Times New Roman"/>
          <w:b/>
          <w:sz w:val="20"/>
        </w:rPr>
        <w:t xml:space="preserve">Required Vote and Recommendation of the Board of Directors for Proposal 1 </w:t>
      </w:r>
    </w:p>
    <w:p>
      <w:pPr>
        <w:pStyle w:val="TextBody"/>
        <w:spacing w:before="120" w:after="0"/>
        <w:jc w:val="left"/>
        <w:rPr>
          <w:rFonts w:ascii="Times New Roman" w:hAnsi="Times New Roman"/>
          <w:sz w:val="20"/>
        </w:rPr>
      </w:pPr>
      <w:r>
        <w:rPr>
          <w:rFonts w:ascii="Times New Roman" w:hAnsi="Times New Roman"/>
          <w:sz w:val="20"/>
        </w:rPr>
        <w:t xml:space="preserve">The affirmative vote of a plurality of the votes cast at the Annual Meeting is required for the election of our Class II directors. The two nominees receiving the most “FOR” votes among votes properly cast in person or by proxy will be elected to the Board of Directors as Class II directors. You may vote “FOR” or “WITHHOLD” on each of the nominees for election as director. Shares represented by signed proxy cards will be voted on Proposal 1 “FOR” the election of Alex Finkelstein and Matthew Harris to the Board of Directors at the Annual Meeting, unless otherwise marked on the card. A broker non-vote or a properly executed proxy marked “WITHHOLD” with respect to the election of a Class II director will not be voted with respect to such director, although it will be counted for purposes of determining whether there is a quorum. </w:t>
      </w:r>
    </w:p>
    <w:p>
      <w:pPr>
        <w:pStyle w:val="TextBody"/>
        <w:spacing w:before="240" w:after="0"/>
        <w:jc w:val="center"/>
        <w:rPr>
          <w:rFonts w:ascii="Times New Roman" w:hAnsi="Times New Roman"/>
          <w:b/>
          <w:sz w:val="20"/>
        </w:rPr>
      </w:pPr>
      <w:r>
        <w:rPr>
          <w:rFonts w:ascii="Times New Roman" w:hAnsi="Times New Roman"/>
          <w:b/>
          <w:sz w:val="20"/>
        </w:rPr>
        <w:t xml:space="preserve">OUR BOARD OF DIRECTORS UNANIMOUSLY RECOMMENDS A VOTE “FOR ALL” THE CLASS II NOMINEES NAMED ABOVE.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bookmarkStart w:id="14" w:name="toc359255_12"/>
      <w:bookmarkEnd w:id="14"/>
      <w:r>
        <w:rPr>
          <w:rFonts w:ascii="Times New Roman" w:hAnsi="Times New Roman"/>
          <w:b/>
          <w:sz w:val="20"/>
        </w:rPr>
        <w:t xml:space="preserve">Continuing Directors Not Standing for Election </w:t>
      </w:r>
    </w:p>
    <w:p>
      <w:pPr>
        <w:pStyle w:val="TextBody"/>
        <w:spacing w:before="120" w:after="0"/>
        <w:jc w:val="left"/>
        <w:rPr>
          <w:rFonts w:ascii="Times New Roman" w:hAnsi="Times New Roman"/>
          <w:sz w:val="20"/>
        </w:rPr>
      </w:pPr>
      <w:r>
        <w:rPr>
          <w:rFonts w:ascii="Times New Roman" w:hAnsi="Times New Roman"/>
          <w:sz w:val="20"/>
        </w:rPr>
        <w:t xml:space="preserve">Certain information about those directors whose terms do not expire at the Annual Meeting is furnished below, including their business experience, public company director positions held currently or at any time during the last five years, involvement in certain legal or administrative proceedings, if applicable, and the experiences, qualifications, attributes or skills that caused the nominating and corporate governance committee and our Board of Directors to determine that the directors should serve as one of our directors. The age of each director as of April 10, 2023 is set forth below. </w:t>
      </w:r>
    </w:p>
    <w:p>
      <w:pPr>
        <w:pStyle w:val="TextBody"/>
        <w:spacing w:before="360" w:after="0"/>
        <w:jc w:val="center"/>
        <w:rPr>
          <w:rFonts w:ascii="Times New Roman" w:hAnsi="Times New Roman"/>
          <w:b/>
          <w:i/>
          <w:sz w:val="20"/>
        </w:rPr>
      </w:pPr>
      <w:r>
        <w:rPr>
          <w:rFonts w:ascii="Times New Roman" w:hAnsi="Times New Roman"/>
          <w:b/>
          <w:i/>
          <w:sz w:val="20"/>
        </w:rPr>
        <w:t xml:space="preserve">Incumbent Class III Directors Whose Term Expires in 2024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664"/>
        <w:gridCol w:w="120"/>
        <w:gridCol w:w="79"/>
        <w:gridCol w:w="346"/>
        <w:gridCol w:w="60"/>
        <w:gridCol w:w="120"/>
        <w:gridCol w:w="8816"/>
      </w:tblGrid>
      <w:tr>
        <w:trPr/>
        <w:tc>
          <w:tcPr>
            <w:tcW w:w="66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816" w:type="dxa"/>
            <w:tcBorders/>
            <w:shd w:fill="auto" w:val="clear"/>
            <w:vAlign w:val="center"/>
          </w:tcPr>
          <w:p>
            <w:pPr>
              <w:pStyle w:val="TableContents"/>
              <w:spacing w:before="0" w:after="283"/>
              <w:rPr>
                <w:sz w:val="4"/>
                <w:szCs w:val="4"/>
              </w:rPr>
            </w:pPr>
            <w:r>
              <w:rPr>
                <w:sz w:val="4"/>
                <w:szCs w:val="4"/>
              </w:rPr>
            </w:r>
          </w:p>
        </w:tc>
      </w:tr>
      <w:tr>
        <w:trPr/>
        <w:tc>
          <w:tcPr>
            <w:tcW w:w="664" w:type="dxa"/>
            <w:tcBorders/>
            <w:shd w:fill="auto" w:val="clear"/>
            <w:vAlign w:val="center"/>
          </w:tcPr>
          <w:p>
            <w:pPr>
              <w:pStyle w:val="TableContents"/>
              <w:spacing w:before="0" w:after="283"/>
              <w:rPr>
                <w:b/>
              </w:rPr>
            </w:pPr>
            <w:r>
              <w:rPr>
                <w:b/>
              </w:rPr>
              <w:t>Name</w:t>
            </w:r>
          </w:p>
        </w:tc>
        <w:tc>
          <w:tcPr>
            <w:tcW w:w="120" w:type="dxa"/>
            <w:tcBorders/>
            <w:shd w:fill="auto" w:val="clear"/>
            <w:vAlign w:val="center"/>
          </w:tcPr>
          <w:p>
            <w:pPr>
              <w:pStyle w:val="TableContents"/>
              <w:spacing w:before="0" w:after="283"/>
              <w:rPr/>
            </w:pPr>
            <w:r>
              <w:rPr/>
              <w:t>  </w:t>
            </w:r>
          </w:p>
        </w:tc>
        <w:tc>
          <w:tcPr>
            <w:tcW w:w="425" w:type="dxa"/>
            <w:gridSpan w:val="2"/>
            <w:tcBorders/>
            <w:shd w:fill="auto" w:val="clear"/>
            <w:vAlign w:val="center"/>
          </w:tcPr>
          <w:p>
            <w:pPr>
              <w:pStyle w:val="TableContents"/>
              <w:spacing w:before="0" w:after="283"/>
              <w:jc w:val="center"/>
              <w:rPr>
                <w:b/>
              </w:rPr>
            </w:pPr>
            <w:r>
              <w:rPr>
                <w:b/>
              </w:rPr>
              <w:t>Age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16" w:type="dxa"/>
            <w:tcBorders/>
            <w:shd w:fill="auto" w:val="clear"/>
            <w:vAlign w:val="center"/>
          </w:tcPr>
          <w:p>
            <w:pPr>
              <w:pStyle w:val="TableContents"/>
              <w:spacing w:before="0" w:after="283"/>
              <w:jc w:val="center"/>
              <w:rPr>
                <w:b/>
              </w:rPr>
            </w:pPr>
            <w:r>
              <w:rPr>
                <w:b/>
              </w:rPr>
              <w:t>Principal Occupation and Business Experience</w:t>
            </w:r>
          </w:p>
        </w:tc>
      </w:tr>
      <w:tr>
        <w:trPr/>
        <w:tc>
          <w:tcPr>
            <w:tcW w:w="664"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Edwin Santos</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346" w:type="dxa"/>
            <w:tcBorders/>
            <w:shd w:fill="CCEEFF" w:val="clear"/>
            <w:vAlign w:val="center"/>
          </w:tcPr>
          <w:p>
            <w:pPr>
              <w:pStyle w:val="TableContents"/>
              <w:spacing w:before="0" w:after="283"/>
              <w:jc w:val="right"/>
              <w:rPr/>
            </w:pPr>
            <w:r>
              <w:rPr/>
              <w:t>63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816" w:type="dxa"/>
            <w:tcBorders/>
            <w:shd w:fill="CCEEFF" w:val="clear"/>
            <w:vAlign w:val="center"/>
          </w:tcPr>
          <w:p>
            <w:pPr>
              <w:pStyle w:val="TableContents"/>
              <w:spacing w:before="0" w:after="283"/>
              <w:rPr/>
            </w:pPr>
            <w:r>
              <w:rPr/>
              <w:t>Mr. Santos has served as a member of our Board of Directors since April 2021. Mr. Santos has had a distinguished career in banking, with experience in risk management, corporate governance, management advisory services, acquisitions, and reengineering efforts. He served for many years in various positions of significant responsibility with FleetBoston Financial Group, and more recently served as Group Executive Vice President and General Auditor for Citizens Financial Group prior to his retirement in 2009. Mr. Santos currently serves as a member of the boards of directors of the Providence Mutual Fire Insurance Company, Washington Trust Bancorp Inc. and Fidelity Institutional Asset Management, a Fidelity Investments company. He is also Past President of the Board of Trustees of Rocky Hill School, and a member of the Bryant University Board of Trustees. Mr. Santos holds a Bachelor’s degree in Business Administration and Accounting from Bryant University. We believe Mr. Santos is qualified to serve on our Board of Directors because of his professional competency and broad experience in the financial services industry.</w:t>
            </w:r>
          </w:p>
        </w:tc>
      </w:tr>
      <w:tr>
        <w:trPr/>
        <w:tc>
          <w:tcPr>
            <w:tcW w:w="664" w:type="dxa"/>
            <w:tcBorders/>
            <w:shd w:fill="auto" w:val="clear"/>
            <w:vAlign w:val="center"/>
          </w:tcPr>
          <w:p>
            <w:pPr>
              <w:pStyle w:val="TableContents"/>
              <w:spacing w:before="0" w:after="283"/>
              <w:rPr>
                <w:sz w:val="4"/>
                <w:szCs w:val="4"/>
              </w:rPr>
            </w:pPr>
            <w:r>
              <w:rPr>
                <w:sz w:val="4"/>
                <w:szCs w:val="4"/>
              </w:rPr>
            </w:r>
          </w:p>
        </w:tc>
        <w:tc>
          <w:tcPr>
            <w:tcW w:w="605" w:type="dxa"/>
            <w:gridSpan w:val="4"/>
            <w:tcBorders/>
            <w:shd w:fill="auto" w:val="clear"/>
            <w:vAlign w:val="center"/>
          </w:tcPr>
          <w:p>
            <w:pPr>
              <w:pStyle w:val="TableContents"/>
              <w:spacing w:before="0" w:after="283"/>
              <w:rPr>
                <w:sz w:val="4"/>
                <w:szCs w:val="4"/>
              </w:rPr>
            </w:pPr>
            <w:r>
              <w:rPr>
                <w:sz w:val="4"/>
                <w:szCs w:val="4"/>
              </w:rPr>
            </w:r>
          </w:p>
        </w:tc>
        <w:tc>
          <w:tcPr>
            <w:tcW w:w="8936" w:type="dxa"/>
            <w:gridSpan w:val="2"/>
            <w:tcBorders/>
            <w:shd w:fill="auto" w:val="clear"/>
            <w:vAlign w:val="center"/>
          </w:tcPr>
          <w:p>
            <w:pPr>
              <w:pStyle w:val="TableContents"/>
              <w:spacing w:before="0" w:after="283"/>
              <w:rPr>
                <w:sz w:val="4"/>
                <w:szCs w:val="4"/>
              </w:rPr>
            </w:pPr>
            <w:r>
              <w:rPr>
                <w:sz w:val="4"/>
                <w:szCs w:val="4"/>
              </w:rPr>
            </w:r>
          </w:p>
        </w:tc>
      </w:tr>
      <w:tr>
        <w:trPr/>
        <w:tc>
          <w:tcPr>
            <w:tcW w:w="664"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Phillip Riese</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346" w:type="dxa"/>
            <w:tcBorders/>
            <w:shd w:fill="auto" w:val="clear"/>
            <w:vAlign w:val="center"/>
          </w:tcPr>
          <w:p>
            <w:pPr>
              <w:pStyle w:val="TableContents"/>
              <w:spacing w:before="0" w:after="283"/>
              <w:jc w:val="right"/>
              <w:rPr/>
            </w:pPr>
            <w:r>
              <w:rPr/>
              <w:t>73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16" w:type="dxa"/>
            <w:tcBorders/>
            <w:shd w:fill="auto" w:val="clear"/>
            <w:vAlign w:val="center"/>
          </w:tcPr>
          <w:p>
            <w:pPr>
              <w:pStyle w:val="TableContents"/>
              <w:spacing w:before="0" w:after="283"/>
              <w:rPr/>
            </w:pPr>
            <w:r>
              <w:rPr/>
              <w:t>Mr. Riese has served as a member and chair of our Board of Directors since August 2013. In November 1998, Mr. Riese established Riese &amp; Others, offering his personal services as a board member and advisor with a focus on emerging and disruptive companies primarily in financial services globally. He frequently invests in those companies alongside a variety of venture capital and private equity firms. Prior to forming Riese &amp; Others, Mr. Riese spent 18 years at American Express, ultimately serving as the president of the Consumer Card Group and chairman of American Express Centurion Bank. Before joining American Express, Mr. Riese was a division executive at Chase Bank, after being a partner at M.C. Geffen, a consulting firm in South Africa. Mr. Riese serves as a board member for a number of public and private companies, including Remitly, Inc., Betterment LLC, Cross River Bank and MPOWER Financing, PBC. Mr. Riese holds a Bachelor’s degree in Commerce from Leeds University in England, a M.B.A. from the University of Cape Town in South Africa and a Master of Science degree from Massachusetts Institute of Technology. We believe Mr. Riese is qualified to serve on our Board of Directors because of his extensive experience in the payments industry and his senior management experience.</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812"/>
        <w:gridCol w:w="120"/>
        <w:gridCol w:w="79"/>
        <w:gridCol w:w="346"/>
        <w:gridCol w:w="60"/>
        <w:gridCol w:w="120"/>
        <w:gridCol w:w="8668"/>
      </w:tblGrid>
      <w:tr>
        <w:trPr/>
        <w:tc>
          <w:tcPr>
            <w:tcW w:w="81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668" w:type="dxa"/>
            <w:tcBorders/>
            <w:shd w:fill="auto" w:val="clear"/>
            <w:vAlign w:val="center"/>
          </w:tcPr>
          <w:p>
            <w:pPr>
              <w:pStyle w:val="TableContents"/>
              <w:spacing w:before="0" w:after="283"/>
              <w:rPr>
                <w:sz w:val="4"/>
                <w:szCs w:val="4"/>
              </w:rPr>
            </w:pPr>
            <w:r>
              <w:rPr>
                <w:sz w:val="4"/>
                <w:szCs w:val="4"/>
              </w:rPr>
            </w:r>
          </w:p>
        </w:tc>
      </w:tr>
      <w:tr>
        <w:trPr/>
        <w:tc>
          <w:tcPr>
            <w:tcW w:w="10205" w:type="dxa"/>
            <w:gridSpan w:val="7"/>
            <w:tcBorders/>
            <w:shd w:fill="auto" w:val="clear"/>
            <w:vAlign w:val="center"/>
          </w:tcPr>
          <w:p>
            <w:pPr>
              <w:pStyle w:val="TableContents"/>
              <w:spacing w:before="0" w:after="0"/>
              <w:jc w:val="center"/>
              <w:rPr>
                <w:rFonts w:ascii="Times New Roman" w:hAnsi="Times New Roman"/>
                <w:b/>
                <w:i/>
                <w:sz w:val="20"/>
              </w:rPr>
            </w:pPr>
            <w:r>
              <w:rPr>
                <w:rFonts w:ascii="Times New Roman" w:hAnsi="Times New Roman"/>
                <w:b/>
                <w:i/>
                <w:sz w:val="20"/>
              </w:rPr>
              <w:t>Incumbent Class I Directors Whose Term Expires in 2025</w:t>
            </w:r>
          </w:p>
          <w:p>
            <w:pPr>
              <w:pStyle w:val="TableContents"/>
              <w:spacing w:before="0" w:after="20"/>
              <w:jc w:val="left"/>
              <w:rPr/>
            </w:pPr>
            <w:r>
              <w:rPr/>
              <w:t> </w:t>
            </w:r>
          </w:p>
        </w:tc>
      </w:tr>
      <w:tr>
        <w:trPr/>
        <w:tc>
          <w:tcPr>
            <w:tcW w:w="812" w:type="dxa"/>
            <w:tcBorders/>
            <w:shd w:fill="auto" w:val="clear"/>
            <w:vAlign w:val="center"/>
          </w:tcPr>
          <w:p>
            <w:pPr>
              <w:pStyle w:val="TableContents"/>
              <w:spacing w:before="0" w:after="283"/>
              <w:rPr/>
            </w:pPr>
            <w:r>
              <w:rPr/>
              <w:t> </w:t>
            </w:r>
            <w:r>
              <w:rPr>
                <w:b/>
              </w:rPr>
              <w:t>Name</w:t>
            </w:r>
          </w:p>
        </w:tc>
        <w:tc>
          <w:tcPr>
            <w:tcW w:w="120" w:type="dxa"/>
            <w:tcBorders/>
            <w:shd w:fill="auto" w:val="clear"/>
            <w:vAlign w:val="center"/>
          </w:tcPr>
          <w:p>
            <w:pPr>
              <w:pStyle w:val="TableContents"/>
              <w:spacing w:before="0" w:after="283"/>
              <w:rPr/>
            </w:pPr>
            <w:r>
              <w:rPr/>
              <w:t>  </w:t>
            </w:r>
          </w:p>
        </w:tc>
        <w:tc>
          <w:tcPr>
            <w:tcW w:w="425" w:type="dxa"/>
            <w:gridSpan w:val="2"/>
            <w:tcBorders/>
            <w:shd w:fill="auto" w:val="clear"/>
            <w:vAlign w:val="center"/>
          </w:tcPr>
          <w:p>
            <w:pPr>
              <w:pStyle w:val="TableContents"/>
              <w:spacing w:before="0" w:after="283"/>
              <w:jc w:val="center"/>
              <w:rPr>
                <w:b/>
              </w:rPr>
            </w:pPr>
            <w:r>
              <w:rPr>
                <w:b/>
              </w:rPr>
              <w:t>Age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68" w:type="dxa"/>
            <w:tcBorders/>
            <w:shd w:fill="auto" w:val="clear"/>
            <w:vAlign w:val="center"/>
          </w:tcPr>
          <w:p>
            <w:pPr>
              <w:pStyle w:val="TableContents"/>
              <w:spacing w:before="0" w:after="283"/>
              <w:jc w:val="center"/>
              <w:rPr>
                <w:b/>
              </w:rPr>
            </w:pPr>
            <w:r>
              <w:rPr>
                <w:b/>
              </w:rPr>
              <w:t>Principal Occupation and Business Experience</w:t>
            </w:r>
          </w:p>
        </w:tc>
      </w:tr>
      <w:tr>
        <w:trPr/>
        <w:tc>
          <w:tcPr>
            <w:tcW w:w="812" w:type="dxa"/>
            <w:tcBorders/>
            <w:shd w:fill="CCEEFF" w:val="clear"/>
            <w:vAlign w:val="center"/>
          </w:tcPr>
          <w:p>
            <w:pPr>
              <w:pStyle w:val="TableContents"/>
              <w:spacing w:before="0" w:after="0"/>
              <w:rPr/>
            </w:pPr>
            <w:r>
              <w:rPr/>
              <w:t> </w:t>
            </w:r>
            <w:r>
              <w:rPr>
                <w:rFonts w:ascii="Times New Roman" w:hAnsi="Times New Roman"/>
                <w:sz w:val="20"/>
              </w:rPr>
              <w:t>Michael Massaro</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346" w:type="dxa"/>
            <w:tcBorders/>
            <w:shd w:fill="CCEEFF" w:val="clear"/>
            <w:vAlign w:val="center"/>
          </w:tcPr>
          <w:p>
            <w:pPr>
              <w:pStyle w:val="TableContents"/>
              <w:spacing w:before="0" w:after="283"/>
              <w:jc w:val="right"/>
              <w:rPr/>
            </w:pPr>
            <w:r>
              <w:rPr/>
              <w:t>44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668" w:type="dxa"/>
            <w:tcBorders/>
            <w:shd w:fill="CCEEFF" w:val="clear"/>
            <w:vAlign w:val="center"/>
          </w:tcPr>
          <w:p>
            <w:pPr>
              <w:pStyle w:val="TableContents"/>
              <w:spacing w:before="0" w:after="283"/>
              <w:rPr/>
            </w:pPr>
            <w:r>
              <w:rPr/>
              <w:t>Mr. Massaro has served as our Chief Executive Officer and a member of our Board of Directors since December 2013. Prior to being appointed as our Chief Executive Officer, Mr. Massaro served as our Vice President, Sales and Business Development from March 2012 to December 2013. Mr. Massaro has over 20 years of background in global payments, mobile software and hardware, and e-billing at high growth technology companies, including edocs, Inc. (later acquired by Siebel Systems) and Carrier IQ. Mr. Massaro began his career as part of the technical risk services practice at PricewaterhouseCoopers LLP. He earned his Bachelor of Science degree in Management Information Systems from Babson College. Mr. Massaro’s extensive knowledge of our business, as well as his years of experience in the payments industry, including executive leadership in several companies, contributed to our conclusion that he should serve as a member of our Board of Directors.</w:t>
            </w:r>
          </w:p>
        </w:tc>
      </w:tr>
      <w:tr>
        <w:trPr/>
        <w:tc>
          <w:tcPr>
            <w:tcW w:w="812" w:type="dxa"/>
            <w:tcBorders/>
            <w:shd w:fill="auto" w:val="clear"/>
            <w:vAlign w:val="center"/>
          </w:tcPr>
          <w:p>
            <w:pPr>
              <w:pStyle w:val="TableContents"/>
              <w:spacing w:before="0" w:after="0"/>
              <w:rPr/>
            </w:pPr>
            <w:r>
              <w:rPr/>
              <w:t> </w:t>
            </w:r>
            <w:r>
              <w:rPr>
                <w:rFonts w:ascii="Times New Roman" w:hAnsi="Times New Roman"/>
                <w:sz w:val="20"/>
              </w:rPr>
              <w:t>Diane Offereins</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346" w:type="dxa"/>
            <w:tcBorders/>
            <w:shd w:fill="auto" w:val="clear"/>
            <w:vAlign w:val="center"/>
          </w:tcPr>
          <w:p>
            <w:pPr>
              <w:pStyle w:val="TableContents"/>
              <w:spacing w:before="0" w:after="283"/>
              <w:jc w:val="right"/>
              <w:rPr/>
            </w:pPr>
            <w:r>
              <w:rPr/>
              <w:t>65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68" w:type="dxa"/>
            <w:tcBorders/>
            <w:shd w:fill="auto" w:val="clear"/>
            <w:vAlign w:val="center"/>
          </w:tcPr>
          <w:p>
            <w:pPr>
              <w:pStyle w:val="TableContents"/>
              <w:spacing w:before="0" w:after="283"/>
              <w:rPr/>
            </w:pPr>
            <w:r>
              <w:rPr/>
              <w:t>Ms. Offereins has served as a member of our Board of Directors since 2023. Ms. Offereins is currently the Executive Vice President and President, Payment Services at Discover Financial Services, where she is responsible for the growth of the Discover Global Network, consisting of three payment networks – Discover Network, Diners Club International and PULSE. She has been with Discover since 1998 and has held several positions within the company, including Executive Vice President, Payment Services and Executive Vice President and Chief Information Officer. Prior to Discover, Ms. Offereins held leadership positions at Bank of America and SouthEast Bank. Ms. Offereins is on the Board of Directors of Brighthouse Financial, Inc., where she chairs the Compensation and Human Capital Committee and serves on the Finance and Risk and Nominating and Corporate Governance Committees. She earned her B.B.A. in Accounting from Loyola University of New Orleans. We believe Ms. Offereins is qualified to serve on our Board of Directors because of her extensive background in payments, financial services and cybersecurity.</w:t>
            </w:r>
          </w:p>
        </w:tc>
      </w:tr>
    </w:tbl>
    <w:p>
      <w:pPr>
        <w:pStyle w:val="TextBody"/>
        <w:spacing w:before="240" w:after="0"/>
        <w:jc w:val="left"/>
        <w:rPr>
          <w:rFonts w:ascii="Times New Roman" w:hAnsi="Times New Roman"/>
          <w:sz w:val="20"/>
        </w:rPr>
      </w:pPr>
      <w:r>
        <w:rPr>
          <w:rFonts w:ascii="Times New Roman" w:hAnsi="Times New Roman"/>
          <w:sz w:val="20"/>
        </w:rPr>
        <w:t xml:space="preserve">There are no family relationships among any of our directors or executive officers. See “Corporate Governance” below for additional information regarding our Board of Directors.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5" w:name="toc359255_13"/>
      <w:bookmarkEnd w:id="15"/>
      <w:r>
        <w:rPr>
          <w:rFonts w:ascii="Times New Roman" w:hAnsi="Times New Roman"/>
          <w:b/>
          <w:sz w:val="20"/>
        </w:rPr>
        <w:t xml:space="preserve">PROPOSAL 2 </w:t>
      </w:r>
    </w:p>
    <w:p>
      <w:pPr>
        <w:pStyle w:val="TextBody"/>
        <w:spacing w:before="0" w:after="0"/>
        <w:jc w:val="center"/>
        <w:rPr>
          <w:rFonts w:ascii="Times New Roman" w:hAnsi="Times New Roman"/>
          <w:b/>
          <w:sz w:val="20"/>
        </w:rPr>
      </w:pPr>
      <w:r>
        <w:rPr>
          <w:rFonts w:ascii="Times New Roman" w:hAnsi="Times New Roman"/>
          <w:b/>
          <w:sz w:val="20"/>
        </w:rPr>
        <w:t xml:space="preserve">RATIFICATION OF THE APPOINTMENT OF </w:t>
      </w:r>
    </w:p>
    <w:p>
      <w:pPr>
        <w:pStyle w:val="TextBody"/>
        <w:spacing w:before="0" w:after="0"/>
        <w:jc w:val="center"/>
        <w:rPr>
          <w:rFonts w:ascii="Times New Roman" w:hAnsi="Times New Roman"/>
          <w:b/>
          <w:sz w:val="20"/>
        </w:rPr>
      </w:pPr>
      <w:r>
        <w:rPr>
          <w:rFonts w:ascii="Times New Roman" w:hAnsi="Times New Roman"/>
          <w:b/>
          <w:sz w:val="20"/>
        </w:rPr>
        <w:t xml:space="preserve">INDEPENDENT REGISTERED PUBLIC ACCOUNTING FIRM </w:t>
      </w:r>
    </w:p>
    <w:p>
      <w:pPr>
        <w:pStyle w:val="TextBody"/>
        <w:spacing w:before="240" w:after="0"/>
        <w:jc w:val="left"/>
        <w:rPr>
          <w:rFonts w:ascii="Times New Roman" w:hAnsi="Times New Roman"/>
          <w:b/>
          <w:sz w:val="20"/>
        </w:rPr>
      </w:pPr>
      <w:bookmarkStart w:id="16" w:name="toc359255_14"/>
      <w:bookmarkEnd w:id="16"/>
      <w:r>
        <w:rPr>
          <w:rFonts w:ascii="Times New Roman" w:hAnsi="Times New Roman"/>
          <w:b/>
          <w:sz w:val="20"/>
        </w:rPr>
        <w:t xml:space="preserve">General </w:t>
      </w:r>
    </w:p>
    <w:p>
      <w:pPr>
        <w:pStyle w:val="TextBody"/>
        <w:spacing w:before="120" w:after="0"/>
        <w:jc w:val="left"/>
        <w:rPr>
          <w:rFonts w:ascii="Times New Roman" w:hAnsi="Times New Roman"/>
          <w:sz w:val="20"/>
        </w:rPr>
      </w:pPr>
      <w:r>
        <w:rPr>
          <w:rFonts w:ascii="Times New Roman" w:hAnsi="Times New Roman"/>
          <w:sz w:val="20"/>
        </w:rPr>
        <w:t xml:space="preserve">Our audit committee has appointed the firm of PricewaterhouseCoopers LLP, independent registered public accountants, to audit our financial statements for the year ending December 31, 2023. PricewaterhouseCoopers LLP has audited our financial statements since the fiscal year ended December 31, 2019. </w:t>
      </w:r>
    </w:p>
    <w:p>
      <w:pPr>
        <w:pStyle w:val="TextBody"/>
        <w:spacing w:before="240" w:after="0"/>
        <w:jc w:val="left"/>
        <w:rPr>
          <w:rFonts w:ascii="Times New Roman" w:hAnsi="Times New Roman"/>
          <w:sz w:val="20"/>
        </w:rPr>
      </w:pPr>
      <w:r>
        <w:rPr>
          <w:rFonts w:ascii="Times New Roman" w:hAnsi="Times New Roman"/>
          <w:sz w:val="20"/>
        </w:rPr>
        <w:t xml:space="preserve">Notwithstanding its selection and even if our stockholders ratify the selection, our audit committee, in its discretion, may appoint another independent registered public accounting firm at any time during the year if the audit committee believes that such a change would be in the best interests of Flywire and its stockholders. At the Annual Meeting, the stockholders are being asked to ratify the appointment of PricewaterhouseCoopers LLP as our independent registered public accounting firm for the year ending December 31, 2023. Our audit committee is submitting the selection of PricewaterhouseCoopers LLP to our stockholders because we value our stockholders’ views on our independent registered public accounting firm and as a matter of good corporate governance. Representatives of PricewaterhouseCoopers LLP are expected to be present at the Annual Meeting and they will have an opportunity to make statements and will be available to respond to appropriate questions from stockholders. </w:t>
      </w:r>
    </w:p>
    <w:p>
      <w:pPr>
        <w:pStyle w:val="TextBody"/>
        <w:spacing w:before="240" w:after="0"/>
        <w:jc w:val="left"/>
        <w:rPr>
          <w:rFonts w:ascii="Times New Roman" w:hAnsi="Times New Roman"/>
          <w:sz w:val="20"/>
        </w:rPr>
      </w:pPr>
      <w:r>
        <w:rPr>
          <w:rFonts w:ascii="Times New Roman" w:hAnsi="Times New Roman"/>
          <w:sz w:val="20"/>
        </w:rPr>
        <w:t xml:space="preserve">If this proposal does not receive a “FOR” vote from the holders of a majority of the shares of common stock present in person or represented by proxy at the Annual Meeting and voted “FOR” or “AGAINST” the proposal, the audit committee would reconsider the appointment. Abstentions and broker non-votes will have no effect on this matter. </w:t>
      </w:r>
    </w:p>
    <w:p>
      <w:pPr>
        <w:pStyle w:val="TextBody"/>
        <w:spacing w:before="360" w:after="0"/>
        <w:jc w:val="left"/>
        <w:rPr>
          <w:rFonts w:ascii="Times New Roman" w:hAnsi="Times New Roman"/>
          <w:b/>
          <w:sz w:val="20"/>
        </w:rPr>
      </w:pPr>
      <w:bookmarkStart w:id="17" w:name="toc359255_15"/>
      <w:bookmarkEnd w:id="17"/>
      <w:r>
        <w:rPr>
          <w:rFonts w:ascii="Times New Roman" w:hAnsi="Times New Roman"/>
          <w:b/>
          <w:sz w:val="20"/>
        </w:rPr>
        <w:t xml:space="preserve">Principal Accounting Fees and Services </w:t>
      </w:r>
    </w:p>
    <w:p>
      <w:pPr>
        <w:pStyle w:val="TextBody"/>
        <w:spacing w:before="120" w:after="0"/>
        <w:jc w:val="left"/>
        <w:rPr>
          <w:rFonts w:ascii="Times New Roman" w:hAnsi="Times New Roman"/>
          <w:sz w:val="20"/>
        </w:rPr>
      </w:pPr>
      <w:r>
        <w:rPr>
          <w:rFonts w:ascii="Times New Roman" w:hAnsi="Times New Roman"/>
          <w:sz w:val="20"/>
        </w:rPr>
        <w:t xml:space="preserve">The following table sets forth all fees paid or accrued by us for professional audit services and other services rendered by PricewaterhouseCoopers LLP during the years ended December 31, 2022 and 2021: </w:t>
      </w:r>
    </w:p>
    <w:p>
      <w:pPr>
        <w:pStyle w:val="TextBody"/>
        <w:spacing w:before="0" w:after="0"/>
        <w:jc w:val="left"/>
        <w:rPr/>
      </w:pPr>
      <w:r>
        <w:rPr/>
        <w:t> </w:t>
      </w:r>
    </w:p>
    <w:tbl>
      <w:tblPr>
        <w:tblW w:w="4435" w:type="dxa"/>
        <w:jc w:val="left"/>
        <w:tblInd w:w="0" w:type="dxa"/>
        <w:tblCellMar>
          <w:top w:w="0" w:type="dxa"/>
          <w:left w:w="0" w:type="dxa"/>
          <w:bottom w:w="0" w:type="dxa"/>
          <w:right w:w="0" w:type="dxa"/>
        </w:tblCellMar>
      </w:tblPr>
      <w:tblGrid>
        <w:gridCol w:w="1820"/>
        <w:gridCol w:w="120"/>
        <w:gridCol w:w="140"/>
        <w:gridCol w:w="980"/>
        <w:gridCol w:w="60"/>
        <w:gridCol w:w="120"/>
        <w:gridCol w:w="140"/>
        <w:gridCol w:w="980"/>
        <w:gridCol w:w="75"/>
      </w:tblGrid>
      <w:tr>
        <w:trPr/>
        <w:tc>
          <w:tcPr>
            <w:tcW w:w="18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8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20" w:type="dxa"/>
            <w:gridSpan w:val="2"/>
            <w:tcBorders/>
            <w:shd w:fill="auto" w:val="clear"/>
            <w:vAlign w:val="center"/>
          </w:tcPr>
          <w:p>
            <w:pPr>
              <w:pStyle w:val="TableContents"/>
              <w:spacing w:before="0" w:after="283"/>
              <w:jc w:val="center"/>
              <w:rPr/>
            </w:pPr>
            <w:r>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20" w:type="dxa"/>
            <w:gridSpan w:val="2"/>
            <w:tcBorders/>
            <w:shd w:fill="auto" w:val="clear"/>
            <w:vAlign w:val="center"/>
          </w:tcPr>
          <w:p>
            <w:pPr>
              <w:pStyle w:val="TableContents"/>
              <w:spacing w:before="0" w:after="283"/>
              <w:jc w:val="center"/>
              <w:rPr/>
            </w:pPr>
            <w:r>
              <w:rPr/>
              <w:t>2021</w:t>
            </w:r>
          </w:p>
        </w:tc>
        <w:tc>
          <w:tcPr>
            <w:tcW w:w="75" w:type="dxa"/>
            <w:tcBorders/>
            <w:shd w:fill="auto" w:val="clear"/>
            <w:vAlign w:val="center"/>
          </w:tcPr>
          <w:p>
            <w:pPr>
              <w:pStyle w:val="TableContents"/>
              <w:spacing w:before="0" w:after="283"/>
              <w:rPr/>
            </w:pPr>
            <w:r>
              <w:rPr/>
              <w:t> </w:t>
            </w:r>
          </w:p>
        </w:tc>
      </w:tr>
      <w:tr>
        <w:trPr/>
        <w:tc>
          <w:tcPr>
            <w:tcW w:w="18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Audit Fees(1)</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4,724,741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3,228,100</w:t>
            </w:r>
          </w:p>
        </w:tc>
        <w:tc>
          <w:tcPr>
            <w:tcW w:w="75" w:type="dxa"/>
            <w:tcBorders/>
            <w:shd w:fill="CCEEFF" w:val="clear"/>
            <w:vAlign w:val="center"/>
          </w:tcPr>
          <w:p>
            <w:pPr>
              <w:pStyle w:val="TableContents"/>
              <w:spacing w:before="0" w:after="283"/>
              <w:rPr/>
            </w:pPr>
            <w:r>
              <w:rPr/>
              <w:t> </w:t>
            </w:r>
          </w:p>
        </w:tc>
      </w:tr>
      <w:tr>
        <w:trPr/>
        <w:tc>
          <w:tcPr>
            <w:tcW w:w="182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Audit-Related Fees(2)</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18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Tax Fees(3)</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518,406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510,736</w:t>
            </w:r>
          </w:p>
        </w:tc>
        <w:tc>
          <w:tcPr>
            <w:tcW w:w="75" w:type="dxa"/>
            <w:tcBorders/>
            <w:shd w:fill="CCEEFF" w:val="clear"/>
            <w:vAlign w:val="center"/>
          </w:tcPr>
          <w:p>
            <w:pPr>
              <w:pStyle w:val="TableContents"/>
              <w:spacing w:before="0" w:after="283"/>
              <w:rPr/>
            </w:pPr>
            <w:r>
              <w:rPr/>
              <w:t> </w:t>
            </w:r>
          </w:p>
        </w:tc>
      </w:tr>
      <w:tr>
        <w:trPr/>
        <w:tc>
          <w:tcPr>
            <w:tcW w:w="182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All Other Fees(4)</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4,409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29,206</w:t>
            </w:r>
          </w:p>
        </w:tc>
        <w:tc>
          <w:tcPr>
            <w:tcW w:w="75" w:type="dxa"/>
            <w:tcBorders/>
            <w:shd w:fill="auto" w:val="clear"/>
            <w:vAlign w:val="center"/>
          </w:tcPr>
          <w:p>
            <w:pPr>
              <w:pStyle w:val="TableContents"/>
              <w:spacing w:before="0" w:after="283"/>
              <w:rPr/>
            </w:pPr>
            <w:r>
              <w:rPr/>
              <w:t> </w:t>
            </w:r>
          </w:p>
        </w:tc>
      </w:tr>
      <w:tr>
        <w:trPr/>
        <w:tc>
          <w:tcPr>
            <w:tcW w:w="18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 Fees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5,247,556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3,768,042</w:t>
            </w:r>
          </w:p>
        </w:tc>
        <w:tc>
          <w:tcPr>
            <w:tcW w:w="75" w:type="dxa"/>
            <w:tcBorders/>
            <w:shd w:fill="CCEEFF" w:val="cle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0"/>
        <w:gridCol w:w="9965"/>
      </w:tblGrid>
      <w:tr>
        <w:trPr/>
        <w:tc>
          <w:tcPr>
            <w:tcW w:w="240" w:type="dxa"/>
            <w:tcBorders/>
            <w:shd w:fill="auto" w:val="clear"/>
            <w:vAlign w:val="center"/>
          </w:tcPr>
          <w:p>
            <w:pPr>
              <w:pStyle w:val="TableContents"/>
              <w:spacing w:before="0" w:after="283"/>
              <w:jc w:val="left"/>
              <w:rPr/>
            </w:pPr>
            <w:r>
              <w:rPr/>
              <w:t>(1)</w:t>
            </w:r>
          </w:p>
        </w:tc>
        <w:tc>
          <w:tcPr>
            <w:tcW w:w="99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fees billed for professional services rendered in connection with the annual audit of our consolidated financial statements and internal controls over financial reporting, including audited financial statements presented in our Annual Report on Form 10-K, reviews of our interim unaudited consolidated financial statements included in our quarterly reports, issuances of consents and services normally provided in connection with regulatory filings. Fees billed for the year ended December 31, 2021 also included services rendered in connection with our initial public offering completed in May 2021. The increase in audit fees in 2022 reflects additional work related to the Company’s being subject for the first time to the requirements of Section 404(b) of the Sarbanes-Oxley Act of 2022. </w:t>
            </w:r>
          </w:p>
        </w:tc>
      </w:tr>
    </w:tbl>
    <w:tbl>
      <w:tblPr>
        <w:tblW w:w="10205" w:type="dxa"/>
        <w:jc w:val="left"/>
        <w:tblInd w:w="0" w:type="dxa"/>
        <w:tblCellMar>
          <w:top w:w="0" w:type="dxa"/>
          <w:left w:w="0" w:type="dxa"/>
          <w:bottom w:w="0" w:type="dxa"/>
          <w:right w:w="0" w:type="dxa"/>
        </w:tblCellMar>
      </w:tblPr>
      <w:tblGrid>
        <w:gridCol w:w="257"/>
        <w:gridCol w:w="9948"/>
      </w:tblGrid>
      <w:tr>
        <w:trPr/>
        <w:tc>
          <w:tcPr>
            <w:tcW w:w="257" w:type="dxa"/>
            <w:tcBorders/>
            <w:shd w:fill="auto" w:val="clear"/>
            <w:vAlign w:val="center"/>
          </w:tcPr>
          <w:p>
            <w:pPr>
              <w:pStyle w:val="TableContents"/>
              <w:spacing w:before="0" w:after="283"/>
              <w:jc w:val="left"/>
              <w:rPr/>
            </w:pPr>
            <w:r>
              <w:rPr/>
              <w:t>(2)</w:t>
            </w:r>
          </w:p>
        </w:tc>
        <w:tc>
          <w:tcPr>
            <w:tcW w:w="994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fees billed for assurance services that are reasonably related to the performance of the audit or review of our consolidated financial statements and are not reported under “Audit Fees”. For the year ended December 31, 2022 and 2021, there were no audit-related fees incurred for professional services. </w:t>
            </w:r>
          </w:p>
        </w:tc>
      </w:tr>
    </w:tbl>
    <w:tbl>
      <w:tblPr>
        <w:tblW w:w="10205" w:type="dxa"/>
        <w:jc w:val="left"/>
        <w:tblInd w:w="0" w:type="dxa"/>
        <w:tblCellMar>
          <w:top w:w="0" w:type="dxa"/>
          <w:left w:w="0" w:type="dxa"/>
          <w:bottom w:w="0" w:type="dxa"/>
          <w:right w:w="0" w:type="dxa"/>
        </w:tblCellMar>
      </w:tblPr>
      <w:tblGrid>
        <w:gridCol w:w="263"/>
        <w:gridCol w:w="9942"/>
      </w:tblGrid>
      <w:tr>
        <w:trPr/>
        <w:tc>
          <w:tcPr>
            <w:tcW w:w="263" w:type="dxa"/>
            <w:tcBorders/>
            <w:shd w:fill="auto" w:val="clear"/>
            <w:vAlign w:val="center"/>
          </w:tcPr>
          <w:p>
            <w:pPr>
              <w:pStyle w:val="TableContents"/>
              <w:spacing w:before="0" w:after="283"/>
              <w:jc w:val="left"/>
              <w:rPr/>
            </w:pPr>
            <w:r>
              <w:rPr/>
              <w:t>(3)</w:t>
            </w:r>
          </w:p>
        </w:tc>
        <w:tc>
          <w:tcPr>
            <w:tcW w:w="994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fees billed for professional services for tax compliance, tax advice and tax planning. For both years ended December 31, 2022 and December 31, 2021, these services included assistance regarding federal, state and international tax compliance. </w:t>
            </w:r>
          </w:p>
        </w:tc>
      </w:tr>
    </w:tbl>
    <w:tbl>
      <w:tblPr>
        <w:tblW w:w="8110" w:type="dxa"/>
        <w:jc w:val="left"/>
        <w:tblInd w:w="0" w:type="dxa"/>
        <w:tblCellMar>
          <w:top w:w="0" w:type="dxa"/>
          <w:left w:w="0" w:type="dxa"/>
          <w:bottom w:w="0" w:type="dxa"/>
          <w:right w:w="0" w:type="dxa"/>
        </w:tblCellMar>
      </w:tblPr>
      <w:tblGrid>
        <w:gridCol w:w="305"/>
        <w:gridCol w:w="7805"/>
      </w:tblGrid>
      <w:tr>
        <w:trPr/>
        <w:tc>
          <w:tcPr>
            <w:tcW w:w="305" w:type="dxa"/>
            <w:tcBorders/>
            <w:shd w:fill="auto" w:val="clear"/>
            <w:vAlign w:val="center"/>
          </w:tcPr>
          <w:p>
            <w:pPr>
              <w:pStyle w:val="TableContents"/>
              <w:spacing w:before="0" w:after="283"/>
              <w:jc w:val="left"/>
              <w:rPr/>
            </w:pPr>
            <w:r>
              <w:rPr/>
              <w:t>(4)</w:t>
            </w:r>
          </w:p>
        </w:tc>
        <w:tc>
          <w:tcPr>
            <w:tcW w:w="78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fees of permitted products and services other than those that meet the criteria above.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rPr/>
      </w:pPr>
      <w:r>
        <w:rPr/>
      </w:r>
    </w:p>
    <w:p>
      <w:pPr>
        <w:pStyle w:val="Heading5"/>
        <w:rPr/>
      </w:pPr>
      <w:hyperlink w:anchor="toc">
        <w:r>
          <w:rPr>
            <w:rStyle w:val="InternetLink"/>
          </w:rPr>
          <w:t>Table of Contents</w:t>
        </w:r>
      </w:hyperlink>
    </w:p>
    <w:tbl>
      <w:tblPr>
        <w:tblW w:w="4225" w:type="dxa"/>
        <w:jc w:val="left"/>
        <w:tblInd w:w="0" w:type="dxa"/>
        <w:tblCellMar>
          <w:top w:w="0" w:type="dxa"/>
          <w:left w:w="0" w:type="dxa"/>
          <w:bottom w:w="0" w:type="dxa"/>
          <w:right w:w="0" w:type="dxa"/>
        </w:tblCellMar>
      </w:tblPr>
      <w:tblGrid>
        <w:gridCol w:w="1445"/>
        <w:gridCol w:w="2780"/>
      </w:tblGrid>
      <w:tr>
        <w:trPr/>
        <w:tc>
          <w:tcPr>
            <w:tcW w:w="1445" w:type="dxa"/>
            <w:tcBorders/>
            <w:shd w:fill="auto" w:val="clear"/>
            <w:vAlign w:val="center"/>
          </w:tcPr>
          <w:p>
            <w:pPr>
              <w:pStyle w:val="TableContents"/>
              <w:spacing w:before="0" w:after="283"/>
              <w:jc w:val="left"/>
              <w:rPr>
                <w:b/>
              </w:rPr>
            </w:pPr>
            <w:bookmarkStart w:id="18" w:name="toc359255_16"/>
            <w:bookmarkEnd w:id="18"/>
            <w:r>
              <w:rPr>
                <w:b/>
              </w:rPr>
              <w:t>Pre-Approval</w:t>
            </w:r>
          </w:p>
        </w:tc>
        <w:tc>
          <w:tcPr>
            <w:tcW w:w="278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of Audit and Non-Audit Services </w:t>
            </w:r>
          </w:p>
        </w:tc>
      </w:tr>
    </w:tbl>
    <w:p>
      <w:pPr>
        <w:pStyle w:val="TextBody"/>
        <w:spacing w:before="120" w:after="0"/>
        <w:jc w:val="left"/>
        <w:rPr>
          <w:rFonts w:ascii="Times New Roman" w:hAnsi="Times New Roman"/>
          <w:sz w:val="20"/>
        </w:rPr>
      </w:pPr>
      <w:r>
        <w:rPr>
          <w:rFonts w:ascii="Times New Roman" w:hAnsi="Times New Roman"/>
          <w:sz w:val="20"/>
        </w:rPr>
        <w:t xml:space="preserve">Consistent with requirements of the SEC and the Public Company Accounting Oversight Board regarding auditor independence, our audit committee is responsible for the appointment, compensation and oversight of the work of our independent registered public accounting firm. In recognition of this responsibility, our audit committee (or the chair of the audit committee if such approval is needed on a time urgent basis) generally pre-approves of all audit and permissible non-audit services provided by the independent registered public accounting firm. These services may include audit services, audit-related services, tax services and other services. </w:t>
      </w:r>
    </w:p>
    <w:p>
      <w:pPr>
        <w:pStyle w:val="TextBody"/>
        <w:spacing w:before="240" w:after="0"/>
        <w:jc w:val="center"/>
        <w:rPr>
          <w:rFonts w:ascii="Times New Roman" w:hAnsi="Times New Roman"/>
          <w:b/>
          <w:sz w:val="20"/>
        </w:rPr>
      </w:pPr>
      <w:r>
        <w:rPr>
          <w:rFonts w:ascii="Times New Roman" w:hAnsi="Times New Roman"/>
          <w:b/>
          <w:sz w:val="20"/>
        </w:rPr>
        <w:t xml:space="preserve">OUR BOARD OF DIRECTORS UNANIMOUSLY RECOMMENDS A VOTE “FOR” RATIFICATION OF THE APPOINTMENT OF PRICEWATERHOUSECOOPERS LLP AS OUR INDEPENDENT REGISTERED PUBLIC ACCOUNTING FIRM FOR THE YEAR ENDING DECEMBER 31, 2023.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9" w:name="toc359255_17"/>
      <w:bookmarkEnd w:id="19"/>
      <w:r>
        <w:rPr>
          <w:rFonts w:ascii="Times New Roman" w:hAnsi="Times New Roman"/>
          <w:b/>
          <w:sz w:val="20"/>
        </w:rPr>
        <w:t xml:space="preserve">PROPOSAL 3 </w:t>
      </w:r>
    </w:p>
    <w:p>
      <w:pPr>
        <w:pStyle w:val="TextBody"/>
        <w:spacing w:before="0" w:after="0"/>
        <w:jc w:val="center"/>
        <w:rPr>
          <w:rFonts w:ascii="Times New Roman" w:hAnsi="Times New Roman"/>
          <w:b/>
          <w:sz w:val="20"/>
        </w:rPr>
      </w:pPr>
      <w:r>
        <w:rPr>
          <w:rFonts w:ascii="Times New Roman" w:hAnsi="Times New Roman"/>
          <w:b/>
          <w:sz w:val="20"/>
        </w:rPr>
        <w:t xml:space="preserve">ADVISORY VOTE ON EXECUTIVE COMPENSATION </w:t>
      </w:r>
    </w:p>
    <w:p>
      <w:pPr>
        <w:pStyle w:val="TextBody"/>
        <w:spacing w:before="240" w:after="0"/>
        <w:jc w:val="left"/>
        <w:rPr>
          <w:rFonts w:ascii="Times New Roman" w:hAnsi="Times New Roman"/>
          <w:sz w:val="20"/>
        </w:rPr>
      </w:pPr>
      <w:r>
        <w:rPr>
          <w:rFonts w:ascii="Times New Roman" w:hAnsi="Times New Roman"/>
          <w:sz w:val="20"/>
        </w:rPr>
        <w:t xml:space="preserve">In accordance with Section 14A of the Exchange Act and as a matter of good corporate governance, our Board of Directors is providing the stockholders with the opportunity to vote to approve, on a non-binding, advisory basis, the compensation of our named executive officers as described in the section below entitled “Executive Officer Compensation” and accompanying compensation tables, and as discussed in the related narrative disclosure below. This advisory vote is commonly referred to as a “say-on-pay” vote. Stockholders may express their views on the design and effectiveness of our executive compensation program by abstaining or voting “For” or “Against” approval, on a non-binding, advisory basis, of the compensation of our named executive officers. This vote is not intended to address any specific element of compensation, but rather the overall compensation of the named executive officers. </w:t>
      </w:r>
    </w:p>
    <w:p>
      <w:pPr>
        <w:pStyle w:val="TextBody"/>
        <w:spacing w:before="360" w:after="0"/>
        <w:jc w:val="left"/>
        <w:rPr>
          <w:rFonts w:ascii="Times New Roman" w:hAnsi="Times New Roman"/>
          <w:b/>
          <w:sz w:val="20"/>
        </w:rPr>
      </w:pPr>
      <w:r>
        <w:rPr>
          <w:rFonts w:ascii="Times New Roman" w:hAnsi="Times New Roman"/>
          <w:b/>
          <w:sz w:val="20"/>
        </w:rPr>
        <w:t xml:space="preserve">Compensation Program and Philosophy </w:t>
      </w:r>
    </w:p>
    <w:p>
      <w:pPr>
        <w:pStyle w:val="TextBody"/>
        <w:spacing w:before="120" w:after="0"/>
        <w:jc w:val="left"/>
        <w:rPr>
          <w:rFonts w:ascii="Times New Roman" w:hAnsi="Times New Roman"/>
          <w:sz w:val="20"/>
        </w:rPr>
      </w:pPr>
      <w:r>
        <w:rPr>
          <w:rFonts w:ascii="Times New Roman" w:hAnsi="Times New Roman"/>
          <w:sz w:val="20"/>
        </w:rPr>
        <w:t xml:space="preserve">Our executive compensation philosophy and programs are designed to be market-competitive, enabling Flywire to attract and retain top talent in a highly-competitive global technology market. We believe that our executive compensation programs foster a performance-oriented culture that aligns our executives’ interests with those of our stockholders over the long term. We believe that the compensation of our executives is both appropriate for and responsive to the goal of improving stockholder value. Specifically, our total executive compensation is heavily weighted toward equity incentive compensation. </w:t>
      </w:r>
    </w:p>
    <w:p>
      <w:pPr>
        <w:pStyle w:val="TextBody"/>
        <w:spacing w:before="360" w:after="0"/>
        <w:jc w:val="left"/>
        <w:rPr>
          <w:rFonts w:ascii="Times New Roman" w:hAnsi="Times New Roman"/>
          <w:b/>
          <w:sz w:val="20"/>
        </w:rPr>
      </w:pPr>
      <w:r>
        <w:rPr>
          <w:rFonts w:ascii="Times New Roman" w:hAnsi="Times New Roman"/>
          <w:b/>
          <w:sz w:val="20"/>
        </w:rPr>
        <w:t xml:space="preserve">Compensation Discussion and Analysis </w:t>
      </w:r>
    </w:p>
    <w:p>
      <w:pPr>
        <w:pStyle w:val="TextBody"/>
        <w:spacing w:before="120" w:after="0"/>
        <w:jc w:val="left"/>
        <w:rPr>
          <w:rFonts w:ascii="Times New Roman" w:hAnsi="Times New Roman"/>
          <w:sz w:val="20"/>
        </w:rPr>
      </w:pPr>
      <w:r>
        <w:rPr>
          <w:rFonts w:ascii="Times New Roman" w:hAnsi="Times New Roman"/>
          <w:sz w:val="20"/>
        </w:rPr>
        <w:t xml:space="preserve">Stockholders are urged to read the “Compensation Discussion and Analysis” section of this Proxy Statement and the tables and narrative discussion that follow for detail about our executive compensation programs, including information about the fiscal year 2022 compensation of our named executive officers. </w:t>
      </w:r>
    </w:p>
    <w:p>
      <w:pPr>
        <w:pStyle w:val="TextBody"/>
        <w:spacing w:before="360" w:after="0"/>
        <w:jc w:val="left"/>
        <w:rPr>
          <w:rFonts w:ascii="Times New Roman" w:hAnsi="Times New Roman"/>
          <w:b/>
          <w:sz w:val="20"/>
        </w:rPr>
      </w:pPr>
      <w:r>
        <w:rPr>
          <w:rFonts w:ascii="Times New Roman" w:hAnsi="Times New Roman"/>
          <w:b/>
          <w:sz w:val="20"/>
        </w:rPr>
        <w:t xml:space="preserve">Required Vote and Recommendation of the Board of Directors for Proposal 3 </w:t>
      </w:r>
    </w:p>
    <w:p>
      <w:pPr>
        <w:pStyle w:val="TextBody"/>
        <w:spacing w:before="120" w:after="0"/>
        <w:jc w:val="left"/>
        <w:rPr>
          <w:rFonts w:ascii="Times New Roman" w:hAnsi="Times New Roman"/>
          <w:sz w:val="20"/>
        </w:rPr>
      </w:pPr>
      <w:r>
        <w:rPr>
          <w:rFonts w:ascii="Times New Roman" w:hAnsi="Times New Roman"/>
          <w:sz w:val="20"/>
        </w:rPr>
        <w:t xml:space="preserve">A “FOR” vote from the holders of a majority of the shares of common stock present in person or represented by proxy at the Annual Meeting and voted “FOR” or “AGAINST” the proposal is required to approve, on a non-binding, advisory basis, the compensation of our named executive officers. Abstentions and broker non-votes will not be counted “For” or “Against” this proposal and will have no effect on this proposal. </w:t>
      </w:r>
    </w:p>
    <w:p>
      <w:pPr>
        <w:pStyle w:val="TextBody"/>
        <w:spacing w:before="240" w:after="0"/>
        <w:jc w:val="left"/>
        <w:rPr>
          <w:rFonts w:ascii="Times New Roman" w:hAnsi="Times New Roman"/>
          <w:sz w:val="20"/>
        </w:rPr>
      </w:pPr>
      <w:r>
        <w:rPr>
          <w:rFonts w:ascii="Times New Roman" w:hAnsi="Times New Roman"/>
          <w:sz w:val="20"/>
        </w:rPr>
        <w:t xml:space="preserve">Because say-on-pay votes are advisory and non-binding, voting results cannot overrule any decisions made by the Board of Directors or compensation committee. However, the compensation committee will take into account the outcome of the vote when considering future compensation arrangements for our named executive officers. </w:t>
      </w:r>
    </w:p>
    <w:p>
      <w:pPr>
        <w:pStyle w:val="TextBody"/>
        <w:spacing w:before="240" w:after="0"/>
        <w:jc w:val="center"/>
        <w:rPr>
          <w:rFonts w:ascii="Times New Roman" w:hAnsi="Times New Roman"/>
          <w:b/>
          <w:sz w:val="20"/>
        </w:rPr>
      </w:pPr>
      <w:r>
        <w:rPr>
          <w:rFonts w:ascii="Times New Roman" w:hAnsi="Times New Roman"/>
          <w:b/>
          <w:sz w:val="20"/>
        </w:rPr>
        <w:t xml:space="preserve">THE BOARD OF DIRECTORS UNANIMOUSLY RECOMMENDS A VOTE “FOR” APPROVAL, ON A NON-BINDING, ADVISORY BASIS, OF THE COMPENSATION OF OUR NAMED EXECUTIVE OFFICERS.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0" w:name="toc359255_18"/>
      <w:bookmarkEnd w:id="20"/>
      <w:r>
        <w:rPr>
          <w:rFonts w:ascii="Times New Roman" w:hAnsi="Times New Roman"/>
          <w:b/>
          <w:sz w:val="20"/>
        </w:rPr>
        <w:t xml:space="preserve">PROPOSAL 4 </w:t>
      </w:r>
    </w:p>
    <w:p>
      <w:pPr>
        <w:pStyle w:val="TextBody"/>
        <w:spacing w:before="0" w:after="0"/>
        <w:jc w:val="center"/>
        <w:rPr>
          <w:rFonts w:ascii="Times New Roman" w:hAnsi="Times New Roman"/>
          <w:b/>
          <w:sz w:val="20"/>
        </w:rPr>
      </w:pPr>
      <w:r>
        <w:rPr>
          <w:rFonts w:ascii="Times New Roman" w:hAnsi="Times New Roman"/>
          <w:b/>
          <w:sz w:val="20"/>
        </w:rPr>
        <w:t xml:space="preserve">ADVISORY VOTE ON THE FREQUENCY OF STOCKHOLDER </w:t>
      </w:r>
    </w:p>
    <w:p>
      <w:pPr>
        <w:pStyle w:val="TextBody"/>
        <w:spacing w:before="0" w:after="0"/>
        <w:jc w:val="center"/>
        <w:rPr>
          <w:rFonts w:ascii="Times New Roman" w:hAnsi="Times New Roman"/>
          <w:b/>
          <w:sz w:val="20"/>
        </w:rPr>
      </w:pPr>
      <w:r>
        <w:rPr>
          <w:rFonts w:ascii="Times New Roman" w:hAnsi="Times New Roman"/>
          <w:b/>
          <w:sz w:val="20"/>
        </w:rPr>
        <w:t xml:space="preserve">ADVISORY VOTES ON EXECUTIVE COMPENSATION </w:t>
      </w:r>
    </w:p>
    <w:p>
      <w:pPr>
        <w:pStyle w:val="TextBody"/>
        <w:spacing w:before="240" w:after="0"/>
        <w:jc w:val="left"/>
        <w:rPr>
          <w:rFonts w:ascii="Times New Roman" w:hAnsi="Times New Roman"/>
          <w:sz w:val="20"/>
        </w:rPr>
      </w:pPr>
      <w:r>
        <w:rPr>
          <w:rFonts w:ascii="Times New Roman" w:hAnsi="Times New Roman"/>
          <w:sz w:val="20"/>
        </w:rPr>
        <w:t xml:space="preserve">In Proposal 3, we provided our stockholders the opportunity to vote to approve, on a non-binding, advisory basis, the compensation of our named executive officers, or a “say-on-pay” vote. In accordance with Section 14A of the Exchange Act, in this Proposal 4 we are asking our stockholders to cast a non-binding, advisory vote regarding the frequency of future stockholder advisory votes on executive compensation. Stockholders may vote for a frequency of every one, two, or three years, or may abstain. </w:t>
      </w:r>
    </w:p>
    <w:p>
      <w:pPr>
        <w:pStyle w:val="TextBody"/>
        <w:spacing w:before="240" w:after="0"/>
        <w:jc w:val="left"/>
        <w:rPr>
          <w:rFonts w:ascii="Times New Roman" w:hAnsi="Times New Roman"/>
          <w:sz w:val="20"/>
        </w:rPr>
      </w:pPr>
      <w:r>
        <w:rPr>
          <w:rFonts w:ascii="Times New Roman" w:hAnsi="Times New Roman"/>
          <w:sz w:val="20"/>
        </w:rPr>
        <w:t>Our Board of Directors has determined that an annual advisory vote on executive compensation is in the best interests of Flywire and our stockholders. Therefore, our Board of Directors recommends that the advisory vote on executive compensation be held every “</w:t>
      </w:r>
      <w:r>
        <w:rPr>
          <w:rFonts w:ascii="Times New Roman" w:hAnsi="Times New Roman"/>
          <w:b/>
          <w:sz w:val="20"/>
        </w:rPr>
        <w:t>1 Year</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In formulating its recommendation, our Board of Directors was influenced by the fact that the compensation of our named executive officers is evaluated, adjusted and approved on an annual basis. An annual advisory vote on executive compensation is consistent with our policy of seeking input from, and engaging in discussions with, our stockholders on corporate governance matters and permits our stockholders to provide us with direct input on our compensation philosophy, policies and practices as disclosed in the proxy statement every year. We understand that our stockholders may have different views as to what is the best approach for us, and we look forward to hearing from our stockholders on this agenda item every year. However, stockholders should note that because the advisory vote on executive compensation occurs well after the beginning of the compensation year, and because the different elements of our executive compensation programs are designed to operate in an integrated manner and to complement one another, in many cases it may not be appropriate or feasible to change our executive compensation programs in consideration of any one year’s advisory vote on executive compensation by the time of the following year’s annual meeting of stockholders. </w:t>
      </w:r>
    </w:p>
    <w:p>
      <w:pPr>
        <w:pStyle w:val="TextBody"/>
        <w:spacing w:before="240" w:after="0"/>
        <w:jc w:val="left"/>
        <w:rPr>
          <w:rFonts w:ascii="Times New Roman" w:hAnsi="Times New Roman"/>
          <w:sz w:val="20"/>
        </w:rPr>
      </w:pPr>
      <w:r>
        <w:rPr>
          <w:rFonts w:ascii="Times New Roman" w:hAnsi="Times New Roman"/>
          <w:sz w:val="20"/>
        </w:rPr>
        <w:t xml:space="preserve">Stockholders may cast their votes by choosing the option of “1 Year,” “2 Years,” “3 Years,” or “Abstain” in response to the frequency of future stockholder advisory votes on executive compensation. Abstentions and broker non-votes will have no effect on this proposal. </w:t>
      </w:r>
    </w:p>
    <w:p>
      <w:pPr>
        <w:pStyle w:val="TextBody"/>
        <w:spacing w:before="240" w:after="0"/>
        <w:jc w:val="left"/>
        <w:rPr>
          <w:rFonts w:ascii="Times New Roman" w:hAnsi="Times New Roman"/>
          <w:sz w:val="20"/>
        </w:rPr>
      </w:pPr>
      <w:r>
        <w:rPr>
          <w:rFonts w:ascii="Times New Roman" w:hAnsi="Times New Roman"/>
          <w:sz w:val="20"/>
        </w:rPr>
        <w:t xml:space="preserve">The option that receives the highest number of votes cast will be deemed the choice of the stockholders. Therefore, stockholders will not be voting to approve or disapprove the recommendation of the Board of Directors. Our Board of Directors and the compensation committee will take into account the outcome of the vote when considering the frequency of future advisory votes on executive compensation. </w:t>
      </w:r>
    </w:p>
    <w:p>
      <w:pPr>
        <w:pStyle w:val="TextBody"/>
        <w:spacing w:before="240" w:after="0"/>
        <w:jc w:val="left"/>
        <w:rPr>
          <w:rFonts w:ascii="Times New Roman" w:hAnsi="Times New Roman"/>
          <w:sz w:val="20"/>
        </w:rPr>
      </w:pPr>
      <w:r>
        <w:rPr>
          <w:rFonts w:ascii="Times New Roman" w:hAnsi="Times New Roman"/>
          <w:sz w:val="20"/>
        </w:rPr>
        <w:t xml:space="preserve">Because this vote is advisory and non-binding, voting results cannot overrule any decisions made by the Board of Directors or compensation committee. Both our Board of Directors and compensation committee value the opinions expressed by stockholders in their votes on this proposal and will consider the outcome of the vote when making future decisions regarding the frequency of conducting future say-on-pay votes. However, the Board of Directors may decide that it is in the best interests of our stockholders and the Company to hold say-on-pay votes more or less frequently than the alternative selected by our stockholders. </w:t>
      </w:r>
    </w:p>
    <w:p>
      <w:pPr>
        <w:pStyle w:val="TextBody"/>
        <w:spacing w:before="240" w:after="0"/>
        <w:jc w:val="center"/>
        <w:rPr>
          <w:rFonts w:ascii="Times New Roman" w:hAnsi="Times New Roman"/>
          <w:b/>
          <w:sz w:val="20"/>
        </w:rPr>
      </w:pPr>
      <w:r>
        <w:rPr>
          <w:rFonts w:ascii="Times New Roman" w:hAnsi="Times New Roman"/>
          <w:b/>
          <w:sz w:val="20"/>
        </w:rPr>
        <w:t xml:space="preserve">THE BOARD OF DIRECTORS UNANIMOUSLY RECOMMENDS A VOTE, ON A NON-BINDING, ADVISORY BASIS, FOR THE OPTION OF “1 YEAR” AS THE FREQUENCY WITH WHICH FUTURE STOCKHOLDER ADVISORY VOTES ON THE COMPENSATION OF OUR NAMED EXECUTIVE OFFICERS WILL BE CONDUCTED.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1" w:name="toc359255_19"/>
      <w:bookmarkEnd w:id="21"/>
      <w:r>
        <w:rPr>
          <w:rFonts w:ascii="Times New Roman" w:hAnsi="Times New Roman"/>
          <w:b/>
          <w:sz w:val="20"/>
        </w:rPr>
        <w:t xml:space="preserve">CORPORATE GOVERNANCE </w:t>
      </w:r>
    </w:p>
    <w:p>
      <w:pPr>
        <w:pStyle w:val="TextBody"/>
        <w:spacing w:before="240" w:after="0"/>
        <w:jc w:val="left"/>
        <w:rPr>
          <w:rFonts w:ascii="Times New Roman" w:hAnsi="Times New Roman"/>
          <w:b/>
          <w:sz w:val="20"/>
        </w:rPr>
      </w:pPr>
      <w:bookmarkStart w:id="22" w:name="toc359255_20"/>
      <w:bookmarkEnd w:id="22"/>
      <w:r>
        <w:rPr>
          <w:rFonts w:ascii="Times New Roman" w:hAnsi="Times New Roman"/>
          <w:b/>
          <w:sz w:val="20"/>
        </w:rPr>
        <w:t xml:space="preserve">Code of Conduct </w:t>
      </w:r>
    </w:p>
    <w:p>
      <w:pPr>
        <w:pStyle w:val="TextBody"/>
        <w:spacing w:before="120" w:after="0"/>
        <w:jc w:val="left"/>
        <w:rPr>
          <w:rFonts w:ascii="Times New Roman" w:hAnsi="Times New Roman"/>
          <w:sz w:val="20"/>
        </w:rPr>
      </w:pPr>
      <w:r>
        <w:rPr>
          <w:rFonts w:ascii="Times New Roman" w:hAnsi="Times New Roman"/>
          <w:sz w:val="20"/>
        </w:rPr>
        <w:t xml:space="preserve">Our Board of Directors adopted a code of business conduct that applies to each of our directors, officers and employees. The full text of our code of business conduct is posted on the investor relations section of our website at https://ir.flywire.com. Any waiver of the code of business conduct for an executive officer or director may be granted only by our Board of Directors or a committee thereof and must be timely disclosed as required by applicable law. We have implemented whistleblower procedures that establish formal protocols for receiving and handling complaints from employees. Any concerns regarding accounting or auditing matters reported under these procedures will be communicated promptly to the audit committee. </w:t>
      </w:r>
    </w:p>
    <w:p>
      <w:pPr>
        <w:pStyle w:val="TextBody"/>
        <w:spacing w:before="360" w:after="0"/>
        <w:jc w:val="left"/>
        <w:rPr>
          <w:rFonts w:ascii="Times New Roman" w:hAnsi="Times New Roman"/>
          <w:b/>
          <w:sz w:val="20"/>
        </w:rPr>
      </w:pPr>
      <w:r>
        <w:rPr>
          <w:rFonts w:ascii="Times New Roman" w:hAnsi="Times New Roman"/>
          <w:b/>
          <w:sz w:val="20"/>
        </w:rPr>
        <w:t xml:space="preserve">Environmental, Social and Governance (ESG) </w:t>
      </w:r>
    </w:p>
    <w:p>
      <w:pPr>
        <w:pStyle w:val="TextBody"/>
        <w:spacing w:before="120" w:after="0"/>
        <w:jc w:val="left"/>
        <w:rPr>
          <w:rFonts w:ascii="Times New Roman" w:hAnsi="Times New Roman"/>
          <w:sz w:val="20"/>
        </w:rPr>
      </w:pPr>
      <w:r>
        <w:rPr>
          <w:rFonts w:ascii="Times New Roman" w:hAnsi="Times New Roman"/>
          <w:sz w:val="20"/>
        </w:rPr>
        <w:t xml:space="preserve">In December 2022, we released our inaugural ESG report, our first comprehensive summary of how we integrate social good initiatives into our business strategy. The report provides baseline metrics as well as a detailed overview of the core tenets of our ESG program, which are shaped by many defining principles—from social impact and community engagement, to diversity, equity and inclusion (DE&amp;I), and much more. Our ESG report is based on global best practices, and aligns with metrics set forth by the Sustainability Accounting Standards Boards standards as well as the Global Reporting Initiative standards. </w:t>
      </w:r>
    </w:p>
    <w:p>
      <w:pPr>
        <w:pStyle w:val="TextBody"/>
        <w:spacing w:before="240" w:after="0"/>
        <w:jc w:val="left"/>
        <w:rPr>
          <w:rFonts w:ascii="Times New Roman" w:hAnsi="Times New Roman"/>
          <w:sz w:val="20"/>
        </w:rPr>
      </w:pPr>
      <w:r>
        <w:rPr>
          <w:rFonts w:ascii="Times New Roman" w:hAnsi="Times New Roman"/>
          <w:sz w:val="20"/>
        </w:rPr>
        <w:t xml:space="preserve">Our report details our investments across the following ESG disciplines, including: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b/>
                <w:sz w:val="20"/>
              </w:rPr>
              <w:t>Affordability and accessibility:</w:t>
            </w:r>
            <w:r>
              <w:rPr>
                <w:rFonts w:ascii="Times New Roman" w:hAnsi="Times New Roman"/>
                <w:sz w:val="20"/>
              </w:rPr>
              <w:t xml:space="preserve"> Our payments technology and software enables payers to set up payment plans, helping to make high-value transactions like medical bills and education expenses more accessible and affordable.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b/>
                <w:sz w:val="20"/>
              </w:rPr>
              <w:t>Diversity, equity and inclusion:</w:t>
            </w:r>
            <w:r>
              <w:rPr>
                <w:rFonts w:ascii="Times New Roman" w:hAnsi="Times New Roman"/>
                <w:sz w:val="20"/>
              </w:rPr>
              <w:t xml:space="preserve"> Our employees, who we call FlyMates represent 40 nationalities and more than 35 spoken languages. Our Employee Resource Groups, including Flywire Pride, FlyBlack, Women of Flywire and Flywire Globals, are devoted to promoting our DE&amp;I mission.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b/>
                <w:sz w:val="20"/>
              </w:rPr>
              <w:t>Career development and training:</w:t>
            </w:r>
            <w:r>
              <w:rPr>
                <w:rFonts w:ascii="Times New Roman" w:hAnsi="Times New Roman"/>
                <w:sz w:val="20"/>
              </w:rPr>
              <w:t xml:space="preserve"> In 2022, FlyMates spent more than 2,900 hours on company-sponsored career development and training programs. These initiatives are available to all FlyMates, including part-time and contract employees.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b/>
                <w:sz w:val="20"/>
              </w:rPr>
              <w:t>Social impact and community engagement:</w:t>
            </w:r>
            <w:r>
              <w:rPr>
                <w:rFonts w:ascii="Times New Roman" w:hAnsi="Times New Roman"/>
                <w:sz w:val="20"/>
              </w:rPr>
              <w:t xml:space="preserve"> A cornerstone of our social impact and community engagement efforts is The Flywire Charitable Foundation, which has tripled in size since its inception in 2020.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b/>
                <w:sz w:val="20"/>
              </w:rPr>
              <w:t>Data privacy, security and compliance:</w:t>
            </w:r>
            <w:r>
              <w:rPr>
                <w:rFonts w:ascii="Times New Roman" w:hAnsi="Times New Roman"/>
                <w:sz w:val="20"/>
              </w:rPr>
              <w:t xml:space="preserve"> Our dedicated compliance and risk management function, overseen by our Chief Compliance Officer and Chief Information Security Officer with oversight from our Board of Directors, has been built over more than a decade, providing payers and clients with confidence in our solutions.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b/>
                <w:sz w:val="20"/>
              </w:rPr>
              <w:t>Governance and ethics:</w:t>
            </w:r>
            <w:r>
              <w:rPr>
                <w:rFonts w:ascii="Times New Roman" w:hAnsi="Times New Roman"/>
                <w:sz w:val="20"/>
              </w:rPr>
              <w:t xml:space="preserve"> We are committed to ethical business practices and good corporate governance for the long-term success of Flywire and our stockholders. We have a Code of Conduct that is actively enforced and mandatory training across a spectrum of important topics, ranging from anti-money laundering to sexual harassment to information security best practices. We have also developed a Supplier Code of Conduct to ensure we flow down our values and the values of our customers to our suppliers. We also actively monitor compliance with the U.S. Foreign Corrupt Practices Act and the U.K. Bribery Act.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b/>
                <w:sz w:val="20"/>
              </w:rPr>
              <w:t>Environmental sustainability:</w:t>
            </w:r>
            <w:r>
              <w:rPr>
                <w:rFonts w:ascii="Times New Roman" w:hAnsi="Times New Roman"/>
                <w:sz w:val="20"/>
              </w:rPr>
              <w:t xml:space="preserve"> We conducted our first greenhouse gas emissions audit of our operations and most significant value-chain emissions with a vision to reduce our carbon-intensive activities and improve overall energy efficiencies. Our baseline inventory includes Scope 2 and Scope 3 emissions from purchased electricity, purchased goods and services (cloud services only), business travel and employee commuting and telework.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the past year, we have reinforced our commitment to ESG by: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b/>
                <w:sz w:val="20"/>
              </w:rPr>
              <w:t>Codifying ESG as a strategic priority and establishing new management and oversight of ESG priorities.</w:t>
            </w:r>
            <w:r>
              <w:rPr>
                <w:rFonts w:ascii="Times New Roman" w:hAnsi="Times New Roman"/>
                <w:sz w:val="20"/>
              </w:rPr>
              <w:t xml:space="preserve"> The Nominating and Corporate Governance Committee of our Board of Directors is responsible for the oversight of our ESG initiatives, supported by a cross-functional task force of employees that comprise the ESG disclosure committee.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b/>
                <w:sz w:val="20"/>
              </w:rPr>
              <w:t>Establishing a Center of Expertise for Diversity, Equity</w:t>
            </w:r>
            <w:r>
              <w:rPr>
                <w:rFonts w:ascii="Times New Roman" w:hAnsi="Times New Roman"/>
                <w:sz w:val="20"/>
              </w:rPr>
              <w:t> </w:t>
            </w:r>
            <w:r>
              <w:rPr>
                <w:rFonts w:ascii="Times New Roman" w:hAnsi="Times New Roman"/>
                <w:b/>
                <w:sz w:val="20"/>
              </w:rPr>
              <w:t>&amp; Inclusion (DE&amp;I)</w:t>
            </w:r>
            <w:r>
              <w:rPr>
                <w:rFonts w:ascii="Times New Roman" w:hAnsi="Times New Roman"/>
                <w:sz w:val="20"/>
              </w:rPr>
              <w:t xml:space="preserve"> to better serve our diverse, global community of FlyMates where they live and work, and to deliver inclusive and compelling experiences that engage and care for FlyMates.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b/>
                <w:sz w:val="20"/>
              </w:rPr>
              <w:t>Enhancing our career development and skills training policies</w:t>
            </w:r>
            <w:r>
              <w:rPr>
                <w:rFonts w:ascii="Times New Roman" w:hAnsi="Times New Roman"/>
                <w:sz w:val="20"/>
              </w:rPr>
              <w:t xml:space="preserve"> by offering new programs focused on enriching FlyMates’ careers and growing them both personally and professionally.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b/>
                <w:sz w:val="20"/>
              </w:rPr>
              <w:t>Maximizing our social impact initiatives both through the third annual scholarship program administered by The Flywire Charitable Foundation</w:t>
            </w:r>
            <w:r>
              <w:rPr>
                <w:rFonts w:ascii="Times New Roman" w:hAnsi="Times New Roman"/>
                <w:sz w:val="20"/>
              </w:rPr>
              <w:t xml:space="preserve">, and through purposeful philanthropy to non-profit organizations around the world. </w:t>
            </w:r>
          </w:p>
        </w:tc>
      </w:tr>
    </w:tbl>
    <w:p>
      <w:pPr>
        <w:pStyle w:val="TextBody"/>
        <w:spacing w:before="360" w:after="0"/>
        <w:jc w:val="left"/>
        <w:rPr>
          <w:rFonts w:ascii="Times New Roman" w:hAnsi="Times New Roman"/>
          <w:b/>
          <w:sz w:val="20"/>
        </w:rPr>
      </w:pPr>
      <w:bookmarkStart w:id="23" w:name="toc359255_21"/>
      <w:bookmarkEnd w:id="23"/>
      <w:r>
        <w:rPr>
          <w:rFonts w:ascii="Times New Roman" w:hAnsi="Times New Roman"/>
          <w:b/>
          <w:sz w:val="20"/>
        </w:rPr>
        <w:t xml:space="preserve">Board Composition </w:t>
      </w:r>
    </w:p>
    <w:p>
      <w:pPr>
        <w:pStyle w:val="TextBody"/>
        <w:spacing w:before="120" w:after="0"/>
        <w:jc w:val="left"/>
        <w:rPr>
          <w:rFonts w:ascii="Times New Roman" w:hAnsi="Times New Roman"/>
          <w:sz w:val="20"/>
        </w:rPr>
      </w:pPr>
      <w:r>
        <w:rPr>
          <w:rFonts w:ascii="Times New Roman" w:hAnsi="Times New Roman"/>
          <w:sz w:val="20"/>
        </w:rPr>
        <w:t xml:space="preserve">Our business affairs are managed under the direction of our Board of Directors, which is currently composed of six members. All of our directors, other than Mr. Massaro, are independent within the meaning of the listing rules of The Nasdaq Stock Market (Nasdaq). Our Board of Directors is divided into three classes with staggered three-year terms. At each annual meeting of stockholders, the successors to directors whose terms then expire will be elected to serve from the time of election and qualification until the third annual meeting following election. </w:t>
      </w:r>
    </w:p>
    <w:p>
      <w:pPr>
        <w:pStyle w:val="TextBody"/>
        <w:spacing w:before="240" w:after="0"/>
        <w:jc w:val="left"/>
        <w:rPr>
          <w:rFonts w:ascii="Times New Roman" w:hAnsi="Times New Roman"/>
          <w:sz w:val="20"/>
        </w:rPr>
      </w:pPr>
      <w:r>
        <w:rPr>
          <w:rFonts w:ascii="Times New Roman" w:hAnsi="Times New Roman"/>
          <w:sz w:val="20"/>
        </w:rPr>
        <w:t xml:space="preserve">Directors in a particular class will be elected for three-year terms at the annual meeting of stockholders in the year in which their terms expire. As a result, only one class of directors will be elected at each annual meeting of our stockholders, with the other classes continuing for the remainder of their respective three-year terms. Each director’s term continues until the election and qualification of his or her successor, or the earlier of his or her death, resignation or removal. The classification of our Board of Directors may have the effect of delaying or preventing changes in our control or management. </w:t>
      </w:r>
    </w:p>
    <w:p>
      <w:pPr>
        <w:pStyle w:val="TextBody"/>
        <w:spacing w:before="360" w:after="0"/>
        <w:jc w:val="left"/>
        <w:rPr>
          <w:rFonts w:ascii="Times New Roman" w:hAnsi="Times New Roman"/>
          <w:b/>
          <w:sz w:val="20"/>
        </w:rPr>
      </w:pPr>
      <w:bookmarkStart w:id="24" w:name="toc359255_22"/>
      <w:bookmarkEnd w:id="24"/>
      <w:r>
        <w:rPr>
          <w:rFonts w:ascii="Times New Roman" w:hAnsi="Times New Roman"/>
          <w:b/>
          <w:sz w:val="20"/>
        </w:rPr>
        <w:t xml:space="preserve">Director Independence </w:t>
      </w:r>
    </w:p>
    <w:p>
      <w:pPr>
        <w:pStyle w:val="TextBody"/>
        <w:spacing w:before="120" w:after="0"/>
        <w:jc w:val="left"/>
        <w:rPr>
          <w:rFonts w:ascii="Times New Roman" w:hAnsi="Times New Roman"/>
          <w:sz w:val="20"/>
        </w:rPr>
      </w:pPr>
      <w:r>
        <w:rPr>
          <w:rFonts w:ascii="Times New Roman" w:hAnsi="Times New Roman"/>
          <w:sz w:val="20"/>
        </w:rPr>
        <w:t xml:space="preserve">Our common stock is listed on the Nasdaq Global Select Market. The listing rules of this stock exchange generally require that a majority of the members of a listed company’s Board of Directors be independent. In addition, the rules of Nasdaq require that, subject to specified exceptions, each member of a listed company’s audit, compensation, and nominating and corporate governance committees be independent. The Nasdaq director independence definition includes a series of objective tests, such as that the director is not also one of our employees and has not engaged in various types of business dealings with us. In addition, as further required by Nasdaq rules, our Board of Directors has made a subjective determination as to each non-employee director that no relationships exist which, in the opinion of our Board of Directors, would interfere with the exercise of independent judgment in carrying out the responsibilities of a director. In making these determinations, our directors reviewed and discussed information provided by the directors and us with regard to each director’s business and personal activities as they may relate to us and our management. </w:t>
      </w:r>
    </w:p>
    <w:p>
      <w:pPr>
        <w:pStyle w:val="TextBody"/>
        <w:spacing w:before="240" w:after="0"/>
        <w:jc w:val="left"/>
        <w:rPr>
          <w:rFonts w:ascii="Times New Roman" w:hAnsi="Times New Roman"/>
          <w:sz w:val="20"/>
        </w:rPr>
      </w:pPr>
      <w:r>
        <w:rPr>
          <w:rFonts w:ascii="Times New Roman" w:hAnsi="Times New Roman"/>
          <w:sz w:val="20"/>
        </w:rPr>
        <w:t xml:space="preserve">The independent members of our Board of Directors meet in executive session, without Mr. Massaro or other members of management present, during regularly scheduled meetings. </w:t>
      </w:r>
    </w:p>
    <w:p>
      <w:pPr>
        <w:pStyle w:val="TextBody"/>
        <w:spacing w:before="360" w:after="0"/>
        <w:jc w:val="left"/>
        <w:rPr>
          <w:rFonts w:ascii="Times New Roman" w:hAnsi="Times New Roman"/>
          <w:b/>
          <w:sz w:val="20"/>
        </w:rPr>
      </w:pPr>
      <w:bookmarkStart w:id="25" w:name="toc359255_23"/>
      <w:bookmarkEnd w:id="25"/>
      <w:r>
        <w:rPr>
          <w:rFonts w:ascii="Times New Roman" w:hAnsi="Times New Roman"/>
          <w:b/>
          <w:sz w:val="20"/>
        </w:rPr>
        <w:t xml:space="preserve">Board Leadership Structure </w:t>
      </w:r>
    </w:p>
    <w:p>
      <w:pPr>
        <w:pStyle w:val="TextBody"/>
        <w:spacing w:before="120" w:after="0"/>
        <w:jc w:val="left"/>
        <w:rPr>
          <w:rFonts w:ascii="Times New Roman" w:hAnsi="Times New Roman"/>
          <w:sz w:val="20"/>
        </w:rPr>
      </w:pPr>
      <w:r>
        <w:rPr>
          <w:rFonts w:ascii="Times New Roman" w:hAnsi="Times New Roman"/>
          <w:sz w:val="20"/>
        </w:rPr>
        <w:t xml:space="preserve">Our Board of Directors is currently led by its chair, Phillip Riese. Our Board of Directors recognizes that it is important to determine an optimal board leadership structure to ensure the independent oversight of management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as we continue to grow. We separate the roles of chief executive officer and chair of the Board of Directors in recognition of the differences between the two roles. The chief executive officer is responsible for setting our strategic direction and our day-to-day leadership and performance, while the chair of the Board of Directors presides over meetings of the full Board of Directors. We believe that this separation of responsibilities provides a balanced approach to managing the Board of Directors and overseeing our operations. </w:t>
      </w:r>
    </w:p>
    <w:p>
      <w:pPr>
        <w:pStyle w:val="TextBody"/>
        <w:spacing w:before="240" w:after="0"/>
        <w:jc w:val="left"/>
        <w:rPr>
          <w:rFonts w:ascii="Times New Roman" w:hAnsi="Times New Roman"/>
          <w:sz w:val="20"/>
        </w:rPr>
      </w:pPr>
      <w:r>
        <w:rPr>
          <w:rFonts w:ascii="Times New Roman" w:hAnsi="Times New Roman"/>
          <w:sz w:val="20"/>
        </w:rPr>
        <w:t xml:space="preserve">Our Board of Directors has concluded that our current leadership structure is appropriate at this time. However, our Board of Directors will continue to periodically review our leadership structure and may make such changes in the future as it deems appropriate. </w:t>
      </w:r>
    </w:p>
    <w:p>
      <w:pPr>
        <w:pStyle w:val="TextBody"/>
        <w:spacing w:before="360" w:after="0"/>
        <w:jc w:val="left"/>
        <w:rPr>
          <w:rFonts w:ascii="Times New Roman" w:hAnsi="Times New Roman"/>
          <w:b/>
          <w:sz w:val="20"/>
        </w:rPr>
      </w:pPr>
      <w:bookmarkStart w:id="26" w:name="toc359255_24"/>
      <w:bookmarkEnd w:id="26"/>
      <w:r>
        <w:rPr>
          <w:rFonts w:ascii="Times New Roman" w:hAnsi="Times New Roman"/>
          <w:b/>
          <w:sz w:val="20"/>
        </w:rPr>
        <w:t xml:space="preserve">Board Committees </w:t>
      </w:r>
    </w:p>
    <w:p>
      <w:pPr>
        <w:pStyle w:val="TextBody"/>
        <w:spacing w:before="120" w:after="0"/>
        <w:jc w:val="left"/>
        <w:rPr>
          <w:rFonts w:ascii="Times New Roman" w:hAnsi="Times New Roman"/>
          <w:sz w:val="20"/>
        </w:rPr>
      </w:pPr>
      <w:r>
        <w:rPr>
          <w:rFonts w:ascii="Times New Roman" w:hAnsi="Times New Roman"/>
          <w:sz w:val="20"/>
        </w:rPr>
        <w:t xml:space="preserve">Our Board of Directors has established an audit committee, a compensation committee and a nominating and corporate governance committee. The composition of these committees meets the criteria for independence under, and the functioning of these committees comply with the applicable requirements of the Sarbanes-Oxley Act of 2002, the current rules of Nasdaq and SEC rules and regulations. We intend to comply with future requirements as they become applicable to us. Each committee has the composition and responsibilities described below. </w:t>
      </w:r>
    </w:p>
    <w:p>
      <w:pPr>
        <w:pStyle w:val="TextBody"/>
        <w:spacing w:before="360" w:after="0"/>
        <w:jc w:val="left"/>
        <w:rPr>
          <w:rFonts w:ascii="Times New Roman" w:hAnsi="Times New Roman"/>
          <w:b/>
          <w:sz w:val="20"/>
        </w:rPr>
      </w:pPr>
      <w:r>
        <w:rPr>
          <w:rFonts w:ascii="Times New Roman" w:hAnsi="Times New Roman"/>
          <w:b/>
          <w:sz w:val="20"/>
        </w:rPr>
        <w:t xml:space="preserve">Audit Committee </w:t>
      </w:r>
    </w:p>
    <w:p>
      <w:pPr>
        <w:pStyle w:val="TextBody"/>
        <w:spacing w:before="120" w:after="0"/>
        <w:jc w:val="left"/>
        <w:rPr>
          <w:rFonts w:ascii="Times New Roman" w:hAnsi="Times New Roman"/>
          <w:sz w:val="20"/>
        </w:rPr>
      </w:pPr>
      <w:r>
        <w:rPr>
          <w:rFonts w:ascii="Times New Roman" w:hAnsi="Times New Roman"/>
          <w:sz w:val="20"/>
        </w:rPr>
        <w:t xml:space="preserve">During the year ended December 31, 2022, our audit committee held eight formal meetings. The current members of our audit committee are Edwin Santos, Phillip Riese and Alex Finkelstein, each of whom is a non-employee member of the Board of Directors. Mr. Santos serves as the chair of the audit committee. </w:t>
      </w:r>
    </w:p>
    <w:p>
      <w:pPr>
        <w:pStyle w:val="TextBody"/>
        <w:spacing w:before="240" w:after="0"/>
        <w:jc w:val="left"/>
        <w:rPr>
          <w:rFonts w:ascii="Times New Roman" w:hAnsi="Times New Roman"/>
          <w:sz w:val="20"/>
        </w:rPr>
      </w:pPr>
      <w:r>
        <w:rPr>
          <w:rFonts w:ascii="Times New Roman" w:hAnsi="Times New Roman"/>
          <w:sz w:val="20"/>
        </w:rPr>
        <w:t xml:space="preserve">The audit committee’s main function is to oversee our accounting and financial reporting processes, internal systems of control, independent registered public accounting firm relationships and the audits of our financial statements. The full text of the audit committee’s charter is posted on the corporate governance section of our website at https://ir.flywire.com/corporate-governance/governance-overview. Pursuant to the audit committee charter, the functions of the audit committee include, among other things: </w:t>
      </w:r>
    </w:p>
    <w:p>
      <w:pPr>
        <w:pStyle w:val="TextBody"/>
        <w:spacing w:before="0" w:after="0"/>
        <w:jc w:val="left"/>
        <w:rPr/>
      </w:pPr>
      <w:r>
        <w:rPr/>
        <w:t> </w:t>
      </w:r>
    </w:p>
    <w:tbl>
      <w:tblPr>
        <w:tblW w:w="9850" w:type="dxa"/>
        <w:jc w:val="left"/>
        <w:tblInd w:w="0" w:type="dxa"/>
        <w:tblCellMar>
          <w:top w:w="0" w:type="dxa"/>
          <w:left w:w="0" w:type="dxa"/>
          <w:bottom w:w="0" w:type="dxa"/>
          <w:right w:w="0" w:type="dxa"/>
        </w:tblCellMar>
      </w:tblPr>
      <w:tblGrid>
        <w:gridCol w:w="75"/>
        <w:gridCol w:w="110"/>
        <w:gridCol w:w="60"/>
        <w:gridCol w:w="96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6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appointing, approving the compensation of, and assessing the independence of our registered public accounting firm;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overseeing the work of our registered public accounting firm, including through the receipt and consideration of reports from such firm;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reviewing and discussing with management and the registered public accounting firm our annual and quarterly financial statements and related disclosures; </w:t>
            </w:r>
          </w:p>
        </w:tc>
      </w:tr>
    </w:tbl>
    <w:p>
      <w:pPr>
        <w:pStyle w:val="TextBody"/>
        <w:spacing w:before="0" w:after="0"/>
        <w:jc w:val="left"/>
        <w:rPr/>
      </w:pPr>
      <w:r>
        <w:rPr/>
        <w:t> </w:t>
      </w:r>
    </w:p>
    <w:tbl>
      <w:tblPr>
        <w:tblW w:w="8395" w:type="dxa"/>
        <w:jc w:val="left"/>
        <w:tblInd w:w="0" w:type="dxa"/>
        <w:tblCellMar>
          <w:top w:w="0" w:type="dxa"/>
          <w:left w:w="0" w:type="dxa"/>
          <w:bottom w:w="0" w:type="dxa"/>
          <w:right w:w="0" w:type="dxa"/>
        </w:tblCellMar>
      </w:tblPr>
      <w:tblGrid>
        <w:gridCol w:w="75"/>
        <w:gridCol w:w="110"/>
        <w:gridCol w:w="60"/>
        <w:gridCol w:w="81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1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monitoring our internal control over financial reporting and our disclosure controls and procedures; </w:t>
            </w:r>
          </w:p>
        </w:tc>
      </w:tr>
    </w:tbl>
    <w:p>
      <w:pPr>
        <w:pStyle w:val="TextBody"/>
        <w:spacing w:before="0" w:after="0"/>
        <w:jc w:val="left"/>
        <w:rPr/>
      </w:pPr>
      <w:r>
        <w:rPr/>
        <w:t> </w:t>
      </w:r>
    </w:p>
    <w:tbl>
      <w:tblPr>
        <w:tblW w:w="7165" w:type="dxa"/>
        <w:jc w:val="left"/>
        <w:tblInd w:w="0" w:type="dxa"/>
        <w:tblCellMar>
          <w:top w:w="0" w:type="dxa"/>
          <w:left w:w="0" w:type="dxa"/>
          <w:bottom w:w="0" w:type="dxa"/>
          <w:right w:w="0" w:type="dxa"/>
        </w:tblCellMar>
      </w:tblPr>
      <w:tblGrid>
        <w:gridCol w:w="75"/>
        <w:gridCol w:w="110"/>
        <w:gridCol w:w="60"/>
        <w:gridCol w:w="69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9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meeting independently with our registered public accounting firm and management; </w:t>
            </w:r>
          </w:p>
        </w:tc>
      </w:tr>
    </w:tbl>
    <w:p>
      <w:pPr>
        <w:pStyle w:val="TextBody"/>
        <w:spacing w:before="0" w:after="0"/>
        <w:jc w:val="left"/>
        <w:rPr/>
      </w:pPr>
      <w:r>
        <w:rPr/>
        <w:t> </w:t>
      </w:r>
    </w:p>
    <w:tbl>
      <w:tblPr>
        <w:tblW w:w="5170" w:type="dxa"/>
        <w:jc w:val="left"/>
        <w:tblInd w:w="0" w:type="dxa"/>
        <w:tblCellMar>
          <w:top w:w="0" w:type="dxa"/>
          <w:left w:w="0" w:type="dxa"/>
          <w:bottom w:w="0" w:type="dxa"/>
          <w:right w:w="0" w:type="dxa"/>
        </w:tblCellMar>
      </w:tblPr>
      <w:tblGrid>
        <w:gridCol w:w="75"/>
        <w:gridCol w:w="110"/>
        <w:gridCol w:w="60"/>
        <w:gridCol w:w="49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9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preparing the audit committee report required by SEC rules; </w:t>
            </w:r>
          </w:p>
        </w:tc>
      </w:tr>
    </w:tbl>
    <w:p>
      <w:pPr>
        <w:pStyle w:val="TextBody"/>
        <w:spacing w:before="0" w:after="0"/>
        <w:jc w:val="left"/>
        <w:rPr/>
      </w:pPr>
      <w:r>
        <w:rPr/>
        <w:t> </w:t>
      </w:r>
    </w:p>
    <w:tbl>
      <w:tblPr>
        <w:tblW w:w="6280" w:type="dxa"/>
        <w:jc w:val="left"/>
        <w:tblInd w:w="0" w:type="dxa"/>
        <w:tblCellMar>
          <w:top w:w="0" w:type="dxa"/>
          <w:left w:w="0" w:type="dxa"/>
          <w:bottom w:w="0" w:type="dxa"/>
          <w:right w:w="0" w:type="dxa"/>
        </w:tblCellMar>
      </w:tblPr>
      <w:tblGrid>
        <w:gridCol w:w="75"/>
        <w:gridCol w:w="110"/>
        <w:gridCol w:w="60"/>
        <w:gridCol w:w="60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reviewing and approving or ratifying any related person transactions;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overseeing our risk assessment and risk management policies, including among other matters, compliance and cybersecurity. </w:t>
            </w:r>
          </w:p>
        </w:tc>
      </w:tr>
    </w:tbl>
    <w:p>
      <w:pPr>
        <w:pStyle w:val="TextBody"/>
        <w:spacing w:before="240" w:after="0"/>
        <w:jc w:val="left"/>
        <w:rPr>
          <w:rFonts w:ascii="Times New Roman" w:hAnsi="Times New Roman"/>
          <w:sz w:val="20"/>
        </w:rPr>
      </w:pPr>
      <w:r>
        <w:rPr>
          <w:rFonts w:ascii="Times New Roman" w:hAnsi="Times New Roman"/>
          <w:sz w:val="20"/>
        </w:rPr>
        <w:t xml:space="preserve">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Each of Messrs. Santos, Finkelstein and Riese qualify as an independent director pursuant to Rule 10A-3.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All members of our audit committee meet the requirements for financial literacy under the applicable rules and regulations of the SEC and Nasdaq. Our Board of Directors has determined that Mr. Santos is an “audit committee financial expert” as defined by applicable SEC rules and has the requisite financial sophistication as defined under the applicable Nasdaq rules and regulations. The designation does not impose on Mr. Santos any duties, obligations or liability that are greater than are generally imposed on him as a member of our audit committee and our Board of Directors, and his designation as an audit committee financial expert pursuant to this SEC requirement does not affect the duties, obligations or liability of any other member of our audit committee or Board of Directors. </w:t>
      </w:r>
    </w:p>
    <w:p>
      <w:pPr>
        <w:pStyle w:val="TextBody"/>
        <w:spacing w:before="0" w:after="0"/>
        <w:jc w:val="left"/>
        <w:rPr/>
      </w:pPr>
      <w:r>
        <w:rPr/>
        <w:t> </w:t>
      </w:r>
    </w:p>
    <w:tbl>
      <w:tblPr>
        <w:tblW w:w="2515" w:type="dxa"/>
        <w:jc w:val="left"/>
        <w:tblInd w:w="0" w:type="dxa"/>
        <w:tblCellMar>
          <w:top w:w="0" w:type="dxa"/>
          <w:left w:w="0" w:type="dxa"/>
          <w:bottom w:w="0" w:type="dxa"/>
          <w:right w:w="0" w:type="dxa"/>
        </w:tblCellMar>
      </w:tblPr>
      <w:tblGrid>
        <w:gridCol w:w="1505"/>
        <w:gridCol w:w="1010"/>
      </w:tblGrid>
      <w:tr>
        <w:trPr/>
        <w:tc>
          <w:tcPr>
            <w:tcW w:w="1505" w:type="dxa"/>
            <w:tcBorders/>
            <w:shd w:fill="auto" w:val="clear"/>
            <w:vAlign w:val="center"/>
          </w:tcPr>
          <w:p>
            <w:pPr>
              <w:pStyle w:val="TableContents"/>
              <w:spacing w:before="0" w:after="283"/>
              <w:jc w:val="left"/>
              <w:rPr>
                <w:b/>
              </w:rPr>
            </w:pPr>
            <w:r>
              <w:rPr>
                <w:b/>
              </w:rPr>
              <w:t>Compensation</w:t>
            </w:r>
          </w:p>
        </w:tc>
        <w:tc>
          <w:tcPr>
            <w:tcW w:w="101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Committee </w:t>
            </w:r>
          </w:p>
        </w:tc>
      </w:tr>
    </w:tbl>
    <w:p>
      <w:pPr>
        <w:pStyle w:val="TextBody"/>
        <w:spacing w:before="120" w:after="0"/>
        <w:jc w:val="left"/>
        <w:rPr>
          <w:rFonts w:ascii="Times New Roman" w:hAnsi="Times New Roman"/>
          <w:sz w:val="20"/>
        </w:rPr>
      </w:pPr>
      <w:r>
        <w:rPr>
          <w:rFonts w:ascii="Times New Roman" w:hAnsi="Times New Roman"/>
          <w:sz w:val="20"/>
        </w:rPr>
        <w:t xml:space="preserve">During the year ended December 31, 2022, our compensation committee had a number of ad hoc discussions with its compensation consultant and management, held six formal meetings and acted by written consent two times. The current members of our compensation committee are Matthew Harris and Diane Offereins. Mr. Harris serves as the chair of the compensation committee. Ms. Offereins replaced Yvonne Hao as a member of our compensation committee in January 2023. </w:t>
      </w:r>
    </w:p>
    <w:p>
      <w:pPr>
        <w:pStyle w:val="TextBody"/>
        <w:spacing w:before="240" w:after="0"/>
        <w:jc w:val="left"/>
        <w:rPr>
          <w:rFonts w:ascii="Times New Roman" w:hAnsi="Times New Roman"/>
          <w:sz w:val="20"/>
        </w:rPr>
      </w:pPr>
      <w:r>
        <w:rPr>
          <w:rFonts w:ascii="Times New Roman" w:hAnsi="Times New Roman"/>
          <w:sz w:val="20"/>
        </w:rPr>
        <w:t xml:space="preserve">The compensation committee’s main function is to review and recommend policies relating to compensation and benefits of our officers, directors and employees. The full text of the compensation committee’s charter is posted on the corporate governance section of our website at https://ir.flywire.com/corporate-governance/governance-overview. Pursuant to the compensation committee charter, the functions of this committee include: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evaluating the performance of our chief executive officer and determining the chief executive officer’s salary and contingent compensation based on his or her performance and other relevant criteria; </w:t>
            </w:r>
          </w:p>
        </w:tc>
      </w:tr>
    </w:tbl>
    <w:p>
      <w:pPr>
        <w:pStyle w:val="TextBody"/>
        <w:spacing w:before="0" w:after="0"/>
        <w:jc w:val="left"/>
        <w:rPr/>
      </w:pPr>
      <w:r>
        <w:rPr/>
        <w:t> </w:t>
      </w:r>
    </w:p>
    <w:tbl>
      <w:tblPr>
        <w:tblW w:w="8905" w:type="dxa"/>
        <w:jc w:val="left"/>
        <w:tblInd w:w="0" w:type="dxa"/>
        <w:tblCellMar>
          <w:top w:w="0" w:type="dxa"/>
          <w:left w:w="0" w:type="dxa"/>
          <w:bottom w:w="0" w:type="dxa"/>
          <w:right w:w="0" w:type="dxa"/>
        </w:tblCellMar>
      </w:tblPr>
      <w:tblGrid>
        <w:gridCol w:w="75"/>
        <w:gridCol w:w="110"/>
        <w:gridCol w:w="60"/>
        <w:gridCol w:w="86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6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identifying the corporate and individual objectives governing the chief executive officer’s compensation; </w:t>
            </w:r>
          </w:p>
        </w:tc>
      </w:tr>
    </w:tbl>
    <w:p>
      <w:pPr>
        <w:pStyle w:val="TextBody"/>
        <w:spacing w:before="0" w:after="0"/>
        <w:jc w:val="left"/>
        <w:rPr/>
      </w:pPr>
      <w:r>
        <w:rPr/>
        <w:t> </w:t>
      </w:r>
    </w:p>
    <w:tbl>
      <w:tblPr>
        <w:tblW w:w="8380" w:type="dxa"/>
        <w:jc w:val="left"/>
        <w:tblInd w:w="0" w:type="dxa"/>
        <w:tblCellMar>
          <w:top w:w="0" w:type="dxa"/>
          <w:left w:w="0" w:type="dxa"/>
          <w:bottom w:w="0" w:type="dxa"/>
          <w:right w:w="0" w:type="dxa"/>
        </w:tblCellMar>
      </w:tblPr>
      <w:tblGrid>
        <w:gridCol w:w="75"/>
        <w:gridCol w:w="110"/>
        <w:gridCol w:w="60"/>
        <w:gridCol w:w="81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1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 consultation with the chief executive officer, determining the compensation of our other officers; </w:t>
            </w:r>
          </w:p>
        </w:tc>
      </w:tr>
    </w:tbl>
    <w:p>
      <w:pPr>
        <w:pStyle w:val="TextBody"/>
        <w:spacing w:before="0" w:after="0"/>
        <w:jc w:val="left"/>
        <w:rPr/>
      </w:pPr>
      <w:r>
        <w:rPr/>
        <w:t> </w:t>
      </w:r>
    </w:p>
    <w:tbl>
      <w:tblPr>
        <w:tblW w:w="7630" w:type="dxa"/>
        <w:jc w:val="left"/>
        <w:tblInd w:w="0" w:type="dxa"/>
        <w:tblCellMar>
          <w:top w:w="0" w:type="dxa"/>
          <w:left w:w="0" w:type="dxa"/>
          <w:bottom w:w="0" w:type="dxa"/>
          <w:right w:w="0" w:type="dxa"/>
        </w:tblCellMar>
      </w:tblPr>
      <w:tblGrid>
        <w:gridCol w:w="75"/>
        <w:gridCol w:w="110"/>
        <w:gridCol w:w="60"/>
        <w:gridCol w:w="73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3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making recommendations to our Board of Directors with respect to director compensation; </w:t>
            </w:r>
          </w:p>
        </w:tc>
      </w:tr>
    </w:tbl>
    <w:p>
      <w:pPr>
        <w:pStyle w:val="TextBody"/>
        <w:spacing w:before="0" w:after="0"/>
        <w:jc w:val="left"/>
        <w:rPr/>
      </w:pPr>
      <w:r>
        <w:rPr/>
        <w:t> </w:t>
      </w:r>
    </w:p>
    <w:tbl>
      <w:tblPr>
        <w:tblW w:w="7285" w:type="dxa"/>
        <w:jc w:val="left"/>
        <w:tblInd w:w="0" w:type="dxa"/>
        <w:tblCellMar>
          <w:top w:w="0" w:type="dxa"/>
          <w:left w:w="0" w:type="dxa"/>
          <w:bottom w:w="0" w:type="dxa"/>
          <w:right w:w="0" w:type="dxa"/>
        </w:tblCellMar>
      </w:tblPr>
      <w:tblGrid>
        <w:gridCol w:w="75"/>
        <w:gridCol w:w="110"/>
        <w:gridCol w:w="60"/>
        <w:gridCol w:w="70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0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reviewing and approving the terms of material agreements with our executive officers; </w:t>
            </w:r>
          </w:p>
        </w:tc>
      </w:tr>
    </w:tbl>
    <w:p>
      <w:pPr>
        <w:pStyle w:val="TextBody"/>
        <w:spacing w:before="0" w:after="0"/>
        <w:jc w:val="left"/>
        <w:rPr/>
      </w:pPr>
      <w:r>
        <w:rPr/>
        <w:t> </w:t>
      </w:r>
    </w:p>
    <w:tbl>
      <w:tblPr>
        <w:tblW w:w="7240" w:type="dxa"/>
        <w:jc w:val="left"/>
        <w:tblInd w:w="0" w:type="dxa"/>
        <w:tblCellMar>
          <w:top w:w="0" w:type="dxa"/>
          <w:left w:w="0" w:type="dxa"/>
          <w:bottom w:w="0" w:type="dxa"/>
          <w:right w:w="0" w:type="dxa"/>
        </w:tblCellMar>
      </w:tblPr>
      <w:tblGrid>
        <w:gridCol w:w="75"/>
        <w:gridCol w:w="110"/>
        <w:gridCol w:w="60"/>
        <w:gridCol w:w="69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9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overseeing and administering our equity incentive plans and employee benefit plans;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reviewing and approving policies and procedures relating to the perquisites and expense accounts of our executive officers; </w:t>
            </w:r>
          </w:p>
        </w:tc>
      </w:tr>
    </w:tbl>
    <w:p>
      <w:pPr>
        <w:pStyle w:val="TextBody"/>
        <w:spacing w:before="0" w:after="0"/>
        <w:jc w:val="left"/>
        <w:rPr/>
      </w:pPr>
      <w:r>
        <w:rPr/>
        <w:t> </w:t>
      </w:r>
    </w:p>
    <w:tbl>
      <w:tblPr>
        <w:tblW w:w="8560" w:type="dxa"/>
        <w:jc w:val="left"/>
        <w:tblInd w:w="0" w:type="dxa"/>
        <w:tblCellMar>
          <w:top w:w="0" w:type="dxa"/>
          <w:left w:w="0" w:type="dxa"/>
          <w:bottom w:w="0" w:type="dxa"/>
          <w:right w:w="0" w:type="dxa"/>
        </w:tblCellMar>
      </w:tblPr>
      <w:tblGrid>
        <w:gridCol w:w="75"/>
        <w:gridCol w:w="110"/>
        <w:gridCol w:w="60"/>
        <w:gridCol w:w="83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3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if and as applicable, furnishing the annual compensation committee report required by SEC rules;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conducting a review of executive officer succession planning, as necessary, reporting its findings and recommendations to our Board of Directors, and working with the Board of Directors in evaluating potential successors to executive officer positions. </w:t>
            </w:r>
          </w:p>
        </w:tc>
      </w:tr>
    </w:tbl>
    <w:p>
      <w:pPr>
        <w:pStyle w:val="TextBody"/>
        <w:spacing w:before="240" w:after="0"/>
        <w:jc w:val="left"/>
        <w:rPr>
          <w:rFonts w:ascii="Times New Roman" w:hAnsi="Times New Roman"/>
          <w:sz w:val="20"/>
        </w:rPr>
      </w:pPr>
      <w:r>
        <w:rPr>
          <w:rFonts w:ascii="Times New Roman" w:hAnsi="Times New Roman"/>
          <w:sz w:val="20"/>
        </w:rPr>
        <w:t xml:space="preserve">Our Board of Directors has determined that each of Mr. Harris and Ms. Offereins is independent under the applicable rules and regulations of Nasdaq, and is a “non-employee director” as defined in Rule 16b-3 promulgated under the Exchange Act. </w:t>
      </w:r>
    </w:p>
    <w:p>
      <w:pPr>
        <w:pStyle w:val="TextBody"/>
        <w:spacing w:before="240" w:after="0"/>
        <w:jc w:val="left"/>
        <w:rPr>
          <w:rFonts w:ascii="Times New Roman" w:hAnsi="Times New Roman"/>
          <w:sz w:val="20"/>
        </w:rPr>
      </w:pPr>
      <w:r>
        <w:rPr>
          <w:rFonts w:ascii="Times New Roman" w:hAnsi="Times New Roman"/>
          <w:sz w:val="20"/>
        </w:rPr>
        <w:t xml:space="preserve">Our chief executive officer, president and chief operating officer, chief financial officer and chief people officer assist our compensation committee in carrying out its functions, although they do not participate in deliberations or decisions with respect to their own compensation. Since May 2021, our compensation committee has engaged the services of a compensation consulting firm to advise the compensation committee regarding the amount and types of compensation that we provide to our executives and directors and how our compensation practices compared to the compensation practices of other companies. During the second half of 2022, the compensation committee engaged ClearBridge Compensation Group (ClearBridge) to replace its prior independent compensation consultant. ClearBridge reports directly to the compensation committee. ClearBridge does not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provide any services to us other than the services ClearBridge provided to the compensation committee. The compensation committee believes that ClearBridge does not have any conflicts of interest in advising the compensation committee under applicable SEC rules or Nasdaq listing standards. </w:t>
      </w:r>
    </w:p>
    <w:p>
      <w:pPr>
        <w:pStyle w:val="TextBody"/>
        <w:spacing w:before="360" w:after="0"/>
        <w:jc w:val="left"/>
        <w:rPr>
          <w:rFonts w:ascii="Times New Roman" w:hAnsi="Times New Roman"/>
          <w:b/>
          <w:sz w:val="20"/>
        </w:rPr>
      </w:pPr>
      <w:r>
        <w:rPr>
          <w:rFonts w:ascii="Times New Roman" w:hAnsi="Times New Roman"/>
          <w:b/>
          <w:sz w:val="20"/>
        </w:rPr>
        <w:t xml:space="preserve">Nominating and Corporate Governance Committee </w:t>
      </w:r>
    </w:p>
    <w:p>
      <w:pPr>
        <w:pStyle w:val="TextBody"/>
        <w:spacing w:before="120" w:after="0"/>
        <w:jc w:val="left"/>
        <w:rPr>
          <w:rFonts w:ascii="Times New Roman" w:hAnsi="Times New Roman"/>
          <w:sz w:val="20"/>
        </w:rPr>
      </w:pPr>
      <w:r>
        <w:rPr>
          <w:rFonts w:ascii="Times New Roman" w:hAnsi="Times New Roman"/>
          <w:sz w:val="20"/>
        </w:rPr>
        <w:t xml:space="preserve">During the year ended December 31, 2022, our nominating and corporate governance committee held three formal meetings. The current members of our nominating and corporate governance committee are Phillip Riese and Edwin Santos. Mr. Riese serves as the chair of the nominating and corporate governance committee. </w:t>
      </w:r>
    </w:p>
    <w:p>
      <w:pPr>
        <w:pStyle w:val="TextBody"/>
        <w:spacing w:before="240" w:after="0"/>
        <w:jc w:val="left"/>
        <w:rPr>
          <w:rFonts w:ascii="Times New Roman" w:hAnsi="Times New Roman"/>
          <w:sz w:val="20"/>
        </w:rPr>
      </w:pPr>
      <w:r>
        <w:rPr>
          <w:rFonts w:ascii="Times New Roman" w:hAnsi="Times New Roman"/>
          <w:sz w:val="20"/>
        </w:rPr>
        <w:t xml:space="preserve">The full text of the nominating and corporate governance committee’s charter is posted on the corporate governance section of our website at https://ir.flywire.com/corporate-governance/governance-overview. Pursuant to the nominating and corporate governance committee charter, the functions of this committee include, among other things: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identifying, evaluating, and making recommendations to our Board of Directors and our stockholders concerning nominees for election to our Board of Directors, to each of its committees and committee chairs;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annually reviewing the performance and effectiveness of our Board of Directors and developing and overseeing a performance evaluation process;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annually evaluating the performance of management, our Board of Directors and each of its committees against their respective duties and responsibilities relating to corporate governance;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periodically review and assess our programs, practices and strategies relating to corporate responsibility, including environmental, social and corporate governance matters; </w:t>
            </w:r>
          </w:p>
        </w:tc>
      </w:tr>
    </w:tbl>
    <w:p>
      <w:pPr>
        <w:pStyle w:val="TextBody"/>
        <w:spacing w:before="0" w:after="0"/>
        <w:jc w:val="left"/>
        <w:rPr/>
      </w:pPr>
      <w:r>
        <w:rPr/>
        <w:t> </w:t>
      </w:r>
    </w:p>
    <w:tbl>
      <w:tblPr>
        <w:tblW w:w="8320" w:type="dxa"/>
        <w:jc w:val="left"/>
        <w:tblInd w:w="0" w:type="dxa"/>
        <w:tblCellMar>
          <w:top w:w="0" w:type="dxa"/>
          <w:left w:w="0" w:type="dxa"/>
          <w:bottom w:w="0" w:type="dxa"/>
          <w:right w:w="0" w:type="dxa"/>
        </w:tblCellMar>
      </w:tblPr>
      <w:tblGrid>
        <w:gridCol w:w="75"/>
        <w:gridCol w:w="110"/>
        <w:gridCol w:w="60"/>
        <w:gridCol w:w="80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0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annually evaluating adequacy of our corporate governance structure, policies, and procedures; and </w:t>
            </w:r>
          </w:p>
        </w:tc>
      </w:tr>
    </w:tbl>
    <w:p>
      <w:pPr>
        <w:pStyle w:val="TextBody"/>
        <w:spacing w:before="0" w:after="0"/>
        <w:jc w:val="left"/>
        <w:rPr/>
      </w:pPr>
      <w:r>
        <w:rPr/>
        <w:t> </w:t>
      </w:r>
    </w:p>
    <w:tbl>
      <w:tblPr>
        <w:tblW w:w="6415" w:type="dxa"/>
        <w:jc w:val="left"/>
        <w:tblInd w:w="0" w:type="dxa"/>
        <w:tblCellMar>
          <w:top w:w="0" w:type="dxa"/>
          <w:left w:w="0" w:type="dxa"/>
          <w:bottom w:w="0" w:type="dxa"/>
          <w:right w:w="0" w:type="dxa"/>
        </w:tblCellMar>
      </w:tblPr>
      <w:tblGrid>
        <w:gridCol w:w="75"/>
        <w:gridCol w:w="110"/>
        <w:gridCol w:w="60"/>
        <w:gridCol w:w="61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1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generally advising our Board of Directors on corporate governance matters. </w:t>
            </w:r>
          </w:p>
        </w:tc>
      </w:tr>
    </w:tbl>
    <w:p>
      <w:pPr>
        <w:pStyle w:val="TextBody"/>
        <w:spacing w:before="240" w:after="0"/>
        <w:jc w:val="left"/>
        <w:rPr>
          <w:rFonts w:ascii="Times New Roman" w:hAnsi="Times New Roman"/>
          <w:sz w:val="20"/>
        </w:rPr>
      </w:pPr>
      <w:r>
        <w:rPr>
          <w:rFonts w:ascii="Times New Roman" w:hAnsi="Times New Roman"/>
          <w:sz w:val="20"/>
        </w:rPr>
        <w:t xml:space="preserve">Our nominating and corporate governance committee believes that candidates for director should have certain minimum qualifications, including being able to read and understand basic financial statements and having a general understanding of our industry and market. Our nominating and corporate governance committee also considers other factors it deems appropriate, including, but not limited to: </w:t>
      </w:r>
    </w:p>
    <w:p>
      <w:pPr>
        <w:pStyle w:val="TextBody"/>
        <w:spacing w:before="0" w:after="0"/>
        <w:jc w:val="left"/>
        <w:rPr/>
      </w:pPr>
      <w:r>
        <w:rPr/>
        <w:t> </w:t>
      </w:r>
    </w:p>
    <w:tbl>
      <w:tblPr>
        <w:tblW w:w="9025" w:type="dxa"/>
        <w:jc w:val="left"/>
        <w:tblInd w:w="0" w:type="dxa"/>
        <w:tblCellMar>
          <w:top w:w="0" w:type="dxa"/>
          <w:left w:w="0" w:type="dxa"/>
          <w:bottom w:w="0" w:type="dxa"/>
          <w:right w:w="0" w:type="dxa"/>
        </w:tblCellMar>
      </w:tblPr>
      <w:tblGrid>
        <w:gridCol w:w="75"/>
        <w:gridCol w:w="110"/>
        <w:gridCol w:w="60"/>
        <w:gridCol w:w="87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7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candidate’s relevant expertise and experience upon which to offer advice and guidance to management; </w:t>
            </w:r>
          </w:p>
        </w:tc>
      </w:tr>
    </w:tbl>
    <w:p>
      <w:pPr>
        <w:pStyle w:val="TextBody"/>
        <w:spacing w:before="0" w:after="0"/>
        <w:jc w:val="left"/>
        <w:rPr/>
      </w:pPr>
      <w:r>
        <w:rPr/>
        <w:t> </w:t>
      </w:r>
    </w:p>
    <w:tbl>
      <w:tblPr>
        <w:tblW w:w="6040" w:type="dxa"/>
        <w:jc w:val="left"/>
        <w:tblInd w:w="0" w:type="dxa"/>
        <w:tblCellMar>
          <w:top w:w="0" w:type="dxa"/>
          <w:left w:w="0" w:type="dxa"/>
          <w:bottom w:w="0" w:type="dxa"/>
          <w:right w:w="0" w:type="dxa"/>
        </w:tblCellMar>
      </w:tblPr>
      <w:tblGrid>
        <w:gridCol w:w="75"/>
        <w:gridCol w:w="110"/>
        <w:gridCol w:w="60"/>
        <w:gridCol w:w="57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7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candidate having sufficient time to devote to the affairs of Flywire; </w:t>
            </w:r>
          </w:p>
        </w:tc>
      </w:tr>
    </w:tbl>
    <w:p>
      <w:pPr>
        <w:pStyle w:val="TextBody"/>
        <w:spacing w:before="0" w:after="0"/>
        <w:jc w:val="left"/>
        <w:rPr/>
      </w:pPr>
      <w:r>
        <w:rPr/>
        <w:t> </w:t>
      </w:r>
    </w:p>
    <w:tbl>
      <w:tblPr>
        <w:tblW w:w="5275" w:type="dxa"/>
        <w:jc w:val="left"/>
        <w:tblInd w:w="0" w:type="dxa"/>
        <w:tblCellMar>
          <w:top w:w="0" w:type="dxa"/>
          <w:left w:w="0" w:type="dxa"/>
          <w:bottom w:w="0" w:type="dxa"/>
          <w:right w:w="0" w:type="dxa"/>
        </w:tblCellMar>
      </w:tblPr>
      <w:tblGrid>
        <w:gridCol w:w="75"/>
        <w:gridCol w:w="110"/>
        <w:gridCol w:w="60"/>
        <w:gridCol w:w="50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candidate having a proven track record in his or her field; </w:t>
            </w:r>
          </w:p>
        </w:tc>
      </w:tr>
    </w:tbl>
    <w:p>
      <w:pPr>
        <w:pStyle w:val="TextBody"/>
        <w:spacing w:before="0" w:after="0"/>
        <w:jc w:val="left"/>
        <w:rPr/>
      </w:pPr>
      <w:r>
        <w:rPr/>
        <w:t> </w:t>
      </w:r>
    </w:p>
    <w:tbl>
      <w:tblPr>
        <w:tblW w:w="5215" w:type="dxa"/>
        <w:jc w:val="left"/>
        <w:tblInd w:w="0" w:type="dxa"/>
        <w:tblCellMar>
          <w:top w:w="0" w:type="dxa"/>
          <w:left w:w="0" w:type="dxa"/>
          <w:bottom w:w="0" w:type="dxa"/>
          <w:right w:w="0" w:type="dxa"/>
        </w:tblCellMar>
      </w:tblPr>
      <w:tblGrid>
        <w:gridCol w:w="75"/>
        <w:gridCol w:w="110"/>
        <w:gridCol w:w="60"/>
        <w:gridCol w:w="49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9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candidate’s ability to exercise sound business judgment; </w:t>
            </w:r>
          </w:p>
        </w:tc>
      </w:tr>
    </w:tbl>
    <w:p>
      <w:pPr>
        <w:pStyle w:val="TextBody"/>
        <w:spacing w:before="0" w:after="0"/>
        <w:jc w:val="left"/>
        <w:rPr/>
      </w:pPr>
      <w:r>
        <w:rPr/>
        <w:t> </w:t>
      </w:r>
    </w:p>
    <w:tbl>
      <w:tblPr>
        <w:tblW w:w="8065" w:type="dxa"/>
        <w:jc w:val="left"/>
        <w:tblInd w:w="0" w:type="dxa"/>
        <w:tblCellMar>
          <w:top w:w="0" w:type="dxa"/>
          <w:left w:w="0" w:type="dxa"/>
          <w:bottom w:w="0" w:type="dxa"/>
          <w:right w:w="0" w:type="dxa"/>
        </w:tblCellMar>
      </w:tblPr>
      <w:tblGrid>
        <w:gridCol w:w="75"/>
        <w:gridCol w:w="110"/>
        <w:gridCol w:w="60"/>
        <w:gridCol w:w="78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8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candidate’s commitment to vigorously represent the long-term interests of our stockholders; </w:t>
            </w:r>
          </w:p>
        </w:tc>
      </w:tr>
    </w:tbl>
    <w:p>
      <w:pPr>
        <w:pStyle w:val="TextBody"/>
        <w:spacing w:before="0" w:after="0"/>
        <w:jc w:val="left"/>
        <w:rPr/>
      </w:pPr>
      <w:r>
        <w:rPr/>
        <w:t> </w:t>
      </w:r>
    </w:p>
    <w:tbl>
      <w:tblPr>
        <w:tblW w:w="6985" w:type="dxa"/>
        <w:jc w:val="left"/>
        <w:tblInd w:w="0" w:type="dxa"/>
        <w:tblCellMar>
          <w:top w:w="0" w:type="dxa"/>
          <w:left w:w="0" w:type="dxa"/>
          <w:bottom w:w="0" w:type="dxa"/>
          <w:right w:w="0" w:type="dxa"/>
        </w:tblCellMar>
      </w:tblPr>
      <w:tblGrid>
        <w:gridCol w:w="75"/>
        <w:gridCol w:w="110"/>
        <w:gridCol w:w="60"/>
        <w:gridCol w:w="67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7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whether or not a conflict of interest exists between the candidate and our business; </w:t>
            </w:r>
          </w:p>
        </w:tc>
      </w:tr>
    </w:tbl>
    <w:p>
      <w:pPr>
        <w:pStyle w:val="TextBody"/>
        <w:spacing w:before="0" w:after="0"/>
        <w:jc w:val="left"/>
        <w:rPr/>
      </w:pPr>
      <w:r>
        <w:rPr/>
        <w:t> </w:t>
      </w:r>
    </w:p>
    <w:tbl>
      <w:tblPr>
        <w:tblW w:w="8575" w:type="dxa"/>
        <w:jc w:val="left"/>
        <w:tblInd w:w="0" w:type="dxa"/>
        <w:tblCellMar>
          <w:top w:w="0" w:type="dxa"/>
          <w:left w:w="0" w:type="dxa"/>
          <w:bottom w:w="0" w:type="dxa"/>
          <w:right w:w="0" w:type="dxa"/>
        </w:tblCellMar>
      </w:tblPr>
      <w:tblGrid>
        <w:gridCol w:w="75"/>
        <w:gridCol w:w="110"/>
        <w:gridCol w:w="60"/>
        <w:gridCol w:w="83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3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whether the candidate would be considered independent under applicable Nasdaq and SEC standards; </w:t>
            </w:r>
          </w:p>
        </w:tc>
      </w:tr>
    </w:tbl>
    <w:p>
      <w:pPr>
        <w:pStyle w:val="TextBody"/>
        <w:spacing w:before="0" w:after="0"/>
        <w:jc w:val="left"/>
        <w:rPr/>
      </w:pPr>
      <w:r>
        <w:rPr/>
        <w:t> </w:t>
      </w:r>
    </w:p>
    <w:tbl>
      <w:tblPr>
        <w:tblW w:w="4720" w:type="dxa"/>
        <w:jc w:val="left"/>
        <w:tblInd w:w="0" w:type="dxa"/>
        <w:tblCellMar>
          <w:top w:w="0" w:type="dxa"/>
          <w:left w:w="0" w:type="dxa"/>
          <w:bottom w:w="0" w:type="dxa"/>
          <w:right w:w="0" w:type="dxa"/>
        </w:tblCellMar>
      </w:tblPr>
      <w:tblGrid>
        <w:gridCol w:w="75"/>
        <w:gridCol w:w="110"/>
        <w:gridCol w:w="60"/>
        <w:gridCol w:w="44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4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current composition of our Board of Directors; and </w:t>
            </w:r>
          </w:p>
        </w:tc>
      </w:tr>
    </w:tbl>
    <w:p>
      <w:pPr>
        <w:pStyle w:val="TextBody"/>
        <w:spacing w:before="0" w:after="0"/>
        <w:jc w:val="left"/>
        <w:rPr/>
      </w:pPr>
      <w:r>
        <w:rPr/>
        <w:t> </w:t>
      </w:r>
    </w:p>
    <w:tbl>
      <w:tblPr>
        <w:tblW w:w="3415" w:type="dxa"/>
        <w:jc w:val="left"/>
        <w:tblInd w:w="0" w:type="dxa"/>
        <w:tblCellMar>
          <w:top w:w="0" w:type="dxa"/>
          <w:left w:w="0" w:type="dxa"/>
          <w:bottom w:w="0" w:type="dxa"/>
          <w:right w:w="0" w:type="dxa"/>
        </w:tblCellMar>
      </w:tblPr>
      <w:tblGrid>
        <w:gridCol w:w="75"/>
        <w:gridCol w:w="110"/>
        <w:gridCol w:w="60"/>
        <w:gridCol w:w="31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1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operating requirements of Flywire. </w:t>
            </w:r>
          </w:p>
        </w:tc>
      </w:tr>
    </w:tbl>
    <w:p>
      <w:pPr>
        <w:pStyle w:val="TextBody"/>
        <w:spacing w:before="240" w:after="0"/>
        <w:jc w:val="left"/>
        <w:rPr>
          <w:rFonts w:ascii="Times New Roman" w:hAnsi="Times New Roman"/>
          <w:sz w:val="20"/>
        </w:rPr>
      </w:pPr>
      <w:r>
        <w:rPr>
          <w:rFonts w:ascii="Times New Roman" w:hAnsi="Times New Roman"/>
          <w:sz w:val="20"/>
        </w:rPr>
        <w:t xml:space="preserve">In conducting this assessment, the nominating and corporate governance committee considers diversity, gender, age, skills and such other factors as it deems appropriate given the then-current needs of our Board of Directors and Flywire, to maintain a balance of knowledge, experience and capability. While diversity and variety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experiences and viewpoints represented on our Board of Directors should always be considered, the nominating and corporate governance committee believes that a director nominee should not be chosen nor excluded solely or largely because of race, color, gender, national origin or sexual orientation or identity. </w:t>
      </w:r>
    </w:p>
    <w:p>
      <w:pPr>
        <w:pStyle w:val="TextBody"/>
        <w:spacing w:before="240" w:after="0"/>
        <w:jc w:val="left"/>
        <w:rPr>
          <w:rFonts w:ascii="Times New Roman" w:hAnsi="Times New Roman"/>
          <w:sz w:val="20"/>
        </w:rPr>
      </w:pPr>
      <w:r>
        <w:rPr>
          <w:rFonts w:ascii="Times New Roman" w:hAnsi="Times New Roman"/>
          <w:sz w:val="20"/>
        </w:rPr>
        <w:t xml:space="preserve">In the case of incumbent directors whose terms of office are set to expire, the nominating and corporate governance committee reviews such directors’ overall service to Flywire during their term, including the number of meetings attended, level of participation, quality of performance, and any other relationships and transactions that might impair such directors’ independence. </w:t>
      </w:r>
    </w:p>
    <w:p>
      <w:pPr>
        <w:pStyle w:val="TextBody"/>
        <w:spacing w:before="240" w:after="0"/>
        <w:jc w:val="left"/>
        <w:rPr>
          <w:rFonts w:ascii="Times New Roman" w:hAnsi="Times New Roman"/>
          <w:sz w:val="20"/>
        </w:rPr>
      </w:pPr>
      <w:r>
        <w:rPr>
          <w:rFonts w:ascii="Times New Roman" w:hAnsi="Times New Roman"/>
          <w:sz w:val="20"/>
        </w:rPr>
        <w:t xml:space="preserve">When there is a vacancy on our Board of Directors, the nominating and corporate governance committee uses its network of contacts to compile a list of potential candidates, but may also engage, if it deems it appropriate, a professional search firm. The nominating and corporate governance committee conducts any appropriate and necessary inquiries into the backgrounds and qualifications of possible candidates after considering the function and needs of our Board of Directors. The nominating and corporate governance committee meets to discuss and consider such candidates’ qualifications and then selects a nominee for recommendation to our Board of Directors by majority vote. </w:t>
      </w:r>
    </w:p>
    <w:p>
      <w:pPr>
        <w:pStyle w:val="TextBody"/>
        <w:spacing w:before="240" w:after="0"/>
        <w:jc w:val="left"/>
        <w:rPr>
          <w:rFonts w:ascii="Times New Roman" w:hAnsi="Times New Roman"/>
          <w:sz w:val="20"/>
        </w:rPr>
      </w:pPr>
      <w:r>
        <w:rPr>
          <w:rFonts w:ascii="Times New Roman" w:hAnsi="Times New Roman"/>
          <w:sz w:val="20"/>
        </w:rPr>
        <w:t xml:space="preserve">Our nominating and corporate governance committee will consider director candidates recommended by stockholders and evaluate them using the same criteria as candidates identified by our Board of Directors or the nominating and corporate governance committee for consideration. If one of our stockholders wishes to recommend a director candidate for consideration by the nominating and corporate governance committee, the stockholder recommendation should be delivered to our Corporate Secretary at our principal executive offices, and must include information regarding the candidate and the stockholder making the recommendation as required by our Bylaws. </w:t>
      </w:r>
    </w:p>
    <w:p>
      <w:pPr>
        <w:pStyle w:val="TextBody"/>
        <w:spacing w:before="360" w:after="0"/>
        <w:jc w:val="left"/>
        <w:rPr>
          <w:rFonts w:ascii="Times New Roman" w:hAnsi="Times New Roman"/>
          <w:b/>
          <w:sz w:val="20"/>
        </w:rPr>
      </w:pPr>
      <w:r>
        <w:rPr>
          <w:rFonts w:ascii="Times New Roman" w:hAnsi="Times New Roman"/>
          <w:b/>
          <w:sz w:val="20"/>
        </w:rPr>
        <w:t xml:space="preserve">Board Diversity </w:t>
      </w:r>
    </w:p>
    <w:p>
      <w:pPr>
        <w:pStyle w:val="TextBody"/>
        <w:spacing w:before="240" w:after="0"/>
        <w:jc w:val="left"/>
        <w:rPr>
          <w:rFonts w:ascii="Times New Roman" w:hAnsi="Times New Roman"/>
          <w:sz w:val="20"/>
        </w:rPr>
      </w:pPr>
      <w:r>
        <w:rPr>
          <w:rFonts w:ascii="Times New Roman" w:hAnsi="Times New Roman"/>
          <w:sz w:val="20"/>
        </w:rPr>
        <w:t xml:space="preserve">As stated above, the nominating and corporate governance committee seeks out candidates with a diversity of experience and perspectives. When considering candidates as potential members of our Board of Directors, our Board of Directors and our nominating and corporate governance committee evaluate the candidates’ ability to contribute to such diversity. Our Board of Directors assesses its effectiveness in this regard as part of its annual evaluation process. Currently, of our five independent directors, one is a woman, one is from an underrepresented racial/ethnic group, and two have served for five years or less. </w:t>
      </w:r>
    </w:p>
    <w:p>
      <w:pPr>
        <w:pStyle w:val="TextBody"/>
        <w:spacing w:before="0" w:after="0"/>
        <w:jc w:val="left"/>
        <w:rPr/>
      </w:pPr>
      <w:r>
        <w:rPr/>
        <w:t> </w:t>
      </w:r>
    </w:p>
    <w:tbl>
      <w:tblPr>
        <w:tblW w:w="7749" w:type="dxa"/>
        <w:jc w:val="left"/>
        <w:tblInd w:w="0" w:type="dxa"/>
        <w:tblCellMar>
          <w:top w:w="0" w:type="dxa"/>
          <w:left w:w="0" w:type="dxa"/>
          <w:bottom w:w="0" w:type="dxa"/>
          <w:right w:w="0" w:type="dxa"/>
        </w:tblCellMar>
      </w:tblPr>
      <w:tblGrid>
        <w:gridCol w:w="3605"/>
        <w:gridCol w:w="120"/>
        <w:gridCol w:w="102"/>
        <w:gridCol w:w="653"/>
        <w:gridCol w:w="60"/>
        <w:gridCol w:w="120"/>
        <w:gridCol w:w="72"/>
        <w:gridCol w:w="458"/>
        <w:gridCol w:w="60"/>
        <w:gridCol w:w="120"/>
        <w:gridCol w:w="168"/>
        <w:gridCol w:w="1067"/>
        <w:gridCol w:w="60"/>
        <w:gridCol w:w="120"/>
        <w:gridCol w:w="121"/>
        <w:gridCol w:w="768"/>
        <w:gridCol w:w="75"/>
      </w:tblGrid>
      <w:tr>
        <w:trPr/>
        <w:tc>
          <w:tcPr>
            <w:tcW w:w="36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7674" w:type="dxa"/>
            <w:gridSpan w:val="16"/>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Board Diversity Matrix (As of April 25, 2023)</w:t>
            </w:r>
          </w:p>
        </w:tc>
        <w:tc>
          <w:tcPr>
            <w:tcW w:w="75" w:type="dxa"/>
            <w:tcBorders/>
            <w:shd w:fill="auto" w:val="clear"/>
            <w:vAlign w:val="center"/>
          </w:tcPr>
          <w:p>
            <w:pPr>
              <w:pStyle w:val="TableContents"/>
              <w:spacing w:before="0" w:after="283"/>
              <w:rPr/>
            </w:pPr>
            <w:r>
              <w:rPr/>
              <w:t> </w:t>
            </w:r>
          </w:p>
        </w:tc>
      </w:tr>
      <w:tr>
        <w:trPr/>
        <w:tc>
          <w:tcPr>
            <w:tcW w:w="3605" w:type="dxa"/>
            <w:tcBorders/>
            <w:shd w:fill="auto" w:val="clear"/>
            <w:vAlign w:val="center"/>
          </w:tcPr>
          <w:p>
            <w:pPr>
              <w:pStyle w:val="TableContents"/>
              <w:spacing w:before="0" w:after="283"/>
              <w:rPr>
                <w:b/>
              </w:rPr>
            </w:pPr>
            <w:r>
              <w:rPr>
                <w:b/>
              </w:rPr>
              <w:t>Total Number of Directors</w:t>
            </w:r>
          </w:p>
        </w:tc>
        <w:tc>
          <w:tcPr>
            <w:tcW w:w="120" w:type="dxa"/>
            <w:tcBorders/>
            <w:shd w:fill="auto" w:val="clear"/>
            <w:vAlign w:val="center"/>
          </w:tcPr>
          <w:p>
            <w:pPr>
              <w:pStyle w:val="TableContents"/>
              <w:spacing w:before="0" w:after="283"/>
              <w:rPr/>
            </w:pPr>
            <w:r>
              <w:rPr/>
              <w:t>  </w:t>
            </w:r>
          </w:p>
        </w:tc>
        <w:tc>
          <w:tcPr>
            <w:tcW w:w="75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14" w:type="dxa"/>
            <w:gridSpan w:val="10"/>
            <w:tcBorders/>
            <w:shd w:fill="auto" w:val="clear"/>
            <w:vAlign w:val="center"/>
          </w:tcPr>
          <w:p>
            <w:pPr>
              <w:pStyle w:val="TableContents"/>
              <w:spacing w:before="0" w:after="283"/>
              <w:jc w:val="center"/>
              <w:rPr>
                <w:b/>
              </w:rPr>
            </w:pPr>
            <w:r>
              <w:rPr>
                <w:b/>
              </w:rPr>
              <w:t>6</w:t>
            </w:r>
          </w:p>
        </w:tc>
        <w:tc>
          <w:tcPr>
            <w:tcW w:w="75" w:type="dxa"/>
            <w:tcBorders/>
            <w:shd w:fill="auto" w:val="clear"/>
            <w:vAlign w:val="center"/>
          </w:tcPr>
          <w:p>
            <w:pPr>
              <w:pStyle w:val="TableContents"/>
              <w:spacing w:before="0" w:after="283"/>
              <w:rPr/>
            </w:pPr>
            <w:r>
              <w:rPr/>
              <w:t> </w:t>
            </w:r>
          </w:p>
        </w:tc>
      </w:tr>
      <w:tr>
        <w:trPr/>
        <w:tc>
          <w:tcPr>
            <w:tcW w:w="36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5" w:type="dxa"/>
            <w:gridSpan w:val="2"/>
            <w:tcBorders/>
            <w:shd w:fill="auto" w:val="clear"/>
            <w:vAlign w:val="center"/>
          </w:tcPr>
          <w:p>
            <w:pPr>
              <w:pStyle w:val="TableContents"/>
              <w:spacing w:before="0" w:after="283"/>
              <w:jc w:val="center"/>
              <w:rPr>
                <w:b/>
              </w:rPr>
            </w:pPr>
            <w:r>
              <w:rPr>
                <w:b/>
              </w:rPr>
              <w:t>Female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30" w:type="dxa"/>
            <w:gridSpan w:val="2"/>
            <w:tcBorders/>
            <w:shd w:fill="auto" w:val="clear"/>
            <w:vAlign w:val="center"/>
          </w:tcPr>
          <w:p>
            <w:pPr>
              <w:pStyle w:val="TableContents"/>
              <w:spacing w:before="0" w:after="283"/>
              <w:jc w:val="center"/>
              <w:rPr>
                <w:b/>
              </w:rPr>
            </w:pPr>
            <w:r>
              <w:rPr>
                <w:b/>
              </w:rPr>
              <w:t>Male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35" w:type="dxa"/>
            <w:gridSpan w:val="2"/>
            <w:tcBorders/>
            <w:shd w:fill="auto" w:val="clear"/>
            <w:vAlign w:val="center"/>
          </w:tcPr>
          <w:p>
            <w:pPr>
              <w:pStyle w:val="TableContents"/>
              <w:spacing w:before="0" w:after="283"/>
              <w:jc w:val="center"/>
              <w:rPr>
                <w:b/>
              </w:rPr>
            </w:pPr>
            <w:r>
              <w:rPr>
                <w:b/>
              </w:rPr>
              <w:t>Non-Binary</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9" w:type="dxa"/>
            <w:gridSpan w:val="2"/>
            <w:tcBorders/>
            <w:shd w:fill="auto" w:val="clear"/>
            <w:vAlign w:val="center"/>
          </w:tcPr>
          <w:p>
            <w:pPr>
              <w:pStyle w:val="TableContents"/>
              <w:spacing w:before="0" w:after="283"/>
              <w:jc w:val="center"/>
              <w:rPr>
                <w:b/>
              </w:rPr>
            </w:pPr>
            <w:r>
              <w:rPr>
                <w:b/>
              </w:rPr>
              <w:t xml:space="preserve">Did Not </w:t>
              <w:br/>
              <w:t>Disclose</w:t>
              <w:br/>
              <w:t>Gender</w:t>
            </w:r>
          </w:p>
        </w:tc>
        <w:tc>
          <w:tcPr>
            <w:tcW w:w="75" w:type="dxa"/>
            <w:tcBorders/>
            <w:shd w:fill="auto" w:val="clear"/>
            <w:vAlign w:val="center"/>
          </w:tcPr>
          <w:p>
            <w:pPr>
              <w:pStyle w:val="TableContents"/>
              <w:spacing w:before="0" w:after="283"/>
              <w:rPr/>
            </w:pPr>
            <w:r>
              <w:rPr/>
              <w:t> </w:t>
            </w:r>
          </w:p>
        </w:tc>
      </w:tr>
      <w:tr>
        <w:trPr/>
        <w:tc>
          <w:tcPr>
            <w:tcW w:w="360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Part I: Gender Identity</w:t>
            </w:r>
          </w:p>
        </w:tc>
        <w:tc>
          <w:tcPr>
            <w:tcW w:w="12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sz w:val="4"/>
                <w:szCs w:val="4"/>
              </w:rPr>
            </w:pPr>
            <w:r>
              <w:rPr>
                <w:sz w:val="4"/>
                <w:szCs w:val="4"/>
              </w:rPr>
            </w:r>
          </w:p>
        </w:tc>
        <w:tc>
          <w:tcPr>
            <w:tcW w:w="65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sz w:val="4"/>
                <w:szCs w:val="4"/>
              </w:rPr>
            </w:pPr>
            <w:r>
              <w:rPr>
                <w:sz w:val="4"/>
                <w:szCs w:val="4"/>
              </w:rPr>
            </w:r>
          </w:p>
        </w:tc>
        <w:tc>
          <w:tcPr>
            <w:tcW w:w="458"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sz w:val="4"/>
                <w:szCs w:val="4"/>
              </w:rPr>
            </w:pPr>
            <w:r>
              <w:rPr>
                <w:sz w:val="4"/>
                <w:szCs w:val="4"/>
              </w:rPr>
            </w:r>
          </w:p>
        </w:tc>
        <w:tc>
          <w:tcPr>
            <w:tcW w:w="106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rPr>
                <w:sz w:val="4"/>
                <w:szCs w:val="4"/>
              </w:rPr>
            </w:pPr>
            <w:r>
              <w:rPr>
                <w:sz w:val="4"/>
                <w:szCs w:val="4"/>
              </w:rPr>
            </w:r>
          </w:p>
        </w:tc>
        <w:tc>
          <w:tcPr>
            <w:tcW w:w="768"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36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Directors</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jc w:val="right"/>
              <w:rPr/>
            </w:pPr>
            <w:r>
              <w:rPr/>
              <w:t>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jc w:val="right"/>
              <w:rPr/>
            </w:pPr>
            <w:r>
              <w:rPr/>
              <w:t>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106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768" w:type="dxa"/>
            <w:tcBorders/>
            <w:shd w:fill="auto" w:val="clear"/>
            <w:vAlign w:val="center"/>
          </w:tcPr>
          <w:p>
            <w:pPr>
              <w:pStyle w:val="TableContents"/>
              <w:spacing w:before="0" w:after="283"/>
              <w:jc w:val="right"/>
              <w:rPr/>
            </w:pPr>
            <w:r>
              <w:rPr/>
              <w:t>1</w:t>
            </w:r>
          </w:p>
        </w:tc>
        <w:tc>
          <w:tcPr>
            <w:tcW w:w="75" w:type="dxa"/>
            <w:tcBorders/>
            <w:shd w:fill="auto" w:val="clear"/>
            <w:vAlign w:val="center"/>
          </w:tcPr>
          <w:p>
            <w:pPr>
              <w:pStyle w:val="TableContents"/>
              <w:spacing w:before="0" w:after="283"/>
              <w:rPr/>
            </w:pPr>
            <w:r>
              <w:rPr/>
              <w:t> </w:t>
            </w:r>
          </w:p>
        </w:tc>
      </w:tr>
      <w:tr>
        <w:trPr/>
        <w:tc>
          <w:tcPr>
            <w:tcW w:w="360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Part II: Demographic Background</w:t>
            </w:r>
          </w:p>
        </w:tc>
        <w:tc>
          <w:tcPr>
            <w:tcW w:w="12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sz w:val="4"/>
                <w:szCs w:val="4"/>
              </w:rPr>
            </w:pPr>
            <w:r>
              <w:rPr>
                <w:sz w:val="4"/>
                <w:szCs w:val="4"/>
              </w:rPr>
            </w:r>
          </w:p>
        </w:tc>
        <w:tc>
          <w:tcPr>
            <w:tcW w:w="65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sz w:val="4"/>
                <w:szCs w:val="4"/>
              </w:rPr>
            </w:pPr>
            <w:r>
              <w:rPr>
                <w:sz w:val="4"/>
                <w:szCs w:val="4"/>
              </w:rPr>
            </w:r>
          </w:p>
        </w:tc>
        <w:tc>
          <w:tcPr>
            <w:tcW w:w="458"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sz w:val="4"/>
                <w:szCs w:val="4"/>
              </w:rPr>
            </w:pPr>
            <w:r>
              <w:rPr>
                <w:sz w:val="4"/>
                <w:szCs w:val="4"/>
              </w:rPr>
            </w:r>
          </w:p>
        </w:tc>
        <w:tc>
          <w:tcPr>
            <w:tcW w:w="106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rPr>
                <w:sz w:val="4"/>
                <w:szCs w:val="4"/>
              </w:rPr>
            </w:pPr>
            <w:r>
              <w:rPr>
                <w:sz w:val="4"/>
                <w:szCs w:val="4"/>
              </w:rPr>
            </w:r>
          </w:p>
        </w:tc>
        <w:tc>
          <w:tcPr>
            <w:tcW w:w="768"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36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African American or Black</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jc w:val="right"/>
              <w:rPr/>
            </w:pPr>
            <w:r>
              <w:rPr/>
              <w:t>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106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768"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36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Alaskan Native or Native American</w:t>
            </w:r>
          </w:p>
        </w:tc>
        <w:tc>
          <w:tcPr>
            <w:tcW w:w="12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pPr>
            <w:r>
              <w:rPr/>
              <w:t> </w:t>
            </w:r>
          </w:p>
        </w:tc>
        <w:tc>
          <w:tcPr>
            <w:tcW w:w="65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45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106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rPr/>
            </w:pPr>
            <w:r>
              <w:rPr/>
              <w:t> </w:t>
            </w:r>
          </w:p>
        </w:tc>
        <w:tc>
          <w:tcPr>
            <w:tcW w:w="768"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36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Asian</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106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768"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36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Hispanic or Latino</w:t>
            </w:r>
          </w:p>
        </w:tc>
        <w:tc>
          <w:tcPr>
            <w:tcW w:w="12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pPr>
            <w:r>
              <w:rPr/>
              <w:t> </w:t>
            </w:r>
          </w:p>
        </w:tc>
        <w:tc>
          <w:tcPr>
            <w:tcW w:w="65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45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106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rPr/>
            </w:pPr>
            <w:r>
              <w:rPr/>
              <w:t> </w:t>
            </w:r>
          </w:p>
        </w:tc>
        <w:tc>
          <w:tcPr>
            <w:tcW w:w="768"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36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Native Hawaiian or Pacific Islander</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106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768"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36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White</w:t>
            </w:r>
          </w:p>
        </w:tc>
        <w:tc>
          <w:tcPr>
            <w:tcW w:w="12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pPr>
            <w:r>
              <w:rPr/>
              <w:t> </w:t>
            </w:r>
          </w:p>
        </w:tc>
        <w:tc>
          <w:tcPr>
            <w:tcW w:w="653" w:type="dxa"/>
            <w:tcBorders/>
            <w:shd w:fill="CCEEFF" w:val="clear"/>
            <w:vAlign w:val="center"/>
          </w:tcPr>
          <w:p>
            <w:pPr>
              <w:pStyle w:val="TableContents"/>
              <w:spacing w:before="0" w:after="283"/>
              <w:jc w:val="right"/>
              <w:rPr/>
            </w:pPr>
            <w:r>
              <w:rPr/>
              <w:t>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458" w:type="dxa"/>
            <w:tcBorders/>
            <w:shd w:fill="CCEEFF" w:val="clear"/>
            <w:vAlign w:val="center"/>
          </w:tcPr>
          <w:p>
            <w:pPr>
              <w:pStyle w:val="TableContents"/>
              <w:spacing w:before="0" w:after="283"/>
              <w:jc w:val="right"/>
              <w:rPr/>
            </w:pPr>
            <w:r>
              <w:rPr/>
              <w:t>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106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rPr/>
            </w:pPr>
            <w:r>
              <w:rPr/>
              <w:t> </w:t>
            </w:r>
          </w:p>
        </w:tc>
        <w:tc>
          <w:tcPr>
            <w:tcW w:w="768"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36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Two or More Races or Ethnicities</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106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768"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36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LGBTQ+</w:t>
            </w:r>
          </w:p>
        </w:tc>
        <w:tc>
          <w:tcPr>
            <w:tcW w:w="12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pPr>
            <w:r>
              <w:rPr/>
              <w:t> </w:t>
            </w:r>
          </w:p>
        </w:tc>
        <w:tc>
          <w:tcPr>
            <w:tcW w:w="65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45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106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rPr/>
            </w:pPr>
            <w:r>
              <w:rPr/>
              <w:t> </w:t>
            </w:r>
          </w:p>
        </w:tc>
        <w:tc>
          <w:tcPr>
            <w:tcW w:w="768"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36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Did Not Disclose Demographic Background</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106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768" w:type="dxa"/>
            <w:tcBorders/>
            <w:shd w:fill="auto" w:val="clear"/>
            <w:vAlign w:val="center"/>
          </w:tcPr>
          <w:p>
            <w:pPr>
              <w:pStyle w:val="TableContents"/>
              <w:spacing w:before="0" w:after="283"/>
              <w:jc w:val="right"/>
              <w:rPr/>
            </w:pPr>
            <w:r>
              <w:rPr/>
              <w:t>1</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bookmarkStart w:id="27" w:name="toc359255_25"/>
      <w:bookmarkEnd w:id="27"/>
      <w:r>
        <w:rPr>
          <w:rFonts w:ascii="Times New Roman" w:hAnsi="Times New Roman"/>
          <w:b/>
          <w:sz w:val="20"/>
        </w:rPr>
        <w:t xml:space="preserve">Compensation Committee Interlocks and Insider Participation </w:t>
      </w:r>
    </w:p>
    <w:p>
      <w:pPr>
        <w:pStyle w:val="TextBody"/>
        <w:spacing w:before="120" w:after="0"/>
        <w:jc w:val="left"/>
        <w:rPr>
          <w:rFonts w:ascii="Times New Roman" w:hAnsi="Times New Roman"/>
          <w:sz w:val="20"/>
        </w:rPr>
      </w:pPr>
      <w:r>
        <w:rPr>
          <w:rFonts w:ascii="Times New Roman" w:hAnsi="Times New Roman"/>
          <w:sz w:val="20"/>
        </w:rPr>
        <w:t xml:space="preserve">None of the members of our compensation committee during 2022 is or has served as an officer or employee of ours. None of our executive officers currently serves, or in the past year has served, as a member of the Board of Directors or compensation committee of any entity that has one or more executive officers serving on our Board of Directors or compensation committee. </w:t>
      </w:r>
    </w:p>
    <w:p>
      <w:pPr>
        <w:pStyle w:val="TextBody"/>
        <w:spacing w:before="360" w:after="0"/>
        <w:jc w:val="left"/>
        <w:rPr>
          <w:rFonts w:ascii="Times New Roman" w:hAnsi="Times New Roman"/>
          <w:b/>
          <w:sz w:val="20"/>
        </w:rPr>
      </w:pPr>
      <w:r>
        <w:rPr>
          <w:rFonts w:ascii="Times New Roman" w:hAnsi="Times New Roman"/>
          <w:b/>
          <w:sz w:val="20"/>
        </w:rPr>
        <w:t xml:space="preserve">Compensation Risk </w:t>
      </w:r>
    </w:p>
    <w:p>
      <w:pPr>
        <w:pStyle w:val="TextBody"/>
        <w:spacing w:before="120" w:after="0"/>
        <w:jc w:val="left"/>
        <w:rPr>
          <w:rFonts w:ascii="Times New Roman" w:hAnsi="Times New Roman"/>
          <w:sz w:val="20"/>
        </w:rPr>
      </w:pPr>
      <w:r>
        <w:rPr>
          <w:rFonts w:ascii="Times New Roman" w:hAnsi="Times New Roman"/>
          <w:sz w:val="20"/>
        </w:rPr>
        <w:t xml:space="preserve">Our compensation committee conducted a risk assessment of its compensation policies and practices, including those related to executive compensation programs for NEOs. The risk assessment included an analysis of our executive compensation programs and broader employee incentive compensation plans. Our compensation committee also considered how these programs compare, from a design perspective, to programs maintained by other companies. Based on this assessment, it was determined that our executive compensation programs are balanced and appropriately incent employees, and any risks arising from the compensation policies and practices are not reasonably likely to have a material adverse effect on Flywire. </w:t>
      </w:r>
    </w:p>
    <w:p>
      <w:pPr>
        <w:pStyle w:val="TextBody"/>
        <w:spacing w:before="360" w:after="0"/>
        <w:jc w:val="left"/>
        <w:rPr>
          <w:rFonts w:ascii="Times New Roman" w:hAnsi="Times New Roman"/>
          <w:b/>
          <w:sz w:val="20"/>
        </w:rPr>
      </w:pPr>
      <w:bookmarkStart w:id="28" w:name="toc359255_26"/>
      <w:bookmarkEnd w:id="28"/>
      <w:r>
        <w:rPr>
          <w:rFonts w:ascii="Times New Roman" w:hAnsi="Times New Roman"/>
          <w:b/>
          <w:sz w:val="20"/>
        </w:rPr>
        <w:t xml:space="preserve">Meetings of the Board of Directors </w:t>
      </w:r>
    </w:p>
    <w:p>
      <w:pPr>
        <w:pStyle w:val="TextBody"/>
        <w:spacing w:before="120" w:after="0"/>
        <w:jc w:val="left"/>
        <w:rPr>
          <w:rFonts w:ascii="Times New Roman" w:hAnsi="Times New Roman"/>
          <w:sz w:val="20"/>
        </w:rPr>
      </w:pPr>
      <w:r>
        <w:rPr>
          <w:rFonts w:ascii="Times New Roman" w:hAnsi="Times New Roman"/>
          <w:sz w:val="20"/>
        </w:rPr>
        <w:t xml:space="preserve">The Board of Directors held five meetings and acted by written consent one time during our year ended December 31, 2022. No director attended fewer than 75% of the total number of meetings of the Board of Directors and any committees of the Board of Directors of which he or she was a member during our year ended December 31, 2022. Our policy is to invite and encourage each member of our Board of Directors to be present at our annual meetings of stockholders. Three of seven of our then serving members of our Board of Directors attended our 2022 annual meeting of stockholders in their capacity as directors of our company. </w:t>
      </w:r>
    </w:p>
    <w:p>
      <w:pPr>
        <w:pStyle w:val="TextBody"/>
        <w:spacing w:before="360" w:after="0"/>
        <w:jc w:val="left"/>
        <w:rPr>
          <w:rFonts w:ascii="Times New Roman" w:hAnsi="Times New Roman"/>
          <w:b/>
          <w:sz w:val="20"/>
        </w:rPr>
      </w:pPr>
      <w:bookmarkStart w:id="29" w:name="toc359255_27"/>
      <w:bookmarkEnd w:id="29"/>
      <w:r>
        <w:rPr>
          <w:rFonts w:ascii="Times New Roman" w:hAnsi="Times New Roman"/>
          <w:b/>
          <w:sz w:val="20"/>
        </w:rPr>
        <w:t xml:space="preserve">Board Oversight of Risk </w:t>
      </w:r>
    </w:p>
    <w:p>
      <w:pPr>
        <w:pStyle w:val="TextBody"/>
        <w:spacing w:before="120" w:after="0"/>
        <w:jc w:val="left"/>
        <w:rPr>
          <w:rFonts w:ascii="Times New Roman" w:hAnsi="Times New Roman"/>
          <w:sz w:val="20"/>
        </w:rPr>
      </w:pPr>
      <w:r>
        <w:rPr>
          <w:rFonts w:ascii="Times New Roman" w:hAnsi="Times New Roman"/>
          <w:sz w:val="20"/>
        </w:rPr>
        <w:t xml:space="preserve">Our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of Directors to understand our risk identification, risk management and risk mitigation strategies with respect to areas of potential material risk, including operations, finance, legal, regulatory, strategic and reputational risk. </w:t>
      </w:r>
    </w:p>
    <w:p>
      <w:pPr>
        <w:pStyle w:val="TextBody"/>
        <w:spacing w:before="240" w:after="0"/>
        <w:jc w:val="left"/>
        <w:rPr>
          <w:rFonts w:ascii="Times New Roman" w:hAnsi="Times New Roman"/>
          <w:sz w:val="20"/>
        </w:rPr>
      </w:pPr>
      <w:r>
        <w:rPr>
          <w:rFonts w:ascii="Times New Roman" w:hAnsi="Times New Roman"/>
          <w:sz w:val="20"/>
        </w:rPr>
        <w:t xml:space="preserve">The audit committee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corporate governance committee manages risks associated with the independence of the Board of Directors, corporate disclosure practices, potential conflicts of interest and corporate responsibility, including environmental, social and corporate governance matters. While each committee is responsible for evaluating certain risks and overseeing the management of such risks, the entire board is regularly informed through committee reports about such risks. Matters of significant strategic risk are considered by our Board of Directors as a whole. </w:t>
      </w:r>
    </w:p>
    <w:p>
      <w:pPr>
        <w:pStyle w:val="TextBody"/>
        <w:spacing w:before="360" w:after="0"/>
        <w:jc w:val="left"/>
        <w:rPr>
          <w:rFonts w:ascii="Times New Roman" w:hAnsi="Times New Roman"/>
          <w:b/>
          <w:sz w:val="20"/>
        </w:rPr>
      </w:pPr>
      <w:bookmarkStart w:id="30" w:name="toc359255_28"/>
      <w:bookmarkEnd w:id="30"/>
      <w:r>
        <w:rPr>
          <w:rFonts w:ascii="Times New Roman" w:hAnsi="Times New Roman"/>
          <w:b/>
          <w:sz w:val="20"/>
        </w:rPr>
        <w:t xml:space="preserve">Director Compensation </w:t>
      </w:r>
    </w:p>
    <w:p>
      <w:pPr>
        <w:pStyle w:val="TextBody"/>
        <w:spacing w:before="120" w:after="0"/>
        <w:jc w:val="left"/>
        <w:rPr>
          <w:rFonts w:ascii="Times New Roman" w:hAnsi="Times New Roman"/>
          <w:sz w:val="20"/>
        </w:rPr>
      </w:pPr>
      <w:r>
        <w:rPr>
          <w:rFonts w:ascii="Times New Roman" w:hAnsi="Times New Roman"/>
          <w:sz w:val="20"/>
        </w:rPr>
        <w:t xml:space="preserve">The following table sets forth information about the compensation of the non-employee members of our Board of Directors who served as a director during our year ended December 31, 2022. Other than as set forth 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the table and described more fully below, during our year ended December 31, 2022, we did not pay any fees to, make any equity awards or non-equity awards to, or pay any other compensation to the non-employee members of our Board of Directors. Mr. Massaro, our chief executive officer, receives no compensation for his service as a director, and is not included in the table below. Mr. Riese currently serves as chair of our Board of Directors.</w:t>
      </w:r>
    </w:p>
    <w:p>
      <w:pPr>
        <w:pStyle w:val="TextBody"/>
        <w:spacing w:before="0" w:after="0"/>
        <w:jc w:val="left"/>
        <w:rPr/>
      </w:pPr>
      <w:r>
        <w:rPr/>
        <w:t> </w:t>
      </w:r>
    </w:p>
    <w:tbl>
      <w:tblPr>
        <w:tblW w:w="5305" w:type="dxa"/>
        <w:jc w:val="left"/>
        <w:tblInd w:w="0" w:type="dxa"/>
        <w:tblCellMar>
          <w:top w:w="0" w:type="dxa"/>
          <w:left w:w="0" w:type="dxa"/>
          <w:bottom w:w="0" w:type="dxa"/>
          <w:right w:w="0" w:type="dxa"/>
        </w:tblCellMar>
      </w:tblPr>
      <w:tblGrid>
        <w:gridCol w:w="1385"/>
        <w:gridCol w:w="120"/>
        <w:gridCol w:w="175"/>
        <w:gridCol w:w="850"/>
        <w:gridCol w:w="350"/>
        <w:gridCol w:w="60"/>
        <w:gridCol w:w="140"/>
        <w:gridCol w:w="800"/>
        <w:gridCol w:w="350"/>
        <w:gridCol w:w="60"/>
        <w:gridCol w:w="140"/>
        <w:gridCol w:w="800"/>
        <w:gridCol w:w="75"/>
      </w:tblGrid>
      <w:tr>
        <w:trPr/>
        <w:tc>
          <w:tcPr>
            <w:tcW w:w="13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3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2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Fees</w:t>
              <w:br/>
              <w:t>Earned</w:t>
              <w:br/>
              <w:t>or Paid in</w:t>
              <w:br/>
              <w:t>Cash ($)</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Stock</w:t>
              <w:br/>
              <w:t>Awards</w:t>
              <w:br/>
              <w:t>($)(3)(4)</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Total ($)</w:t>
            </w:r>
          </w:p>
        </w:tc>
        <w:tc>
          <w:tcPr>
            <w:tcW w:w="75" w:type="dxa"/>
            <w:tcBorders/>
            <w:shd w:fill="auto" w:val="clear"/>
            <w:vAlign w:val="center"/>
          </w:tcPr>
          <w:p>
            <w:pPr>
              <w:pStyle w:val="TableContents"/>
              <w:spacing w:before="0" w:after="283"/>
              <w:rPr/>
            </w:pPr>
            <w:r>
              <w:rPr/>
              <w:t> </w:t>
            </w:r>
          </w:p>
        </w:tc>
      </w:tr>
      <w:tr>
        <w:trPr/>
        <w:tc>
          <w:tcPr>
            <w:tcW w:w="13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Yvonne Hao(1)</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w:t>
            </w:r>
          </w:p>
        </w:tc>
        <w:tc>
          <w:tcPr>
            <w:tcW w:w="850" w:type="dxa"/>
            <w:tcBorders/>
            <w:shd w:fill="CCEEFF" w:val="clear"/>
            <w:vAlign w:val="center"/>
          </w:tcPr>
          <w:p>
            <w:pPr>
              <w:pStyle w:val="TableContents"/>
              <w:spacing w:before="0" w:after="283"/>
              <w:jc w:val="right"/>
              <w:rPr/>
            </w:pPr>
            <w:r>
              <w:rPr/>
              <w:t>42,000</w:t>
            </w:r>
          </w:p>
        </w:tc>
        <w:tc>
          <w:tcPr>
            <w:tcW w:w="350" w:type="dxa"/>
            <w:tcBorders/>
            <w:shd w:fill="CCEEFF" w:val="clear"/>
            <w:vAlign w:val="center"/>
          </w:tcPr>
          <w:p>
            <w:pPr>
              <w:pStyle w:val="TableContents"/>
              <w:spacing w:before="0" w:after="283"/>
              <w:rPr/>
            </w:pPr>
            <w:r>
              <w:rPr/>
              <w:t>(5)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174,987</w:t>
            </w:r>
          </w:p>
        </w:tc>
        <w:tc>
          <w:tcPr>
            <w:tcW w:w="350" w:type="dxa"/>
            <w:tcBorders/>
            <w:shd w:fill="CCEEFF" w:val="clear"/>
            <w:vAlign w:val="center"/>
          </w:tcPr>
          <w:p>
            <w:pPr>
              <w:pStyle w:val="TableContents"/>
              <w:spacing w:before="0" w:after="283"/>
              <w:rPr/>
            </w:pPr>
            <w:r>
              <w:rPr/>
              <w:t>(6)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214,987</w:t>
            </w:r>
          </w:p>
        </w:tc>
        <w:tc>
          <w:tcPr>
            <w:tcW w:w="75" w:type="dxa"/>
            <w:tcBorders/>
            <w:shd w:fill="CCEEFF" w:val="clear"/>
            <w:vAlign w:val="center"/>
          </w:tcPr>
          <w:p>
            <w:pPr>
              <w:pStyle w:val="TableContents"/>
              <w:spacing w:before="0" w:after="283"/>
              <w:rPr/>
            </w:pPr>
            <w:r>
              <w:rPr/>
              <w:t> </w:t>
            </w:r>
          </w:p>
        </w:tc>
      </w:tr>
      <w:tr>
        <w:trPr/>
        <w:tc>
          <w:tcPr>
            <w:tcW w:w="13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Matthew Harris</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w:t>
            </w:r>
          </w:p>
        </w:tc>
        <w:tc>
          <w:tcPr>
            <w:tcW w:w="850" w:type="dxa"/>
            <w:tcBorders/>
            <w:shd w:fill="auto" w:val="clear"/>
            <w:vAlign w:val="center"/>
          </w:tcPr>
          <w:p>
            <w:pPr>
              <w:pStyle w:val="TableContents"/>
              <w:spacing w:before="0" w:after="283"/>
              <w:jc w:val="right"/>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3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Alex Finkelstein</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w:t>
            </w:r>
          </w:p>
        </w:tc>
        <w:tc>
          <w:tcPr>
            <w:tcW w:w="850" w:type="dxa"/>
            <w:tcBorders/>
            <w:shd w:fill="CCEEFF" w:val="clear"/>
            <w:vAlign w:val="center"/>
          </w:tcPr>
          <w:p>
            <w:pPr>
              <w:pStyle w:val="TableContents"/>
              <w:spacing w:before="0" w:after="283"/>
              <w:jc w:val="right"/>
              <w:rPr/>
            </w:pPr>
            <w:r>
              <w:rPr/>
              <w:t>—  </w:t>
            </w:r>
          </w:p>
        </w:tc>
        <w:tc>
          <w:tcPr>
            <w:tcW w:w="3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  </w:t>
            </w:r>
          </w:p>
        </w:tc>
        <w:tc>
          <w:tcPr>
            <w:tcW w:w="3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3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Jo Natauri(2)</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w:t>
            </w:r>
          </w:p>
        </w:tc>
        <w:tc>
          <w:tcPr>
            <w:tcW w:w="850" w:type="dxa"/>
            <w:tcBorders/>
            <w:shd w:fill="auto" w:val="clear"/>
            <w:vAlign w:val="center"/>
          </w:tcPr>
          <w:p>
            <w:pPr>
              <w:pStyle w:val="TableContents"/>
              <w:spacing w:before="0" w:after="283"/>
              <w:jc w:val="right"/>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3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Phillip Riese</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w:t>
            </w:r>
          </w:p>
        </w:tc>
        <w:tc>
          <w:tcPr>
            <w:tcW w:w="850" w:type="dxa"/>
            <w:tcBorders/>
            <w:shd w:fill="CCEEFF" w:val="clear"/>
            <w:vAlign w:val="center"/>
          </w:tcPr>
          <w:p>
            <w:pPr>
              <w:pStyle w:val="TableContents"/>
              <w:spacing w:before="0" w:after="283"/>
              <w:jc w:val="right"/>
              <w:rPr/>
            </w:pPr>
            <w:r>
              <w:rPr/>
              <w:t>68,000</w:t>
            </w:r>
          </w:p>
        </w:tc>
        <w:tc>
          <w:tcPr>
            <w:tcW w:w="3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174,987</w:t>
            </w:r>
          </w:p>
        </w:tc>
        <w:tc>
          <w:tcPr>
            <w:tcW w:w="350" w:type="dxa"/>
            <w:tcBorders/>
            <w:shd w:fill="CCEEFF" w:val="clear"/>
            <w:vAlign w:val="center"/>
          </w:tcPr>
          <w:p>
            <w:pPr>
              <w:pStyle w:val="TableContents"/>
              <w:spacing w:before="0" w:after="283"/>
              <w:rPr/>
            </w:pPr>
            <w:r>
              <w:rPr/>
              <w:t>(7)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242,987</w:t>
            </w:r>
          </w:p>
        </w:tc>
        <w:tc>
          <w:tcPr>
            <w:tcW w:w="75" w:type="dxa"/>
            <w:tcBorders/>
            <w:shd w:fill="CCEEFF" w:val="clear"/>
            <w:vAlign w:val="center"/>
          </w:tcPr>
          <w:p>
            <w:pPr>
              <w:pStyle w:val="TableContents"/>
              <w:spacing w:before="0" w:after="283"/>
              <w:rPr/>
            </w:pPr>
            <w:r>
              <w:rPr/>
              <w:t> </w:t>
            </w:r>
          </w:p>
        </w:tc>
      </w:tr>
      <w:tr>
        <w:trPr/>
        <w:tc>
          <w:tcPr>
            <w:tcW w:w="13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Edwin Santos</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w:t>
            </w:r>
          </w:p>
        </w:tc>
        <w:tc>
          <w:tcPr>
            <w:tcW w:w="850" w:type="dxa"/>
            <w:tcBorders/>
            <w:shd w:fill="auto" w:val="clear"/>
            <w:vAlign w:val="center"/>
          </w:tcPr>
          <w:p>
            <w:pPr>
              <w:pStyle w:val="TableContents"/>
              <w:spacing w:before="0" w:after="283"/>
              <w:jc w:val="right"/>
              <w:rPr/>
            </w:pPr>
            <w:r>
              <w:rPr/>
              <w:t>54,000</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174,987</w:t>
            </w:r>
          </w:p>
        </w:tc>
        <w:tc>
          <w:tcPr>
            <w:tcW w:w="350" w:type="dxa"/>
            <w:tcBorders/>
            <w:shd w:fill="auto" w:val="clear"/>
            <w:vAlign w:val="center"/>
          </w:tcPr>
          <w:p>
            <w:pPr>
              <w:pStyle w:val="TableContents"/>
              <w:spacing w:before="0" w:after="283"/>
              <w:rPr/>
            </w:pPr>
            <w:r>
              <w:rPr/>
              <w:t>(8)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228,987</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6850" w:type="dxa"/>
        <w:jc w:val="left"/>
        <w:tblInd w:w="0" w:type="dxa"/>
        <w:tblCellMar>
          <w:top w:w="0" w:type="dxa"/>
          <w:left w:w="0" w:type="dxa"/>
          <w:bottom w:w="0" w:type="dxa"/>
          <w:right w:w="0" w:type="dxa"/>
        </w:tblCellMar>
      </w:tblPr>
      <w:tblGrid>
        <w:gridCol w:w="305"/>
        <w:gridCol w:w="6545"/>
      </w:tblGrid>
      <w:tr>
        <w:trPr/>
        <w:tc>
          <w:tcPr>
            <w:tcW w:w="305" w:type="dxa"/>
            <w:tcBorders/>
            <w:shd w:fill="auto" w:val="clear"/>
            <w:vAlign w:val="center"/>
          </w:tcPr>
          <w:p>
            <w:pPr>
              <w:pStyle w:val="TableContents"/>
              <w:spacing w:before="0" w:after="283"/>
              <w:jc w:val="left"/>
              <w:rPr/>
            </w:pPr>
            <w:r>
              <w:rPr/>
              <w:t>(1)</w:t>
            </w:r>
          </w:p>
        </w:tc>
        <w:tc>
          <w:tcPr>
            <w:tcW w:w="65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Yvonne Hao resigned as a member of the Board of Directors on January 7, 2023. </w:t>
            </w:r>
          </w:p>
        </w:tc>
      </w:tr>
    </w:tbl>
    <w:tbl>
      <w:tblPr>
        <w:tblW w:w="6655" w:type="dxa"/>
        <w:jc w:val="left"/>
        <w:tblInd w:w="0" w:type="dxa"/>
        <w:tblCellMar>
          <w:top w:w="0" w:type="dxa"/>
          <w:left w:w="0" w:type="dxa"/>
          <w:bottom w:w="0" w:type="dxa"/>
          <w:right w:w="0" w:type="dxa"/>
        </w:tblCellMar>
      </w:tblPr>
      <w:tblGrid>
        <w:gridCol w:w="305"/>
        <w:gridCol w:w="6350"/>
      </w:tblGrid>
      <w:tr>
        <w:trPr/>
        <w:tc>
          <w:tcPr>
            <w:tcW w:w="305" w:type="dxa"/>
            <w:tcBorders/>
            <w:shd w:fill="auto" w:val="clear"/>
            <w:vAlign w:val="center"/>
          </w:tcPr>
          <w:p>
            <w:pPr>
              <w:pStyle w:val="TableContents"/>
              <w:spacing w:before="0" w:after="283"/>
              <w:jc w:val="left"/>
              <w:rPr/>
            </w:pPr>
            <w:r>
              <w:rPr/>
              <w:t>(2)</w:t>
            </w:r>
          </w:p>
        </w:tc>
        <w:tc>
          <w:tcPr>
            <w:tcW w:w="63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Jo Natauri resigned as a member of the Board of Directors on January 7, 2023. </w:t>
            </w:r>
          </w:p>
        </w:tc>
      </w:tr>
    </w:tbl>
    <w:tbl>
      <w:tblPr>
        <w:tblW w:w="10205" w:type="dxa"/>
        <w:jc w:val="left"/>
        <w:tblInd w:w="0" w:type="dxa"/>
        <w:tblCellMar>
          <w:top w:w="0" w:type="dxa"/>
          <w:left w:w="0" w:type="dxa"/>
          <w:bottom w:w="0" w:type="dxa"/>
          <w:right w:w="0" w:type="dxa"/>
        </w:tblCellMar>
      </w:tblPr>
      <w:tblGrid>
        <w:gridCol w:w="252"/>
        <w:gridCol w:w="9953"/>
      </w:tblGrid>
      <w:tr>
        <w:trPr/>
        <w:tc>
          <w:tcPr>
            <w:tcW w:w="252" w:type="dxa"/>
            <w:tcBorders/>
            <w:shd w:fill="auto" w:val="clear"/>
            <w:vAlign w:val="center"/>
          </w:tcPr>
          <w:p>
            <w:pPr>
              <w:pStyle w:val="TableContents"/>
              <w:spacing w:before="0" w:after="283"/>
              <w:jc w:val="left"/>
              <w:rPr/>
            </w:pPr>
            <w:r>
              <w:rPr/>
              <w:t>(3)</w:t>
            </w:r>
          </w:p>
        </w:tc>
        <w:tc>
          <w:tcPr>
            <w:tcW w:w="995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amounts in this column represent the aggregate grant date fair value of stock awards granted to the director during our fiscal year ended December 31, 2022, computed in accordance with FASB ASC Topic 718. See Note 12 to our financial statements included in the 2022 Annual Report for a discussion of our assumptions in determining the ASC 718 values of our option awards. </w:t>
            </w:r>
          </w:p>
        </w:tc>
      </w:tr>
    </w:tbl>
    <w:tbl>
      <w:tblPr>
        <w:tblW w:w="10205" w:type="dxa"/>
        <w:jc w:val="left"/>
        <w:tblInd w:w="0" w:type="dxa"/>
        <w:tblCellMar>
          <w:top w:w="0" w:type="dxa"/>
          <w:left w:w="0" w:type="dxa"/>
          <w:bottom w:w="0" w:type="dxa"/>
          <w:right w:w="0" w:type="dxa"/>
        </w:tblCellMar>
      </w:tblPr>
      <w:tblGrid>
        <w:gridCol w:w="291"/>
        <w:gridCol w:w="9914"/>
      </w:tblGrid>
      <w:tr>
        <w:trPr/>
        <w:tc>
          <w:tcPr>
            <w:tcW w:w="291" w:type="dxa"/>
            <w:tcBorders/>
            <w:shd w:fill="auto" w:val="clear"/>
            <w:vAlign w:val="center"/>
          </w:tcPr>
          <w:p>
            <w:pPr>
              <w:pStyle w:val="TableContents"/>
              <w:spacing w:before="0" w:after="283"/>
              <w:jc w:val="left"/>
              <w:rPr/>
            </w:pPr>
            <w:r>
              <w:rPr/>
              <w:t>(4)</w:t>
            </w:r>
          </w:p>
        </w:tc>
        <w:tc>
          <w:tcPr>
            <w:tcW w:w="9914"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As of December 31, 2022, our non-employee directors held option and RSU awards to acquire the following number of shares of common stock: </w:t>
            </w:r>
          </w:p>
        </w:tc>
      </w:tr>
    </w:tbl>
    <w:p>
      <w:pPr>
        <w:pStyle w:val="TextBody"/>
        <w:spacing w:before="0" w:after="0"/>
        <w:jc w:val="left"/>
        <w:rPr/>
      </w:pPr>
      <w:r>
        <w:rPr/>
        <w:t> </w:t>
      </w:r>
    </w:p>
    <w:tbl>
      <w:tblPr>
        <w:tblW w:w="4075" w:type="dxa"/>
        <w:jc w:val="left"/>
        <w:tblInd w:w="0" w:type="dxa"/>
        <w:tblCellMar>
          <w:top w:w="0" w:type="dxa"/>
          <w:left w:w="0" w:type="dxa"/>
          <w:bottom w:w="0" w:type="dxa"/>
          <w:right w:w="0" w:type="dxa"/>
        </w:tblCellMar>
      </w:tblPr>
      <w:tblGrid>
        <w:gridCol w:w="1385"/>
        <w:gridCol w:w="120"/>
        <w:gridCol w:w="84"/>
        <w:gridCol w:w="1121"/>
        <w:gridCol w:w="84"/>
        <w:gridCol w:w="168"/>
        <w:gridCol w:w="84"/>
        <w:gridCol w:w="954"/>
        <w:gridCol w:w="75"/>
      </w:tblGrid>
      <w:tr>
        <w:trPr/>
        <w:tc>
          <w:tcPr>
            <w:tcW w:w="13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3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95"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Number of Shares</w:t>
              <w:br/>
              <w:t>Underlying Outstanding</w:t>
              <w:br/>
              <w:t>Awards</w:t>
            </w:r>
          </w:p>
        </w:tc>
        <w:tc>
          <w:tcPr>
            <w:tcW w:w="75" w:type="dxa"/>
            <w:tcBorders/>
            <w:shd w:fill="auto" w:val="clear"/>
            <w:vAlign w:val="center"/>
          </w:tcPr>
          <w:p>
            <w:pPr>
              <w:pStyle w:val="TableContents"/>
              <w:spacing w:before="0" w:after="283"/>
              <w:rPr/>
            </w:pPr>
            <w:r>
              <w:rPr/>
              <w:t> </w:t>
            </w:r>
          </w:p>
        </w:tc>
      </w:tr>
      <w:tr>
        <w:trPr/>
        <w:tc>
          <w:tcPr>
            <w:tcW w:w="13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0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Option</w:t>
              <w:br/>
              <w:t>Awards</w:t>
            </w:r>
          </w:p>
        </w:tc>
        <w:tc>
          <w:tcPr>
            <w:tcW w:w="84"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1038"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RSU</w:t>
              <w:br/>
              <w:t>Awards</w:t>
            </w:r>
          </w:p>
        </w:tc>
        <w:tc>
          <w:tcPr>
            <w:tcW w:w="75" w:type="dxa"/>
            <w:tcBorders/>
            <w:shd w:fill="auto" w:val="clear"/>
            <w:vAlign w:val="center"/>
          </w:tcPr>
          <w:p>
            <w:pPr>
              <w:pStyle w:val="TableContents"/>
              <w:spacing w:before="0" w:after="283"/>
              <w:rPr/>
            </w:pPr>
            <w:r>
              <w:rPr/>
              <w:t> </w:t>
            </w:r>
          </w:p>
        </w:tc>
      </w:tr>
      <w:tr>
        <w:trPr/>
        <w:tc>
          <w:tcPr>
            <w:tcW w:w="13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Yvonne Hao(1)</w:t>
            </w:r>
          </w:p>
        </w:tc>
        <w:tc>
          <w:tcPr>
            <w:tcW w:w="12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1121" w:type="dxa"/>
            <w:tcBorders/>
            <w:shd w:fill="CCEEFF" w:val="clear"/>
            <w:vAlign w:val="center"/>
          </w:tcPr>
          <w:p>
            <w:pPr>
              <w:pStyle w:val="TableContents"/>
              <w:spacing w:before="0" w:after="283"/>
              <w:jc w:val="right"/>
              <w:rPr/>
            </w:pPr>
            <w:r>
              <w:rPr/>
              <w:t>—  </w:t>
            </w:r>
          </w:p>
        </w:tc>
        <w:tc>
          <w:tcPr>
            <w:tcW w:w="84"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954" w:type="dxa"/>
            <w:tcBorders/>
            <w:shd w:fill="CCEEFF" w:val="clear"/>
            <w:vAlign w:val="center"/>
          </w:tcPr>
          <w:p>
            <w:pPr>
              <w:pStyle w:val="TableContents"/>
              <w:spacing w:before="0" w:after="283"/>
              <w:jc w:val="right"/>
              <w:rPr/>
            </w:pPr>
            <w:r>
              <w:rPr/>
              <w:t>9,062</w:t>
            </w:r>
          </w:p>
        </w:tc>
        <w:tc>
          <w:tcPr>
            <w:tcW w:w="75" w:type="dxa"/>
            <w:tcBorders/>
            <w:shd w:fill="CCEEFF" w:val="clear"/>
            <w:vAlign w:val="center"/>
          </w:tcPr>
          <w:p>
            <w:pPr>
              <w:pStyle w:val="TableContents"/>
              <w:spacing w:before="0" w:after="283"/>
              <w:rPr/>
            </w:pPr>
            <w:r>
              <w:rPr/>
              <w:t> </w:t>
            </w:r>
          </w:p>
        </w:tc>
      </w:tr>
      <w:tr>
        <w:trPr/>
        <w:tc>
          <w:tcPr>
            <w:tcW w:w="13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Matthew Harris</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121" w:type="dxa"/>
            <w:tcBorders/>
            <w:shd w:fill="auto" w:val="cle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4"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3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Alex Finkelstein</w:t>
            </w:r>
          </w:p>
        </w:tc>
        <w:tc>
          <w:tcPr>
            <w:tcW w:w="12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1121" w:type="dxa"/>
            <w:tcBorders/>
            <w:shd w:fill="CCEEFF" w:val="clear"/>
            <w:vAlign w:val="center"/>
          </w:tcPr>
          <w:p>
            <w:pPr>
              <w:pStyle w:val="TableContents"/>
              <w:spacing w:before="0" w:after="283"/>
              <w:jc w:val="right"/>
              <w:rPr/>
            </w:pPr>
            <w:r>
              <w:rPr/>
              <w:t>—  </w:t>
            </w:r>
          </w:p>
        </w:tc>
        <w:tc>
          <w:tcPr>
            <w:tcW w:w="84"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954"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3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Jo Natauri(2)</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121" w:type="dxa"/>
            <w:tcBorders/>
            <w:shd w:fill="auto" w:val="cle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4"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3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Phillip Riese</w:t>
            </w:r>
          </w:p>
        </w:tc>
        <w:tc>
          <w:tcPr>
            <w:tcW w:w="12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1121" w:type="dxa"/>
            <w:tcBorders/>
            <w:shd w:fill="CCEEFF" w:val="clear"/>
            <w:vAlign w:val="center"/>
          </w:tcPr>
          <w:p>
            <w:pPr>
              <w:pStyle w:val="TableContents"/>
              <w:spacing w:before="0" w:after="283"/>
              <w:jc w:val="right"/>
              <w:rPr/>
            </w:pPr>
            <w:r>
              <w:rPr/>
              <w:t>518,096</w:t>
            </w:r>
          </w:p>
        </w:tc>
        <w:tc>
          <w:tcPr>
            <w:tcW w:w="84"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954" w:type="dxa"/>
            <w:tcBorders/>
            <w:shd w:fill="CCEEFF" w:val="clear"/>
            <w:vAlign w:val="center"/>
          </w:tcPr>
          <w:p>
            <w:pPr>
              <w:pStyle w:val="TableContents"/>
              <w:spacing w:before="0" w:after="283"/>
              <w:jc w:val="right"/>
              <w:rPr/>
            </w:pPr>
            <w:r>
              <w:rPr/>
              <w:t>9,062</w:t>
            </w:r>
          </w:p>
        </w:tc>
        <w:tc>
          <w:tcPr>
            <w:tcW w:w="75" w:type="dxa"/>
            <w:tcBorders/>
            <w:shd w:fill="CCEEFF" w:val="clear"/>
            <w:vAlign w:val="center"/>
          </w:tcPr>
          <w:p>
            <w:pPr>
              <w:pStyle w:val="TableContents"/>
              <w:spacing w:before="0" w:after="283"/>
              <w:rPr/>
            </w:pPr>
            <w:r>
              <w:rPr/>
              <w:t> </w:t>
            </w:r>
          </w:p>
        </w:tc>
      </w:tr>
      <w:tr>
        <w:trPr/>
        <w:tc>
          <w:tcPr>
            <w:tcW w:w="13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Edwin Santos</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121" w:type="dxa"/>
            <w:tcBorders/>
            <w:shd w:fill="auto" w:val="cle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4" w:type="dxa"/>
            <w:tcBorders/>
            <w:shd w:fill="auto" w:val="clear"/>
            <w:vAlign w:val="center"/>
          </w:tcPr>
          <w:p>
            <w:pPr>
              <w:pStyle w:val="TableContents"/>
              <w:spacing w:before="0" w:after="283"/>
              <w:jc w:val="right"/>
              <w:rPr/>
            </w:pPr>
            <w:r>
              <w:rPr/>
              <w:t>18,784</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65" w:type="dxa"/>
        <w:jc w:val="left"/>
        <w:tblInd w:w="0" w:type="dxa"/>
        <w:tblCellMar>
          <w:top w:w="0" w:type="dxa"/>
          <w:left w:w="0" w:type="dxa"/>
          <w:bottom w:w="0" w:type="dxa"/>
          <w:right w:w="0" w:type="dxa"/>
        </w:tblCellMar>
      </w:tblPr>
      <w:tblGrid>
        <w:gridCol w:w="305"/>
        <w:gridCol w:w="4760"/>
      </w:tblGrid>
      <w:tr>
        <w:trPr/>
        <w:tc>
          <w:tcPr>
            <w:tcW w:w="305" w:type="dxa"/>
            <w:tcBorders/>
            <w:shd w:fill="auto" w:val="clear"/>
            <w:vAlign w:val="center"/>
          </w:tcPr>
          <w:p>
            <w:pPr>
              <w:pStyle w:val="TableContents"/>
              <w:spacing w:before="0" w:after="283"/>
              <w:jc w:val="left"/>
              <w:rPr/>
            </w:pPr>
            <w:r>
              <w:rPr/>
              <w:t>(5)</w:t>
            </w:r>
          </w:p>
        </w:tc>
        <w:tc>
          <w:tcPr>
            <w:tcW w:w="47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$2,000 of this amount was paid in 2023 for 2022 services. </w:t>
            </w:r>
          </w:p>
        </w:tc>
      </w:tr>
    </w:tbl>
    <w:tbl>
      <w:tblPr>
        <w:tblW w:w="10205" w:type="dxa"/>
        <w:jc w:val="left"/>
        <w:tblInd w:w="0" w:type="dxa"/>
        <w:tblCellMar>
          <w:top w:w="0" w:type="dxa"/>
          <w:left w:w="0" w:type="dxa"/>
          <w:bottom w:w="0" w:type="dxa"/>
          <w:right w:w="0" w:type="dxa"/>
        </w:tblCellMar>
      </w:tblPr>
      <w:tblGrid>
        <w:gridCol w:w="283"/>
        <w:gridCol w:w="9922"/>
      </w:tblGrid>
      <w:tr>
        <w:trPr/>
        <w:tc>
          <w:tcPr>
            <w:tcW w:w="283" w:type="dxa"/>
            <w:tcBorders/>
            <w:shd w:fill="auto" w:val="clear"/>
            <w:vAlign w:val="center"/>
          </w:tcPr>
          <w:p>
            <w:pPr>
              <w:pStyle w:val="TableContents"/>
              <w:spacing w:before="0" w:after="283"/>
              <w:jc w:val="left"/>
              <w:rPr/>
            </w:pPr>
            <w:r>
              <w:rPr/>
              <w:t>(6)</w:t>
            </w:r>
          </w:p>
        </w:tc>
        <w:tc>
          <w:tcPr>
            <w:tcW w:w="992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On May 31, 2022, Ms. Hao was granted a restricted stock unit award for 9,062 shares of our common stock pursuant to our non-employee director compensation plan. </w:t>
            </w:r>
          </w:p>
        </w:tc>
      </w:tr>
    </w:tbl>
    <w:tbl>
      <w:tblPr>
        <w:tblW w:w="10205" w:type="dxa"/>
        <w:jc w:val="left"/>
        <w:tblInd w:w="0" w:type="dxa"/>
        <w:tblCellMar>
          <w:top w:w="0" w:type="dxa"/>
          <w:left w:w="0" w:type="dxa"/>
          <w:bottom w:w="0" w:type="dxa"/>
          <w:right w:w="0" w:type="dxa"/>
        </w:tblCellMar>
      </w:tblPr>
      <w:tblGrid>
        <w:gridCol w:w="282"/>
        <w:gridCol w:w="9923"/>
      </w:tblGrid>
      <w:tr>
        <w:trPr/>
        <w:tc>
          <w:tcPr>
            <w:tcW w:w="282" w:type="dxa"/>
            <w:tcBorders/>
            <w:shd w:fill="auto" w:val="clear"/>
            <w:vAlign w:val="center"/>
          </w:tcPr>
          <w:p>
            <w:pPr>
              <w:pStyle w:val="TableContents"/>
              <w:spacing w:before="0" w:after="283"/>
              <w:jc w:val="left"/>
              <w:rPr/>
            </w:pPr>
            <w:r>
              <w:rPr/>
              <w:t>(7)</w:t>
            </w:r>
          </w:p>
        </w:tc>
        <w:tc>
          <w:tcPr>
            <w:tcW w:w="992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On May 31, 2022, Mr. Riese was granted a restricted stock unit award for 9,062 shares of our common stock pursuant to our non-employee director compensation plan. </w:t>
            </w:r>
          </w:p>
        </w:tc>
      </w:tr>
    </w:tbl>
    <w:tbl>
      <w:tblPr>
        <w:tblW w:w="10205" w:type="dxa"/>
        <w:jc w:val="left"/>
        <w:tblInd w:w="0" w:type="dxa"/>
        <w:tblCellMar>
          <w:top w:w="0" w:type="dxa"/>
          <w:left w:w="0" w:type="dxa"/>
          <w:bottom w:w="0" w:type="dxa"/>
          <w:right w:w="0" w:type="dxa"/>
        </w:tblCellMar>
      </w:tblPr>
      <w:tblGrid>
        <w:gridCol w:w="282"/>
        <w:gridCol w:w="9923"/>
      </w:tblGrid>
      <w:tr>
        <w:trPr/>
        <w:tc>
          <w:tcPr>
            <w:tcW w:w="282" w:type="dxa"/>
            <w:tcBorders/>
            <w:shd w:fill="auto" w:val="clear"/>
            <w:vAlign w:val="center"/>
          </w:tcPr>
          <w:p>
            <w:pPr>
              <w:pStyle w:val="TableContents"/>
              <w:spacing w:before="0" w:after="283"/>
              <w:jc w:val="left"/>
              <w:rPr/>
            </w:pPr>
            <w:r>
              <w:rPr/>
              <w:t>(8)</w:t>
            </w:r>
          </w:p>
        </w:tc>
        <w:tc>
          <w:tcPr>
            <w:tcW w:w="992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On May 31, 2022, Mr. Santos was granted a restricted stock unit award for 9,062 shares of our common stock pursuant to our non-employee director compensation plan.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Non-Employee Director Compensation </w:t>
      </w:r>
    </w:p>
    <w:p>
      <w:pPr>
        <w:pStyle w:val="TextBody"/>
        <w:spacing w:before="120" w:after="0"/>
        <w:jc w:val="left"/>
        <w:rPr>
          <w:rFonts w:ascii="Times New Roman" w:hAnsi="Times New Roman"/>
          <w:sz w:val="20"/>
        </w:rPr>
      </w:pPr>
      <w:r>
        <w:rPr>
          <w:rFonts w:ascii="Times New Roman" w:hAnsi="Times New Roman"/>
          <w:sz w:val="20"/>
        </w:rPr>
        <w:t xml:space="preserve">For the year ended December 31, 2022, pursuant to our then current non-employee director compensation plan, each non-employee member of our Board of Directors received the following cash and equity compensation for board services, as applicable: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297"/>
        <w:gridCol w:w="120"/>
        <w:gridCol w:w="815"/>
        <w:gridCol w:w="120"/>
        <w:gridCol w:w="2212"/>
        <w:gridCol w:w="120"/>
        <w:gridCol w:w="2192"/>
        <w:gridCol w:w="120"/>
        <w:gridCol w:w="2209"/>
      </w:tblGrid>
      <w:tr>
        <w:trPr/>
        <w:tc>
          <w:tcPr>
            <w:tcW w:w="22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1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9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09" w:type="dxa"/>
            <w:tcBorders/>
            <w:shd w:fill="auto" w:val="clear"/>
            <w:vAlign w:val="center"/>
          </w:tcPr>
          <w:p>
            <w:pPr>
              <w:pStyle w:val="TableContents"/>
              <w:spacing w:before="0" w:after="283"/>
              <w:rPr>
                <w:sz w:val="4"/>
                <w:szCs w:val="4"/>
              </w:rPr>
            </w:pPr>
            <w:r>
              <w:rPr>
                <w:sz w:val="4"/>
                <w:szCs w:val="4"/>
              </w:rPr>
            </w:r>
          </w:p>
        </w:tc>
      </w:tr>
      <w:tr>
        <w:trPr/>
        <w:tc>
          <w:tcPr>
            <w:tcW w:w="2297"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15" w:type="dxa"/>
            <w:tcBorders>
              <w:bottom w:val="single" w:sz="8" w:space="0" w:color="000000"/>
            </w:tcBorders>
            <w:shd w:fill="auto" w:val="clear"/>
            <w:tcMar>
              <w:bottom w:w="28" w:type="dxa"/>
            </w:tcMar>
            <w:vAlign w:val="center"/>
          </w:tcPr>
          <w:p>
            <w:pPr>
              <w:pStyle w:val="TableContents"/>
              <w:spacing w:before="0" w:after="283"/>
              <w:jc w:val="center"/>
              <w:rPr>
                <w:b/>
              </w:rPr>
            </w:pPr>
            <w:r>
              <w:rPr>
                <w:b/>
              </w:rPr>
              <w:t>Role</w:t>
            </w:r>
          </w:p>
        </w:tc>
        <w:tc>
          <w:tcPr>
            <w:tcW w:w="120" w:type="dxa"/>
            <w:tcBorders/>
            <w:shd w:fill="auto" w:val="clear"/>
            <w:vAlign w:val="center"/>
          </w:tcPr>
          <w:p>
            <w:pPr>
              <w:pStyle w:val="TableContents"/>
              <w:spacing w:before="0" w:after="283"/>
              <w:rPr/>
            </w:pPr>
            <w:r>
              <w:rPr/>
              <w:t>  </w:t>
            </w:r>
          </w:p>
        </w:tc>
        <w:tc>
          <w:tcPr>
            <w:tcW w:w="2212"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Annual</w:t>
              <w:br/>
              <w:t>Cash</w:t>
              <w:br/>
              <w:t>Retainer (1)</w:t>
            </w:r>
          </w:p>
        </w:tc>
        <w:tc>
          <w:tcPr>
            <w:tcW w:w="120" w:type="dxa"/>
            <w:tcBorders/>
            <w:shd w:fill="auto" w:val="clear"/>
            <w:vAlign w:val="center"/>
          </w:tcPr>
          <w:p>
            <w:pPr>
              <w:pStyle w:val="TableContents"/>
              <w:spacing w:before="0" w:after="283"/>
              <w:rPr/>
            </w:pPr>
            <w:r>
              <w:rPr/>
              <w:t>  </w:t>
            </w:r>
          </w:p>
        </w:tc>
        <w:tc>
          <w:tcPr>
            <w:tcW w:w="2192"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Initial Equity</w:t>
              <w:br/>
              <w:t>Grant (2)(3)</w:t>
            </w:r>
          </w:p>
        </w:tc>
        <w:tc>
          <w:tcPr>
            <w:tcW w:w="120" w:type="dxa"/>
            <w:tcBorders/>
            <w:shd w:fill="auto" w:val="clear"/>
            <w:vAlign w:val="center"/>
          </w:tcPr>
          <w:p>
            <w:pPr>
              <w:pStyle w:val="TableContents"/>
              <w:spacing w:before="0" w:after="283"/>
              <w:rPr/>
            </w:pPr>
            <w:r>
              <w:rPr/>
              <w:t>  </w:t>
            </w:r>
          </w:p>
        </w:tc>
        <w:tc>
          <w:tcPr>
            <w:tcW w:w="2209"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Annual Equity</w:t>
              <w:br/>
              <w:t>Grant (3)(4)</w:t>
            </w:r>
          </w:p>
        </w:tc>
      </w:tr>
      <w:tr>
        <w:trPr/>
        <w:tc>
          <w:tcPr>
            <w:tcW w:w="2297"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Board of Directors</w:t>
            </w:r>
          </w:p>
        </w:tc>
        <w:tc>
          <w:tcPr>
            <w:tcW w:w="120" w:type="dxa"/>
            <w:tcBorders/>
            <w:shd w:fill="CCEEFF" w:val="clear"/>
            <w:vAlign w:val="center"/>
          </w:tcPr>
          <w:p>
            <w:pPr>
              <w:pStyle w:val="TableContents"/>
              <w:spacing w:before="0" w:after="283"/>
              <w:rPr/>
            </w:pPr>
            <w:r>
              <w:rPr/>
              <w:t>  </w:t>
            </w:r>
          </w:p>
        </w:tc>
        <w:tc>
          <w:tcPr>
            <w:tcW w:w="815" w:type="dxa"/>
            <w:tcBorders/>
            <w:shd w:fill="CCEEFF" w:val="clear"/>
            <w:vAlign w:val="center"/>
          </w:tcPr>
          <w:p>
            <w:pPr>
              <w:pStyle w:val="TableContents"/>
              <w:spacing w:before="0" w:after="283"/>
              <w:rPr/>
            </w:pPr>
            <w:r>
              <w:rPr/>
              <w:t>Director</w:t>
            </w:r>
          </w:p>
        </w:tc>
        <w:tc>
          <w:tcPr>
            <w:tcW w:w="120" w:type="dxa"/>
            <w:tcBorders/>
            <w:shd w:fill="CCEEFF" w:val="clear"/>
            <w:vAlign w:val="center"/>
          </w:tcPr>
          <w:p>
            <w:pPr>
              <w:pStyle w:val="TableContents"/>
              <w:spacing w:before="0" w:after="283"/>
              <w:rPr/>
            </w:pPr>
            <w:r>
              <w:rPr/>
              <w:t>  </w:t>
            </w:r>
          </w:p>
        </w:tc>
        <w:tc>
          <w:tcPr>
            <w:tcW w:w="2212" w:type="dxa"/>
            <w:tcBorders/>
            <w:shd w:fill="CCEEFF" w:val="clear"/>
            <w:vAlign w:val="center"/>
          </w:tcPr>
          <w:p>
            <w:pPr>
              <w:pStyle w:val="TableContents"/>
              <w:spacing w:before="0" w:after="283"/>
              <w:rPr/>
            </w:pPr>
            <w:r>
              <w:rPr/>
              <w:t>$30,000 (increased to $35,000 in February 2023)</w:t>
            </w:r>
          </w:p>
        </w:tc>
        <w:tc>
          <w:tcPr>
            <w:tcW w:w="120" w:type="dxa"/>
            <w:tcBorders/>
            <w:shd w:fill="CCEEFF" w:val="clear"/>
            <w:vAlign w:val="center"/>
          </w:tcPr>
          <w:p>
            <w:pPr>
              <w:pStyle w:val="TableContents"/>
              <w:spacing w:before="0" w:after="283"/>
              <w:rPr/>
            </w:pPr>
            <w:r>
              <w:rPr/>
              <w:t>  </w:t>
            </w:r>
          </w:p>
        </w:tc>
        <w:tc>
          <w:tcPr>
            <w:tcW w:w="2192" w:type="dxa"/>
            <w:tcBorders/>
            <w:shd w:fill="CCEEFF" w:val="clear"/>
            <w:vAlign w:val="center"/>
          </w:tcPr>
          <w:p>
            <w:pPr>
              <w:pStyle w:val="TableContents"/>
              <w:spacing w:before="0" w:after="283"/>
              <w:rPr/>
            </w:pPr>
            <w:r>
              <w:rPr/>
              <w:t>Restricted Stock Unit Award valued at $350,000</w:t>
            </w:r>
          </w:p>
        </w:tc>
        <w:tc>
          <w:tcPr>
            <w:tcW w:w="120" w:type="dxa"/>
            <w:tcBorders/>
            <w:shd w:fill="CCEEFF" w:val="clear"/>
            <w:vAlign w:val="center"/>
          </w:tcPr>
          <w:p>
            <w:pPr>
              <w:pStyle w:val="TableContents"/>
              <w:spacing w:before="0" w:after="283"/>
              <w:rPr/>
            </w:pPr>
            <w:r>
              <w:rPr/>
              <w:t>  </w:t>
            </w:r>
          </w:p>
        </w:tc>
        <w:tc>
          <w:tcPr>
            <w:tcW w:w="2209" w:type="dxa"/>
            <w:tcBorders/>
            <w:shd w:fill="CCEEFF" w:val="clear"/>
            <w:vAlign w:val="center"/>
          </w:tcPr>
          <w:p>
            <w:pPr>
              <w:pStyle w:val="TableContents"/>
              <w:spacing w:before="0" w:after="283"/>
              <w:rPr/>
            </w:pPr>
            <w:r>
              <w:rPr/>
              <w:t>Restricted Stock Unit Award valued at $175,000</w:t>
            </w:r>
          </w:p>
        </w:tc>
      </w:tr>
      <w:tr>
        <w:trPr/>
        <w:tc>
          <w:tcPr>
            <w:tcW w:w="2297"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5" w:type="dxa"/>
            <w:tcBorders/>
            <w:shd w:fill="CCEEFF" w:val="clear"/>
            <w:vAlign w:val="center"/>
          </w:tcPr>
          <w:p>
            <w:pPr>
              <w:pStyle w:val="TableContents"/>
              <w:spacing w:before="0" w:after="283"/>
              <w:rPr/>
            </w:pPr>
            <w:r>
              <w:rPr/>
              <w:t>Chair</w:t>
            </w:r>
          </w:p>
        </w:tc>
        <w:tc>
          <w:tcPr>
            <w:tcW w:w="120" w:type="dxa"/>
            <w:tcBorders/>
            <w:shd w:fill="CCEEFF" w:val="clear"/>
            <w:vAlign w:val="center"/>
          </w:tcPr>
          <w:p>
            <w:pPr>
              <w:pStyle w:val="TableContents"/>
              <w:spacing w:before="0" w:after="283"/>
              <w:rPr/>
            </w:pPr>
            <w:r>
              <w:rPr/>
              <w:t>  </w:t>
            </w:r>
          </w:p>
        </w:tc>
        <w:tc>
          <w:tcPr>
            <w:tcW w:w="2212" w:type="dxa"/>
            <w:tcBorders/>
            <w:shd w:fill="CCEEFF" w:val="clear"/>
            <w:vAlign w:val="center"/>
          </w:tcPr>
          <w:p>
            <w:pPr>
              <w:pStyle w:val="TableContents"/>
              <w:spacing w:before="0" w:after="283"/>
              <w:rPr/>
            </w:pPr>
            <w:r>
              <w:rPr/>
              <w:t>$50,000 (increased to $65,000 in February 2023)</w:t>
            </w:r>
          </w:p>
        </w:tc>
        <w:tc>
          <w:tcPr>
            <w:tcW w:w="120" w:type="dxa"/>
            <w:tcBorders/>
            <w:shd w:fill="CCEEFF" w:val="clear"/>
            <w:vAlign w:val="center"/>
          </w:tcPr>
          <w:p>
            <w:pPr>
              <w:pStyle w:val="TableContents"/>
              <w:spacing w:before="0" w:after="283"/>
              <w:rPr/>
            </w:pPr>
            <w:r>
              <w:rPr/>
              <w:t>  </w:t>
            </w:r>
          </w:p>
        </w:tc>
        <w:tc>
          <w:tcPr>
            <w:tcW w:w="2192"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2209" w:type="dxa"/>
            <w:tcBorders/>
            <w:shd w:fill="CCEEFF" w:val="clear"/>
            <w:vAlign w:val="center"/>
          </w:tcPr>
          <w:p>
            <w:pPr>
              <w:pStyle w:val="TableContents"/>
              <w:spacing w:before="0" w:after="283"/>
              <w:rPr>
                <w:sz w:val="4"/>
                <w:szCs w:val="4"/>
              </w:rPr>
            </w:pPr>
            <w:r>
              <w:rPr>
                <w:sz w:val="4"/>
                <w:szCs w:val="4"/>
              </w:rPr>
            </w:r>
          </w:p>
        </w:tc>
      </w:tr>
      <w:tr>
        <w:trPr/>
        <w:tc>
          <w:tcPr>
            <w:tcW w:w="2297"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Audit Committee</w:t>
            </w:r>
          </w:p>
        </w:tc>
        <w:tc>
          <w:tcPr>
            <w:tcW w:w="120"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283"/>
              <w:rPr/>
            </w:pPr>
            <w:r>
              <w:rPr/>
              <w:t>Chair</w:t>
            </w:r>
          </w:p>
        </w:tc>
        <w:tc>
          <w:tcPr>
            <w:tcW w:w="120" w:type="dxa"/>
            <w:tcBorders/>
            <w:shd w:fill="auto" w:val="clear"/>
            <w:vAlign w:val="center"/>
          </w:tcPr>
          <w:p>
            <w:pPr>
              <w:pStyle w:val="TableContents"/>
              <w:spacing w:before="0" w:after="283"/>
              <w:rPr/>
            </w:pPr>
            <w:r>
              <w:rPr/>
              <w:t>  </w:t>
            </w:r>
          </w:p>
        </w:tc>
        <w:tc>
          <w:tcPr>
            <w:tcW w:w="2212" w:type="dxa"/>
            <w:tcBorders/>
            <w:shd w:fill="auto" w:val="clear"/>
            <w:vAlign w:val="center"/>
          </w:tcPr>
          <w:p>
            <w:pPr>
              <w:pStyle w:val="TableContents"/>
              <w:spacing w:before="0" w:after="283"/>
              <w:rPr/>
            </w:pPr>
            <w:r>
              <w:rPr/>
              <w:t>$20,000</w:t>
            </w:r>
          </w:p>
        </w:tc>
        <w:tc>
          <w:tcPr>
            <w:tcW w:w="120" w:type="dxa"/>
            <w:tcBorders/>
            <w:shd w:fill="auto" w:val="clear"/>
            <w:vAlign w:val="center"/>
          </w:tcPr>
          <w:p>
            <w:pPr>
              <w:pStyle w:val="TableContents"/>
              <w:spacing w:before="0" w:after="283"/>
              <w:rPr/>
            </w:pPr>
            <w:r>
              <w:rPr/>
              <w:t>  </w:t>
            </w:r>
          </w:p>
        </w:tc>
        <w:tc>
          <w:tcPr>
            <w:tcW w:w="219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209" w:type="dxa"/>
            <w:tcBorders/>
            <w:shd w:fill="auto" w:val="clear"/>
            <w:vAlign w:val="center"/>
          </w:tcPr>
          <w:p>
            <w:pPr>
              <w:pStyle w:val="TableContents"/>
              <w:spacing w:before="0" w:after="283"/>
              <w:rPr>
                <w:sz w:val="4"/>
                <w:szCs w:val="4"/>
              </w:rPr>
            </w:pPr>
            <w:r>
              <w:rPr>
                <w:sz w:val="4"/>
                <w:szCs w:val="4"/>
              </w:rPr>
            </w:r>
          </w:p>
        </w:tc>
      </w:tr>
      <w:tr>
        <w:trPr/>
        <w:tc>
          <w:tcPr>
            <w:tcW w:w="22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283"/>
              <w:rPr/>
            </w:pPr>
            <w:r>
              <w:rPr/>
              <w:t>Other</w:t>
              <w:br/>
              <w:t>Member</w:t>
            </w:r>
          </w:p>
        </w:tc>
        <w:tc>
          <w:tcPr>
            <w:tcW w:w="120" w:type="dxa"/>
            <w:tcBorders/>
            <w:shd w:fill="auto" w:val="clear"/>
            <w:vAlign w:val="center"/>
          </w:tcPr>
          <w:p>
            <w:pPr>
              <w:pStyle w:val="TableContents"/>
              <w:spacing w:before="0" w:after="283"/>
              <w:rPr/>
            </w:pPr>
            <w:r>
              <w:rPr/>
              <w:t>  </w:t>
            </w:r>
          </w:p>
        </w:tc>
        <w:tc>
          <w:tcPr>
            <w:tcW w:w="2212" w:type="dxa"/>
            <w:tcBorders/>
            <w:shd w:fill="auto" w:val="clear"/>
            <w:vAlign w:val="center"/>
          </w:tcPr>
          <w:p>
            <w:pPr>
              <w:pStyle w:val="TableContents"/>
              <w:spacing w:before="0" w:after="283"/>
              <w:rPr/>
            </w:pPr>
            <w:r>
              <w:rPr/>
              <w:t>$10,000</w:t>
            </w:r>
          </w:p>
        </w:tc>
        <w:tc>
          <w:tcPr>
            <w:tcW w:w="120" w:type="dxa"/>
            <w:tcBorders/>
            <w:shd w:fill="auto" w:val="clear"/>
            <w:vAlign w:val="center"/>
          </w:tcPr>
          <w:p>
            <w:pPr>
              <w:pStyle w:val="TableContents"/>
              <w:spacing w:before="0" w:after="283"/>
              <w:rPr/>
            </w:pPr>
            <w:r>
              <w:rPr/>
              <w:t>  </w:t>
            </w:r>
          </w:p>
        </w:tc>
        <w:tc>
          <w:tcPr>
            <w:tcW w:w="219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209" w:type="dxa"/>
            <w:tcBorders/>
            <w:shd w:fill="auto" w:val="clear"/>
            <w:vAlign w:val="center"/>
          </w:tcPr>
          <w:p>
            <w:pPr>
              <w:pStyle w:val="TableContents"/>
              <w:spacing w:before="0" w:after="283"/>
              <w:rPr>
                <w:sz w:val="4"/>
                <w:szCs w:val="4"/>
              </w:rPr>
            </w:pPr>
            <w:r>
              <w:rPr>
                <w:sz w:val="4"/>
                <w:szCs w:val="4"/>
              </w:rPr>
            </w:r>
          </w:p>
        </w:tc>
      </w:tr>
      <w:tr>
        <w:trPr/>
        <w:tc>
          <w:tcPr>
            <w:tcW w:w="2297"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Compensation Committee</w:t>
            </w:r>
          </w:p>
        </w:tc>
        <w:tc>
          <w:tcPr>
            <w:tcW w:w="120" w:type="dxa"/>
            <w:tcBorders/>
            <w:shd w:fill="CCEEFF" w:val="clear"/>
            <w:vAlign w:val="center"/>
          </w:tcPr>
          <w:p>
            <w:pPr>
              <w:pStyle w:val="TableContents"/>
              <w:spacing w:before="0" w:after="283"/>
              <w:rPr/>
            </w:pPr>
            <w:r>
              <w:rPr/>
              <w:t>  </w:t>
            </w:r>
          </w:p>
        </w:tc>
        <w:tc>
          <w:tcPr>
            <w:tcW w:w="815" w:type="dxa"/>
            <w:tcBorders/>
            <w:shd w:fill="CCEEFF" w:val="clear"/>
            <w:vAlign w:val="center"/>
          </w:tcPr>
          <w:p>
            <w:pPr>
              <w:pStyle w:val="TableContents"/>
              <w:spacing w:before="0" w:after="283"/>
              <w:rPr/>
            </w:pPr>
            <w:r>
              <w:rPr/>
              <w:t>Chair</w:t>
            </w:r>
          </w:p>
        </w:tc>
        <w:tc>
          <w:tcPr>
            <w:tcW w:w="120" w:type="dxa"/>
            <w:tcBorders/>
            <w:shd w:fill="CCEEFF" w:val="clear"/>
            <w:vAlign w:val="center"/>
          </w:tcPr>
          <w:p>
            <w:pPr>
              <w:pStyle w:val="TableContents"/>
              <w:spacing w:before="0" w:after="283"/>
              <w:rPr/>
            </w:pPr>
            <w:r>
              <w:rPr/>
              <w:t>  </w:t>
            </w:r>
          </w:p>
        </w:tc>
        <w:tc>
          <w:tcPr>
            <w:tcW w:w="2212" w:type="dxa"/>
            <w:tcBorders/>
            <w:shd w:fill="CCEEFF" w:val="clear"/>
            <w:vAlign w:val="center"/>
          </w:tcPr>
          <w:p>
            <w:pPr>
              <w:pStyle w:val="TableContents"/>
              <w:spacing w:before="0" w:after="283"/>
              <w:rPr/>
            </w:pPr>
            <w:r>
              <w:rPr/>
              <w:t>$12,000</w:t>
            </w:r>
          </w:p>
        </w:tc>
        <w:tc>
          <w:tcPr>
            <w:tcW w:w="120" w:type="dxa"/>
            <w:tcBorders/>
            <w:shd w:fill="CCEEFF" w:val="clear"/>
            <w:vAlign w:val="center"/>
          </w:tcPr>
          <w:p>
            <w:pPr>
              <w:pStyle w:val="TableContents"/>
              <w:spacing w:before="0" w:after="283"/>
              <w:rPr/>
            </w:pPr>
            <w:r>
              <w:rPr/>
              <w:t>  </w:t>
            </w:r>
          </w:p>
        </w:tc>
        <w:tc>
          <w:tcPr>
            <w:tcW w:w="2192"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2209" w:type="dxa"/>
            <w:tcBorders/>
            <w:shd w:fill="CCEEFF" w:val="clear"/>
            <w:vAlign w:val="center"/>
          </w:tcPr>
          <w:p>
            <w:pPr>
              <w:pStyle w:val="TableContents"/>
              <w:spacing w:before="0" w:after="283"/>
              <w:rPr>
                <w:sz w:val="4"/>
                <w:szCs w:val="4"/>
              </w:rPr>
            </w:pPr>
            <w:r>
              <w:rPr>
                <w:sz w:val="4"/>
                <w:szCs w:val="4"/>
              </w:rPr>
            </w:r>
          </w:p>
        </w:tc>
      </w:tr>
      <w:tr>
        <w:trPr/>
        <w:tc>
          <w:tcPr>
            <w:tcW w:w="2297"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15" w:type="dxa"/>
            <w:tcBorders/>
            <w:shd w:fill="CCEEFF" w:val="clear"/>
            <w:vAlign w:val="center"/>
          </w:tcPr>
          <w:p>
            <w:pPr>
              <w:pStyle w:val="TableContents"/>
              <w:spacing w:before="0" w:after="283"/>
              <w:rPr/>
            </w:pPr>
            <w:r>
              <w:rPr/>
              <w:t>Other</w:t>
              <w:br/>
              <w:t>Member</w:t>
            </w:r>
          </w:p>
        </w:tc>
        <w:tc>
          <w:tcPr>
            <w:tcW w:w="120" w:type="dxa"/>
            <w:tcBorders/>
            <w:shd w:fill="CCEEFF" w:val="clear"/>
            <w:vAlign w:val="center"/>
          </w:tcPr>
          <w:p>
            <w:pPr>
              <w:pStyle w:val="TableContents"/>
              <w:spacing w:before="0" w:after="283"/>
              <w:rPr/>
            </w:pPr>
            <w:r>
              <w:rPr/>
              <w:t>  </w:t>
            </w:r>
          </w:p>
        </w:tc>
        <w:tc>
          <w:tcPr>
            <w:tcW w:w="2212" w:type="dxa"/>
            <w:tcBorders/>
            <w:shd w:fill="CCEEFF" w:val="clear"/>
            <w:vAlign w:val="center"/>
          </w:tcPr>
          <w:p>
            <w:pPr>
              <w:pStyle w:val="TableContents"/>
              <w:spacing w:before="0" w:after="283"/>
              <w:rPr/>
            </w:pPr>
            <w:r>
              <w:rPr/>
              <w:t>$6,000</w:t>
            </w:r>
          </w:p>
        </w:tc>
        <w:tc>
          <w:tcPr>
            <w:tcW w:w="120" w:type="dxa"/>
            <w:tcBorders/>
            <w:shd w:fill="CCEEFF" w:val="clear"/>
            <w:vAlign w:val="center"/>
          </w:tcPr>
          <w:p>
            <w:pPr>
              <w:pStyle w:val="TableContents"/>
              <w:spacing w:before="0" w:after="283"/>
              <w:rPr/>
            </w:pPr>
            <w:r>
              <w:rPr/>
              <w:t>  </w:t>
            </w:r>
          </w:p>
        </w:tc>
        <w:tc>
          <w:tcPr>
            <w:tcW w:w="2192"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2209" w:type="dxa"/>
            <w:tcBorders/>
            <w:shd w:fill="CCEEFF" w:val="clear"/>
            <w:vAlign w:val="center"/>
          </w:tcPr>
          <w:p>
            <w:pPr>
              <w:pStyle w:val="TableContents"/>
              <w:spacing w:before="0" w:after="283"/>
              <w:rPr>
                <w:sz w:val="4"/>
                <w:szCs w:val="4"/>
              </w:rPr>
            </w:pPr>
            <w:r>
              <w:rPr>
                <w:sz w:val="4"/>
                <w:szCs w:val="4"/>
              </w:rPr>
            </w:r>
          </w:p>
        </w:tc>
      </w:tr>
      <w:tr>
        <w:trPr/>
        <w:tc>
          <w:tcPr>
            <w:tcW w:w="2297"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Nominating and Corporate Governance Committee</w:t>
            </w:r>
          </w:p>
        </w:tc>
        <w:tc>
          <w:tcPr>
            <w:tcW w:w="120"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283"/>
              <w:rPr/>
            </w:pPr>
            <w:r>
              <w:rPr/>
              <w:t>Chair</w:t>
            </w:r>
          </w:p>
        </w:tc>
        <w:tc>
          <w:tcPr>
            <w:tcW w:w="120" w:type="dxa"/>
            <w:tcBorders/>
            <w:shd w:fill="auto" w:val="clear"/>
            <w:vAlign w:val="center"/>
          </w:tcPr>
          <w:p>
            <w:pPr>
              <w:pStyle w:val="TableContents"/>
              <w:spacing w:before="0" w:after="283"/>
              <w:rPr/>
            </w:pPr>
            <w:r>
              <w:rPr/>
              <w:t>  </w:t>
            </w:r>
          </w:p>
        </w:tc>
        <w:tc>
          <w:tcPr>
            <w:tcW w:w="2212" w:type="dxa"/>
            <w:tcBorders/>
            <w:shd w:fill="auto" w:val="clear"/>
            <w:vAlign w:val="center"/>
          </w:tcPr>
          <w:p>
            <w:pPr>
              <w:pStyle w:val="TableContents"/>
              <w:spacing w:before="0" w:after="283"/>
              <w:rPr/>
            </w:pPr>
            <w:r>
              <w:rPr/>
              <w:t>$8,000</w:t>
            </w:r>
          </w:p>
        </w:tc>
        <w:tc>
          <w:tcPr>
            <w:tcW w:w="120" w:type="dxa"/>
            <w:tcBorders/>
            <w:shd w:fill="auto" w:val="clear"/>
            <w:vAlign w:val="center"/>
          </w:tcPr>
          <w:p>
            <w:pPr>
              <w:pStyle w:val="TableContents"/>
              <w:spacing w:before="0" w:after="283"/>
              <w:rPr/>
            </w:pPr>
            <w:r>
              <w:rPr/>
              <w:t>  </w:t>
            </w:r>
          </w:p>
        </w:tc>
        <w:tc>
          <w:tcPr>
            <w:tcW w:w="219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209" w:type="dxa"/>
            <w:tcBorders/>
            <w:shd w:fill="auto" w:val="clear"/>
            <w:vAlign w:val="center"/>
          </w:tcPr>
          <w:p>
            <w:pPr>
              <w:pStyle w:val="TableContents"/>
              <w:spacing w:before="0" w:after="283"/>
              <w:rPr>
                <w:sz w:val="4"/>
                <w:szCs w:val="4"/>
              </w:rPr>
            </w:pPr>
            <w:r>
              <w:rPr>
                <w:sz w:val="4"/>
                <w:szCs w:val="4"/>
              </w:rPr>
            </w:r>
          </w:p>
        </w:tc>
      </w:tr>
      <w:tr>
        <w:trPr/>
        <w:tc>
          <w:tcPr>
            <w:tcW w:w="22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283"/>
              <w:rPr/>
            </w:pPr>
            <w:r>
              <w:rPr/>
              <w:t>Other</w:t>
              <w:br/>
              <w:t>Member</w:t>
            </w:r>
          </w:p>
        </w:tc>
        <w:tc>
          <w:tcPr>
            <w:tcW w:w="120" w:type="dxa"/>
            <w:tcBorders/>
            <w:shd w:fill="auto" w:val="clear"/>
            <w:vAlign w:val="center"/>
          </w:tcPr>
          <w:p>
            <w:pPr>
              <w:pStyle w:val="TableContents"/>
              <w:spacing w:before="0" w:after="283"/>
              <w:rPr/>
            </w:pPr>
            <w:r>
              <w:rPr/>
              <w:t>  </w:t>
            </w:r>
          </w:p>
        </w:tc>
        <w:tc>
          <w:tcPr>
            <w:tcW w:w="2212" w:type="dxa"/>
            <w:tcBorders/>
            <w:shd w:fill="auto" w:val="clear"/>
            <w:vAlign w:val="center"/>
          </w:tcPr>
          <w:p>
            <w:pPr>
              <w:pStyle w:val="TableContents"/>
              <w:spacing w:before="0" w:after="283"/>
              <w:rPr/>
            </w:pPr>
            <w:r>
              <w:rPr/>
              <w:t>$4,000</w:t>
            </w:r>
          </w:p>
        </w:tc>
        <w:tc>
          <w:tcPr>
            <w:tcW w:w="120" w:type="dxa"/>
            <w:tcBorders/>
            <w:shd w:fill="auto" w:val="clear"/>
            <w:vAlign w:val="center"/>
          </w:tcPr>
          <w:p>
            <w:pPr>
              <w:pStyle w:val="TableContents"/>
              <w:spacing w:before="0" w:after="283"/>
              <w:rPr/>
            </w:pPr>
            <w:r>
              <w:rPr/>
              <w:t>  </w:t>
            </w:r>
          </w:p>
        </w:tc>
        <w:tc>
          <w:tcPr>
            <w:tcW w:w="219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209"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3925" w:type="dxa"/>
        <w:jc w:val="left"/>
        <w:tblInd w:w="0" w:type="dxa"/>
        <w:tblCellMar>
          <w:top w:w="0" w:type="dxa"/>
          <w:left w:w="0" w:type="dxa"/>
          <w:bottom w:w="0" w:type="dxa"/>
          <w:right w:w="0" w:type="dxa"/>
        </w:tblCellMar>
      </w:tblPr>
      <w:tblGrid>
        <w:gridCol w:w="305"/>
        <w:gridCol w:w="3620"/>
      </w:tblGrid>
      <w:tr>
        <w:trPr/>
        <w:tc>
          <w:tcPr>
            <w:tcW w:w="305" w:type="dxa"/>
            <w:tcBorders/>
            <w:shd w:fill="auto" w:val="clear"/>
            <w:vAlign w:val="center"/>
          </w:tcPr>
          <w:p>
            <w:pPr>
              <w:pStyle w:val="TableContents"/>
              <w:spacing w:before="0" w:after="283"/>
              <w:jc w:val="left"/>
              <w:rPr/>
            </w:pPr>
            <w:r>
              <w:rPr/>
              <w:t>(1)</w:t>
            </w:r>
          </w:p>
        </w:tc>
        <w:tc>
          <w:tcPr>
            <w:tcW w:w="36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Annual cash retainers are payable quarterly. </w:t>
            </w:r>
          </w:p>
        </w:tc>
      </w:tr>
    </w:tbl>
    <w:tbl>
      <w:tblPr>
        <w:tblW w:w="10205" w:type="dxa"/>
        <w:jc w:val="left"/>
        <w:tblInd w:w="0" w:type="dxa"/>
        <w:tblCellMar>
          <w:top w:w="0" w:type="dxa"/>
          <w:left w:w="0" w:type="dxa"/>
          <w:bottom w:w="0" w:type="dxa"/>
          <w:right w:w="0" w:type="dxa"/>
        </w:tblCellMar>
      </w:tblPr>
      <w:tblGrid>
        <w:gridCol w:w="256"/>
        <w:gridCol w:w="9949"/>
      </w:tblGrid>
      <w:tr>
        <w:trPr/>
        <w:tc>
          <w:tcPr>
            <w:tcW w:w="256" w:type="dxa"/>
            <w:tcBorders/>
            <w:shd w:fill="auto" w:val="clear"/>
            <w:vAlign w:val="center"/>
          </w:tcPr>
          <w:p>
            <w:pPr>
              <w:pStyle w:val="TableContents"/>
              <w:spacing w:before="0" w:after="283"/>
              <w:jc w:val="left"/>
              <w:rPr/>
            </w:pPr>
            <w:r>
              <w:rPr/>
              <w:t>(2)</w:t>
            </w:r>
          </w:p>
        </w:tc>
        <w:tc>
          <w:tcPr>
            <w:tcW w:w="9949"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Initial equity grants are automatically granted on the date the director is elected or appointed as a director and are calculated based on the closing price of our common stock on the date of grant. The initial equity grant upon election or appointment as a director shall vest in 3 equal annual installments following the grant date. </w:t>
            </w:r>
          </w:p>
        </w:tc>
      </w:tr>
    </w:tbl>
    <w:tbl>
      <w:tblPr>
        <w:tblW w:w="10205" w:type="dxa"/>
        <w:jc w:val="left"/>
        <w:tblInd w:w="0" w:type="dxa"/>
        <w:tblCellMar>
          <w:top w:w="0" w:type="dxa"/>
          <w:left w:w="0" w:type="dxa"/>
          <w:bottom w:w="0" w:type="dxa"/>
          <w:right w:w="0" w:type="dxa"/>
        </w:tblCellMar>
      </w:tblPr>
      <w:tblGrid>
        <w:gridCol w:w="301"/>
        <w:gridCol w:w="9904"/>
      </w:tblGrid>
      <w:tr>
        <w:trPr/>
        <w:tc>
          <w:tcPr>
            <w:tcW w:w="301" w:type="dxa"/>
            <w:tcBorders/>
            <w:shd w:fill="auto" w:val="clear"/>
            <w:vAlign w:val="center"/>
          </w:tcPr>
          <w:p>
            <w:pPr>
              <w:pStyle w:val="TableContents"/>
              <w:spacing w:before="0" w:after="283"/>
              <w:jc w:val="left"/>
              <w:rPr/>
            </w:pPr>
            <w:r>
              <w:rPr/>
              <w:t>(3)</w:t>
            </w:r>
          </w:p>
        </w:tc>
        <w:tc>
          <w:tcPr>
            <w:tcW w:w="9904"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Such award will accelerate and fully vest upon a change in control, or such non-employee director’s earlier death or disability. </w:t>
            </w:r>
          </w:p>
        </w:tc>
      </w:tr>
    </w:tbl>
    <w:tbl>
      <w:tblPr>
        <w:tblW w:w="10205" w:type="dxa"/>
        <w:jc w:val="left"/>
        <w:tblInd w:w="0" w:type="dxa"/>
        <w:tblCellMar>
          <w:top w:w="0" w:type="dxa"/>
          <w:left w:w="0" w:type="dxa"/>
          <w:bottom w:w="0" w:type="dxa"/>
          <w:right w:w="0" w:type="dxa"/>
        </w:tblCellMar>
      </w:tblPr>
      <w:tblGrid>
        <w:gridCol w:w="248"/>
        <w:gridCol w:w="9957"/>
      </w:tblGrid>
      <w:tr>
        <w:trPr/>
        <w:tc>
          <w:tcPr>
            <w:tcW w:w="248" w:type="dxa"/>
            <w:tcBorders/>
            <w:shd w:fill="auto" w:val="clear"/>
            <w:vAlign w:val="center"/>
          </w:tcPr>
          <w:p>
            <w:pPr>
              <w:pStyle w:val="TableContents"/>
              <w:spacing w:before="0" w:after="283"/>
              <w:jc w:val="left"/>
              <w:rPr/>
            </w:pPr>
            <w:r>
              <w:rPr/>
              <w:t>(4)</w:t>
            </w:r>
          </w:p>
        </w:tc>
        <w:tc>
          <w:tcPr>
            <w:tcW w:w="995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Annual equity grants are automatically granted two days prior to the date of each annual regular meeting of the Company’s stockholders and are calculated based on the closing price of our common stock on the date of grant. The annual equity grant shall vest on the 1-year anniversary of the grant date provided the director provides continuous service as a director, member of the applicable committee or chair, as applicable, through such date. </w:t>
            </w:r>
          </w:p>
        </w:tc>
      </w:tr>
    </w:tbl>
    <w:p>
      <w:pPr>
        <w:pStyle w:val="TextBody"/>
        <w:spacing w:before="240" w:after="0"/>
        <w:jc w:val="left"/>
        <w:rPr>
          <w:rFonts w:ascii="Times New Roman" w:hAnsi="Times New Roman"/>
          <w:sz w:val="20"/>
        </w:rPr>
      </w:pPr>
      <w:r>
        <w:rPr>
          <w:rFonts w:ascii="Times New Roman" w:hAnsi="Times New Roman"/>
          <w:sz w:val="20"/>
        </w:rPr>
        <w:t xml:space="preserve">Messrs. Harris and Finkelstein and Ms. Natauri have waived the non-employee director RSUs and the cash compensation under our non-employee director compensation program. </w:t>
      </w:r>
    </w:p>
    <w:p>
      <w:pPr>
        <w:pStyle w:val="TextBody"/>
        <w:spacing w:before="240" w:after="0"/>
        <w:jc w:val="left"/>
        <w:rPr>
          <w:rFonts w:ascii="Times New Roman" w:hAnsi="Times New Roman"/>
          <w:sz w:val="20"/>
        </w:rPr>
      </w:pPr>
      <w:r>
        <w:rPr>
          <w:rFonts w:ascii="Times New Roman" w:hAnsi="Times New Roman"/>
          <w:sz w:val="20"/>
        </w:rPr>
        <w:t xml:space="preserve">We also reimburse our non-employee directors for their reasonable out-of-pocket expenses incurred in attending Board of Directors and committee meetings. </w:t>
      </w:r>
    </w:p>
    <w:p>
      <w:pPr>
        <w:pStyle w:val="TextBody"/>
        <w:spacing w:before="360" w:after="0"/>
        <w:jc w:val="left"/>
        <w:rPr>
          <w:rFonts w:ascii="Times New Roman" w:hAnsi="Times New Roman"/>
          <w:b/>
          <w:sz w:val="20"/>
        </w:rPr>
      </w:pPr>
      <w:bookmarkStart w:id="31" w:name="toc359255_29"/>
      <w:bookmarkEnd w:id="31"/>
      <w:r>
        <w:rPr>
          <w:rFonts w:ascii="Times New Roman" w:hAnsi="Times New Roman"/>
          <w:b/>
          <w:sz w:val="20"/>
        </w:rPr>
        <w:t xml:space="preserve">Stockholder Communications with the Board of Directors </w:t>
      </w:r>
    </w:p>
    <w:p>
      <w:pPr>
        <w:pStyle w:val="TextBody"/>
        <w:spacing w:before="120" w:after="0"/>
        <w:jc w:val="left"/>
        <w:rPr>
          <w:rFonts w:ascii="Times New Roman" w:hAnsi="Times New Roman"/>
          <w:sz w:val="20"/>
        </w:rPr>
      </w:pPr>
      <w:r>
        <w:rPr>
          <w:rFonts w:ascii="Times New Roman" w:hAnsi="Times New Roman"/>
          <w:sz w:val="20"/>
        </w:rPr>
        <w:t xml:space="preserve">Stockholders wishing to communicate with our Board of Directors or with an individual member of our Board of Directors may do so by writing to our Board of Directors or to the particular member of our Board of Directors, care of our Corporate Secretary by mail to our principal executive offices, Attention: Corporate Secretary. The envelope should indicate that it contains a stockholder communication. All such stockholder communications will be forwarded to the director or directors to whom the communications are addressed.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2" w:name="toc359255_30"/>
      <w:bookmarkEnd w:id="32"/>
      <w:r>
        <w:rPr>
          <w:rFonts w:ascii="Times New Roman" w:hAnsi="Times New Roman"/>
          <w:b/>
          <w:sz w:val="20"/>
        </w:rPr>
        <w:t xml:space="preserve">INFORMATION ABOUT OUR EXECUTIVE OFFICERS </w:t>
      </w:r>
    </w:p>
    <w:p>
      <w:pPr>
        <w:pStyle w:val="TextBody"/>
        <w:spacing w:before="240" w:after="0"/>
        <w:jc w:val="left"/>
        <w:rPr>
          <w:rFonts w:ascii="Times New Roman" w:hAnsi="Times New Roman"/>
          <w:sz w:val="20"/>
        </w:rPr>
      </w:pPr>
      <w:r>
        <w:rPr>
          <w:rFonts w:ascii="Times New Roman" w:hAnsi="Times New Roman"/>
          <w:sz w:val="20"/>
        </w:rPr>
        <w:t xml:space="preserve">The following table provides information concerning our executive officers as of April 10, 2023: </w:t>
      </w:r>
    </w:p>
    <w:p>
      <w:pPr>
        <w:pStyle w:val="TextBody"/>
        <w:spacing w:before="0" w:after="0"/>
        <w:jc w:val="left"/>
        <w:rPr/>
      </w:pPr>
      <w:r>
        <w:rPr/>
        <w:t> </w:t>
      </w:r>
    </w:p>
    <w:tbl>
      <w:tblPr>
        <w:tblW w:w="6750" w:type="dxa"/>
        <w:jc w:val="left"/>
        <w:tblInd w:w="0" w:type="dxa"/>
        <w:tblCellMar>
          <w:top w:w="0" w:type="dxa"/>
          <w:left w:w="0" w:type="dxa"/>
          <w:bottom w:w="0" w:type="dxa"/>
          <w:right w:w="0" w:type="dxa"/>
        </w:tblCellMar>
      </w:tblPr>
      <w:tblGrid>
        <w:gridCol w:w="1655"/>
        <w:gridCol w:w="120"/>
        <w:gridCol w:w="305"/>
        <w:gridCol w:w="120"/>
        <w:gridCol w:w="4550"/>
      </w:tblGrid>
      <w:tr>
        <w:trPr/>
        <w:tc>
          <w:tcPr>
            <w:tcW w:w="16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r>
      <w:tr>
        <w:trPr/>
        <w:tc>
          <w:tcPr>
            <w:tcW w:w="165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Name</w:t>
            </w:r>
          </w:p>
        </w:tc>
        <w:tc>
          <w:tcPr>
            <w:tcW w:w="120" w:type="dxa"/>
            <w:tcBorders/>
            <w:shd w:fill="auto" w:val="clear"/>
            <w:vAlign w:val="center"/>
          </w:tcPr>
          <w:p>
            <w:pPr>
              <w:pStyle w:val="TableContents"/>
              <w:spacing w:before="0" w:after="283"/>
              <w:rPr/>
            </w:pPr>
            <w:r>
              <w:rPr/>
              <w:t>  </w:t>
            </w:r>
          </w:p>
        </w:tc>
        <w:tc>
          <w:tcPr>
            <w:tcW w:w="30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Age</w:t>
            </w:r>
          </w:p>
        </w:tc>
        <w:tc>
          <w:tcPr>
            <w:tcW w:w="120" w:type="dxa"/>
            <w:tcBorders/>
            <w:shd w:fill="auto" w:val="clear"/>
            <w:vAlign w:val="center"/>
          </w:tcPr>
          <w:p>
            <w:pPr>
              <w:pStyle w:val="TableContents"/>
              <w:spacing w:before="0" w:after="283"/>
              <w:rPr/>
            </w:pPr>
            <w:r>
              <w:rPr/>
              <w:t>  </w:t>
            </w:r>
          </w:p>
        </w:tc>
        <w:tc>
          <w:tcPr>
            <w:tcW w:w="455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Position(s)</w:t>
            </w:r>
          </w:p>
        </w:tc>
      </w:tr>
      <w:tr>
        <w:trPr/>
        <w:tc>
          <w:tcPr>
            <w:tcW w:w="1655" w:type="dxa"/>
            <w:tcBorders/>
            <w:shd w:fill="CCEEFF" w:val="clear"/>
            <w:vAlign w:val="center"/>
          </w:tcPr>
          <w:p>
            <w:pPr>
              <w:pStyle w:val="TableContents"/>
              <w:spacing w:before="0" w:after="283"/>
              <w:rPr/>
            </w:pPr>
            <w:r>
              <w:rPr/>
              <w:t>Michael Massaro</w:t>
            </w:r>
          </w:p>
        </w:tc>
        <w:tc>
          <w:tcPr>
            <w:tcW w:w="120" w:type="dxa"/>
            <w:tcBorders/>
            <w:shd w:fill="CCEEFF" w:val="clear"/>
            <w:vAlign w:val="center"/>
          </w:tcPr>
          <w:p>
            <w:pPr>
              <w:pStyle w:val="TableContents"/>
              <w:spacing w:before="0" w:after="283"/>
              <w:rPr/>
            </w:pPr>
            <w:r>
              <w:rPr/>
              <w:t>  </w:t>
            </w:r>
          </w:p>
        </w:tc>
        <w:tc>
          <w:tcPr>
            <w:tcW w:w="305" w:type="dxa"/>
            <w:tcBorders/>
            <w:shd w:fill="CCEEFF" w:val="clear"/>
            <w:vAlign w:val="center"/>
          </w:tcPr>
          <w:p>
            <w:pPr>
              <w:pStyle w:val="TableContents"/>
              <w:spacing w:before="0" w:after="283"/>
              <w:jc w:val="center"/>
              <w:rPr/>
            </w:pPr>
            <w:r>
              <w:rPr/>
              <w:t>44</w:t>
            </w:r>
          </w:p>
        </w:tc>
        <w:tc>
          <w:tcPr>
            <w:tcW w:w="120" w:type="dxa"/>
            <w:tcBorders/>
            <w:shd w:fill="CCEEFF" w:val="clear"/>
            <w:vAlign w:val="center"/>
          </w:tcPr>
          <w:p>
            <w:pPr>
              <w:pStyle w:val="TableContents"/>
              <w:spacing w:before="0" w:after="283"/>
              <w:rPr/>
            </w:pPr>
            <w:r>
              <w:rPr/>
              <w:t>  </w:t>
            </w:r>
          </w:p>
        </w:tc>
        <w:tc>
          <w:tcPr>
            <w:tcW w:w="4550" w:type="dxa"/>
            <w:tcBorders/>
            <w:shd w:fill="CCEEFF" w:val="clear"/>
            <w:vAlign w:val="center"/>
          </w:tcPr>
          <w:p>
            <w:pPr>
              <w:pStyle w:val="TableContents"/>
              <w:spacing w:before="0" w:after="283"/>
              <w:rPr/>
            </w:pPr>
            <w:r>
              <w:rPr/>
              <w:t>Chief Executive Officer and Director</w:t>
            </w:r>
          </w:p>
        </w:tc>
      </w:tr>
      <w:tr>
        <w:trPr/>
        <w:tc>
          <w:tcPr>
            <w:tcW w:w="1655" w:type="dxa"/>
            <w:tcBorders/>
            <w:shd w:fill="auto" w:val="clear"/>
            <w:vAlign w:val="center"/>
          </w:tcPr>
          <w:p>
            <w:pPr>
              <w:pStyle w:val="TableContents"/>
              <w:spacing w:before="0" w:after="283"/>
              <w:rPr/>
            </w:pPr>
            <w:r>
              <w:rPr/>
              <w:t>Robert Orgel</w:t>
            </w:r>
          </w:p>
        </w:tc>
        <w:tc>
          <w:tcPr>
            <w:tcW w:w="120"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jc w:val="center"/>
              <w:rPr/>
            </w:pPr>
            <w:r>
              <w:rPr/>
              <w:t>54</w:t>
            </w:r>
          </w:p>
        </w:tc>
        <w:tc>
          <w:tcPr>
            <w:tcW w:w="12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rPr/>
            </w:pPr>
            <w:r>
              <w:rPr/>
              <w:t>President and Chief Operating Officer</w:t>
            </w:r>
          </w:p>
        </w:tc>
      </w:tr>
      <w:tr>
        <w:trPr/>
        <w:tc>
          <w:tcPr>
            <w:tcW w:w="1655" w:type="dxa"/>
            <w:tcBorders/>
            <w:shd w:fill="CCEEFF" w:val="clear"/>
            <w:vAlign w:val="center"/>
          </w:tcPr>
          <w:p>
            <w:pPr>
              <w:pStyle w:val="TableContents"/>
              <w:spacing w:before="0" w:after="283"/>
              <w:rPr/>
            </w:pPr>
            <w:r>
              <w:rPr/>
              <w:t>Michael Ellis</w:t>
            </w:r>
          </w:p>
        </w:tc>
        <w:tc>
          <w:tcPr>
            <w:tcW w:w="120" w:type="dxa"/>
            <w:tcBorders/>
            <w:shd w:fill="CCEEFF" w:val="clear"/>
            <w:vAlign w:val="center"/>
          </w:tcPr>
          <w:p>
            <w:pPr>
              <w:pStyle w:val="TableContents"/>
              <w:spacing w:before="0" w:after="283"/>
              <w:rPr/>
            </w:pPr>
            <w:r>
              <w:rPr/>
              <w:t>  </w:t>
            </w:r>
          </w:p>
        </w:tc>
        <w:tc>
          <w:tcPr>
            <w:tcW w:w="305" w:type="dxa"/>
            <w:tcBorders/>
            <w:shd w:fill="CCEEFF" w:val="clear"/>
            <w:vAlign w:val="center"/>
          </w:tcPr>
          <w:p>
            <w:pPr>
              <w:pStyle w:val="TableContents"/>
              <w:spacing w:before="0" w:after="283"/>
              <w:jc w:val="center"/>
              <w:rPr/>
            </w:pPr>
            <w:r>
              <w:rPr/>
              <w:t>54</w:t>
            </w:r>
          </w:p>
        </w:tc>
        <w:tc>
          <w:tcPr>
            <w:tcW w:w="120" w:type="dxa"/>
            <w:tcBorders/>
            <w:shd w:fill="CCEEFF" w:val="clear"/>
            <w:vAlign w:val="center"/>
          </w:tcPr>
          <w:p>
            <w:pPr>
              <w:pStyle w:val="TableContents"/>
              <w:spacing w:before="0" w:after="283"/>
              <w:rPr/>
            </w:pPr>
            <w:r>
              <w:rPr/>
              <w:t>  </w:t>
            </w:r>
          </w:p>
        </w:tc>
        <w:tc>
          <w:tcPr>
            <w:tcW w:w="4550" w:type="dxa"/>
            <w:tcBorders/>
            <w:shd w:fill="CCEEFF" w:val="clear"/>
            <w:vAlign w:val="center"/>
          </w:tcPr>
          <w:p>
            <w:pPr>
              <w:pStyle w:val="TableContents"/>
              <w:spacing w:before="0" w:after="283"/>
              <w:rPr/>
            </w:pPr>
            <w:r>
              <w:rPr/>
              <w:t>Chief Financial Officer</w:t>
            </w:r>
          </w:p>
        </w:tc>
      </w:tr>
      <w:tr>
        <w:trPr/>
        <w:tc>
          <w:tcPr>
            <w:tcW w:w="1655" w:type="dxa"/>
            <w:tcBorders/>
            <w:shd w:fill="auto" w:val="clear"/>
            <w:vAlign w:val="center"/>
          </w:tcPr>
          <w:p>
            <w:pPr>
              <w:pStyle w:val="TableContents"/>
              <w:spacing w:before="0" w:after="283"/>
              <w:rPr/>
            </w:pPr>
            <w:r>
              <w:rPr/>
              <w:t>Peter Butterfield</w:t>
            </w:r>
          </w:p>
        </w:tc>
        <w:tc>
          <w:tcPr>
            <w:tcW w:w="120"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jc w:val="center"/>
              <w:rPr/>
            </w:pPr>
            <w:r>
              <w:rPr/>
              <w:t>58</w:t>
            </w:r>
          </w:p>
        </w:tc>
        <w:tc>
          <w:tcPr>
            <w:tcW w:w="12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rPr/>
            </w:pPr>
            <w:r>
              <w:rPr/>
              <w:t>General Counsel and Chief Compliance Officer</w:t>
            </w:r>
          </w:p>
        </w:tc>
      </w:tr>
      <w:tr>
        <w:trPr/>
        <w:tc>
          <w:tcPr>
            <w:tcW w:w="1655" w:type="dxa"/>
            <w:tcBorders/>
            <w:shd w:fill="CCEEFF" w:val="clear"/>
            <w:vAlign w:val="center"/>
          </w:tcPr>
          <w:p>
            <w:pPr>
              <w:pStyle w:val="TableContents"/>
              <w:spacing w:before="0" w:after="283"/>
              <w:rPr/>
            </w:pPr>
            <w:r>
              <w:rPr/>
              <w:t>David King</w:t>
            </w:r>
          </w:p>
        </w:tc>
        <w:tc>
          <w:tcPr>
            <w:tcW w:w="120" w:type="dxa"/>
            <w:tcBorders/>
            <w:shd w:fill="CCEEFF" w:val="clear"/>
            <w:vAlign w:val="center"/>
          </w:tcPr>
          <w:p>
            <w:pPr>
              <w:pStyle w:val="TableContents"/>
              <w:spacing w:before="0" w:after="283"/>
              <w:rPr/>
            </w:pPr>
            <w:r>
              <w:rPr/>
              <w:t>  </w:t>
            </w:r>
          </w:p>
        </w:tc>
        <w:tc>
          <w:tcPr>
            <w:tcW w:w="305" w:type="dxa"/>
            <w:tcBorders/>
            <w:shd w:fill="CCEEFF" w:val="clear"/>
            <w:vAlign w:val="center"/>
          </w:tcPr>
          <w:p>
            <w:pPr>
              <w:pStyle w:val="TableContents"/>
              <w:spacing w:before="0" w:after="283"/>
              <w:jc w:val="center"/>
              <w:rPr/>
            </w:pPr>
            <w:r>
              <w:rPr/>
              <w:t>54</w:t>
            </w:r>
          </w:p>
        </w:tc>
        <w:tc>
          <w:tcPr>
            <w:tcW w:w="120" w:type="dxa"/>
            <w:tcBorders/>
            <w:shd w:fill="CCEEFF" w:val="clear"/>
            <w:vAlign w:val="center"/>
          </w:tcPr>
          <w:p>
            <w:pPr>
              <w:pStyle w:val="TableContents"/>
              <w:spacing w:before="0" w:after="283"/>
              <w:rPr/>
            </w:pPr>
            <w:r>
              <w:rPr/>
              <w:t>  </w:t>
            </w:r>
          </w:p>
        </w:tc>
        <w:tc>
          <w:tcPr>
            <w:tcW w:w="4550" w:type="dxa"/>
            <w:tcBorders/>
            <w:shd w:fill="CCEEFF" w:val="clear"/>
            <w:vAlign w:val="center"/>
          </w:tcPr>
          <w:p>
            <w:pPr>
              <w:pStyle w:val="TableContents"/>
              <w:spacing w:before="0" w:after="283"/>
              <w:rPr/>
            </w:pPr>
            <w:r>
              <w:rPr/>
              <w:t>Chief Technology Officer</w:t>
            </w:r>
          </w:p>
        </w:tc>
      </w:tr>
    </w:tbl>
    <w:p>
      <w:pPr>
        <w:pStyle w:val="TextBody"/>
        <w:spacing w:before="240" w:after="0"/>
        <w:jc w:val="left"/>
        <w:rPr>
          <w:rFonts w:ascii="Times New Roman" w:hAnsi="Times New Roman"/>
          <w:sz w:val="20"/>
        </w:rPr>
      </w:pPr>
      <w:r>
        <w:rPr>
          <w:rFonts w:ascii="Times New Roman" w:hAnsi="Times New Roman"/>
          <w:i/>
          <w:sz w:val="20"/>
        </w:rPr>
        <w:t>Michael Massaro</w:t>
      </w:r>
      <w:r>
        <w:rPr>
          <w:rFonts w:ascii="Times New Roman" w:hAnsi="Times New Roman"/>
          <w:sz w:val="20"/>
        </w:rPr>
        <w:t xml:space="preserve"> See biographical information set forth above under “Incumbent Class I Directors Whose Term Expires in 2025.” </w:t>
      </w:r>
    </w:p>
    <w:p>
      <w:pPr>
        <w:pStyle w:val="TextBody"/>
        <w:spacing w:before="240" w:after="0"/>
        <w:jc w:val="left"/>
        <w:rPr>
          <w:rFonts w:ascii="Times New Roman" w:hAnsi="Times New Roman"/>
          <w:sz w:val="20"/>
        </w:rPr>
      </w:pPr>
      <w:r>
        <w:rPr>
          <w:rFonts w:ascii="Times New Roman" w:hAnsi="Times New Roman"/>
          <w:i/>
          <w:sz w:val="20"/>
        </w:rPr>
        <w:t xml:space="preserve">Robert Orgel </w:t>
      </w:r>
      <w:r>
        <w:rPr>
          <w:rFonts w:ascii="Times New Roman" w:hAnsi="Times New Roman"/>
          <w:sz w:val="20"/>
        </w:rPr>
        <w:t xml:space="preserve">has served as our President and Chief Operating Officer since November 2019. Mr. Orgel leads Flywire’s global payment network, business operations, finance, legal, compliance, and corporate strategy functions. He brings extensive experience with 20 years in the technology/payments ecosystem to Flywire, including hands-on experience in legal, compliance, finance, go-to-market, business development and global operations. Prior to Flywire, Mr. Orgel served in various roles at Apple Inc. from 2010 to 2019 where he was part of the leadership team that developed, launched and grew the Apple Pay business and global expansion as well as the launch of the Apple Card. Prior to his time at Apple Inc., Mr. Orgel served as Chief Operating Officer at Quattro Wireless, Inc. from 2008 until it was acquired by Apple Inc. in 2010. Mr. Orgel has also played key leadership roles at m-Qube, Inc., a carrier billing and payment platform which was acquired by Verisign Inc., and edocs Inc., an e-billing and payment solution which was acquired by Siebel Systems (subsequently acquired by Oracle Corporation). Mr. Orgel holds Bachelor of Arts and Master of Arts degrees in International Relations from Stanford University and a Juris Doctor degree from Harvard Law School. </w:t>
      </w:r>
    </w:p>
    <w:p>
      <w:pPr>
        <w:pStyle w:val="TextBody"/>
        <w:spacing w:before="240" w:after="0"/>
        <w:jc w:val="left"/>
        <w:rPr>
          <w:rFonts w:ascii="Times New Roman" w:hAnsi="Times New Roman"/>
          <w:sz w:val="20"/>
        </w:rPr>
      </w:pPr>
      <w:r>
        <w:rPr>
          <w:rFonts w:ascii="Times New Roman" w:hAnsi="Times New Roman"/>
          <w:i/>
          <w:sz w:val="20"/>
        </w:rPr>
        <w:t>Michael Ellis</w:t>
      </w:r>
      <w:r>
        <w:rPr>
          <w:rFonts w:ascii="Times New Roman" w:hAnsi="Times New Roman"/>
          <w:sz w:val="20"/>
        </w:rPr>
        <w:t xml:space="preserve"> has served as our Chief Financial Officer since April 2015. Mr. Ellis has over 15 years’ experience in leading technology/payment companies in the role of Chief Financial Officer. Prior to Flywire, Mr. Ellis was the Chief Financial Officer at CashStar, Inc., a provider of digital gifting solutions for retailers, from 2009 to 2015, where he oversaw multiple functions including finance, risk and settlement operations, legal, and human resources. Prior to CashStar, Mr. Ellis was the Chief Financial Officer of Eze Castle Software after beginning his career in public accounting where he spent nearly a decade in the audit and transactions services groups of PricewaterhouseCoopers and Grant Thornton. Mr. Ellis received a Bachelor of Arts degree in Accounting and Politics &amp; Government from Ohio Wesleyan University. </w:t>
      </w:r>
    </w:p>
    <w:p>
      <w:pPr>
        <w:pStyle w:val="TextBody"/>
        <w:spacing w:before="240" w:after="0"/>
        <w:jc w:val="left"/>
        <w:rPr>
          <w:rFonts w:ascii="Times New Roman" w:hAnsi="Times New Roman"/>
          <w:sz w:val="20"/>
        </w:rPr>
      </w:pPr>
      <w:r>
        <w:rPr>
          <w:rFonts w:ascii="Times New Roman" w:hAnsi="Times New Roman"/>
          <w:i/>
          <w:sz w:val="20"/>
        </w:rPr>
        <w:t>Peter Butterfield</w:t>
      </w:r>
      <w:r>
        <w:rPr>
          <w:rFonts w:ascii="Times New Roman" w:hAnsi="Times New Roman"/>
          <w:sz w:val="20"/>
        </w:rPr>
        <w:t xml:space="preserve"> has served as our General Counsel and Chief Compliance Officer since March 2015. Prior to joining Flywire, Mr. Butterfield held various senior management roles within Devonshire Investors, the private equity arm of Fidelity Investments, and its operating companies from 2001 to 2015. During that time, Mr. Butterfield lived and worked for over a decade in Tokyo and Singapore managing legal, risk, audit and compliance functions, and leading the ex-Japan APAC operations for KVH Co., Ltd. (subsequently acquired by Colt Technology Services Group Limited). Mr. Butterfield holds a Bachelor of Arts in History and Government from Bowdoin College and a Juris Doctor degree from Columbia University. </w:t>
      </w:r>
    </w:p>
    <w:p>
      <w:pPr>
        <w:pStyle w:val="TextBody"/>
        <w:spacing w:before="240" w:after="0"/>
        <w:jc w:val="left"/>
        <w:rPr>
          <w:rFonts w:ascii="Times New Roman" w:hAnsi="Times New Roman"/>
          <w:sz w:val="20"/>
        </w:rPr>
      </w:pPr>
      <w:r>
        <w:rPr>
          <w:rFonts w:ascii="Times New Roman" w:hAnsi="Times New Roman"/>
          <w:i/>
          <w:sz w:val="20"/>
        </w:rPr>
        <w:t>David King</w:t>
      </w:r>
      <w:r>
        <w:rPr>
          <w:rFonts w:ascii="Times New Roman" w:hAnsi="Times New Roman"/>
          <w:sz w:val="20"/>
        </w:rPr>
        <w:t xml:space="preserve"> has served as our Chief Technology Officer since June 2019 and is responsible for oversight of our global technology and solutions development. Mr. King joined Flywire as its Vice President of Engineering in January 2018, following our acquisition of OnPlan Holdings where he was a co-founder and leveraged his background in payments, analytics and billing to develop innovative payment plan solutions for the healthcare and education sectors. Before co-founding OnPlan in May 2014, Mr. King founded other companies including infiNET Solutions, Inc., which delivered SaaS solutions to higher education and was subsequently acquired by Nelnet, Inc. in 2006. Mr. King served as president of Nelnet’s higher education division and led various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initiatives in Nelnet such as launching an online medical education program. Mr. King is also an owner of AmagiSoft, LLC, which provides gym membership management software to CrossFit gyms. He also led data security at Nelnet. Mr. King holds a Bachelor of Science in Mathematics and Physics from Westminster College, and a Master of Science in Physics from Miami University.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3" w:name="toc359255_31"/>
      <w:bookmarkEnd w:id="33"/>
      <w:r>
        <w:rPr>
          <w:rFonts w:ascii="Times New Roman" w:hAnsi="Times New Roman"/>
          <w:b/>
          <w:sz w:val="20"/>
        </w:rPr>
        <w:t xml:space="preserve">EXECUTIVE COMPENSATION </w:t>
      </w:r>
    </w:p>
    <w:p>
      <w:pPr>
        <w:pStyle w:val="TextBody"/>
        <w:spacing w:before="0" w:after="0"/>
        <w:jc w:val="center"/>
        <w:rPr>
          <w:rFonts w:ascii="Times New Roman" w:hAnsi="Times New Roman"/>
          <w:b/>
          <w:sz w:val="20"/>
        </w:rPr>
      </w:pPr>
      <w:r>
        <w:rPr>
          <w:rFonts w:ascii="Times New Roman" w:hAnsi="Times New Roman"/>
          <w:b/>
          <w:sz w:val="20"/>
        </w:rPr>
        <w:t xml:space="preserve">Compensation Discussion and Analysis </w:t>
      </w:r>
    </w:p>
    <w:p>
      <w:pPr>
        <w:pStyle w:val="TextBody"/>
        <w:spacing w:before="240" w:after="0"/>
        <w:jc w:val="left"/>
        <w:rPr>
          <w:rFonts w:ascii="Times New Roman" w:hAnsi="Times New Roman"/>
          <w:sz w:val="20"/>
        </w:rPr>
      </w:pPr>
      <w:r>
        <w:rPr>
          <w:rFonts w:ascii="Times New Roman" w:hAnsi="Times New Roman"/>
          <w:sz w:val="20"/>
        </w:rPr>
        <w:t xml:space="preserve">This section discusses our compensation philosophy, summarizes our compensation programs and reviews compensation decisions for our named executive officers (NEOs) for the year ended December 31, 2022 (Fiscal 2022). The following discussion contains forward-looking statements that are based on our current plans, considerations, expectations, and determinations regarding existing and future compensation programs. The actual amount and form of compensation and the compensation policies and practices that we adopt in the future may differ materially from currently planned programs as summarized in this discussion. </w:t>
      </w:r>
    </w:p>
    <w:p>
      <w:pPr>
        <w:pStyle w:val="TextBody"/>
        <w:spacing w:before="240" w:after="0"/>
        <w:jc w:val="left"/>
        <w:rPr>
          <w:rFonts w:ascii="Times New Roman" w:hAnsi="Times New Roman"/>
          <w:sz w:val="20"/>
        </w:rPr>
      </w:pPr>
      <w:r>
        <w:rPr>
          <w:rFonts w:ascii="Times New Roman" w:hAnsi="Times New Roman"/>
          <w:sz w:val="20"/>
        </w:rPr>
        <w:t xml:space="preserve">For Fiscal 2022, our NEOs were: </w:t>
      </w:r>
    </w:p>
    <w:p>
      <w:pPr>
        <w:pStyle w:val="TextBody"/>
        <w:spacing w:before="0" w:after="0"/>
        <w:jc w:val="left"/>
        <w:rPr/>
      </w:pPr>
      <w:r>
        <w:rPr/>
        <w:t> </w:t>
      </w:r>
    </w:p>
    <w:tbl>
      <w:tblPr>
        <w:tblW w:w="7195" w:type="dxa"/>
        <w:jc w:val="left"/>
        <w:tblInd w:w="0" w:type="dxa"/>
        <w:tblCellMar>
          <w:top w:w="0" w:type="dxa"/>
          <w:left w:w="0" w:type="dxa"/>
          <w:bottom w:w="0" w:type="dxa"/>
          <w:right w:w="0" w:type="dxa"/>
        </w:tblCellMar>
      </w:tblPr>
      <w:tblGrid>
        <w:gridCol w:w="75"/>
        <w:gridCol w:w="110"/>
        <w:gridCol w:w="60"/>
        <w:gridCol w:w="69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9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Michael Massaro, our Chief Executive Officer and member of our Board of Directors; </w:t>
            </w:r>
          </w:p>
        </w:tc>
      </w:tr>
    </w:tbl>
    <w:p>
      <w:pPr>
        <w:pStyle w:val="TextBody"/>
        <w:spacing w:before="0" w:after="0"/>
        <w:jc w:val="left"/>
        <w:rPr/>
      </w:pPr>
      <w:r>
        <w:rPr/>
        <w:t> </w:t>
      </w:r>
    </w:p>
    <w:tbl>
      <w:tblPr>
        <w:tblW w:w="4885" w:type="dxa"/>
        <w:jc w:val="left"/>
        <w:tblInd w:w="0" w:type="dxa"/>
        <w:tblCellMar>
          <w:top w:w="0" w:type="dxa"/>
          <w:left w:w="0" w:type="dxa"/>
          <w:bottom w:w="0" w:type="dxa"/>
          <w:right w:w="0" w:type="dxa"/>
        </w:tblCellMar>
      </w:tblPr>
      <w:tblGrid>
        <w:gridCol w:w="75"/>
        <w:gridCol w:w="110"/>
        <w:gridCol w:w="60"/>
        <w:gridCol w:w="46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6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Robert Orgel, our President and Chief Operating Officer; </w:t>
            </w:r>
          </w:p>
        </w:tc>
      </w:tr>
    </w:tbl>
    <w:p>
      <w:pPr>
        <w:pStyle w:val="TextBody"/>
        <w:spacing w:before="0" w:after="0"/>
        <w:jc w:val="left"/>
        <w:rPr/>
      </w:pPr>
      <w:r>
        <w:rPr/>
        <w:t> </w:t>
      </w:r>
    </w:p>
    <w:tbl>
      <w:tblPr>
        <w:tblW w:w="3745" w:type="dxa"/>
        <w:jc w:val="left"/>
        <w:tblInd w:w="0" w:type="dxa"/>
        <w:tblCellMar>
          <w:top w:w="0" w:type="dxa"/>
          <w:left w:w="0" w:type="dxa"/>
          <w:bottom w:w="0" w:type="dxa"/>
          <w:right w:w="0" w:type="dxa"/>
        </w:tblCellMar>
      </w:tblPr>
      <w:tblGrid>
        <w:gridCol w:w="75"/>
        <w:gridCol w:w="110"/>
        <w:gridCol w:w="60"/>
        <w:gridCol w:w="35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5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Michael Ellis, our Chief Financial Officer; </w:t>
            </w:r>
          </w:p>
        </w:tc>
      </w:tr>
    </w:tbl>
    <w:p>
      <w:pPr>
        <w:pStyle w:val="TextBody"/>
        <w:spacing w:before="0" w:after="0"/>
        <w:jc w:val="left"/>
        <w:rPr/>
      </w:pPr>
      <w:r>
        <w:rPr/>
        <w:t> </w:t>
      </w:r>
    </w:p>
    <w:tbl>
      <w:tblPr>
        <w:tblW w:w="6220" w:type="dxa"/>
        <w:jc w:val="left"/>
        <w:tblInd w:w="0" w:type="dxa"/>
        <w:tblCellMar>
          <w:top w:w="0" w:type="dxa"/>
          <w:left w:w="0" w:type="dxa"/>
          <w:bottom w:w="0" w:type="dxa"/>
          <w:right w:w="0" w:type="dxa"/>
        </w:tblCellMar>
      </w:tblPr>
      <w:tblGrid>
        <w:gridCol w:w="75"/>
        <w:gridCol w:w="110"/>
        <w:gridCol w:w="60"/>
        <w:gridCol w:w="59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Sharon Butler(1), our Executive Vice President of Global Education; and </w:t>
            </w:r>
          </w:p>
        </w:tc>
      </w:tr>
    </w:tbl>
    <w:p>
      <w:pPr>
        <w:pStyle w:val="TextBody"/>
        <w:spacing w:before="0" w:after="0"/>
        <w:jc w:val="left"/>
        <w:rPr/>
      </w:pPr>
      <w:r>
        <w:rPr/>
        <w:t> </w:t>
      </w:r>
    </w:p>
    <w:tbl>
      <w:tblPr>
        <w:tblW w:w="3805" w:type="dxa"/>
        <w:jc w:val="left"/>
        <w:tblInd w:w="0" w:type="dxa"/>
        <w:tblCellMar>
          <w:top w:w="0" w:type="dxa"/>
          <w:left w:w="0" w:type="dxa"/>
          <w:bottom w:w="0" w:type="dxa"/>
          <w:right w:w="0" w:type="dxa"/>
        </w:tblCellMar>
      </w:tblPr>
      <w:tblGrid>
        <w:gridCol w:w="75"/>
        <w:gridCol w:w="110"/>
        <w:gridCol w:w="60"/>
        <w:gridCol w:w="35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5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David King, our Chief Technology Officer. </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97"/>
        <w:gridCol w:w="9908"/>
      </w:tblGrid>
      <w:tr>
        <w:trPr/>
        <w:tc>
          <w:tcPr>
            <w:tcW w:w="297" w:type="dxa"/>
            <w:tcBorders/>
            <w:shd w:fill="auto" w:val="clear"/>
            <w:vAlign w:val="center"/>
          </w:tcPr>
          <w:p>
            <w:pPr>
              <w:pStyle w:val="TableContents"/>
              <w:spacing w:before="0" w:after="283"/>
              <w:jc w:val="left"/>
              <w:rPr/>
            </w:pPr>
            <w:r>
              <w:rPr/>
              <w:t>(1)</w:t>
            </w:r>
          </w:p>
        </w:tc>
        <w:tc>
          <w:tcPr>
            <w:tcW w:w="990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Effective December 31, 2022, Ms. Butler is no longer considered an executive officer as such term is defined under the Exchange Act. </w:t>
            </w:r>
          </w:p>
        </w:tc>
      </w:tr>
    </w:tbl>
    <w:p>
      <w:pPr>
        <w:pStyle w:val="TextBody"/>
        <w:spacing w:before="360" w:after="0"/>
        <w:jc w:val="left"/>
        <w:rPr>
          <w:rFonts w:ascii="Times New Roman" w:hAnsi="Times New Roman"/>
          <w:b/>
          <w:sz w:val="20"/>
        </w:rPr>
      </w:pPr>
      <w:r>
        <w:rPr>
          <w:rFonts w:ascii="Times New Roman" w:hAnsi="Times New Roman"/>
          <w:b/>
          <w:sz w:val="20"/>
        </w:rPr>
        <w:t xml:space="preserve">Fiscal 2022 Business Highlights </w:t>
      </w:r>
    </w:p>
    <w:p>
      <w:pPr>
        <w:pStyle w:val="TextBody"/>
        <w:spacing w:before="120" w:after="0"/>
        <w:jc w:val="left"/>
        <w:rPr>
          <w:rFonts w:ascii="Times New Roman" w:hAnsi="Times New Roman"/>
          <w:sz w:val="20"/>
        </w:rPr>
      </w:pPr>
      <w:r>
        <w:rPr>
          <w:rFonts w:ascii="Times New Roman" w:hAnsi="Times New Roman"/>
          <w:sz w:val="20"/>
        </w:rPr>
        <w:t xml:space="preserve">During Fiscal 2022, we made targeted investments in go-to-market, geographic expansion, and product and payment innovation. We saw the benefits of the execution of these growth strategies with notable success in our key investment areas, as we efficiently won new clients and cross-sold and up-sold existing ones. Despite the recent uncertain macroeconomic backdrop, the sustainability of our business model, combined with the resilience of the industries we serve, continued to position us well for ongoing success. Our business achievements during Fiscal 2022 include: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b/>
                <w:sz w:val="20"/>
              </w:rPr>
              <w:t>Delivered Strong Financial Results</w:t>
            </w:r>
            <w:r>
              <w:rPr>
                <w:rFonts w:ascii="Times New Roman" w:hAnsi="Times New Roman"/>
                <w:sz w:val="20"/>
              </w:rPr>
              <w:t xml:space="preserve">. We delivered strong results across key performance metrics. Our total payment volume was $18.1 billion, an increase of 37% year-over-year. Revenue increased 44% year-over-year to $289.4 million.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b/>
                <w:sz w:val="20"/>
              </w:rPr>
              <w:t>Client Growth</w:t>
            </w:r>
            <w:r>
              <w:rPr>
                <w:rFonts w:ascii="Times New Roman" w:hAnsi="Times New Roman"/>
                <w:sz w:val="20"/>
              </w:rPr>
              <w:t xml:space="preserve">. We added over 590 new clients, ending the year with over 3,100 clients in our four primary verticals as we continued to win new clients and expand our channel partnerships around the world. We continued to help our clients get paid and help their customers pay with ease – no matter where they are in the world. In addition, we continued to focus on solving the major pain points for our clients and continue to invest in accelerating our ability to build, sell and deploy new solutions.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b/>
                <w:sz w:val="20"/>
              </w:rPr>
              <w:t>Successful Acquisitions</w:t>
            </w:r>
            <w:r>
              <w:rPr>
                <w:rFonts w:ascii="Times New Roman" w:hAnsi="Times New Roman"/>
                <w:sz w:val="20"/>
              </w:rPr>
              <w:t xml:space="preserve">. We successfully integrated the WPM Group Ltd. (WPM) business and signed more than 40 clients for the combined solution. We also completed the acquisition of Cohort Solutions Pty Ltd. (CohortGo) in Australia and integrated it into our education vertical, enhancing our educational agent solution.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b/>
                <w:sz w:val="20"/>
              </w:rPr>
              <w:t>Launch of Inaugural ESG Report and Ongoing Work of The Flywire Charitable Foundation</w:t>
            </w:r>
            <w:r>
              <w:rPr>
                <w:rFonts w:ascii="Times New Roman" w:hAnsi="Times New Roman"/>
                <w:sz w:val="20"/>
              </w:rPr>
              <w:t xml:space="preserve">. In December 2022, we released our inaugural Environmental, Social and Governance (ESG) report, our first comprehensive summary of how we integrate social good initiatives into our business strategy. The report provides baseline metrics as well as a detailed overview of the core tenets of Flywire’s ESG program, which are shaped by many defining principles—from social impact and community engagement, to diversity, equity and inclusion (DE&amp;I), and much more. We continued to maximize our social impact initiatives both through the third annual scholarship program administered by The Flywire Charitable Foundation, and through purposeful philanthropy to non-profit organizations around the world.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b/>
                <w:sz w:val="20"/>
              </w:rPr>
              <w:t>Employee Growth and Culture</w:t>
            </w:r>
            <w:r>
              <w:rPr>
                <w:rFonts w:ascii="Times New Roman" w:hAnsi="Times New Roman"/>
                <w:sz w:val="20"/>
              </w:rPr>
              <w:t xml:space="preserve">. We grew from 665 to approximately 1,000 full-time FlyMates in Fiscal 2022, while being certified as a Great Place to Work®, being named to Inc. Magazine’s Best Workplaces of 2022, and Fortune Magazine’s Best Workplaces in Financial Services 2022. </w:t>
            </w:r>
          </w:p>
        </w:tc>
      </w:tr>
    </w:tbl>
    <w:p>
      <w:pPr>
        <w:pStyle w:val="TextBody"/>
        <w:spacing w:before="360" w:after="0"/>
        <w:jc w:val="left"/>
        <w:rPr>
          <w:rFonts w:ascii="Times New Roman" w:hAnsi="Times New Roman"/>
          <w:b/>
          <w:sz w:val="20"/>
        </w:rPr>
      </w:pPr>
      <w:r>
        <w:rPr>
          <w:rFonts w:ascii="Times New Roman" w:hAnsi="Times New Roman"/>
          <w:b/>
          <w:sz w:val="20"/>
        </w:rPr>
        <w:t xml:space="preserve">Fiscal 2022 Executive Compensation Program Highlights </w:t>
      </w:r>
    </w:p>
    <w:p>
      <w:pPr>
        <w:pStyle w:val="TextBody"/>
        <w:spacing w:before="120" w:after="0"/>
        <w:jc w:val="left"/>
        <w:rPr>
          <w:rFonts w:ascii="Times New Roman" w:hAnsi="Times New Roman"/>
          <w:sz w:val="20"/>
        </w:rPr>
      </w:pPr>
      <w:r>
        <w:rPr>
          <w:rFonts w:ascii="Times New Roman" w:hAnsi="Times New Roman"/>
          <w:sz w:val="20"/>
        </w:rPr>
        <w:t xml:space="preserve">Our Fiscal 2022 compensation program for our NEOs reflects our overarching philosophy of pay-for-performance. Highlights of our Fiscal 2022 executive compensation program include: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b/>
                <w:sz w:val="20"/>
              </w:rPr>
              <w:t>Established a Peer Group of Publicly-traded Companies.</w:t>
            </w:r>
            <w:r>
              <w:rPr>
                <w:rFonts w:ascii="Times New Roman" w:hAnsi="Times New Roman"/>
                <w:sz w:val="20"/>
              </w:rPr>
              <w:t xml:space="preserve"> The Compensation Committee of our Board of Directors (Compensation Committee) established a peer group of publicly-traded technology companies to evaluate our compensation practices for purposes such as pay levels and compensation program design for our NEOs.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b/>
                <w:sz w:val="20"/>
              </w:rPr>
              <w:t>Review of Total Compensation Opportunities</w:t>
            </w:r>
            <w:r>
              <w:rPr>
                <w:rFonts w:ascii="Times New Roman" w:hAnsi="Times New Roman"/>
                <w:sz w:val="20"/>
              </w:rPr>
              <w:t xml:space="preserve">. After evaluating the competitive positioning of our NEOs’ target cash compensation in the context of our overall compensation philosophy, we increased the Fiscal 2022 target cash compensation for our NEOs through adjustments to the annual target cash bonus while maintaining or moderately increasing base salaries. These changes were made with the goal of positioning total target cash compensation closer to the 25th percentile and total target direct compensation in the 50th – 75th percentile range of our peer group.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b/>
                <w:sz w:val="20"/>
              </w:rPr>
              <w:t>Challenging Annual Incentive Goals</w:t>
            </w:r>
            <w:r>
              <w:rPr>
                <w:rFonts w:ascii="Times New Roman" w:hAnsi="Times New Roman"/>
                <w:sz w:val="20"/>
              </w:rPr>
              <w:t xml:space="preserve">. Our NEOs were eligible to earn a cash bonus based on our achievement of annual corporate goals established by our Compensation Committee and, other than Messrs. Massaro and Orgel, achievement of pre-established individual performance goals. Based on our strong Fiscal 2022 performance, including revenue of $289.4 million, and the achievement of pre-established individual performance goals where applicable, our NEOs earned bonuses between 87% and 107% of their target bonus for the year.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b/>
                <w:sz w:val="20"/>
              </w:rPr>
              <w:t>Compensation Mix Weighted Towards Equity</w:t>
            </w:r>
            <w:r>
              <w:rPr>
                <w:rFonts w:ascii="Times New Roman" w:hAnsi="Times New Roman"/>
                <w:sz w:val="20"/>
              </w:rPr>
              <w:t xml:space="preserve">. Our NEOs total target direct compensation mix was more weighted towards equity than cash to emphasize alignment with stockholders and long-term performance. In Fiscal 2022, we implemented a job architecture framework for all FlyMates and in collaboration with our independent compensation consultant, analyzed roles and competencies, holistically reviewed market-competitive compensation practices, and implemented RSU awards as the basis for our equity compensation. Previously awarded options are factored into NEO compensation from a retention perspective, and in Fiscal 2022, we granted an average of over 80% of our NEOs’ target direct compensation as equity-based compensation in the form of RSUs. In addition, we granted an additional RSU award to each of Ms. Butler and Mr. King based on their contributions to the company, importance of their respective roles and to further incentivize and retain them. We believe that RSUs, as well as previously issued unvested stock options, support retention and effectively align the interests of our executives with those of our stockholders by directly linking compensation to the value of our common stock. </w:t>
            </w:r>
          </w:p>
        </w:tc>
      </w:tr>
    </w:tbl>
    <w:p>
      <w:pPr>
        <w:pStyle w:val="TextBody"/>
        <w:spacing w:before="360" w:after="0"/>
        <w:jc w:val="left"/>
        <w:rPr>
          <w:rFonts w:ascii="Times New Roman" w:hAnsi="Times New Roman"/>
          <w:b/>
          <w:sz w:val="20"/>
        </w:rPr>
      </w:pPr>
      <w:r>
        <w:rPr>
          <w:rFonts w:ascii="Times New Roman" w:hAnsi="Times New Roman"/>
          <w:b/>
          <w:sz w:val="20"/>
        </w:rPr>
        <w:t xml:space="preserve">Compensation Philosophy and Objectives </w:t>
      </w:r>
    </w:p>
    <w:p>
      <w:pPr>
        <w:pStyle w:val="TextBody"/>
        <w:spacing w:before="120" w:after="0"/>
        <w:jc w:val="left"/>
        <w:rPr>
          <w:rFonts w:ascii="Times New Roman" w:hAnsi="Times New Roman"/>
          <w:sz w:val="20"/>
        </w:rPr>
      </w:pPr>
      <w:r>
        <w:rPr>
          <w:rFonts w:ascii="Times New Roman" w:hAnsi="Times New Roman"/>
          <w:sz w:val="20"/>
        </w:rPr>
        <w:t xml:space="preserve">Our compensation philosophy and guiding principles provide a framework for the development and management of our executive compensation programs and practices.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b/>
                <w:sz w:val="20"/>
              </w:rPr>
              <w:t>Competitive.</w:t>
            </w:r>
            <w:r>
              <w:rPr>
                <w:rFonts w:ascii="Times New Roman" w:hAnsi="Times New Roman"/>
                <w:sz w:val="20"/>
              </w:rPr>
              <w:t xml:space="preserve"> Our compensation programs should be market-competitive, enabling Flywire to attract and retain top talent in a highly-competitive global technology market.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b/>
                <w:sz w:val="20"/>
              </w:rPr>
              <w:t xml:space="preserve">Pay-for-Performance. </w:t>
            </w:r>
            <w:r>
              <w:rPr>
                <w:rFonts w:ascii="Times New Roman" w:hAnsi="Times New Roman"/>
                <w:sz w:val="20"/>
              </w:rPr>
              <w:t xml:space="preserve">We strive to provide a strong relationship of pay to performance. Annual performance-based cash bonuses are tied primarily to achievement of corporate financial goals and, for certain executives, differentiating compensation based on individual performance in recognition of innovation, excellence in delivery and outsized impact. Long-term incentive awards deliver value based on the performance of our common stock.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b/>
                <w:sz w:val="20"/>
              </w:rPr>
              <w:t xml:space="preserve">Emphasis on Equity Compensation. </w:t>
            </w:r>
            <w:r>
              <w:rPr>
                <w:rFonts w:ascii="Times New Roman" w:hAnsi="Times New Roman"/>
                <w:sz w:val="20"/>
              </w:rPr>
              <w:t xml:space="preserve">Total compensation is heavily weighted toward equity incentive compensation. Long-term incentives focus our NEOs on sustainable and long-term stockholder value creation. The value realized by our NEOs depends on the value of our common stock, which we believe aligns our NEOs’ interests with the long-term interests of our stockholders.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b/>
                <w:sz w:val="20"/>
              </w:rPr>
              <w:t>Fair and Fact-Based.</w:t>
            </w:r>
            <w:r>
              <w:rPr>
                <w:rFonts w:ascii="Times New Roman" w:hAnsi="Times New Roman"/>
                <w:sz w:val="20"/>
              </w:rPr>
              <w:t xml:space="preserve"> We believe compensation decisions should be made based on objective and relevant information and support internal pay equity in support of our company core values of execution, ambitious innovation and global collaboration. </w:t>
            </w:r>
          </w:p>
        </w:tc>
      </w:tr>
    </w:tbl>
    <w:p>
      <w:pPr>
        <w:pStyle w:val="TextBody"/>
        <w:spacing w:before="0" w:after="0"/>
        <w:jc w:val="left"/>
        <w:rPr/>
      </w:pPr>
      <w:r>
        <w:rPr/>
        <w:t> </w:t>
      </w:r>
    </w:p>
    <w:tbl>
      <w:tblPr>
        <w:tblW w:w="9625" w:type="dxa"/>
        <w:jc w:val="left"/>
        <w:tblInd w:w="0" w:type="dxa"/>
        <w:tblCellMar>
          <w:top w:w="0" w:type="dxa"/>
          <w:left w:w="0" w:type="dxa"/>
          <w:bottom w:w="0" w:type="dxa"/>
          <w:right w:w="0" w:type="dxa"/>
        </w:tblCellMar>
      </w:tblPr>
      <w:tblGrid>
        <w:gridCol w:w="75"/>
        <w:gridCol w:w="110"/>
        <w:gridCol w:w="60"/>
        <w:gridCol w:w="93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b/>
                <w:sz w:val="20"/>
              </w:rPr>
              <w:t>Simple and Transparent.</w:t>
            </w:r>
            <w:r>
              <w:rPr>
                <w:rFonts w:ascii="Times New Roman" w:hAnsi="Times New Roman"/>
                <w:sz w:val="20"/>
              </w:rPr>
              <w:t xml:space="preserve"> Our compensation programs should be easy to understand, communicate and administer. </w:t>
            </w:r>
          </w:p>
        </w:tc>
      </w:tr>
    </w:tbl>
    <w:p>
      <w:pPr>
        <w:pStyle w:val="TextBody"/>
        <w:spacing w:before="240" w:after="0"/>
        <w:jc w:val="left"/>
        <w:rPr>
          <w:rFonts w:ascii="Times New Roman" w:hAnsi="Times New Roman"/>
          <w:sz w:val="20"/>
        </w:rPr>
      </w:pPr>
      <w:r>
        <w:rPr>
          <w:rFonts w:ascii="Times New Roman" w:hAnsi="Times New Roman"/>
          <w:sz w:val="20"/>
        </w:rPr>
        <w:t xml:space="preserve">In addition, our Compensation Committee seeks to ensure that we maintain sound governance and compensation policies and practices. Our key compensation practices include the following: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65"/>
        <w:gridCol w:w="120"/>
        <w:gridCol w:w="5696"/>
        <w:gridCol w:w="120"/>
        <w:gridCol w:w="60"/>
        <w:gridCol w:w="60"/>
        <w:gridCol w:w="155"/>
        <w:gridCol w:w="120"/>
        <w:gridCol w:w="3509"/>
      </w:tblGrid>
      <w:tr>
        <w:trPr/>
        <w:tc>
          <w:tcPr>
            <w:tcW w:w="3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69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509" w:type="dxa"/>
            <w:tcBorders/>
            <w:shd w:fill="auto" w:val="clear"/>
            <w:vAlign w:val="center"/>
          </w:tcPr>
          <w:p>
            <w:pPr>
              <w:pStyle w:val="TableContents"/>
              <w:spacing w:before="0" w:after="283"/>
              <w:rPr>
                <w:sz w:val="4"/>
                <w:szCs w:val="4"/>
              </w:rPr>
            </w:pPr>
            <w:r>
              <w:rPr>
                <w:sz w:val="4"/>
                <w:szCs w:val="4"/>
              </w:rPr>
            </w:r>
          </w:p>
        </w:tc>
      </w:tr>
      <w:tr>
        <w:trPr/>
        <w:tc>
          <w:tcPr>
            <w:tcW w:w="6181" w:type="dxa"/>
            <w:gridSpan w:val="3"/>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What We Do</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784" w:type="dxa"/>
            <w:gridSpan w:val="3"/>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What We Do Not Do</w:t>
            </w:r>
          </w:p>
        </w:tc>
      </w:tr>
      <w:tr>
        <w:trPr/>
        <w:tc>
          <w:tcPr>
            <w:tcW w:w="36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5696" w:type="dxa"/>
            <w:tcBorders/>
            <w:shd w:fill="CCEEFF" w:val="clear"/>
            <w:vAlign w:val="center"/>
          </w:tcPr>
          <w:p>
            <w:pPr>
              <w:pStyle w:val="TableContents"/>
              <w:spacing w:before="0" w:after="283"/>
              <w:rPr/>
            </w:pPr>
            <w:r>
              <w:rPr/>
              <w:t>Employ a pay-for-performance philosophy reflected in program design and target pay levels for NEOs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center"/>
              <w:rPr>
                <w:b/>
              </w:rPr>
            </w:pPr>
            <w:r>
              <w:rPr>
                <w:b/>
              </w:rPr>
              <w:t>×</w:t>
            </w:r>
          </w:p>
        </w:tc>
        <w:tc>
          <w:tcPr>
            <w:tcW w:w="120" w:type="dxa"/>
            <w:tcBorders/>
            <w:shd w:fill="CCEEFF" w:val="clear"/>
            <w:vAlign w:val="center"/>
          </w:tcPr>
          <w:p>
            <w:pPr>
              <w:pStyle w:val="TableContents"/>
              <w:spacing w:before="0" w:after="283"/>
              <w:rPr/>
            </w:pPr>
            <w:r>
              <w:rPr/>
              <w:t>  </w:t>
            </w:r>
          </w:p>
        </w:tc>
        <w:tc>
          <w:tcPr>
            <w:tcW w:w="3509" w:type="dxa"/>
            <w:tcBorders/>
            <w:shd w:fill="CCEEFF" w:val="clear"/>
            <w:vAlign w:val="center"/>
          </w:tcPr>
          <w:p>
            <w:pPr>
              <w:pStyle w:val="TableContents"/>
              <w:spacing w:before="0" w:after="283"/>
              <w:rPr/>
            </w:pPr>
            <w:r>
              <w:rPr/>
              <w:t>Guarantee bonuses to our executive officers</w:t>
            </w:r>
          </w:p>
        </w:tc>
      </w:tr>
      <w:tr>
        <w:trPr/>
        <w:tc>
          <w:tcPr>
            <w:tcW w:w="3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696" w:type="dxa"/>
            <w:tcBorders/>
            <w:shd w:fill="auto" w:val="clear"/>
            <w:vAlign w:val="center"/>
          </w:tcPr>
          <w:p>
            <w:pPr>
              <w:pStyle w:val="TableContents"/>
              <w:spacing w:before="0" w:after="283"/>
              <w:rPr/>
            </w:pPr>
            <w:r>
              <w:rPr/>
              <w:t>Deliver majority of compensation in equity to promote executive retention and reward long-term value creation</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jc w:val="center"/>
              <w:rPr>
                <w:b/>
              </w:rPr>
            </w:pPr>
            <w:r>
              <w:rPr>
                <w:b/>
              </w:rPr>
              <w:t>×</w:t>
            </w:r>
          </w:p>
        </w:tc>
        <w:tc>
          <w:tcPr>
            <w:tcW w:w="120" w:type="dxa"/>
            <w:tcBorders/>
            <w:shd w:fill="auto" w:val="clear"/>
            <w:vAlign w:val="center"/>
          </w:tcPr>
          <w:p>
            <w:pPr>
              <w:pStyle w:val="TableContents"/>
              <w:spacing w:before="0" w:after="283"/>
              <w:rPr/>
            </w:pPr>
            <w:r>
              <w:rPr/>
              <w:t>  </w:t>
            </w:r>
          </w:p>
        </w:tc>
        <w:tc>
          <w:tcPr>
            <w:tcW w:w="3509" w:type="dxa"/>
            <w:tcBorders/>
            <w:shd w:fill="auto" w:val="clear"/>
            <w:vAlign w:val="center"/>
          </w:tcPr>
          <w:p>
            <w:pPr>
              <w:pStyle w:val="TableContents"/>
              <w:spacing w:before="0" w:after="283"/>
              <w:rPr/>
            </w:pPr>
            <w:r>
              <w:rPr/>
              <w:t>Provide tax gross-ups</w:t>
            </w:r>
          </w:p>
        </w:tc>
      </w:tr>
      <w:tr>
        <w:trPr/>
        <w:tc>
          <w:tcPr>
            <w:tcW w:w="36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5696" w:type="dxa"/>
            <w:tcBorders/>
            <w:shd w:fill="CCEEFF" w:val="clear"/>
            <w:vAlign w:val="center"/>
          </w:tcPr>
          <w:p>
            <w:pPr>
              <w:pStyle w:val="TableContents"/>
              <w:spacing w:before="0" w:after="283"/>
              <w:rPr/>
            </w:pPr>
            <w:r>
              <w:rPr/>
              <w:t>Cap maximum annual cash incentive bonus payouts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center"/>
              <w:rPr>
                <w:b/>
              </w:rPr>
            </w:pPr>
            <w:r>
              <w:rPr>
                <w:b/>
              </w:rPr>
              <w:t>×</w:t>
            </w:r>
          </w:p>
        </w:tc>
        <w:tc>
          <w:tcPr>
            <w:tcW w:w="120" w:type="dxa"/>
            <w:tcBorders/>
            <w:shd w:fill="CCEEFF" w:val="clear"/>
            <w:vAlign w:val="center"/>
          </w:tcPr>
          <w:p>
            <w:pPr>
              <w:pStyle w:val="TableContents"/>
              <w:spacing w:before="0" w:after="283"/>
              <w:rPr/>
            </w:pPr>
            <w:r>
              <w:rPr/>
              <w:t>  </w:t>
            </w:r>
          </w:p>
        </w:tc>
        <w:tc>
          <w:tcPr>
            <w:tcW w:w="3509" w:type="dxa"/>
            <w:tcBorders/>
            <w:shd w:fill="CCEEFF" w:val="clear"/>
            <w:vAlign w:val="center"/>
          </w:tcPr>
          <w:p>
            <w:pPr>
              <w:pStyle w:val="TableContents"/>
              <w:spacing w:before="0" w:after="283"/>
              <w:rPr/>
            </w:pPr>
            <w:r>
              <w:rPr/>
              <w:t>Permit hedging or short sales of our common stock</w:t>
            </w:r>
          </w:p>
        </w:tc>
      </w:tr>
      <w:tr>
        <w:trPr/>
        <w:tc>
          <w:tcPr>
            <w:tcW w:w="3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696" w:type="dxa"/>
            <w:tcBorders/>
            <w:shd w:fill="auto" w:val="clear"/>
            <w:vAlign w:val="center"/>
          </w:tcPr>
          <w:p>
            <w:pPr>
              <w:pStyle w:val="TableContents"/>
              <w:spacing w:before="0" w:after="283"/>
              <w:rPr/>
            </w:pPr>
            <w:r>
              <w:rPr/>
              <w:t>Maintain and annually review a group of peer companies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jc w:val="center"/>
              <w:rPr>
                <w:b/>
              </w:rPr>
            </w:pPr>
            <w:r>
              <w:rPr>
                <w:b/>
              </w:rPr>
              <w:t>×</w:t>
            </w:r>
          </w:p>
        </w:tc>
        <w:tc>
          <w:tcPr>
            <w:tcW w:w="120" w:type="dxa"/>
            <w:tcBorders/>
            <w:shd w:fill="auto" w:val="clear"/>
            <w:vAlign w:val="center"/>
          </w:tcPr>
          <w:p>
            <w:pPr>
              <w:pStyle w:val="TableContents"/>
              <w:spacing w:before="0" w:after="283"/>
              <w:rPr/>
            </w:pPr>
            <w:r>
              <w:rPr/>
              <w:t>  </w:t>
            </w:r>
          </w:p>
        </w:tc>
        <w:tc>
          <w:tcPr>
            <w:tcW w:w="3509" w:type="dxa"/>
            <w:tcBorders/>
            <w:shd w:fill="auto" w:val="clear"/>
            <w:vAlign w:val="center"/>
          </w:tcPr>
          <w:p>
            <w:pPr>
              <w:pStyle w:val="TableContents"/>
              <w:spacing w:before="0" w:after="283"/>
              <w:rPr/>
            </w:pPr>
            <w:r>
              <w:rPr/>
              <w:t>Provide single trigger equity acceleration upon a change in control</w:t>
            </w:r>
          </w:p>
        </w:tc>
      </w:tr>
      <w:tr>
        <w:trPr/>
        <w:tc>
          <w:tcPr>
            <w:tcW w:w="36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5696" w:type="dxa"/>
            <w:tcBorders/>
            <w:shd w:fill="CCEEFF" w:val="clear"/>
            <w:vAlign w:val="center"/>
          </w:tcPr>
          <w:p>
            <w:pPr>
              <w:pStyle w:val="TableContents"/>
              <w:spacing w:before="0" w:after="283"/>
              <w:rPr/>
            </w:pPr>
            <w:r>
              <w:rPr/>
              <w:t>Fully independent directors on Compensation Committee</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center"/>
              <w:rPr>
                <w:b/>
              </w:rPr>
            </w:pPr>
            <w:r>
              <w:rPr>
                <w:b/>
              </w:rPr>
              <w:t>×</w:t>
            </w:r>
          </w:p>
        </w:tc>
        <w:tc>
          <w:tcPr>
            <w:tcW w:w="120" w:type="dxa"/>
            <w:tcBorders/>
            <w:shd w:fill="CCEEFF" w:val="clear"/>
            <w:vAlign w:val="center"/>
          </w:tcPr>
          <w:p>
            <w:pPr>
              <w:pStyle w:val="TableContents"/>
              <w:spacing w:before="0" w:after="283"/>
              <w:rPr/>
            </w:pPr>
            <w:r>
              <w:rPr/>
              <w:t>  </w:t>
            </w:r>
          </w:p>
        </w:tc>
        <w:tc>
          <w:tcPr>
            <w:tcW w:w="3509" w:type="dxa"/>
            <w:tcBorders/>
            <w:shd w:fill="CCEEFF" w:val="clear"/>
            <w:vAlign w:val="center"/>
          </w:tcPr>
          <w:p>
            <w:pPr>
              <w:pStyle w:val="TableContents"/>
              <w:spacing w:before="0" w:after="283"/>
              <w:rPr/>
            </w:pPr>
            <w:r>
              <w:rPr/>
              <w:t>Maintain compensation plans that encourage excessive risk taking</w:t>
            </w:r>
          </w:p>
        </w:tc>
      </w:tr>
      <w:tr>
        <w:trPr/>
        <w:tc>
          <w:tcPr>
            <w:tcW w:w="3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696" w:type="dxa"/>
            <w:tcBorders/>
            <w:shd w:fill="auto" w:val="clear"/>
            <w:vAlign w:val="center"/>
          </w:tcPr>
          <w:p>
            <w:pPr>
              <w:pStyle w:val="TableContents"/>
              <w:spacing w:before="0" w:after="283"/>
              <w:rPr/>
            </w:pPr>
            <w:r>
              <w:rPr/>
              <w:t>Engage an independent compensation consultant to advise our Compensation Committee</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b/>
              </w:rPr>
            </w:pPr>
            <w:r>
              <w:rPr>
                <w:b/>
              </w:rPr>
              <w:t>×</w:t>
            </w:r>
          </w:p>
        </w:tc>
        <w:tc>
          <w:tcPr>
            <w:tcW w:w="120" w:type="dxa"/>
            <w:tcBorders/>
            <w:shd w:fill="auto" w:val="clear"/>
            <w:vAlign w:val="center"/>
          </w:tcPr>
          <w:p>
            <w:pPr>
              <w:pStyle w:val="TableContents"/>
              <w:spacing w:before="0" w:after="283"/>
              <w:rPr/>
            </w:pPr>
            <w:r>
              <w:rPr/>
              <w:t>  </w:t>
            </w:r>
          </w:p>
        </w:tc>
        <w:tc>
          <w:tcPr>
            <w:tcW w:w="3509" w:type="dxa"/>
            <w:tcBorders/>
            <w:shd w:fill="auto" w:val="clear"/>
            <w:vAlign w:val="center"/>
          </w:tcPr>
          <w:p>
            <w:pPr>
              <w:pStyle w:val="TableContents"/>
              <w:spacing w:before="0" w:after="283"/>
              <w:rPr/>
            </w:pPr>
            <w:r>
              <w:rPr/>
              <w:t>Provide significant executive perquisites or personal benefits</w:t>
            </w:r>
          </w:p>
        </w:tc>
      </w:tr>
    </w:tbl>
    <w:p>
      <w:pPr>
        <w:pStyle w:val="TextBody"/>
        <w:spacing w:before="360" w:after="0"/>
        <w:jc w:val="left"/>
        <w:rPr>
          <w:rFonts w:ascii="Times New Roman" w:hAnsi="Times New Roman"/>
          <w:b/>
          <w:sz w:val="20"/>
        </w:rPr>
      </w:pPr>
      <w:r>
        <w:rPr>
          <w:rFonts w:ascii="Times New Roman" w:hAnsi="Times New Roman"/>
          <w:b/>
          <w:sz w:val="20"/>
        </w:rPr>
        <w:t xml:space="preserve">Compensation Governance and the Compensation-Setting Process </w:t>
      </w:r>
    </w:p>
    <w:p>
      <w:pPr>
        <w:pStyle w:val="TextBody"/>
        <w:spacing w:before="120" w:after="0"/>
        <w:jc w:val="left"/>
        <w:rPr>
          <w:rFonts w:ascii="Times New Roman" w:hAnsi="Times New Roman"/>
          <w:b/>
          <w:i/>
          <w:sz w:val="20"/>
        </w:rPr>
      </w:pPr>
      <w:r>
        <w:rPr>
          <w:rFonts w:ascii="Times New Roman" w:hAnsi="Times New Roman"/>
          <w:b/>
          <w:i/>
          <w:sz w:val="20"/>
        </w:rPr>
        <w:t xml:space="preserve">Role of Our Compensation Committee </w:t>
      </w:r>
    </w:p>
    <w:p>
      <w:pPr>
        <w:pStyle w:val="TextBody"/>
        <w:spacing w:before="120" w:after="0"/>
        <w:jc w:val="left"/>
        <w:rPr>
          <w:rFonts w:ascii="Times New Roman" w:hAnsi="Times New Roman"/>
          <w:sz w:val="20"/>
        </w:rPr>
      </w:pPr>
      <w:r>
        <w:rPr>
          <w:rFonts w:ascii="Times New Roman" w:hAnsi="Times New Roman"/>
          <w:sz w:val="20"/>
        </w:rPr>
        <w:t xml:space="preserve">Our executive compensation program is designed and administered under the direction and control of our Compensation Committee, which is made up solely of independent directors. Our Compensation Committee reviews and approves our overall executive compensation programs, policies, practices and metrics and sets the compensation of our executive officers, including our NEOs, as well as certain other members of our senior management team. </w:t>
      </w:r>
    </w:p>
    <w:p>
      <w:pPr>
        <w:pStyle w:val="TextBody"/>
        <w:spacing w:before="240" w:after="0"/>
        <w:jc w:val="left"/>
        <w:rPr>
          <w:rFonts w:ascii="Times New Roman" w:hAnsi="Times New Roman"/>
          <w:sz w:val="20"/>
        </w:rPr>
      </w:pPr>
      <w:r>
        <w:rPr>
          <w:rFonts w:ascii="Times New Roman" w:hAnsi="Times New Roman"/>
          <w:sz w:val="20"/>
        </w:rPr>
        <w:t xml:space="preserve">Our CEO, as the manager of the executive team, assesses the executives’ contributions to the corporate goals and makes a recommendation to our Compensation Committee with respect to any merit increase in salary, cash bonus and annual equity awards for each member of the executive team, other than himself. Our Compensation Committee then meets with our CEO to evaluate, discuss and modify or approve these recommendations. Our Compensation Committee also conducts a similar evaluation of our CEO’s contributions when our CEO is not present, and determines any increase in salary, cash bonus and annual replenishment equity award for him. </w:t>
      </w:r>
    </w:p>
    <w:p>
      <w:pPr>
        <w:pStyle w:val="TextBody"/>
        <w:spacing w:before="240" w:after="0"/>
        <w:jc w:val="left"/>
        <w:rPr>
          <w:rFonts w:ascii="Times New Roman" w:hAnsi="Times New Roman"/>
          <w:sz w:val="20"/>
        </w:rPr>
      </w:pPr>
      <w:r>
        <w:rPr>
          <w:rFonts w:ascii="Times New Roman" w:hAnsi="Times New Roman"/>
          <w:sz w:val="20"/>
        </w:rPr>
        <w:t xml:space="preserve">Our CEO provided the Compensation Committee with compensation summaries for each NEO early in Fiscal 2022. The Compensation Committee used the information in these summaries to assist with analyzing existing compensation and any proposed changes in compensation for each NEO. The summaries included information regarding the accumulated value of equity ownership, how much is unvested, and the amount of potential value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earnable under various share price scenarios. The summaries help our Compensation Committee to track changes in an NEO’s total direct compensation from year to year and to remain aware of the compensation historically paid to each NEO. In fulfilling its responsibilities, our Compensation Committee reviews the performance of each NEO at least once each year. </w:t>
      </w:r>
    </w:p>
    <w:p>
      <w:pPr>
        <w:pStyle w:val="TextBody"/>
        <w:spacing w:before="240" w:after="0"/>
        <w:jc w:val="left"/>
        <w:rPr>
          <w:rFonts w:ascii="Times New Roman" w:hAnsi="Times New Roman"/>
          <w:sz w:val="20"/>
        </w:rPr>
      </w:pPr>
      <w:r>
        <w:rPr>
          <w:rFonts w:ascii="Times New Roman" w:hAnsi="Times New Roman"/>
          <w:sz w:val="20"/>
        </w:rPr>
        <w:t xml:space="preserve">Our Compensation Committee meets regularly throughout the year to review our executive compensation program with the goal of ensuring it is consistent with our short-term and long-term goals given the dynamic nature of our business and the market in which we compete for executive talent. In addition to the information and analyses supplied to our Compensation Committee as described above and in the peer group segment below, members of our senior management team support our Compensation Committee in its work from time to time. </w:t>
      </w:r>
    </w:p>
    <w:p>
      <w:pPr>
        <w:pStyle w:val="TextBody"/>
        <w:spacing w:before="360" w:after="0"/>
        <w:jc w:val="left"/>
        <w:rPr>
          <w:rFonts w:ascii="Times New Roman" w:hAnsi="Times New Roman"/>
          <w:b/>
          <w:i/>
          <w:sz w:val="20"/>
        </w:rPr>
      </w:pPr>
      <w:r>
        <w:rPr>
          <w:rFonts w:ascii="Times New Roman" w:hAnsi="Times New Roman"/>
          <w:b/>
          <w:i/>
          <w:sz w:val="20"/>
        </w:rPr>
        <w:t xml:space="preserve">Compensation Consultant </w:t>
      </w:r>
    </w:p>
    <w:p>
      <w:pPr>
        <w:pStyle w:val="TextBody"/>
        <w:spacing w:before="120" w:after="0"/>
        <w:jc w:val="left"/>
        <w:rPr>
          <w:rFonts w:ascii="Times New Roman" w:hAnsi="Times New Roman"/>
          <w:sz w:val="20"/>
        </w:rPr>
      </w:pPr>
      <w:r>
        <w:rPr>
          <w:rFonts w:ascii="Times New Roman" w:hAnsi="Times New Roman"/>
          <w:sz w:val="20"/>
        </w:rPr>
        <w:t xml:space="preserve">Our Compensation Committee has the authority under its charter to directly retain, review fees for, and terminate advisors and consultants as it deems necessary to assist in the fulfillment of its responsibilities. For purposes of its Fiscal 2022 executive compensation decisions, our Compensation Committee engaged Compensia, Inc. (Compensia) as its independent compensation consultant (the compensation consultant). Our Compensation Committee’s compensation consultant provides information and analyses that serve as the basis for setting executive and director compensation levels and advises our Compensation Committee on compensation decisions. The compensation consultant also advises our Compensation Committee on the structure of executive and director compensation programs, including the design of incentive plans, the forms and mix of compensation, allocation of equity compensation, regulatory requirements and other topics relevant to executive and director compensation. Our Compensation Committee reviews the independence of its compensation consultant annually and found no conflict of interest with Compensia during its Fiscal 2022 independence review. During the second half of 2022, our Compensation Committee engaged ClearBridge Compensation Group to replace Compensia as its independent compensation consultant. </w:t>
      </w:r>
    </w:p>
    <w:p>
      <w:pPr>
        <w:pStyle w:val="TextBody"/>
        <w:spacing w:before="240" w:after="0"/>
        <w:jc w:val="left"/>
        <w:rPr>
          <w:rFonts w:ascii="Times New Roman" w:hAnsi="Times New Roman"/>
          <w:sz w:val="20"/>
        </w:rPr>
      </w:pPr>
      <w:r>
        <w:rPr>
          <w:rFonts w:ascii="Times New Roman" w:hAnsi="Times New Roman"/>
          <w:sz w:val="20"/>
        </w:rPr>
        <w:t xml:space="preserve">Our Compensation Committee’s compensation consultants did not provide any additional services beyond providing advice and recommendations on the amount or form of compensation for our directors and management during Fiscal 2022. Our Compensation Committee has adopted protocols governing if and when its compensation consultant’s advice and recommendations can be shared with management, recognizing that, in advising our Compensation Committee, it is necessary for the compensation consultant to interact with management to gather information. Our Compensation Committee also determines the appropriate forum for receiving recommendations from its compensation consultant. Where appropriate, our Compensation Committee invites management to provide context for the recommendations. In other cases, our Compensation Committee receives recommendations from its compensation consultant in executive sessions where management is not present. At such times as it deems necessary, our Compensation Committee also engages directly with its compensation consultant between formal meetings of the Compensation Committee. This approach further protects our Compensation Committee’s ability to receive objective advice from its compensation consultant and establishes a forum for independent decisions about executive pay. </w:t>
      </w:r>
    </w:p>
    <w:p>
      <w:pPr>
        <w:pStyle w:val="TextBody"/>
        <w:spacing w:before="360" w:after="0"/>
        <w:jc w:val="left"/>
        <w:rPr>
          <w:rFonts w:ascii="Times New Roman" w:hAnsi="Times New Roman"/>
          <w:b/>
          <w:i/>
          <w:sz w:val="20"/>
        </w:rPr>
      </w:pPr>
      <w:r>
        <w:rPr>
          <w:rFonts w:ascii="Times New Roman" w:hAnsi="Times New Roman"/>
          <w:b/>
          <w:i/>
          <w:sz w:val="20"/>
        </w:rPr>
        <w:t xml:space="preserve">Peer Group </w:t>
      </w:r>
    </w:p>
    <w:p>
      <w:pPr>
        <w:pStyle w:val="TextBody"/>
        <w:spacing w:before="120" w:after="0"/>
        <w:jc w:val="left"/>
        <w:rPr>
          <w:rFonts w:ascii="Times New Roman" w:hAnsi="Times New Roman"/>
          <w:sz w:val="20"/>
        </w:rPr>
      </w:pPr>
      <w:r>
        <w:rPr>
          <w:rFonts w:ascii="Times New Roman" w:hAnsi="Times New Roman"/>
          <w:sz w:val="20"/>
        </w:rPr>
        <w:t xml:space="preserve">Our Compensation Committee reviews market compensation levels at least annually to determine the placement of our executive compensation relative to the competitive market for executive talent. This assessment includes evaluation of base salary, and short- and long-term incentive opportunities against executive compensation reported by a peer group of companies selected by our Compensation Committee as comparable to Flywire in size and related industry, among other criteria. Our Compensation Committee also considers market compensation information collected from survey sources. The compensation consultant supports our Compensation Committee in the selection of the peer group of companies and also provides our Compensation Committee with analyses of each peer company’s executive compensation information.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Our Compensation Committee, based in part on advice from its compensation consultant, approved a group of peer companies in January 2022 which it used as a reference group in making executive compensation decisions for Fiscal 2022. The peer group companies were the same used in connection with compensation decisions at the time of our initial public offering in 2021. Criteria considered to determine the peer company group included industry, revenue, market capitalization, historic growth rates, location, employee count, and duration of time in operation as a public company. While some of the compensation peer group members may be significantly larger than Flywire in terms of revenue or market capitalization, our Compensation Committee has determined that such companies should be included in the peer group primarily because we compete with them for talent. The following companies were selected as our peer group for reference purposes when making executive compensation decisions for Fiscal 2022: </w:t>
      </w:r>
    </w:p>
    <w:p>
      <w:pPr>
        <w:pStyle w:val="TextBody"/>
        <w:spacing w:before="0" w:after="0"/>
        <w:jc w:val="left"/>
        <w:rPr/>
      </w:pPr>
      <w:r>
        <w:rPr/>
        <w:t> </w:t>
      </w:r>
    </w:p>
    <w:tbl>
      <w:tblPr>
        <w:tblW w:w="5270" w:type="dxa"/>
        <w:jc w:val="left"/>
        <w:tblInd w:w="0" w:type="dxa"/>
        <w:tblCellMar>
          <w:top w:w="0" w:type="dxa"/>
          <w:left w:w="0" w:type="dxa"/>
          <w:bottom w:w="0" w:type="dxa"/>
          <w:right w:w="0" w:type="dxa"/>
        </w:tblCellMar>
      </w:tblPr>
      <w:tblGrid>
        <w:gridCol w:w="125"/>
        <w:gridCol w:w="120"/>
        <w:gridCol w:w="2510"/>
        <w:gridCol w:w="60"/>
        <w:gridCol w:w="110"/>
        <w:gridCol w:w="120"/>
        <w:gridCol w:w="2225"/>
      </w:tblGrid>
      <w:tr>
        <w:trPr/>
        <w:tc>
          <w:tcPr>
            <w:tcW w:w="1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5"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2510" w:type="dxa"/>
            <w:tcBorders/>
            <w:shd w:fill="CCEEFF" w:val="clear"/>
            <w:vAlign w:val="center"/>
          </w:tcPr>
          <w:p>
            <w:pPr>
              <w:pStyle w:val="TableContents"/>
              <w:spacing w:before="0" w:after="283"/>
              <w:rPr/>
            </w:pPr>
            <w:r>
              <w:rPr/>
              <w:t>Anaplan</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center"/>
              <w:rPr/>
            </w:pPr>
            <w:r>
              <w:rPr/>
              <w:t>•</w:t>
            </w:r>
          </w:p>
        </w:tc>
        <w:tc>
          <w:tcPr>
            <w:tcW w:w="120" w:type="dxa"/>
            <w:tcBorders/>
            <w:shd w:fill="CCEEFF" w:val="clear"/>
            <w:vAlign w:val="center"/>
          </w:tcPr>
          <w:p>
            <w:pPr>
              <w:pStyle w:val="TableContents"/>
              <w:spacing w:before="0" w:after="283"/>
              <w:rPr/>
            </w:pPr>
            <w:r>
              <w:rPr/>
              <w:t>  </w:t>
            </w:r>
          </w:p>
        </w:tc>
        <w:tc>
          <w:tcPr>
            <w:tcW w:w="2225" w:type="dxa"/>
            <w:tcBorders/>
            <w:shd w:fill="CCEEFF" w:val="clear"/>
            <w:vAlign w:val="center"/>
          </w:tcPr>
          <w:p>
            <w:pPr>
              <w:pStyle w:val="TableContents"/>
              <w:spacing w:before="0" w:after="283"/>
              <w:rPr/>
            </w:pPr>
            <w:r>
              <w:rPr/>
              <w:t>Jfrog</w:t>
            </w:r>
          </w:p>
        </w:tc>
      </w:tr>
      <w:tr>
        <w:trPr/>
        <w:tc>
          <w:tcPr>
            <w:tcW w:w="12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2510" w:type="dxa"/>
            <w:tcBorders/>
            <w:shd w:fill="auto" w:val="clear"/>
            <w:vAlign w:val="center"/>
          </w:tcPr>
          <w:p>
            <w:pPr>
              <w:pStyle w:val="TableContents"/>
              <w:spacing w:before="0" w:after="283"/>
              <w:rPr/>
            </w:pPr>
            <w:r>
              <w:rPr/>
              <w:t>Asana</w:t>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283"/>
              <w:rPr/>
            </w:pPr>
            <w:r>
              <w:rPr/>
              <w:t>nCino</w:t>
            </w:r>
          </w:p>
        </w:tc>
      </w:tr>
      <w:tr>
        <w:trPr/>
        <w:tc>
          <w:tcPr>
            <w:tcW w:w="12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2510" w:type="dxa"/>
            <w:tcBorders/>
            <w:shd w:fill="CCEEFF" w:val="clear"/>
            <w:vAlign w:val="center"/>
          </w:tcPr>
          <w:p>
            <w:pPr>
              <w:pStyle w:val="TableContents"/>
              <w:spacing w:before="0" w:after="283"/>
              <w:rPr/>
            </w:pPr>
            <w:r>
              <w:rPr/>
              <w:t>Big Commerce Holdings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center"/>
              <w:rPr/>
            </w:pPr>
            <w:r>
              <w:rPr/>
              <w:t>•</w:t>
            </w:r>
          </w:p>
        </w:tc>
        <w:tc>
          <w:tcPr>
            <w:tcW w:w="120" w:type="dxa"/>
            <w:tcBorders/>
            <w:shd w:fill="CCEEFF" w:val="clear"/>
            <w:vAlign w:val="center"/>
          </w:tcPr>
          <w:p>
            <w:pPr>
              <w:pStyle w:val="TableContents"/>
              <w:spacing w:before="0" w:after="283"/>
              <w:rPr/>
            </w:pPr>
            <w:r>
              <w:rPr/>
              <w:t>  </w:t>
            </w:r>
          </w:p>
        </w:tc>
        <w:tc>
          <w:tcPr>
            <w:tcW w:w="2225" w:type="dxa"/>
            <w:tcBorders/>
            <w:shd w:fill="CCEEFF" w:val="clear"/>
            <w:vAlign w:val="center"/>
          </w:tcPr>
          <w:p>
            <w:pPr>
              <w:pStyle w:val="TableContents"/>
              <w:spacing w:before="0" w:after="283"/>
              <w:rPr/>
            </w:pPr>
            <w:r>
              <w:rPr/>
              <w:t>ON24</w:t>
            </w:r>
          </w:p>
        </w:tc>
      </w:tr>
      <w:tr>
        <w:trPr/>
        <w:tc>
          <w:tcPr>
            <w:tcW w:w="12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2510" w:type="dxa"/>
            <w:tcBorders/>
            <w:shd w:fill="auto" w:val="clear"/>
            <w:vAlign w:val="center"/>
          </w:tcPr>
          <w:p>
            <w:pPr>
              <w:pStyle w:val="TableContents"/>
              <w:spacing w:before="0" w:after="283"/>
              <w:rPr/>
            </w:pPr>
            <w:r>
              <w:rPr/>
              <w:t>Bill.com Holdings</w:t>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283"/>
              <w:rPr/>
            </w:pPr>
            <w:r>
              <w:rPr/>
              <w:t>Open Lending</w:t>
            </w:r>
          </w:p>
        </w:tc>
      </w:tr>
      <w:tr>
        <w:trPr/>
        <w:tc>
          <w:tcPr>
            <w:tcW w:w="12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2510" w:type="dxa"/>
            <w:tcBorders/>
            <w:shd w:fill="CCEEFF" w:val="clear"/>
            <w:vAlign w:val="center"/>
          </w:tcPr>
          <w:p>
            <w:pPr>
              <w:pStyle w:val="TableContents"/>
              <w:spacing w:before="0" w:after="283"/>
              <w:rPr/>
            </w:pPr>
            <w:r>
              <w:rPr/>
              <w:t>BTRS Holdings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center"/>
              <w:rPr/>
            </w:pPr>
            <w:r>
              <w:rPr/>
              <w:t>•</w:t>
            </w:r>
          </w:p>
        </w:tc>
        <w:tc>
          <w:tcPr>
            <w:tcW w:w="120" w:type="dxa"/>
            <w:tcBorders/>
            <w:shd w:fill="CCEEFF" w:val="clear"/>
            <w:vAlign w:val="center"/>
          </w:tcPr>
          <w:p>
            <w:pPr>
              <w:pStyle w:val="TableContents"/>
              <w:spacing w:before="0" w:after="283"/>
              <w:rPr/>
            </w:pPr>
            <w:r>
              <w:rPr/>
              <w:t>  </w:t>
            </w:r>
          </w:p>
        </w:tc>
        <w:tc>
          <w:tcPr>
            <w:tcW w:w="2225" w:type="dxa"/>
            <w:tcBorders/>
            <w:shd w:fill="CCEEFF" w:val="clear"/>
            <w:vAlign w:val="center"/>
          </w:tcPr>
          <w:p>
            <w:pPr>
              <w:pStyle w:val="TableContents"/>
              <w:spacing w:before="0" w:after="283"/>
              <w:rPr/>
            </w:pPr>
            <w:r>
              <w:rPr/>
              <w:t>Pager Duty</w:t>
            </w:r>
          </w:p>
        </w:tc>
      </w:tr>
      <w:tr>
        <w:trPr/>
        <w:tc>
          <w:tcPr>
            <w:tcW w:w="12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2510" w:type="dxa"/>
            <w:tcBorders/>
            <w:shd w:fill="auto" w:val="clear"/>
            <w:vAlign w:val="center"/>
          </w:tcPr>
          <w:p>
            <w:pPr>
              <w:pStyle w:val="TableContents"/>
              <w:spacing w:before="0" w:after="283"/>
              <w:rPr/>
            </w:pPr>
            <w:r>
              <w:rPr/>
              <w:t>C3.ai</w:t>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283"/>
              <w:rPr/>
            </w:pPr>
            <w:r>
              <w:rPr/>
              <w:t>Phreesia</w:t>
            </w:r>
          </w:p>
        </w:tc>
      </w:tr>
      <w:tr>
        <w:trPr/>
        <w:tc>
          <w:tcPr>
            <w:tcW w:w="12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2510" w:type="dxa"/>
            <w:tcBorders/>
            <w:shd w:fill="CCEEFF" w:val="clear"/>
            <w:vAlign w:val="center"/>
          </w:tcPr>
          <w:p>
            <w:pPr>
              <w:pStyle w:val="TableContents"/>
              <w:spacing w:before="0" w:after="283"/>
              <w:rPr/>
            </w:pPr>
            <w:r>
              <w:rPr/>
              <w:t>Domo</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center"/>
              <w:rPr/>
            </w:pPr>
            <w:r>
              <w:rPr/>
              <w:t>•</w:t>
            </w:r>
          </w:p>
        </w:tc>
        <w:tc>
          <w:tcPr>
            <w:tcW w:w="120" w:type="dxa"/>
            <w:tcBorders/>
            <w:shd w:fill="CCEEFF" w:val="clear"/>
            <w:vAlign w:val="center"/>
          </w:tcPr>
          <w:p>
            <w:pPr>
              <w:pStyle w:val="TableContents"/>
              <w:spacing w:before="0" w:after="283"/>
              <w:rPr/>
            </w:pPr>
            <w:r>
              <w:rPr/>
              <w:t>  </w:t>
            </w:r>
          </w:p>
        </w:tc>
        <w:tc>
          <w:tcPr>
            <w:tcW w:w="2225" w:type="dxa"/>
            <w:tcBorders/>
            <w:shd w:fill="CCEEFF" w:val="clear"/>
            <w:vAlign w:val="center"/>
          </w:tcPr>
          <w:p>
            <w:pPr>
              <w:pStyle w:val="TableContents"/>
              <w:spacing w:before="0" w:after="283"/>
              <w:rPr/>
            </w:pPr>
            <w:r>
              <w:rPr/>
              <w:t>Repay Holdings</w:t>
            </w:r>
          </w:p>
        </w:tc>
      </w:tr>
      <w:tr>
        <w:trPr/>
        <w:tc>
          <w:tcPr>
            <w:tcW w:w="12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2510" w:type="dxa"/>
            <w:tcBorders/>
            <w:shd w:fill="auto" w:val="clear"/>
            <w:vAlign w:val="center"/>
          </w:tcPr>
          <w:p>
            <w:pPr>
              <w:pStyle w:val="TableContents"/>
              <w:spacing w:before="0" w:after="283"/>
              <w:rPr/>
            </w:pPr>
            <w:r>
              <w:rPr/>
              <w:t>Duck Creek Technologies</w:t>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283"/>
              <w:rPr/>
            </w:pPr>
            <w:r>
              <w:rPr/>
              <w:t>SailPoint Technologies</w:t>
            </w:r>
          </w:p>
        </w:tc>
      </w:tr>
      <w:tr>
        <w:trPr/>
        <w:tc>
          <w:tcPr>
            <w:tcW w:w="12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2510" w:type="dxa"/>
            <w:tcBorders/>
            <w:shd w:fill="CCEEFF" w:val="clear"/>
            <w:vAlign w:val="center"/>
          </w:tcPr>
          <w:p>
            <w:pPr>
              <w:pStyle w:val="TableContents"/>
              <w:spacing w:before="0" w:after="283"/>
              <w:rPr/>
            </w:pPr>
            <w:r>
              <w:rPr/>
              <w:t>Everbridge</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center"/>
              <w:rPr/>
            </w:pPr>
            <w:r>
              <w:rPr/>
              <w:t>•</w:t>
            </w:r>
          </w:p>
        </w:tc>
        <w:tc>
          <w:tcPr>
            <w:tcW w:w="120" w:type="dxa"/>
            <w:tcBorders/>
            <w:shd w:fill="CCEEFF" w:val="clear"/>
            <w:vAlign w:val="center"/>
          </w:tcPr>
          <w:p>
            <w:pPr>
              <w:pStyle w:val="TableContents"/>
              <w:spacing w:before="0" w:after="283"/>
              <w:rPr/>
            </w:pPr>
            <w:r>
              <w:rPr/>
              <w:t>  </w:t>
            </w:r>
          </w:p>
        </w:tc>
        <w:tc>
          <w:tcPr>
            <w:tcW w:w="2225" w:type="dxa"/>
            <w:tcBorders/>
            <w:shd w:fill="CCEEFF" w:val="clear"/>
            <w:vAlign w:val="center"/>
          </w:tcPr>
          <w:p>
            <w:pPr>
              <w:pStyle w:val="TableContents"/>
              <w:spacing w:before="0" w:after="283"/>
              <w:rPr/>
            </w:pPr>
            <w:r>
              <w:rPr/>
              <w:t>Sprout Social</w:t>
            </w:r>
          </w:p>
        </w:tc>
      </w:tr>
      <w:tr>
        <w:trPr/>
        <w:tc>
          <w:tcPr>
            <w:tcW w:w="12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2510" w:type="dxa"/>
            <w:tcBorders/>
            <w:shd w:fill="auto" w:val="clear"/>
            <w:vAlign w:val="center"/>
          </w:tcPr>
          <w:p>
            <w:pPr>
              <w:pStyle w:val="TableContents"/>
              <w:spacing w:before="0" w:after="283"/>
              <w:rPr/>
            </w:pPr>
            <w:r>
              <w:rPr/>
              <w:t>Jamf Holding</w:t>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283"/>
              <w:rPr/>
            </w:pPr>
            <w:r>
              <w:rPr/>
              <w:t>Upstart Holdings</w:t>
            </w:r>
          </w:p>
        </w:tc>
      </w:tr>
    </w:tbl>
    <w:p>
      <w:pPr>
        <w:pStyle w:val="TextBody"/>
        <w:spacing w:before="240" w:after="0"/>
        <w:jc w:val="left"/>
        <w:rPr>
          <w:rFonts w:ascii="Times New Roman" w:hAnsi="Times New Roman"/>
          <w:sz w:val="20"/>
        </w:rPr>
      </w:pPr>
      <w:r>
        <w:rPr>
          <w:rFonts w:ascii="Times New Roman" w:hAnsi="Times New Roman"/>
          <w:sz w:val="20"/>
        </w:rPr>
        <w:t xml:space="preserve">When making compensation decisions for our NEOs, our Compensation Committee also reviews published survey and peer group compensation data for other companies that operate in the same space as Flywire. Competitive market practices are an important factor in our Compensation Committee’s decision-making process, although its decisions are not entirely based upon these factors. Rather, our Compensation Committee reviews and considers the peer group and other survey data to obtain a general understanding of current competitive compensation practices. Additionally, reviewing the peer group and survey compensation data enables our Compensation Committee to accomplish our goal of paying our NEOs what is appropriate and necessary to attract and retain qualified and committed executives while incentivizing achievement of our corporate goals and conserving cash and equity.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Principal Elements of Compensation </w:t>
      </w:r>
    </w:p>
    <w:p>
      <w:pPr>
        <w:pStyle w:val="TextBody"/>
        <w:spacing w:before="120" w:after="0"/>
        <w:jc w:val="left"/>
        <w:rPr>
          <w:rFonts w:ascii="Times New Roman" w:hAnsi="Times New Roman"/>
          <w:sz w:val="20"/>
        </w:rPr>
      </w:pPr>
      <w:r>
        <w:rPr>
          <w:rFonts w:ascii="Times New Roman" w:hAnsi="Times New Roman"/>
          <w:sz w:val="20"/>
        </w:rPr>
        <w:t xml:space="preserve">Our executive compensation program has the following principal elements: (i) base salary, (ii) annual short-term cash incentive bonuses, (iii) long-term incentive awards, and (iv) severance and change in control benefits. For base salary, annual cash bonuses and long-term incentive awards for our executive officers, our Company’s compensation philosophy generally is to evaluate individual experience and contribution, as well as corporate performance, and then consider competitive market analysis. The markets we are serving are highly competitive for talent and executive leadership. We generally set target total compensation using the 50th – 75th percentile range of our peer group as a reference point, with the mix more weighted towards equity than cash to emphasize alignment with stockholders and long-term performance. We believe it is important to drive our Company to over-perform the market in the long term. We also believe that to ensure an appropriate pay-for-performance alignment it may be appropriate for our Compensation Committee to approve compensation levels for individual executives that may be above or below target pay for similar positions based on experience, individual contribution and corporate performance. The following table describes the primary compensation elements used by our Company and main objectives of each element: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623"/>
        <w:gridCol w:w="120"/>
        <w:gridCol w:w="8462"/>
      </w:tblGrid>
      <w:tr>
        <w:trPr/>
        <w:tc>
          <w:tcPr>
            <w:tcW w:w="162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462" w:type="dxa"/>
            <w:tcBorders/>
            <w:shd w:fill="auto" w:val="clear"/>
            <w:vAlign w:val="center"/>
          </w:tcPr>
          <w:p>
            <w:pPr>
              <w:pStyle w:val="TableContents"/>
              <w:spacing w:before="0" w:after="283"/>
              <w:rPr>
                <w:sz w:val="4"/>
                <w:szCs w:val="4"/>
              </w:rPr>
            </w:pPr>
            <w:r>
              <w:rPr>
                <w:sz w:val="4"/>
                <w:szCs w:val="4"/>
              </w:rPr>
            </w:r>
          </w:p>
        </w:tc>
      </w:tr>
      <w:tr>
        <w:trPr/>
        <w:tc>
          <w:tcPr>
            <w:tcW w:w="1623" w:type="dxa"/>
            <w:tcBorders>
              <w:bottom w:val="single" w:sz="8" w:space="0" w:color="000000"/>
            </w:tcBorders>
            <w:shd w:fill="auto" w:val="clear"/>
            <w:tcMar>
              <w:bottom w:w="28" w:type="dxa"/>
            </w:tcMar>
            <w:vAlign w:val="center"/>
          </w:tcPr>
          <w:p>
            <w:pPr>
              <w:pStyle w:val="TableContents"/>
              <w:spacing w:before="0" w:after="20"/>
              <w:rPr>
                <w:rFonts w:ascii="Times New Roman" w:hAnsi="Times New Roman"/>
                <w:b/>
                <w:sz w:val="16"/>
              </w:rPr>
            </w:pPr>
            <w:r>
              <w:rPr>
                <w:rFonts w:ascii="Times New Roman" w:hAnsi="Times New Roman"/>
                <w:b/>
                <w:sz w:val="16"/>
              </w:rPr>
              <w:t>Compensation Element</w:t>
            </w:r>
          </w:p>
        </w:tc>
        <w:tc>
          <w:tcPr>
            <w:tcW w:w="120" w:type="dxa"/>
            <w:tcBorders/>
            <w:shd w:fill="auto" w:val="clear"/>
            <w:vAlign w:val="center"/>
          </w:tcPr>
          <w:p>
            <w:pPr>
              <w:pStyle w:val="TableContents"/>
              <w:spacing w:before="0" w:after="283"/>
              <w:rPr/>
            </w:pPr>
            <w:r>
              <w:rPr/>
              <w:t>  </w:t>
            </w:r>
          </w:p>
        </w:tc>
        <w:tc>
          <w:tcPr>
            <w:tcW w:w="8462" w:type="dxa"/>
            <w:tcBorders>
              <w:bottom w:val="single" w:sz="8" w:space="0" w:color="000000"/>
            </w:tcBorders>
            <w:shd w:fill="auto" w:val="clear"/>
            <w:tcMar>
              <w:bottom w:w="28" w:type="dxa"/>
            </w:tcMar>
            <w:vAlign w:val="center"/>
          </w:tcPr>
          <w:p>
            <w:pPr>
              <w:pStyle w:val="TableContents"/>
              <w:spacing w:before="0" w:after="20"/>
              <w:rPr>
                <w:rFonts w:ascii="Times New Roman" w:hAnsi="Times New Roman"/>
                <w:b/>
                <w:sz w:val="16"/>
              </w:rPr>
            </w:pPr>
            <w:r>
              <w:rPr>
                <w:rFonts w:ascii="Times New Roman" w:hAnsi="Times New Roman"/>
                <w:b/>
                <w:sz w:val="16"/>
              </w:rPr>
              <w:t>Objectives</w:t>
            </w:r>
          </w:p>
        </w:tc>
      </w:tr>
      <w:tr>
        <w:trPr/>
        <w:tc>
          <w:tcPr>
            <w:tcW w:w="1623" w:type="dxa"/>
            <w:tcBorders/>
            <w:shd w:fill="CCEEFF" w:val="clear"/>
            <w:vAlign w:val="center"/>
          </w:tcPr>
          <w:p>
            <w:pPr>
              <w:pStyle w:val="TableContents"/>
              <w:spacing w:before="0" w:after="283"/>
              <w:rPr>
                <w:b/>
              </w:rPr>
            </w:pPr>
            <w:r>
              <w:rPr>
                <w:b/>
              </w:rPr>
              <w:t>Base Salary</w:t>
            </w:r>
          </w:p>
        </w:tc>
        <w:tc>
          <w:tcPr>
            <w:tcW w:w="120" w:type="dxa"/>
            <w:tcBorders/>
            <w:shd w:fill="CCEEFF" w:val="clear"/>
            <w:vAlign w:val="center"/>
          </w:tcPr>
          <w:p>
            <w:pPr>
              <w:pStyle w:val="TableContents"/>
              <w:spacing w:before="0" w:after="283"/>
              <w:rPr/>
            </w:pPr>
            <w:r>
              <w:rPr/>
              <w:t>  </w:t>
            </w:r>
          </w:p>
        </w:tc>
        <w:tc>
          <w:tcPr>
            <w:tcW w:w="8462" w:type="dxa"/>
            <w:tcBorders/>
            <w:shd w:fill="CCEEFF" w:val="clear"/>
            <w:vAlign w:val="center"/>
          </w:tcPr>
          <w:p>
            <w:pPr>
              <w:pStyle w:val="TableContents"/>
              <w:spacing w:before="0" w:after="283"/>
              <w:rPr/>
            </w:pPr>
            <w:r>
              <w:rPr/>
              <w:t>Our Compensation Committee sets base salaries with the intent to attract and retain NEOs, reward satisfactory performance and provide a minimum, fixed level of cash compensation to compensate NEOs for their day-to-day responsibilities.</w:t>
            </w:r>
          </w:p>
        </w:tc>
      </w:tr>
      <w:tr>
        <w:trPr/>
        <w:tc>
          <w:tcPr>
            <w:tcW w:w="1623" w:type="dxa"/>
            <w:tcBorders/>
            <w:shd w:fill="auto" w:val="clear"/>
            <w:vAlign w:val="center"/>
          </w:tcPr>
          <w:p>
            <w:pPr>
              <w:pStyle w:val="TableContents"/>
              <w:spacing w:before="0" w:after="283"/>
              <w:rPr>
                <w:b/>
              </w:rPr>
            </w:pPr>
            <w:r>
              <w:rPr>
                <w:b/>
              </w:rPr>
              <w:t>Annual Cash Incentive Bonus</w:t>
            </w:r>
          </w:p>
        </w:tc>
        <w:tc>
          <w:tcPr>
            <w:tcW w:w="120" w:type="dxa"/>
            <w:tcBorders/>
            <w:shd w:fill="auto" w:val="clear"/>
            <w:vAlign w:val="center"/>
          </w:tcPr>
          <w:p>
            <w:pPr>
              <w:pStyle w:val="TableContents"/>
              <w:spacing w:before="0" w:after="283"/>
              <w:rPr/>
            </w:pPr>
            <w:r>
              <w:rPr/>
              <w:t>  </w:t>
            </w:r>
          </w:p>
        </w:tc>
        <w:tc>
          <w:tcPr>
            <w:tcW w:w="8462" w:type="dxa"/>
            <w:tcBorders/>
            <w:shd w:fill="auto" w:val="clear"/>
            <w:vAlign w:val="center"/>
          </w:tcPr>
          <w:p>
            <w:pPr>
              <w:pStyle w:val="TableContents"/>
              <w:spacing w:before="0" w:after="283"/>
              <w:rPr/>
            </w:pPr>
            <w:r>
              <w:rPr/>
              <w:t>Annual cash incentive bonuses are awarded under a performance-based compensation program and are designed to align the interests of our NEOs and stockholders by providing compensation based on the achievement of pre-established corporate and/or business goals and, for certain NEOs, individual performance goals.</w:t>
            </w:r>
          </w:p>
        </w:tc>
      </w:tr>
      <w:tr>
        <w:trPr/>
        <w:tc>
          <w:tcPr>
            <w:tcW w:w="1623"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Long-Term</w:t>
            </w:r>
          </w:p>
          <w:p>
            <w:pPr>
              <w:pStyle w:val="TableContents"/>
              <w:spacing w:before="0" w:after="20"/>
              <w:rPr>
                <w:rFonts w:ascii="Times New Roman" w:hAnsi="Times New Roman"/>
                <w:b/>
                <w:sz w:val="20"/>
              </w:rPr>
            </w:pPr>
            <w:r>
              <w:rPr>
                <w:rFonts w:ascii="Times New Roman" w:hAnsi="Times New Roman"/>
                <w:b/>
                <w:sz w:val="20"/>
              </w:rPr>
              <w:t>Incentive Awards</w:t>
            </w:r>
          </w:p>
        </w:tc>
        <w:tc>
          <w:tcPr>
            <w:tcW w:w="120" w:type="dxa"/>
            <w:tcBorders/>
            <w:shd w:fill="CCEEFF" w:val="clear"/>
            <w:vAlign w:val="center"/>
          </w:tcPr>
          <w:p>
            <w:pPr>
              <w:pStyle w:val="TableContents"/>
              <w:spacing w:before="0" w:after="283"/>
              <w:rPr/>
            </w:pPr>
            <w:r>
              <w:rPr/>
              <w:t>  </w:t>
            </w:r>
          </w:p>
        </w:tc>
        <w:tc>
          <w:tcPr>
            <w:tcW w:w="8462" w:type="dxa"/>
            <w:tcBorders/>
            <w:shd w:fill="CCEEFF" w:val="clear"/>
            <w:vAlign w:val="center"/>
          </w:tcPr>
          <w:p>
            <w:pPr>
              <w:pStyle w:val="TableContents"/>
              <w:spacing w:before="0" w:after="283"/>
              <w:rPr/>
            </w:pPr>
            <w:r>
              <w:rPr/>
              <w:t>Our Compensation Committee structures long-term incentive awards with the goal of aligning our NEOs’ interests with those of our stockholders, supporting retention and motivating NEOs to achieve our financial, strategic and operational goals. In Fiscal 2022, long-term incentive awards were in the form of time-based vesting RSUs.</w:t>
            </w:r>
          </w:p>
        </w:tc>
      </w:tr>
      <w:tr>
        <w:trPr/>
        <w:tc>
          <w:tcPr>
            <w:tcW w:w="1623" w:type="dxa"/>
            <w:tcBorders/>
            <w:shd w:fill="auto" w:val="clear"/>
            <w:vAlign w:val="center"/>
          </w:tcPr>
          <w:p>
            <w:pPr>
              <w:pStyle w:val="TableContents"/>
              <w:spacing w:before="0" w:after="283"/>
              <w:rPr>
                <w:b/>
              </w:rPr>
            </w:pPr>
            <w:r>
              <w:rPr>
                <w:b/>
              </w:rPr>
              <w:t>Severance and Change in Control Benefits</w:t>
            </w:r>
          </w:p>
        </w:tc>
        <w:tc>
          <w:tcPr>
            <w:tcW w:w="120" w:type="dxa"/>
            <w:tcBorders/>
            <w:shd w:fill="auto" w:val="clear"/>
            <w:vAlign w:val="center"/>
          </w:tcPr>
          <w:p>
            <w:pPr>
              <w:pStyle w:val="TableContents"/>
              <w:spacing w:before="0" w:after="283"/>
              <w:rPr/>
            </w:pPr>
            <w:r>
              <w:rPr/>
              <w:t>  </w:t>
            </w:r>
          </w:p>
        </w:tc>
        <w:tc>
          <w:tcPr>
            <w:tcW w:w="8462" w:type="dxa"/>
            <w:tcBorders/>
            <w:shd w:fill="auto" w:val="clear"/>
            <w:vAlign w:val="center"/>
          </w:tcPr>
          <w:p>
            <w:pPr>
              <w:pStyle w:val="TableContents"/>
              <w:spacing w:before="0" w:after="283"/>
              <w:rPr/>
            </w:pPr>
            <w:r>
              <w:rPr/>
              <w:t>Severance and change in control benefits are included in each NEO’s employment agreement in order to promote stability and continuity of our senior management team in the event of a potential change in control and/or an involuntary termination. Our Compensation Committee believes these provisions help to align each of our NEO’s interests appropriately with those of our stockholders in these scenarios.</w:t>
            </w:r>
          </w:p>
        </w:tc>
      </w:tr>
      <w:tr>
        <w:trPr/>
        <w:tc>
          <w:tcPr>
            <w:tcW w:w="1623" w:type="dxa"/>
            <w:tcBorders/>
            <w:shd w:fill="CCEEFF" w:val="clear"/>
            <w:vAlign w:val="center"/>
          </w:tcPr>
          <w:p>
            <w:pPr>
              <w:pStyle w:val="TableContents"/>
              <w:spacing w:before="0" w:after="283"/>
              <w:rPr>
                <w:b/>
              </w:rPr>
            </w:pPr>
            <w:r>
              <w:rPr>
                <w:b/>
              </w:rPr>
              <w:t>Benefits</w:t>
            </w:r>
          </w:p>
        </w:tc>
        <w:tc>
          <w:tcPr>
            <w:tcW w:w="120" w:type="dxa"/>
            <w:tcBorders/>
            <w:shd w:fill="CCEEFF" w:val="clear"/>
            <w:vAlign w:val="center"/>
          </w:tcPr>
          <w:p>
            <w:pPr>
              <w:pStyle w:val="TableContents"/>
              <w:spacing w:before="0" w:after="283"/>
              <w:rPr/>
            </w:pPr>
            <w:r>
              <w:rPr/>
              <w:t>  </w:t>
            </w:r>
          </w:p>
        </w:tc>
        <w:tc>
          <w:tcPr>
            <w:tcW w:w="8462" w:type="dxa"/>
            <w:tcBorders/>
            <w:shd w:fill="CCEEFF" w:val="clear"/>
            <w:vAlign w:val="center"/>
          </w:tcPr>
          <w:p>
            <w:pPr>
              <w:pStyle w:val="TableContents"/>
              <w:spacing w:before="0" w:after="283"/>
              <w:rPr/>
            </w:pPr>
            <w:r>
              <w:rPr/>
              <w:t>We offer competitive health and welfare benefits, as well as participation in an employee stock purchase plan and other employee benefit plans, to align with competitive norms for comparable companies.</w:t>
            </w:r>
          </w:p>
        </w:tc>
      </w:tr>
    </w:tbl>
    <w:p>
      <w:pPr>
        <w:pStyle w:val="TextBody"/>
        <w:spacing w:before="360" w:after="0"/>
        <w:jc w:val="left"/>
        <w:rPr>
          <w:rFonts w:ascii="Times New Roman" w:hAnsi="Times New Roman"/>
          <w:b/>
          <w:sz w:val="20"/>
        </w:rPr>
      </w:pPr>
      <w:r>
        <w:rPr>
          <w:rFonts w:ascii="Times New Roman" w:hAnsi="Times New Roman"/>
          <w:b/>
          <w:sz w:val="20"/>
        </w:rPr>
        <w:t xml:space="preserve">Fiscal 2022 Compensation Decisions </w:t>
      </w:r>
    </w:p>
    <w:p>
      <w:pPr>
        <w:pStyle w:val="TextBody"/>
        <w:spacing w:before="120" w:after="0"/>
        <w:jc w:val="left"/>
        <w:rPr>
          <w:rFonts w:ascii="Times New Roman" w:hAnsi="Times New Roman"/>
          <w:sz w:val="20"/>
        </w:rPr>
      </w:pPr>
      <w:r>
        <w:rPr>
          <w:rFonts w:ascii="Times New Roman" w:hAnsi="Times New Roman"/>
          <w:sz w:val="20"/>
        </w:rPr>
        <w:t xml:space="preserve">In determining the criteria for our NEOs’ incentive compensation, our Compensation Committee considers a variety of factors, including alignment of our NEOs’ compensation with our stockholders’ returns, and from time to time may adjust these factors or performance metrics based on our Company’s transactions or the occurrence of unknown or unexpected events, such as changes in accounting policies or shifts in regulatory environment, during the applicable measurement period. On the corporate level, our Compensation Committee selected certain key financial metrics that are important to the business which include Revenue Less Ancillary Services and Adjusted EBITDA as metrics that our Compensation Committee believes are important for both short-term success as well as for creating long-term sustainable stockholder value creation. As a result, our NEOs are focused on Revenue Less Ancillary Services and Adjusted EBITDA, which we believe is aligned with our stockholders’ perspective on our Company’s ability to grow and succeed in the short- and long-term.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Base Salary </w:t>
      </w:r>
    </w:p>
    <w:p>
      <w:pPr>
        <w:pStyle w:val="TextBody"/>
        <w:spacing w:before="120" w:after="0"/>
        <w:jc w:val="left"/>
        <w:rPr>
          <w:rFonts w:ascii="Times New Roman" w:hAnsi="Times New Roman"/>
          <w:sz w:val="20"/>
        </w:rPr>
      </w:pPr>
      <w:r>
        <w:rPr>
          <w:rFonts w:ascii="Times New Roman" w:hAnsi="Times New Roman"/>
          <w:sz w:val="20"/>
        </w:rPr>
        <w:t xml:space="preserve">Base salaries for our NEOs are initially determined as a result of negotiation between the executive and our management in consultation with, and subject to the approval of, our Compensation Committee. Our Compensation Committee reviews base salaries annually, typically in the first quarter, and has discretion to provide increases based on our Compensation Committee’s understanding of current competitive pay practices, promotions, our CEO’s recommendation (except for his own salary), changes in responsibilities and performance, our overall financial and operational results, the general economy, length of tenure, internal pay equity and other factors our Compensation Committee deems appropriate. Base salaries may also be adjusted during the year upon promotion or based on internal equity or external market conditions. Our Compensation Committee makes these decisions after reviewing the recommendation of our CEO (except as it concerns his own salary) and consulting with its compensation consultant. Following its review, in March 2022, our Compensation Committee determined not to adjust the annual base salaries of Messrs. Massaro and Orgel and to modestly increase the annual base salaries of Ms. Butler and Messrs. Ellis and King. The following table shows the annual base salary for each NEO for each of Fiscal 2021 and Fiscal 2022, as well as any applicable percentage increase. </w:t>
      </w:r>
    </w:p>
    <w:p>
      <w:pPr>
        <w:pStyle w:val="TextBody"/>
        <w:spacing w:before="0" w:after="0"/>
        <w:jc w:val="left"/>
        <w:rPr/>
      </w:pPr>
      <w:r>
        <w:rPr/>
        <w:t> </w:t>
      </w:r>
    </w:p>
    <w:tbl>
      <w:tblPr>
        <w:tblW w:w="5423" w:type="dxa"/>
        <w:jc w:val="left"/>
        <w:tblInd w:w="0" w:type="dxa"/>
        <w:tblCellMar>
          <w:top w:w="0" w:type="dxa"/>
          <w:left w:w="0" w:type="dxa"/>
          <w:bottom w:w="0" w:type="dxa"/>
          <w:right w:w="0" w:type="dxa"/>
        </w:tblCellMar>
      </w:tblPr>
      <w:tblGrid>
        <w:gridCol w:w="1430"/>
        <w:gridCol w:w="120"/>
        <w:gridCol w:w="154"/>
        <w:gridCol w:w="885"/>
        <w:gridCol w:w="60"/>
        <w:gridCol w:w="120"/>
        <w:gridCol w:w="154"/>
        <w:gridCol w:w="885"/>
        <w:gridCol w:w="60"/>
        <w:gridCol w:w="120"/>
        <w:gridCol w:w="156"/>
        <w:gridCol w:w="989"/>
        <w:gridCol w:w="290"/>
      </w:tblGrid>
      <w:tr>
        <w:trPr/>
        <w:tc>
          <w:tcPr>
            <w:tcW w:w="14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1430" w:type="dxa"/>
            <w:tcBorders/>
            <w:shd w:fill="auto" w:val="clear"/>
            <w:vAlign w:val="center"/>
          </w:tcPr>
          <w:p>
            <w:pPr>
              <w:pStyle w:val="TableContents"/>
              <w:spacing w:before="0" w:after="283"/>
              <w:rPr>
                <w:b/>
              </w:rPr>
            </w:pPr>
            <w:r>
              <w:rPr>
                <w:b/>
              </w:rPr>
              <w:t>Name</w:t>
            </w:r>
          </w:p>
        </w:tc>
        <w:tc>
          <w:tcPr>
            <w:tcW w:w="120" w:type="dxa"/>
            <w:tcBorders/>
            <w:shd w:fill="auto" w:val="clear"/>
            <w:vAlign w:val="center"/>
          </w:tcPr>
          <w:p>
            <w:pPr>
              <w:pStyle w:val="TableContents"/>
              <w:spacing w:before="0" w:after="283"/>
              <w:rPr/>
            </w:pPr>
            <w:r>
              <w:rPr/>
              <w:t>  </w:t>
            </w:r>
          </w:p>
        </w:tc>
        <w:tc>
          <w:tcPr>
            <w:tcW w:w="1039" w:type="dxa"/>
            <w:gridSpan w:val="2"/>
            <w:tcBorders/>
            <w:shd w:fill="auto" w:val="clear"/>
            <w:vAlign w:val="center"/>
          </w:tcPr>
          <w:p>
            <w:pPr>
              <w:pStyle w:val="TableContents"/>
              <w:spacing w:before="0" w:after="283"/>
              <w:jc w:val="center"/>
              <w:rPr>
                <w:b/>
              </w:rPr>
            </w:pPr>
            <w:r>
              <w:rPr>
                <w:b/>
              </w:rPr>
              <w:t>Fiscal</w:t>
              <w:br/>
              <w:t>2021 Base</w:t>
              <w:br/>
              <w:t>Salary</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39" w:type="dxa"/>
            <w:gridSpan w:val="2"/>
            <w:tcBorders/>
            <w:shd w:fill="auto" w:val="clear"/>
            <w:vAlign w:val="center"/>
          </w:tcPr>
          <w:p>
            <w:pPr>
              <w:pStyle w:val="TableContents"/>
              <w:spacing w:before="0" w:after="283"/>
              <w:jc w:val="center"/>
              <w:rPr>
                <w:b/>
              </w:rPr>
            </w:pPr>
            <w:r>
              <w:rPr>
                <w:b/>
              </w:rPr>
              <w:t>Fiscal</w:t>
              <w:br/>
              <w:t>2022 Base</w:t>
              <w:br/>
              <w:t>Salary (1)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45" w:type="dxa"/>
            <w:gridSpan w:val="2"/>
            <w:tcBorders/>
            <w:shd w:fill="auto" w:val="clear"/>
            <w:vAlign w:val="center"/>
          </w:tcPr>
          <w:p>
            <w:pPr>
              <w:pStyle w:val="TableContents"/>
              <w:spacing w:before="0" w:after="283"/>
              <w:jc w:val="center"/>
              <w:rPr>
                <w:b/>
              </w:rPr>
            </w:pPr>
            <w:r>
              <w:rPr>
                <w:b/>
              </w:rPr>
              <w:t>Percentage</w:t>
              <w:br/>
              <w:t>Increase</w:t>
            </w:r>
          </w:p>
        </w:tc>
        <w:tc>
          <w:tcPr>
            <w:tcW w:w="290" w:type="dxa"/>
            <w:tcBorders/>
            <w:shd w:fill="auto" w:val="clear"/>
            <w:vAlign w:val="center"/>
          </w:tcPr>
          <w:p>
            <w:pPr>
              <w:pStyle w:val="TableContents"/>
              <w:spacing w:before="0" w:after="283"/>
              <w:rPr/>
            </w:pPr>
            <w:r>
              <w:rPr/>
              <w:t> </w:t>
            </w:r>
          </w:p>
        </w:tc>
      </w:tr>
      <w:tr>
        <w:trPr/>
        <w:tc>
          <w:tcPr>
            <w:tcW w:w="14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Michael Massaro</w:t>
            </w:r>
          </w:p>
        </w:tc>
        <w:tc>
          <w:tcPr>
            <w:tcW w:w="12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w:t>
            </w:r>
          </w:p>
        </w:tc>
        <w:tc>
          <w:tcPr>
            <w:tcW w:w="885" w:type="dxa"/>
            <w:tcBorders/>
            <w:shd w:fill="CCEEFF" w:val="clear"/>
            <w:vAlign w:val="center"/>
          </w:tcPr>
          <w:p>
            <w:pPr>
              <w:pStyle w:val="TableContents"/>
              <w:spacing w:before="0" w:after="283"/>
              <w:jc w:val="right"/>
              <w:rPr/>
            </w:pPr>
            <w:r>
              <w:rPr/>
              <w:t>450,000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w:t>
            </w:r>
          </w:p>
        </w:tc>
        <w:tc>
          <w:tcPr>
            <w:tcW w:w="885" w:type="dxa"/>
            <w:tcBorders/>
            <w:shd w:fill="CCEEFF" w:val="clear"/>
            <w:vAlign w:val="center"/>
          </w:tcPr>
          <w:p>
            <w:pPr>
              <w:pStyle w:val="TableContents"/>
              <w:spacing w:before="0" w:after="283"/>
              <w:jc w:val="right"/>
              <w:rPr/>
            </w:pPr>
            <w:r>
              <w:rPr/>
              <w:t>450,000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6" w:type="dxa"/>
            <w:tcBorders/>
            <w:shd w:fill="CCEEFF" w:val="clear"/>
            <w:vAlign w:val="center"/>
          </w:tcPr>
          <w:p>
            <w:pPr>
              <w:pStyle w:val="TableContents"/>
              <w:spacing w:before="0" w:after="283"/>
              <w:rPr/>
            </w:pPr>
            <w:r>
              <w:rPr/>
              <w:t> </w:t>
            </w:r>
          </w:p>
        </w:tc>
        <w:tc>
          <w:tcPr>
            <w:tcW w:w="989" w:type="dxa"/>
            <w:tcBorders/>
            <w:shd w:fill="CCEEFF" w:val="clear"/>
            <w:vAlign w:val="center"/>
          </w:tcPr>
          <w:p>
            <w:pPr>
              <w:pStyle w:val="TableContents"/>
              <w:spacing w:before="0" w:after="283"/>
              <w:jc w:val="right"/>
              <w:rPr/>
            </w:pPr>
            <w:r>
              <w:rPr/>
              <w:t>—  </w:t>
            </w:r>
          </w:p>
        </w:tc>
        <w:tc>
          <w:tcPr>
            <w:tcW w:w="290" w:type="dxa"/>
            <w:tcBorders/>
            <w:shd w:fill="CCEEFF" w:val="clear"/>
            <w:vAlign w:val="center"/>
          </w:tcPr>
          <w:p>
            <w:pPr>
              <w:pStyle w:val="TableContents"/>
              <w:spacing w:before="0" w:after="283"/>
              <w:rPr/>
            </w:pPr>
            <w:r>
              <w:rPr/>
              <w:t> </w:t>
            </w:r>
          </w:p>
        </w:tc>
      </w:tr>
      <w:tr>
        <w:trPr/>
        <w:tc>
          <w:tcPr>
            <w:tcW w:w="14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Robert Orgel</w:t>
            </w:r>
          </w:p>
        </w:tc>
        <w:tc>
          <w:tcPr>
            <w:tcW w:w="12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w:t>
            </w:r>
          </w:p>
        </w:tc>
        <w:tc>
          <w:tcPr>
            <w:tcW w:w="885" w:type="dxa"/>
            <w:tcBorders/>
            <w:shd w:fill="auto" w:val="clear"/>
            <w:vAlign w:val="center"/>
          </w:tcPr>
          <w:p>
            <w:pPr>
              <w:pStyle w:val="TableContents"/>
              <w:spacing w:before="0" w:after="283"/>
              <w:jc w:val="right"/>
              <w:rPr/>
            </w:pPr>
            <w:r>
              <w:rPr/>
              <w:t>350,000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w:t>
            </w:r>
          </w:p>
        </w:tc>
        <w:tc>
          <w:tcPr>
            <w:tcW w:w="885" w:type="dxa"/>
            <w:tcBorders/>
            <w:shd w:fill="auto" w:val="clear"/>
            <w:vAlign w:val="center"/>
          </w:tcPr>
          <w:p>
            <w:pPr>
              <w:pStyle w:val="TableContents"/>
              <w:spacing w:before="0" w:after="283"/>
              <w:jc w:val="right"/>
              <w:rPr/>
            </w:pPr>
            <w:r>
              <w:rPr/>
              <w:t>350,000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6" w:type="dxa"/>
            <w:tcBorders/>
            <w:shd w:fill="auto" w:val="clear"/>
            <w:vAlign w:val="center"/>
          </w:tcPr>
          <w:p>
            <w:pPr>
              <w:pStyle w:val="TableContents"/>
              <w:spacing w:before="0" w:after="283"/>
              <w:rPr/>
            </w:pPr>
            <w:r>
              <w:rPr/>
              <w:t> </w:t>
            </w:r>
          </w:p>
        </w:tc>
        <w:tc>
          <w:tcPr>
            <w:tcW w:w="989" w:type="dxa"/>
            <w:tcBorders/>
            <w:shd w:fill="auto" w:val="clear"/>
            <w:vAlign w:val="center"/>
          </w:tcPr>
          <w:p>
            <w:pPr>
              <w:pStyle w:val="TableContents"/>
              <w:spacing w:before="0" w:after="283"/>
              <w:jc w:val="right"/>
              <w:rPr/>
            </w:pPr>
            <w:r>
              <w:rPr/>
              <w:t>—  </w:t>
            </w:r>
          </w:p>
        </w:tc>
        <w:tc>
          <w:tcPr>
            <w:tcW w:w="290" w:type="dxa"/>
            <w:tcBorders/>
            <w:shd w:fill="auto" w:val="clear"/>
            <w:vAlign w:val="center"/>
          </w:tcPr>
          <w:p>
            <w:pPr>
              <w:pStyle w:val="TableContents"/>
              <w:spacing w:before="0" w:after="283"/>
              <w:rPr/>
            </w:pPr>
            <w:r>
              <w:rPr/>
              <w:t> </w:t>
            </w:r>
          </w:p>
        </w:tc>
      </w:tr>
      <w:tr>
        <w:trPr/>
        <w:tc>
          <w:tcPr>
            <w:tcW w:w="14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Michael Ellis</w:t>
            </w:r>
          </w:p>
        </w:tc>
        <w:tc>
          <w:tcPr>
            <w:tcW w:w="12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w:t>
            </w:r>
          </w:p>
        </w:tc>
        <w:tc>
          <w:tcPr>
            <w:tcW w:w="885" w:type="dxa"/>
            <w:tcBorders/>
            <w:shd w:fill="CCEEFF" w:val="clear"/>
            <w:vAlign w:val="center"/>
          </w:tcPr>
          <w:p>
            <w:pPr>
              <w:pStyle w:val="TableContents"/>
              <w:spacing w:before="0" w:after="283"/>
              <w:jc w:val="right"/>
              <w:rPr/>
            </w:pPr>
            <w:r>
              <w:rPr/>
              <w:t>300,000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w:t>
            </w:r>
          </w:p>
        </w:tc>
        <w:tc>
          <w:tcPr>
            <w:tcW w:w="885" w:type="dxa"/>
            <w:tcBorders/>
            <w:shd w:fill="CCEEFF" w:val="clear"/>
            <w:vAlign w:val="center"/>
          </w:tcPr>
          <w:p>
            <w:pPr>
              <w:pStyle w:val="TableContents"/>
              <w:spacing w:before="0" w:after="283"/>
              <w:jc w:val="right"/>
              <w:rPr/>
            </w:pPr>
            <w:r>
              <w:rPr/>
              <w:t>325,000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6" w:type="dxa"/>
            <w:tcBorders/>
            <w:shd w:fill="CCEEFF" w:val="clear"/>
            <w:vAlign w:val="center"/>
          </w:tcPr>
          <w:p>
            <w:pPr>
              <w:pStyle w:val="TableContents"/>
              <w:spacing w:before="0" w:after="283"/>
              <w:rPr/>
            </w:pPr>
            <w:r>
              <w:rPr/>
              <w:t> </w:t>
            </w:r>
          </w:p>
        </w:tc>
        <w:tc>
          <w:tcPr>
            <w:tcW w:w="989" w:type="dxa"/>
            <w:tcBorders/>
            <w:shd w:fill="CCEEFF" w:val="clear"/>
            <w:vAlign w:val="center"/>
          </w:tcPr>
          <w:p>
            <w:pPr>
              <w:pStyle w:val="TableContents"/>
              <w:spacing w:before="0" w:after="283"/>
              <w:jc w:val="right"/>
              <w:rPr/>
            </w:pPr>
            <w:r>
              <w:rPr/>
              <w:t>8</w:t>
            </w:r>
          </w:p>
        </w:tc>
        <w:tc>
          <w:tcPr>
            <w:tcW w:w="290" w:type="dxa"/>
            <w:tcBorders/>
            <w:shd w:fill="CCEEFF" w:val="clear"/>
            <w:vAlign w:val="center"/>
          </w:tcPr>
          <w:p>
            <w:pPr>
              <w:pStyle w:val="TableContents"/>
              <w:spacing w:before="0" w:after="283"/>
              <w:rPr/>
            </w:pPr>
            <w:r>
              <w:rPr/>
              <w:t>% </w:t>
            </w:r>
          </w:p>
        </w:tc>
      </w:tr>
      <w:tr>
        <w:trPr/>
        <w:tc>
          <w:tcPr>
            <w:tcW w:w="14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Sharon Butler</w:t>
            </w:r>
          </w:p>
        </w:tc>
        <w:tc>
          <w:tcPr>
            <w:tcW w:w="12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w:t>
            </w:r>
          </w:p>
        </w:tc>
        <w:tc>
          <w:tcPr>
            <w:tcW w:w="885" w:type="dxa"/>
            <w:tcBorders/>
            <w:shd w:fill="auto" w:val="clear"/>
            <w:vAlign w:val="center"/>
          </w:tcPr>
          <w:p>
            <w:pPr>
              <w:pStyle w:val="TableContents"/>
              <w:spacing w:before="0" w:after="283"/>
              <w:jc w:val="right"/>
              <w:rPr/>
            </w:pPr>
            <w:r>
              <w:rPr/>
              <w:t>275,000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w:t>
            </w:r>
          </w:p>
        </w:tc>
        <w:tc>
          <w:tcPr>
            <w:tcW w:w="885" w:type="dxa"/>
            <w:tcBorders/>
            <w:shd w:fill="auto" w:val="clear"/>
            <w:vAlign w:val="center"/>
          </w:tcPr>
          <w:p>
            <w:pPr>
              <w:pStyle w:val="TableContents"/>
              <w:spacing w:before="0" w:after="283"/>
              <w:jc w:val="right"/>
              <w:rPr/>
            </w:pPr>
            <w:r>
              <w:rPr/>
              <w:t>300,000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6" w:type="dxa"/>
            <w:tcBorders/>
            <w:shd w:fill="auto" w:val="clear"/>
            <w:vAlign w:val="center"/>
          </w:tcPr>
          <w:p>
            <w:pPr>
              <w:pStyle w:val="TableContents"/>
              <w:spacing w:before="0" w:after="283"/>
              <w:rPr/>
            </w:pPr>
            <w:r>
              <w:rPr/>
              <w:t> </w:t>
            </w:r>
          </w:p>
        </w:tc>
        <w:tc>
          <w:tcPr>
            <w:tcW w:w="989" w:type="dxa"/>
            <w:tcBorders/>
            <w:shd w:fill="auto" w:val="clear"/>
            <w:vAlign w:val="center"/>
          </w:tcPr>
          <w:p>
            <w:pPr>
              <w:pStyle w:val="TableContents"/>
              <w:spacing w:before="0" w:after="283"/>
              <w:jc w:val="right"/>
              <w:rPr/>
            </w:pPr>
            <w:r>
              <w:rPr/>
              <w:t>9</w:t>
            </w:r>
          </w:p>
        </w:tc>
        <w:tc>
          <w:tcPr>
            <w:tcW w:w="290" w:type="dxa"/>
            <w:tcBorders/>
            <w:shd w:fill="auto" w:val="clear"/>
            <w:vAlign w:val="center"/>
          </w:tcPr>
          <w:p>
            <w:pPr>
              <w:pStyle w:val="TableContents"/>
              <w:spacing w:before="0" w:after="283"/>
              <w:rPr/>
            </w:pPr>
            <w:r>
              <w:rPr/>
              <w:t>% </w:t>
            </w:r>
          </w:p>
        </w:tc>
      </w:tr>
      <w:tr>
        <w:trPr/>
        <w:tc>
          <w:tcPr>
            <w:tcW w:w="14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David King</w:t>
            </w:r>
          </w:p>
        </w:tc>
        <w:tc>
          <w:tcPr>
            <w:tcW w:w="12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w:t>
            </w:r>
          </w:p>
        </w:tc>
        <w:tc>
          <w:tcPr>
            <w:tcW w:w="885" w:type="dxa"/>
            <w:tcBorders/>
            <w:shd w:fill="CCEEFF" w:val="clear"/>
            <w:vAlign w:val="center"/>
          </w:tcPr>
          <w:p>
            <w:pPr>
              <w:pStyle w:val="TableContents"/>
              <w:spacing w:before="0" w:after="283"/>
              <w:jc w:val="right"/>
              <w:rPr/>
            </w:pPr>
            <w:r>
              <w:rPr/>
              <w:t>275,000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w:t>
            </w:r>
          </w:p>
        </w:tc>
        <w:tc>
          <w:tcPr>
            <w:tcW w:w="885" w:type="dxa"/>
            <w:tcBorders/>
            <w:shd w:fill="CCEEFF" w:val="clear"/>
            <w:vAlign w:val="center"/>
          </w:tcPr>
          <w:p>
            <w:pPr>
              <w:pStyle w:val="TableContents"/>
              <w:spacing w:before="0" w:after="283"/>
              <w:jc w:val="right"/>
              <w:rPr/>
            </w:pPr>
            <w:r>
              <w:rPr/>
              <w:t>300,000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6" w:type="dxa"/>
            <w:tcBorders/>
            <w:shd w:fill="CCEEFF" w:val="clear"/>
            <w:vAlign w:val="center"/>
          </w:tcPr>
          <w:p>
            <w:pPr>
              <w:pStyle w:val="TableContents"/>
              <w:spacing w:before="0" w:after="283"/>
              <w:rPr/>
            </w:pPr>
            <w:r>
              <w:rPr/>
              <w:t> </w:t>
            </w:r>
          </w:p>
        </w:tc>
        <w:tc>
          <w:tcPr>
            <w:tcW w:w="989" w:type="dxa"/>
            <w:tcBorders/>
            <w:shd w:fill="CCEEFF" w:val="clear"/>
            <w:vAlign w:val="center"/>
          </w:tcPr>
          <w:p>
            <w:pPr>
              <w:pStyle w:val="TableContents"/>
              <w:spacing w:before="0" w:after="283"/>
              <w:jc w:val="right"/>
              <w:rPr/>
            </w:pPr>
            <w:r>
              <w:rPr/>
              <w:t>9</w:t>
            </w:r>
          </w:p>
        </w:tc>
        <w:tc>
          <w:tcPr>
            <w:tcW w:w="290" w:type="dxa"/>
            <w:tcBorders/>
            <w:shd w:fill="CCEEFF" w:val="clear"/>
            <w:vAlign w:val="center"/>
          </w:tcPr>
          <w:p>
            <w:pPr>
              <w:pStyle w:val="TableContents"/>
              <w:spacing w:before="0" w:after="283"/>
              <w:rPr/>
            </w:pPr>
            <w:r>
              <w:rPr/>
              <w:t>% </w:t>
            </w:r>
          </w:p>
        </w:tc>
      </w:tr>
    </w:tbl>
    <w:p>
      <w:pPr>
        <w:pStyle w:val="TextBody"/>
        <w:spacing w:before="0" w:after="0"/>
        <w:jc w:val="left"/>
        <w:rPr/>
      </w:pPr>
      <w:r>
        <w:rPr/>
        <w:t> </w:t>
      </w:r>
    </w:p>
    <w:tbl>
      <w:tblPr>
        <w:tblW w:w="4870" w:type="dxa"/>
        <w:jc w:val="left"/>
        <w:tblInd w:w="0" w:type="dxa"/>
        <w:tblCellMar>
          <w:top w:w="0" w:type="dxa"/>
          <w:left w:w="0" w:type="dxa"/>
          <w:bottom w:w="0" w:type="dxa"/>
          <w:right w:w="0" w:type="dxa"/>
        </w:tblCellMar>
      </w:tblPr>
      <w:tblGrid>
        <w:gridCol w:w="305"/>
        <w:gridCol w:w="4565"/>
      </w:tblGrid>
      <w:tr>
        <w:trPr/>
        <w:tc>
          <w:tcPr>
            <w:tcW w:w="305" w:type="dxa"/>
            <w:tcBorders/>
            <w:shd w:fill="auto" w:val="clear"/>
            <w:vAlign w:val="center"/>
          </w:tcPr>
          <w:p>
            <w:pPr>
              <w:pStyle w:val="TableContents"/>
              <w:spacing w:before="0" w:after="283"/>
              <w:jc w:val="left"/>
              <w:rPr/>
            </w:pPr>
            <w:r>
              <w:rPr/>
              <w:t>(1)</w:t>
            </w:r>
          </w:p>
        </w:tc>
        <w:tc>
          <w:tcPr>
            <w:tcW w:w="45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Base salary changes were effective as of March 4, 2022. </w:t>
            </w:r>
          </w:p>
        </w:tc>
      </w:tr>
    </w:tbl>
    <w:p>
      <w:pPr>
        <w:pStyle w:val="TextBody"/>
        <w:spacing w:before="360" w:after="0"/>
        <w:jc w:val="left"/>
        <w:rPr>
          <w:rFonts w:ascii="Times New Roman" w:hAnsi="Times New Roman"/>
          <w:b/>
          <w:i/>
          <w:sz w:val="20"/>
        </w:rPr>
      </w:pPr>
      <w:r>
        <w:rPr>
          <w:rFonts w:ascii="Times New Roman" w:hAnsi="Times New Roman"/>
          <w:b/>
          <w:i/>
          <w:sz w:val="20"/>
        </w:rPr>
        <w:t xml:space="preserve">Annual Cash Incentive Bonus Compensation </w:t>
      </w:r>
    </w:p>
    <w:p>
      <w:pPr>
        <w:pStyle w:val="TextBody"/>
        <w:spacing w:before="120" w:after="0"/>
        <w:jc w:val="left"/>
        <w:rPr>
          <w:rFonts w:ascii="Times New Roman" w:hAnsi="Times New Roman"/>
          <w:sz w:val="20"/>
        </w:rPr>
      </w:pPr>
      <w:r>
        <w:rPr>
          <w:rFonts w:ascii="Times New Roman" w:hAnsi="Times New Roman"/>
          <w:sz w:val="20"/>
        </w:rPr>
        <w:t xml:space="preserve">Our annual cash incentive bonus compensation program promotes our pay-for-performance philosophy by providing all of our NEOs with direct financial incentives in the form of annual cash awards for achievement of certain objective corporate, financial, strategic and, for certain NEOs, individual goals established and approved by our Compensation Committee at the start of the year. If we achieve results that are below certain threshold levels, these NEOs receive no cash incentive bonus, while results that are above certain threshold levels result in cash incentive bonuses above target levels, subject to a maximum amount of 125% of target. </w:t>
      </w:r>
    </w:p>
    <w:p>
      <w:pPr>
        <w:pStyle w:val="TextBody"/>
        <w:spacing w:before="360" w:after="0"/>
        <w:jc w:val="left"/>
        <w:rPr>
          <w:rFonts w:ascii="Times New Roman" w:hAnsi="Times New Roman"/>
          <w:sz w:val="20"/>
        </w:rPr>
      </w:pPr>
      <w:r>
        <w:rPr>
          <w:rFonts w:ascii="Times New Roman" w:hAnsi="Times New Roman"/>
          <w:sz w:val="20"/>
          <w:u w:val="single"/>
        </w:rPr>
        <w:t>Target Bonus Opportunities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Our Compensation Committee sets each NEO’s individual target cash incentive amount based on each NEO’s employment agreement provisions, our CEO’s recommendation (except for his own target), internal pay equity, our Compensation Committee’s general understanding of current competitive pay practices and other factors it deems appropriate. After evaluating the competitive positioning of our NEOs’ total target cash compensation in the context of our overall compensation philosophy, the target bonuses for our NEOs were increased with the goal of positioning total target cash compensation closer to the 25th percentile and total target direct compensation in the 50th – 75th percentile range of our peer group. Based on its review of these factors, in March 2022, our Compensation Committee adjusted the total eligible cash bonus amounts for each of our NEOs for Fiscal 2022.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Fiscal 2021 and Fiscal 2022 target bonus opportunities for our NEOs were: </w:t>
      </w:r>
    </w:p>
    <w:p>
      <w:pPr>
        <w:pStyle w:val="TextBody"/>
        <w:spacing w:before="0" w:after="0"/>
        <w:jc w:val="left"/>
        <w:rPr/>
      </w:pPr>
      <w:r>
        <w:rPr/>
        <w:t> </w:t>
      </w:r>
    </w:p>
    <w:tbl>
      <w:tblPr>
        <w:tblW w:w="4395" w:type="dxa"/>
        <w:jc w:val="left"/>
        <w:tblInd w:w="0" w:type="dxa"/>
        <w:tblCellMar>
          <w:top w:w="0" w:type="dxa"/>
          <w:left w:w="0" w:type="dxa"/>
          <w:bottom w:w="0" w:type="dxa"/>
          <w:right w:w="0" w:type="dxa"/>
        </w:tblCellMar>
      </w:tblPr>
      <w:tblGrid>
        <w:gridCol w:w="1430"/>
        <w:gridCol w:w="120"/>
        <w:gridCol w:w="192"/>
        <w:gridCol w:w="1103"/>
        <w:gridCol w:w="60"/>
        <w:gridCol w:w="120"/>
        <w:gridCol w:w="192"/>
        <w:gridCol w:w="1103"/>
        <w:gridCol w:w="75"/>
      </w:tblGrid>
      <w:tr>
        <w:trPr/>
        <w:tc>
          <w:tcPr>
            <w:tcW w:w="14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430" w:type="dxa"/>
            <w:tcBorders/>
            <w:shd w:fill="auto" w:val="clear"/>
            <w:vAlign w:val="center"/>
          </w:tcPr>
          <w:p>
            <w:pPr>
              <w:pStyle w:val="TableContents"/>
              <w:spacing w:before="0" w:after="283"/>
              <w:rPr>
                <w:b/>
              </w:rPr>
            </w:pPr>
            <w:r>
              <w:rPr>
                <w:b/>
              </w:rPr>
              <w:t>Name</w:t>
            </w:r>
          </w:p>
        </w:tc>
        <w:tc>
          <w:tcPr>
            <w:tcW w:w="120" w:type="dxa"/>
            <w:tcBorders/>
            <w:shd w:fill="auto" w:val="clear"/>
            <w:vAlign w:val="center"/>
          </w:tcPr>
          <w:p>
            <w:pPr>
              <w:pStyle w:val="TableContents"/>
              <w:spacing w:before="0" w:after="283"/>
              <w:rPr/>
            </w:pPr>
            <w:r>
              <w:rPr/>
              <w:t>  </w:t>
            </w:r>
          </w:p>
        </w:tc>
        <w:tc>
          <w:tcPr>
            <w:tcW w:w="1295" w:type="dxa"/>
            <w:gridSpan w:val="2"/>
            <w:tcBorders/>
            <w:shd w:fill="auto" w:val="clear"/>
            <w:vAlign w:val="center"/>
          </w:tcPr>
          <w:p>
            <w:pPr>
              <w:pStyle w:val="TableContents"/>
              <w:spacing w:before="0" w:after="283"/>
              <w:jc w:val="center"/>
              <w:rPr>
                <w:b/>
              </w:rPr>
            </w:pPr>
            <w:r>
              <w:rPr>
                <w:b/>
              </w:rPr>
              <w:t>Fiscal 2021</w:t>
              <w:br/>
              <w:t>Target</w:t>
              <w:br/>
              <w:t>Bonus</w:t>
              <w:br/>
              <w:t>Opportunity</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95" w:type="dxa"/>
            <w:gridSpan w:val="2"/>
            <w:tcBorders/>
            <w:shd w:fill="auto" w:val="clear"/>
            <w:vAlign w:val="center"/>
          </w:tcPr>
          <w:p>
            <w:pPr>
              <w:pStyle w:val="TableContents"/>
              <w:spacing w:before="0" w:after="283"/>
              <w:jc w:val="center"/>
              <w:rPr>
                <w:b/>
              </w:rPr>
            </w:pPr>
            <w:r>
              <w:rPr>
                <w:b/>
              </w:rPr>
              <w:t>Fiscal 2022</w:t>
              <w:br/>
              <w:t>Target</w:t>
              <w:br/>
              <w:t>Bonus</w:t>
              <w:br/>
              <w:t>Opportunity</w:t>
            </w:r>
          </w:p>
        </w:tc>
        <w:tc>
          <w:tcPr>
            <w:tcW w:w="75" w:type="dxa"/>
            <w:tcBorders/>
            <w:shd w:fill="auto" w:val="clear"/>
            <w:vAlign w:val="center"/>
          </w:tcPr>
          <w:p>
            <w:pPr>
              <w:pStyle w:val="TableContents"/>
              <w:spacing w:before="0" w:after="283"/>
              <w:rPr/>
            </w:pPr>
            <w:r>
              <w:rPr/>
              <w:t> </w:t>
            </w:r>
          </w:p>
        </w:tc>
      </w:tr>
      <w:tr>
        <w:trPr/>
        <w:tc>
          <w:tcPr>
            <w:tcW w:w="14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Michael Massaro</w:t>
            </w:r>
          </w:p>
        </w:tc>
        <w:tc>
          <w:tcPr>
            <w:tcW w:w="12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w:t>
            </w:r>
          </w:p>
        </w:tc>
        <w:tc>
          <w:tcPr>
            <w:tcW w:w="1103" w:type="dxa"/>
            <w:tcBorders/>
            <w:shd w:fill="CCEEFF" w:val="clear"/>
            <w:vAlign w:val="center"/>
          </w:tcPr>
          <w:p>
            <w:pPr>
              <w:pStyle w:val="TableContents"/>
              <w:spacing w:before="0" w:after="283"/>
              <w:jc w:val="right"/>
              <w:rPr/>
            </w:pPr>
            <w:r>
              <w:rPr/>
              <w:t>230,000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w:t>
            </w:r>
          </w:p>
        </w:tc>
        <w:tc>
          <w:tcPr>
            <w:tcW w:w="1103" w:type="dxa"/>
            <w:tcBorders/>
            <w:shd w:fill="CCEEFF" w:val="clear"/>
            <w:vAlign w:val="center"/>
          </w:tcPr>
          <w:p>
            <w:pPr>
              <w:pStyle w:val="TableContents"/>
              <w:spacing w:before="0" w:after="283"/>
              <w:jc w:val="right"/>
              <w:rPr/>
            </w:pPr>
            <w:r>
              <w:rPr/>
              <w:t>260,000</w:t>
            </w:r>
          </w:p>
        </w:tc>
        <w:tc>
          <w:tcPr>
            <w:tcW w:w="75" w:type="dxa"/>
            <w:tcBorders/>
            <w:shd w:fill="CCEEFF" w:val="clear"/>
            <w:vAlign w:val="center"/>
          </w:tcPr>
          <w:p>
            <w:pPr>
              <w:pStyle w:val="TableContents"/>
              <w:spacing w:before="0" w:after="283"/>
              <w:rPr/>
            </w:pPr>
            <w:r>
              <w:rPr/>
              <w:t> </w:t>
            </w:r>
          </w:p>
        </w:tc>
      </w:tr>
      <w:tr>
        <w:trPr/>
        <w:tc>
          <w:tcPr>
            <w:tcW w:w="14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Robert Orgel</w:t>
            </w:r>
          </w:p>
        </w:tc>
        <w:tc>
          <w:tcPr>
            <w:tcW w:w="12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w:t>
            </w:r>
          </w:p>
        </w:tc>
        <w:tc>
          <w:tcPr>
            <w:tcW w:w="1103" w:type="dxa"/>
            <w:tcBorders/>
            <w:shd w:fill="auto" w:val="clear"/>
            <w:vAlign w:val="center"/>
          </w:tcPr>
          <w:p>
            <w:pPr>
              <w:pStyle w:val="TableContents"/>
              <w:spacing w:before="0" w:after="283"/>
              <w:jc w:val="right"/>
              <w:rPr/>
            </w:pPr>
            <w:r>
              <w:rPr/>
              <w:t>175,000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w:t>
            </w:r>
          </w:p>
        </w:tc>
        <w:tc>
          <w:tcPr>
            <w:tcW w:w="1103" w:type="dxa"/>
            <w:tcBorders/>
            <w:shd w:fill="auto" w:val="clear"/>
            <w:vAlign w:val="center"/>
          </w:tcPr>
          <w:p>
            <w:pPr>
              <w:pStyle w:val="TableContents"/>
              <w:spacing w:before="0" w:after="283"/>
              <w:jc w:val="right"/>
              <w:rPr/>
            </w:pPr>
            <w:r>
              <w:rPr/>
              <w:t>225,000</w:t>
            </w:r>
          </w:p>
        </w:tc>
        <w:tc>
          <w:tcPr>
            <w:tcW w:w="75" w:type="dxa"/>
            <w:tcBorders/>
            <w:shd w:fill="auto" w:val="clear"/>
            <w:vAlign w:val="center"/>
          </w:tcPr>
          <w:p>
            <w:pPr>
              <w:pStyle w:val="TableContents"/>
              <w:spacing w:before="0" w:after="283"/>
              <w:rPr/>
            </w:pPr>
            <w:r>
              <w:rPr/>
              <w:t> </w:t>
            </w:r>
          </w:p>
        </w:tc>
      </w:tr>
      <w:tr>
        <w:trPr/>
        <w:tc>
          <w:tcPr>
            <w:tcW w:w="14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Michael Ellis</w:t>
            </w:r>
          </w:p>
        </w:tc>
        <w:tc>
          <w:tcPr>
            <w:tcW w:w="12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w:t>
            </w:r>
          </w:p>
        </w:tc>
        <w:tc>
          <w:tcPr>
            <w:tcW w:w="1103" w:type="dxa"/>
            <w:tcBorders/>
            <w:shd w:fill="CCEEFF" w:val="clear"/>
            <w:vAlign w:val="center"/>
          </w:tcPr>
          <w:p>
            <w:pPr>
              <w:pStyle w:val="TableContents"/>
              <w:spacing w:before="0" w:after="283"/>
              <w:jc w:val="right"/>
              <w:rPr/>
            </w:pPr>
            <w:r>
              <w:rPr/>
              <w:t>150,000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w:t>
            </w:r>
          </w:p>
        </w:tc>
        <w:tc>
          <w:tcPr>
            <w:tcW w:w="1103" w:type="dxa"/>
            <w:tcBorders/>
            <w:shd w:fill="CCEEFF" w:val="clear"/>
            <w:vAlign w:val="center"/>
          </w:tcPr>
          <w:p>
            <w:pPr>
              <w:pStyle w:val="TableContents"/>
              <w:spacing w:before="0" w:after="283"/>
              <w:jc w:val="right"/>
              <w:rPr/>
            </w:pPr>
            <w:r>
              <w:rPr/>
              <w:t>225,000</w:t>
            </w:r>
          </w:p>
        </w:tc>
        <w:tc>
          <w:tcPr>
            <w:tcW w:w="75" w:type="dxa"/>
            <w:tcBorders/>
            <w:shd w:fill="CCEEFF" w:val="clear"/>
            <w:vAlign w:val="center"/>
          </w:tcPr>
          <w:p>
            <w:pPr>
              <w:pStyle w:val="TableContents"/>
              <w:spacing w:before="0" w:after="283"/>
              <w:rPr/>
            </w:pPr>
            <w:r>
              <w:rPr/>
              <w:t> </w:t>
            </w:r>
          </w:p>
        </w:tc>
      </w:tr>
      <w:tr>
        <w:trPr/>
        <w:tc>
          <w:tcPr>
            <w:tcW w:w="14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Sharon Butler</w:t>
            </w:r>
          </w:p>
        </w:tc>
        <w:tc>
          <w:tcPr>
            <w:tcW w:w="12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w:t>
            </w:r>
          </w:p>
        </w:tc>
        <w:tc>
          <w:tcPr>
            <w:tcW w:w="1103" w:type="dxa"/>
            <w:tcBorders/>
            <w:shd w:fill="auto" w:val="clear"/>
            <w:vAlign w:val="center"/>
          </w:tcPr>
          <w:p>
            <w:pPr>
              <w:pStyle w:val="TableContents"/>
              <w:spacing w:before="0" w:after="283"/>
              <w:jc w:val="right"/>
              <w:rPr/>
            </w:pPr>
            <w:r>
              <w:rPr/>
              <w:t>175,000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w:t>
            </w:r>
          </w:p>
        </w:tc>
        <w:tc>
          <w:tcPr>
            <w:tcW w:w="1103" w:type="dxa"/>
            <w:tcBorders/>
            <w:shd w:fill="auto" w:val="clear"/>
            <w:vAlign w:val="center"/>
          </w:tcPr>
          <w:p>
            <w:pPr>
              <w:pStyle w:val="TableContents"/>
              <w:spacing w:before="0" w:after="283"/>
              <w:jc w:val="right"/>
              <w:rPr/>
            </w:pPr>
            <w:r>
              <w:rPr/>
              <w:t>200,000</w:t>
            </w:r>
          </w:p>
        </w:tc>
        <w:tc>
          <w:tcPr>
            <w:tcW w:w="75" w:type="dxa"/>
            <w:tcBorders/>
            <w:shd w:fill="auto" w:val="clear"/>
            <w:vAlign w:val="center"/>
          </w:tcPr>
          <w:p>
            <w:pPr>
              <w:pStyle w:val="TableContents"/>
              <w:spacing w:before="0" w:after="283"/>
              <w:rPr/>
            </w:pPr>
            <w:r>
              <w:rPr/>
              <w:t> </w:t>
            </w:r>
          </w:p>
        </w:tc>
      </w:tr>
      <w:tr>
        <w:trPr/>
        <w:tc>
          <w:tcPr>
            <w:tcW w:w="14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David King</w:t>
            </w:r>
          </w:p>
        </w:tc>
        <w:tc>
          <w:tcPr>
            <w:tcW w:w="12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w:t>
            </w:r>
          </w:p>
        </w:tc>
        <w:tc>
          <w:tcPr>
            <w:tcW w:w="1103" w:type="dxa"/>
            <w:tcBorders/>
            <w:shd w:fill="CCEEFF" w:val="clear"/>
            <w:vAlign w:val="center"/>
          </w:tcPr>
          <w:p>
            <w:pPr>
              <w:pStyle w:val="TableContents"/>
              <w:spacing w:before="0" w:after="283"/>
              <w:jc w:val="right"/>
              <w:rPr/>
            </w:pPr>
            <w:r>
              <w:rPr/>
              <w:t>100,000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w:t>
            </w:r>
          </w:p>
        </w:tc>
        <w:tc>
          <w:tcPr>
            <w:tcW w:w="1103" w:type="dxa"/>
            <w:tcBorders/>
            <w:shd w:fill="CCEEFF" w:val="clear"/>
            <w:vAlign w:val="center"/>
          </w:tcPr>
          <w:p>
            <w:pPr>
              <w:pStyle w:val="TableContents"/>
              <w:spacing w:before="0" w:after="283"/>
              <w:jc w:val="right"/>
              <w:rPr/>
            </w:pPr>
            <w:r>
              <w:rPr/>
              <w:t>150,000</w:t>
            </w:r>
          </w:p>
        </w:tc>
        <w:tc>
          <w:tcPr>
            <w:tcW w:w="75" w:type="dxa"/>
            <w:tcBorders/>
            <w:shd w:fill="CCEEFF"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For Fiscal 2022, the cash incentive bonus actually received by each of our NEOs was determined based on certain corporate objectives and, other than in the case of Messrs. Massaro and Orgel, individual performance goals. Individual performance goals include a combination of factors such as department or vertical performance. The corporate component represented 70% of the target bonus opportunity for Messrs. Ellis and King and 25% of the target bonus opportunity for Ms. Butler. </w:t>
      </w:r>
    </w:p>
    <w:p>
      <w:pPr>
        <w:pStyle w:val="TextBody"/>
        <w:spacing w:before="360" w:after="0"/>
        <w:jc w:val="left"/>
        <w:rPr>
          <w:rFonts w:ascii="Times New Roman" w:hAnsi="Times New Roman"/>
          <w:sz w:val="20"/>
        </w:rPr>
      </w:pPr>
      <w:r>
        <w:rPr>
          <w:rFonts w:ascii="Times New Roman" w:hAnsi="Times New Roman"/>
          <w:sz w:val="20"/>
          <w:u w:val="single"/>
        </w:rPr>
        <w:t>2022 Corporate Objectives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Our Compensation Committee established (a) Revenue Less Ancillary Services and (b) Adjusted EBITDA as the corporate components of our 2022 cash incentive bonus program, with each of the components weighted as set forth below. We utilize these non-GAAP financial measures internally in analyzing our financial results and evaluating our ongoing operational performance. These metrics were also selected because they are two of the key performance metrics stockholders use in evaluating Flywire. Revenue Less Ancillary Services represents our consolidated revenue in accordance with GAAP, less (x) pass-through cost for printing and mailing services and (y) marketing fees. Adjusted EBITDA represents EBITDA further adjusted by excluding (i) stock-based compensation expense and related payroll taxes, (ii) the impact from the change in fair value measurement for contingent consideration associated with acquisitions, (iii) the impact from the change in fair value measurement of any of our preferred stock warrants, (iv) other income (expense), net, (v) indirect taxes related to intercompany activity, (vi) acquisition related transaction costs, and (vii) employee retention costs, such as incentive compensation, associated with acquisition activities. Our Compensation Committee has discretion to modify performance results that reflect significant transactions (such as acquisitions, divestitures, or newly-formed joint ventures) or other unusual items if such events were not anticipated at the time performance targets were initially established. </w:t>
      </w:r>
    </w:p>
    <w:p>
      <w:pPr>
        <w:pStyle w:val="TextBody"/>
        <w:spacing w:before="240" w:after="0"/>
        <w:jc w:val="left"/>
        <w:rPr>
          <w:rFonts w:ascii="Times New Roman" w:hAnsi="Times New Roman"/>
          <w:sz w:val="20"/>
        </w:rPr>
      </w:pPr>
      <w:r>
        <w:rPr>
          <w:rFonts w:ascii="Times New Roman" w:hAnsi="Times New Roman"/>
          <w:sz w:val="20"/>
        </w:rPr>
        <w:t xml:space="preserve">Each of the components was assigned a threshold level, which is the minimum achievement level that must be satisfied to receive a portion of the applicable bonus amounts, and a maximum level, which, if achieved or exceeded, would result in our NEOs receiving up to 125% of the target amount attributed to that component. The percentage payout for each of the financial components was determined using a sliding scale based on actual performance compared to the target performance. </w:t>
      </w:r>
    </w:p>
    <w:p>
      <w:pPr>
        <w:pStyle w:val="TextBody"/>
        <w:spacing w:before="240" w:after="0"/>
        <w:jc w:val="left"/>
        <w:rPr>
          <w:rFonts w:ascii="Times New Roman" w:hAnsi="Times New Roman"/>
          <w:sz w:val="20"/>
        </w:rPr>
      </w:pPr>
      <w:r>
        <w:rPr>
          <w:rFonts w:ascii="Times New Roman" w:hAnsi="Times New Roman"/>
          <w:sz w:val="20"/>
        </w:rPr>
        <w:t xml:space="preserve">The corporate components of the Fiscal 2022 cash incentive bonus program are set forth below: </w:t>
      </w:r>
    </w:p>
    <w:p>
      <w:pPr>
        <w:pStyle w:val="TextBody"/>
        <w:spacing w:before="0" w:after="0"/>
        <w:jc w:val="left"/>
        <w:rPr/>
      </w:pPr>
      <w:r>
        <w:rPr/>
        <w:t> </w:t>
      </w:r>
    </w:p>
    <w:tbl>
      <w:tblPr>
        <w:tblW w:w="8730" w:type="dxa"/>
        <w:jc w:val="left"/>
        <w:tblInd w:w="0" w:type="dxa"/>
        <w:tblCellMar>
          <w:top w:w="0" w:type="dxa"/>
          <w:left w:w="0" w:type="dxa"/>
          <w:bottom w:w="0" w:type="dxa"/>
          <w:right w:w="0" w:type="dxa"/>
        </w:tblCellMar>
      </w:tblPr>
      <w:tblGrid>
        <w:gridCol w:w="2690"/>
        <w:gridCol w:w="120"/>
        <w:gridCol w:w="200"/>
        <w:gridCol w:w="870"/>
        <w:gridCol w:w="275"/>
        <w:gridCol w:w="60"/>
        <w:gridCol w:w="140"/>
        <w:gridCol w:w="1220"/>
        <w:gridCol w:w="60"/>
        <w:gridCol w:w="120"/>
        <w:gridCol w:w="140"/>
        <w:gridCol w:w="1220"/>
        <w:gridCol w:w="60"/>
        <w:gridCol w:w="120"/>
        <w:gridCol w:w="140"/>
        <w:gridCol w:w="1220"/>
        <w:gridCol w:w="75"/>
      </w:tblGrid>
      <w:tr>
        <w:trPr/>
        <w:tc>
          <w:tcPr>
            <w:tcW w:w="26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690" w:type="dxa"/>
            <w:tcBorders/>
            <w:shd w:fill="auto" w:val="clear"/>
            <w:vAlign w:val="center"/>
          </w:tcPr>
          <w:p>
            <w:pPr>
              <w:pStyle w:val="TableContents"/>
              <w:spacing w:before="0" w:after="283"/>
              <w:rPr>
                <w:b/>
              </w:rPr>
            </w:pPr>
            <w:r>
              <w:rPr>
                <w:b/>
              </w:rPr>
              <w:t>Corporate Component</w:t>
            </w:r>
          </w:p>
        </w:tc>
        <w:tc>
          <w:tcPr>
            <w:tcW w:w="120" w:type="dxa"/>
            <w:tcBorders/>
            <w:shd w:fill="auto" w:val="clear"/>
            <w:vAlign w:val="center"/>
          </w:tcPr>
          <w:p>
            <w:pPr>
              <w:pStyle w:val="TableContents"/>
              <w:spacing w:before="0" w:after="283"/>
              <w:rPr/>
            </w:pPr>
            <w:r>
              <w:rPr/>
              <w:t>  </w:t>
            </w:r>
          </w:p>
        </w:tc>
        <w:tc>
          <w:tcPr>
            <w:tcW w:w="1070" w:type="dxa"/>
            <w:gridSpan w:val="2"/>
            <w:tcBorders/>
            <w:shd w:fill="auto" w:val="clear"/>
            <w:vAlign w:val="center"/>
          </w:tcPr>
          <w:p>
            <w:pPr>
              <w:pStyle w:val="TableContents"/>
              <w:spacing w:before="0" w:after="283"/>
              <w:jc w:val="center"/>
              <w:rPr>
                <w:b/>
              </w:rPr>
            </w:pPr>
            <w:r>
              <w:rPr>
                <w:b/>
              </w:rPr>
              <w:t>Weighting</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60" w:type="dxa"/>
            <w:gridSpan w:val="2"/>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Threshold</w:t>
            </w:r>
          </w:p>
          <w:p>
            <w:pPr>
              <w:pStyle w:val="TableContents"/>
              <w:spacing w:before="0" w:after="20"/>
              <w:jc w:val="center"/>
              <w:rPr>
                <w:rFonts w:ascii="Times New Roman" w:hAnsi="Times New Roman"/>
                <w:b/>
                <w:sz w:val="16"/>
              </w:rPr>
            </w:pPr>
            <w:r>
              <w:rPr>
                <w:rFonts w:ascii="Times New Roman" w:hAnsi="Times New Roman"/>
                <w:b/>
                <w:sz w:val="16"/>
              </w:rPr>
              <w:t>75% payout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60" w:type="dxa"/>
            <w:gridSpan w:val="2"/>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Target</w:t>
            </w:r>
          </w:p>
          <w:p>
            <w:pPr>
              <w:pStyle w:val="TableContents"/>
              <w:spacing w:before="0" w:after="20"/>
              <w:jc w:val="center"/>
              <w:rPr>
                <w:rFonts w:ascii="Times New Roman" w:hAnsi="Times New Roman"/>
                <w:b/>
                <w:sz w:val="16"/>
              </w:rPr>
            </w:pPr>
            <w:r>
              <w:rPr>
                <w:rFonts w:ascii="Times New Roman" w:hAnsi="Times New Roman"/>
                <w:b/>
                <w:sz w:val="16"/>
              </w:rPr>
              <w:t>100% payout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60" w:type="dxa"/>
            <w:gridSpan w:val="2"/>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Maximum</w:t>
            </w:r>
          </w:p>
          <w:p>
            <w:pPr>
              <w:pStyle w:val="TableContents"/>
              <w:spacing w:before="0" w:after="20"/>
              <w:jc w:val="center"/>
              <w:rPr>
                <w:rFonts w:ascii="Times New Roman" w:hAnsi="Times New Roman"/>
                <w:b/>
                <w:sz w:val="16"/>
              </w:rPr>
            </w:pPr>
            <w:r>
              <w:rPr>
                <w:rFonts w:ascii="Times New Roman" w:hAnsi="Times New Roman"/>
                <w:b/>
                <w:sz w:val="16"/>
              </w:rPr>
              <w:t>125% payout</w:t>
            </w:r>
          </w:p>
        </w:tc>
        <w:tc>
          <w:tcPr>
            <w:tcW w:w="75" w:type="dxa"/>
            <w:tcBorders/>
            <w:shd w:fill="auto" w:val="clear"/>
            <w:vAlign w:val="center"/>
          </w:tcPr>
          <w:p>
            <w:pPr>
              <w:pStyle w:val="TableContents"/>
              <w:spacing w:before="0" w:after="283"/>
              <w:rPr/>
            </w:pPr>
            <w:r>
              <w:rPr/>
              <w:t> </w:t>
            </w:r>
          </w:p>
        </w:tc>
      </w:tr>
      <w:tr>
        <w:trPr/>
        <w:tc>
          <w:tcPr>
            <w:tcW w:w="26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Revenue Less Ancillary Services</w:t>
            </w:r>
          </w:p>
        </w:tc>
        <w:tc>
          <w:tcPr>
            <w:tcW w:w="12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rPr/>
            </w:pPr>
            <w:r>
              <w:rPr/>
              <w:t> </w:t>
            </w:r>
          </w:p>
        </w:tc>
        <w:tc>
          <w:tcPr>
            <w:tcW w:w="870" w:type="dxa"/>
            <w:tcBorders/>
            <w:shd w:fill="CCEEFF" w:val="clear"/>
            <w:vAlign w:val="center"/>
          </w:tcPr>
          <w:p>
            <w:pPr>
              <w:pStyle w:val="TableContents"/>
              <w:spacing w:before="0" w:after="283"/>
              <w:jc w:val="right"/>
              <w:rPr/>
            </w:pPr>
            <w:r>
              <w:rPr/>
              <w:t>50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220" w:type="dxa"/>
            <w:tcBorders/>
            <w:shd w:fill="CCEEFF" w:val="clear"/>
            <w:vAlign w:val="center"/>
          </w:tcPr>
          <w:p>
            <w:pPr>
              <w:pStyle w:val="TableContents"/>
              <w:spacing w:before="0" w:after="283"/>
              <w:jc w:val="right"/>
              <w:rPr/>
            </w:pPr>
            <w:r>
              <w:rPr/>
              <w:t>248,000,000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220" w:type="dxa"/>
            <w:tcBorders/>
            <w:shd w:fill="CCEEFF" w:val="clear"/>
            <w:vAlign w:val="center"/>
          </w:tcPr>
          <w:p>
            <w:pPr>
              <w:pStyle w:val="TableContents"/>
              <w:spacing w:before="0" w:after="283"/>
              <w:jc w:val="right"/>
              <w:rPr/>
            </w:pPr>
            <w:r>
              <w:rPr/>
              <w:t>273,300,000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220" w:type="dxa"/>
            <w:tcBorders/>
            <w:shd w:fill="CCEEFF" w:val="clear"/>
            <w:vAlign w:val="center"/>
          </w:tcPr>
          <w:p>
            <w:pPr>
              <w:pStyle w:val="TableContents"/>
              <w:spacing w:before="0" w:after="283"/>
              <w:jc w:val="right"/>
              <w:rPr/>
            </w:pPr>
            <w:r>
              <w:rPr/>
              <w:t>300,600,000</w:t>
            </w:r>
          </w:p>
        </w:tc>
        <w:tc>
          <w:tcPr>
            <w:tcW w:w="75" w:type="dxa"/>
            <w:tcBorders/>
            <w:shd w:fill="CCEEFF" w:val="clear"/>
            <w:vAlign w:val="center"/>
          </w:tcPr>
          <w:p>
            <w:pPr>
              <w:pStyle w:val="TableContents"/>
              <w:spacing w:before="0" w:after="283"/>
              <w:rPr/>
            </w:pPr>
            <w:r>
              <w:rPr/>
              <w:t> </w:t>
            </w:r>
          </w:p>
        </w:tc>
      </w:tr>
      <w:tr>
        <w:trPr/>
        <w:tc>
          <w:tcPr>
            <w:tcW w:w="26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Adjusted EBITDA</w:t>
            </w:r>
          </w:p>
        </w:tc>
        <w:tc>
          <w:tcPr>
            <w:tcW w:w="12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870" w:type="dxa"/>
            <w:tcBorders/>
            <w:shd w:fill="auto" w:val="clear"/>
            <w:vAlign w:val="center"/>
          </w:tcPr>
          <w:p>
            <w:pPr>
              <w:pStyle w:val="TableContents"/>
              <w:spacing w:before="0" w:after="283"/>
              <w:jc w:val="right"/>
              <w:rPr/>
            </w:pPr>
            <w:r>
              <w:rPr/>
              <w:t>50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11,000,000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13,750,000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16,500,000</w:t>
            </w:r>
          </w:p>
        </w:tc>
        <w:tc>
          <w:tcPr>
            <w:tcW w:w="75"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sz w:val="20"/>
        </w:rPr>
      </w:pPr>
      <w:r>
        <w:rPr>
          <w:rFonts w:ascii="Times New Roman" w:hAnsi="Times New Roman"/>
          <w:sz w:val="20"/>
          <w:u w:val="single"/>
        </w:rPr>
        <w:t>2022 Corporate Component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In calculating our FY 2022 Revenue Less Ancillary Services and Adjusted EBITDA for purposes of the 2022 Corporate Component, our Compensation Committee, in consultation with our compensation consultant and after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reviewing several alternative approaches, utilized its discretion to modify these performance results based on our July 2022 acquisition of CohortGo. As such, the committee determined that our modified Revenue Less Ancillary Services was $257.1 million, representing our reported Revenue Less Ancillary Services for the year ended December 31, 2022 of $267.1 million, reduced by $10.0 million of revenue attributable to CohortGo, and our modified Adjusted EBITDA was $12.7 million, representing our reported Adjusted EBITDA for the year ended December 31, 2022 of $14.9 million, reduced by the estimated impact from CohortGo of $2.2 million. Therefore, as a result of these modifications our NEOs received 84% payout for the Revenue Less Ancillary Services component and 90% for the Adjusted EBITDA component. </w:t>
      </w:r>
    </w:p>
    <w:p>
      <w:pPr>
        <w:pStyle w:val="TextBody"/>
        <w:spacing w:before="360" w:after="0"/>
        <w:jc w:val="left"/>
        <w:rPr>
          <w:rFonts w:ascii="Times New Roman" w:hAnsi="Times New Roman"/>
          <w:sz w:val="20"/>
        </w:rPr>
      </w:pPr>
      <w:r>
        <w:rPr>
          <w:rFonts w:ascii="Times New Roman" w:hAnsi="Times New Roman"/>
          <w:sz w:val="20"/>
          <w:u w:val="single"/>
        </w:rPr>
        <w:t>2022 Individual Components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In addition to the 2022 corporate components of our 2022 cash incentive bonus program, our Compensation Committee established individual performance goals for Ms. Butler and Messrs. Ellis and King.    The individual component represented 30% of the target bonus opportunity for Messrs. Ellis and King and 75% of the target bonus opportunity for Ms. Butler. </w:t>
      </w:r>
    </w:p>
    <w:p>
      <w:pPr>
        <w:pStyle w:val="TextBody"/>
        <w:spacing w:before="240" w:after="0"/>
        <w:jc w:val="left"/>
        <w:rPr>
          <w:rFonts w:ascii="Times New Roman" w:hAnsi="Times New Roman"/>
          <w:sz w:val="20"/>
        </w:rPr>
      </w:pPr>
      <w:r>
        <w:rPr>
          <w:rFonts w:ascii="Times New Roman" w:hAnsi="Times New Roman"/>
          <w:sz w:val="20"/>
        </w:rPr>
        <w:t xml:space="preserve">These individual performance goals for Ms. Butler and Messrs. Ellis and King were selected by our Compensation Committee in consultation with our CEO at the outset of Fiscal 2022, and our Compensation Committee reviewed the achievement of such individual goals in February 2023 to determine the NEO’s individual performance result. The individual performance goals were specifically tailored to the functions led by each NEO and aligned to the achievement of our overall operating plan, including goals shown in the table below: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813"/>
        <w:gridCol w:w="120"/>
        <w:gridCol w:w="6437"/>
        <w:gridCol w:w="120"/>
        <w:gridCol w:w="330"/>
        <w:gridCol w:w="2092"/>
        <w:gridCol w:w="293"/>
      </w:tblGrid>
      <w:tr>
        <w:trPr/>
        <w:tc>
          <w:tcPr>
            <w:tcW w:w="81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43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2092"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r>
      <w:tr>
        <w:trPr/>
        <w:tc>
          <w:tcPr>
            <w:tcW w:w="813" w:type="dxa"/>
            <w:tcBorders/>
            <w:shd w:fill="auto" w:val="clear"/>
            <w:vAlign w:val="center"/>
          </w:tcPr>
          <w:p>
            <w:pPr>
              <w:pStyle w:val="TableContents"/>
              <w:spacing w:before="0" w:after="283"/>
              <w:rPr>
                <w:b/>
              </w:rPr>
            </w:pPr>
            <w:r>
              <w:rPr>
                <w:b/>
              </w:rPr>
              <w:t>Name</w:t>
            </w:r>
          </w:p>
        </w:tc>
        <w:tc>
          <w:tcPr>
            <w:tcW w:w="120" w:type="dxa"/>
            <w:tcBorders/>
            <w:shd w:fill="auto" w:val="clear"/>
            <w:vAlign w:val="center"/>
          </w:tcPr>
          <w:p>
            <w:pPr>
              <w:pStyle w:val="TableContents"/>
              <w:spacing w:before="0" w:after="283"/>
              <w:rPr/>
            </w:pPr>
            <w:r>
              <w:rPr/>
              <w:t>  </w:t>
            </w:r>
          </w:p>
        </w:tc>
        <w:tc>
          <w:tcPr>
            <w:tcW w:w="6437" w:type="dxa"/>
            <w:tcBorders/>
            <w:shd w:fill="auto" w:val="clear"/>
            <w:vAlign w:val="center"/>
          </w:tcPr>
          <w:p>
            <w:pPr>
              <w:pStyle w:val="TableContents"/>
              <w:spacing w:before="0" w:after="283"/>
              <w:jc w:val="center"/>
              <w:rPr>
                <w:b/>
              </w:rPr>
            </w:pPr>
            <w:r>
              <w:rPr>
                <w:b/>
              </w:rPr>
              <w:t>Individual Performance Goals</w:t>
            </w:r>
          </w:p>
        </w:tc>
        <w:tc>
          <w:tcPr>
            <w:tcW w:w="120" w:type="dxa"/>
            <w:tcBorders/>
            <w:shd w:fill="auto" w:val="clear"/>
            <w:vAlign w:val="center"/>
          </w:tcPr>
          <w:p>
            <w:pPr>
              <w:pStyle w:val="TableContents"/>
              <w:spacing w:before="0" w:after="283"/>
              <w:rPr/>
            </w:pPr>
            <w:r>
              <w:rPr/>
              <w:t>  </w:t>
            </w:r>
          </w:p>
        </w:tc>
        <w:tc>
          <w:tcPr>
            <w:tcW w:w="2422" w:type="dxa"/>
            <w:gridSpan w:val="2"/>
            <w:tcBorders/>
            <w:shd w:fill="auto" w:val="clear"/>
            <w:vAlign w:val="center"/>
          </w:tcPr>
          <w:p>
            <w:pPr>
              <w:pStyle w:val="TableContents"/>
              <w:spacing w:before="0" w:after="283"/>
              <w:jc w:val="center"/>
              <w:rPr>
                <w:b/>
              </w:rPr>
            </w:pPr>
            <w:r>
              <w:rPr>
                <w:b/>
              </w:rPr>
              <w:t>Percentage of Allocated</w:t>
              <w:br/>
              <w:t>Target Bonus Awarded</w:t>
            </w:r>
          </w:p>
        </w:tc>
        <w:tc>
          <w:tcPr>
            <w:tcW w:w="293" w:type="dxa"/>
            <w:tcBorders/>
            <w:shd w:fill="auto" w:val="clear"/>
            <w:vAlign w:val="center"/>
          </w:tcPr>
          <w:p>
            <w:pPr>
              <w:pStyle w:val="TableContents"/>
              <w:spacing w:before="0" w:after="283"/>
              <w:rPr/>
            </w:pPr>
            <w:r>
              <w:rPr/>
              <w:t> </w:t>
            </w:r>
          </w:p>
        </w:tc>
      </w:tr>
      <w:tr>
        <w:trPr/>
        <w:tc>
          <w:tcPr>
            <w:tcW w:w="813"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Sharon Butler</w:t>
            </w:r>
          </w:p>
        </w:tc>
        <w:tc>
          <w:tcPr>
            <w:tcW w:w="120" w:type="dxa"/>
            <w:tcBorders/>
            <w:shd w:fill="CCEEFF" w:val="clear"/>
            <w:vAlign w:val="center"/>
          </w:tcPr>
          <w:p>
            <w:pPr>
              <w:pStyle w:val="TableContents"/>
              <w:spacing w:before="0" w:after="283"/>
              <w:rPr/>
            </w:pPr>
            <w:r>
              <w:rPr/>
              <w:t>  </w:t>
            </w:r>
          </w:p>
        </w:tc>
        <w:tc>
          <w:tcPr>
            <w:tcW w:w="6437" w:type="dxa"/>
            <w:tcBorders/>
            <w:shd w:fill="CCEEFF" w:val="clear"/>
            <w:vAlign w:val="center"/>
          </w:tcPr>
          <w:p>
            <w:pPr>
              <w:pStyle w:val="TableContents"/>
              <w:spacing w:before="0" w:after="283"/>
              <w:rPr/>
            </w:pPr>
            <w:r>
              <w:rPr/>
              <w:t>Increase education revenue; sign additional clients meeting certain criteria; increase UK client base.</w:t>
            </w:r>
          </w:p>
        </w:tc>
        <w:tc>
          <w:tcPr>
            <w:tcW w:w="120" w:type="dxa"/>
            <w:tcBorders/>
            <w:shd w:fill="CCEEFF" w:val="clear"/>
            <w:vAlign w:val="center"/>
          </w:tcPr>
          <w:p>
            <w:pPr>
              <w:pStyle w:val="TableContents"/>
              <w:spacing w:before="0" w:after="283"/>
              <w:rPr/>
            </w:pPr>
            <w:r>
              <w:rPr/>
              <w:t>  </w:t>
            </w:r>
          </w:p>
        </w:tc>
        <w:tc>
          <w:tcPr>
            <w:tcW w:w="330" w:type="dxa"/>
            <w:tcBorders/>
            <w:shd w:fill="CCEEFF" w:val="clear"/>
            <w:vAlign w:val="center"/>
          </w:tcPr>
          <w:p>
            <w:pPr>
              <w:pStyle w:val="TableContents"/>
              <w:spacing w:before="0" w:after="283"/>
              <w:rPr/>
            </w:pPr>
            <w:r>
              <w:rPr/>
              <w:t> </w:t>
            </w:r>
          </w:p>
        </w:tc>
        <w:tc>
          <w:tcPr>
            <w:tcW w:w="2092" w:type="dxa"/>
            <w:tcBorders/>
            <w:shd w:fill="CCEEFF" w:val="clear"/>
            <w:vAlign w:val="center"/>
          </w:tcPr>
          <w:p>
            <w:pPr>
              <w:pStyle w:val="TableContents"/>
              <w:spacing w:before="0" w:after="283"/>
              <w:jc w:val="right"/>
              <w:rPr/>
            </w:pPr>
            <w:r>
              <w:rPr/>
              <w:t>113</w:t>
            </w:r>
          </w:p>
        </w:tc>
        <w:tc>
          <w:tcPr>
            <w:tcW w:w="293" w:type="dxa"/>
            <w:tcBorders/>
            <w:shd w:fill="CCEEFF" w:val="clear"/>
            <w:vAlign w:val="center"/>
          </w:tcPr>
          <w:p>
            <w:pPr>
              <w:pStyle w:val="TableContents"/>
              <w:spacing w:before="0" w:after="283"/>
              <w:rPr/>
            </w:pPr>
            <w:r>
              <w:rPr/>
              <w:t>% </w:t>
            </w:r>
          </w:p>
        </w:tc>
      </w:tr>
      <w:tr>
        <w:trPr/>
        <w:tc>
          <w:tcPr>
            <w:tcW w:w="813"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Michael Ellis</w:t>
            </w:r>
          </w:p>
        </w:tc>
        <w:tc>
          <w:tcPr>
            <w:tcW w:w="120" w:type="dxa"/>
            <w:tcBorders/>
            <w:shd w:fill="auto" w:val="clear"/>
            <w:vAlign w:val="center"/>
          </w:tcPr>
          <w:p>
            <w:pPr>
              <w:pStyle w:val="TableContents"/>
              <w:spacing w:before="0" w:after="283"/>
              <w:rPr/>
            </w:pPr>
            <w:r>
              <w:rPr/>
              <w:t>  </w:t>
            </w:r>
          </w:p>
        </w:tc>
        <w:tc>
          <w:tcPr>
            <w:tcW w:w="6437" w:type="dxa"/>
            <w:tcBorders/>
            <w:shd w:fill="auto" w:val="clear"/>
            <w:vAlign w:val="center"/>
          </w:tcPr>
          <w:p>
            <w:pPr>
              <w:pStyle w:val="TableContents"/>
              <w:spacing w:before="0" w:after="283"/>
              <w:rPr/>
            </w:pPr>
            <w:r>
              <w:rPr/>
              <w:t>Manage earnings calls and investor relations; develop 2023 operating plan and financial models; manage financial team in connection with 2022 audit and Securities Exchange Act filings.</w:t>
            </w:r>
          </w:p>
        </w:tc>
        <w:tc>
          <w:tcPr>
            <w:tcW w:w="120"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2092" w:type="dxa"/>
            <w:tcBorders/>
            <w:shd w:fill="auto" w:val="clear"/>
            <w:vAlign w:val="center"/>
          </w:tcPr>
          <w:p>
            <w:pPr>
              <w:pStyle w:val="TableContents"/>
              <w:spacing w:before="0" w:after="283"/>
              <w:jc w:val="right"/>
              <w:rPr/>
            </w:pPr>
            <w:r>
              <w:rPr/>
              <w:t>98</w:t>
            </w:r>
          </w:p>
        </w:tc>
        <w:tc>
          <w:tcPr>
            <w:tcW w:w="293" w:type="dxa"/>
            <w:tcBorders/>
            <w:shd w:fill="auto" w:val="clear"/>
            <w:vAlign w:val="center"/>
          </w:tcPr>
          <w:p>
            <w:pPr>
              <w:pStyle w:val="TableContents"/>
              <w:spacing w:before="0" w:after="283"/>
              <w:rPr/>
            </w:pPr>
            <w:r>
              <w:rPr/>
              <w:t>% </w:t>
            </w:r>
          </w:p>
        </w:tc>
      </w:tr>
      <w:tr>
        <w:trPr/>
        <w:tc>
          <w:tcPr>
            <w:tcW w:w="813"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David King</w:t>
            </w:r>
          </w:p>
        </w:tc>
        <w:tc>
          <w:tcPr>
            <w:tcW w:w="120" w:type="dxa"/>
            <w:tcBorders/>
            <w:shd w:fill="CCEEFF" w:val="clear"/>
            <w:vAlign w:val="center"/>
          </w:tcPr>
          <w:p>
            <w:pPr>
              <w:pStyle w:val="TableContents"/>
              <w:spacing w:before="0" w:after="283"/>
              <w:rPr/>
            </w:pPr>
            <w:r>
              <w:rPr/>
              <w:t>  </w:t>
            </w:r>
          </w:p>
        </w:tc>
        <w:tc>
          <w:tcPr>
            <w:tcW w:w="6437" w:type="dxa"/>
            <w:tcBorders/>
            <w:shd w:fill="CCEEFF" w:val="clear"/>
            <w:vAlign w:val="center"/>
          </w:tcPr>
          <w:p>
            <w:pPr>
              <w:pStyle w:val="TableContents"/>
              <w:spacing w:before="0" w:after="283"/>
              <w:rPr/>
            </w:pPr>
            <w:r>
              <w:rPr/>
              <w:t>Successful integration of WPM and CohortGo; development of 2023 road map; migration of WPM infrastructure.</w:t>
            </w:r>
          </w:p>
        </w:tc>
        <w:tc>
          <w:tcPr>
            <w:tcW w:w="120" w:type="dxa"/>
            <w:tcBorders/>
            <w:shd w:fill="CCEEFF" w:val="clear"/>
            <w:vAlign w:val="center"/>
          </w:tcPr>
          <w:p>
            <w:pPr>
              <w:pStyle w:val="TableContents"/>
              <w:spacing w:before="0" w:after="283"/>
              <w:rPr/>
            </w:pPr>
            <w:r>
              <w:rPr/>
              <w:t>  </w:t>
            </w:r>
          </w:p>
        </w:tc>
        <w:tc>
          <w:tcPr>
            <w:tcW w:w="330" w:type="dxa"/>
            <w:tcBorders/>
            <w:shd w:fill="CCEEFF" w:val="clear"/>
            <w:vAlign w:val="center"/>
          </w:tcPr>
          <w:p>
            <w:pPr>
              <w:pStyle w:val="TableContents"/>
              <w:spacing w:before="0" w:after="283"/>
              <w:rPr/>
            </w:pPr>
            <w:r>
              <w:rPr/>
              <w:t> </w:t>
            </w:r>
          </w:p>
        </w:tc>
        <w:tc>
          <w:tcPr>
            <w:tcW w:w="2092" w:type="dxa"/>
            <w:tcBorders/>
            <w:shd w:fill="CCEEFF" w:val="clear"/>
            <w:vAlign w:val="center"/>
          </w:tcPr>
          <w:p>
            <w:pPr>
              <w:pStyle w:val="TableContents"/>
              <w:spacing w:before="0" w:after="283"/>
              <w:jc w:val="right"/>
              <w:rPr/>
            </w:pPr>
            <w:r>
              <w:rPr/>
              <w:t>92</w:t>
            </w:r>
          </w:p>
        </w:tc>
        <w:tc>
          <w:tcPr>
            <w:tcW w:w="293" w:type="dxa"/>
            <w:tcBorders/>
            <w:shd w:fill="CCEEFF"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u w:val="single"/>
        </w:rPr>
        <w:t>2022 Bonus Awarded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The above calculations resulted in the following payout amounts under the 2022 cash incentive bonus program for each of our NEOs: </w:t>
      </w:r>
    </w:p>
    <w:p>
      <w:pPr>
        <w:pStyle w:val="TextBody"/>
        <w:spacing w:before="0" w:after="0"/>
        <w:jc w:val="left"/>
        <w:rPr/>
      </w:pPr>
      <w:r>
        <w:rPr/>
        <w:t> </w:t>
      </w:r>
    </w:p>
    <w:tbl>
      <w:tblPr>
        <w:tblW w:w="5205" w:type="dxa"/>
        <w:jc w:val="left"/>
        <w:tblInd w:w="0" w:type="dxa"/>
        <w:tblCellMar>
          <w:top w:w="0" w:type="dxa"/>
          <w:left w:w="0" w:type="dxa"/>
          <w:bottom w:w="0" w:type="dxa"/>
          <w:right w:w="0" w:type="dxa"/>
        </w:tblCellMar>
      </w:tblPr>
      <w:tblGrid>
        <w:gridCol w:w="1430"/>
        <w:gridCol w:w="120"/>
        <w:gridCol w:w="140"/>
        <w:gridCol w:w="800"/>
        <w:gridCol w:w="60"/>
        <w:gridCol w:w="120"/>
        <w:gridCol w:w="156"/>
        <w:gridCol w:w="989"/>
        <w:gridCol w:w="275"/>
        <w:gridCol w:w="60"/>
        <w:gridCol w:w="145"/>
        <w:gridCol w:w="835"/>
        <w:gridCol w:w="75"/>
      </w:tblGrid>
      <w:tr>
        <w:trPr/>
        <w:tc>
          <w:tcPr>
            <w:tcW w:w="14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430" w:type="dxa"/>
            <w:tcBorders/>
            <w:shd w:fill="auto" w:val="clear"/>
            <w:vAlign w:val="center"/>
          </w:tcPr>
          <w:p>
            <w:pPr>
              <w:pStyle w:val="TableContents"/>
              <w:spacing w:before="0" w:after="283"/>
              <w:rPr>
                <w:b/>
              </w:rPr>
            </w:pPr>
            <w:r>
              <w:rPr>
                <w:b/>
              </w:rPr>
              <w:t>Name</w:t>
            </w:r>
          </w:p>
        </w:tc>
        <w:tc>
          <w:tcPr>
            <w:tcW w:w="12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jc w:val="center"/>
              <w:rPr>
                <w:b/>
              </w:rPr>
            </w:pPr>
            <w:r>
              <w:rPr>
                <w:b/>
              </w:rPr>
              <w:t>Target</w:t>
              <w:br/>
              <w:t>Bonus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45" w:type="dxa"/>
            <w:gridSpan w:val="2"/>
            <w:tcBorders/>
            <w:shd w:fill="auto" w:val="clear"/>
            <w:vAlign w:val="center"/>
          </w:tcPr>
          <w:p>
            <w:pPr>
              <w:pStyle w:val="TableContents"/>
              <w:spacing w:before="0" w:after="283"/>
              <w:jc w:val="center"/>
              <w:rPr>
                <w:b/>
              </w:rPr>
            </w:pPr>
            <w:r>
              <w:rPr>
                <w:b/>
              </w:rPr>
              <w:t>Percentage</w:t>
              <w:br/>
              <w:t>of Target</w:t>
              <w:br/>
              <w:t>Awarded</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gridSpan w:val="2"/>
            <w:tcBorders/>
            <w:shd w:fill="auto" w:val="clear"/>
            <w:vAlign w:val="center"/>
          </w:tcPr>
          <w:p>
            <w:pPr>
              <w:pStyle w:val="TableContents"/>
              <w:spacing w:before="0" w:after="283"/>
              <w:jc w:val="center"/>
              <w:rPr>
                <w:b/>
              </w:rPr>
            </w:pPr>
            <w:r>
              <w:rPr>
                <w:b/>
              </w:rPr>
              <w:t>Actual</w:t>
              <w:br/>
              <w:t>Bonus</w:t>
              <w:br/>
              <w:t>Awarded</w:t>
            </w:r>
          </w:p>
        </w:tc>
        <w:tc>
          <w:tcPr>
            <w:tcW w:w="75" w:type="dxa"/>
            <w:tcBorders/>
            <w:shd w:fill="auto" w:val="clear"/>
            <w:vAlign w:val="center"/>
          </w:tcPr>
          <w:p>
            <w:pPr>
              <w:pStyle w:val="TableContents"/>
              <w:spacing w:before="0" w:after="283"/>
              <w:rPr/>
            </w:pPr>
            <w:r>
              <w:rPr/>
              <w:t> </w:t>
            </w:r>
          </w:p>
        </w:tc>
      </w:tr>
      <w:tr>
        <w:trPr/>
        <w:tc>
          <w:tcPr>
            <w:tcW w:w="14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Michael Massaro</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260,000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6" w:type="dxa"/>
            <w:tcBorders/>
            <w:shd w:fill="CCEEFF" w:val="clear"/>
            <w:vAlign w:val="center"/>
          </w:tcPr>
          <w:p>
            <w:pPr>
              <w:pStyle w:val="TableContents"/>
              <w:spacing w:before="0" w:after="283"/>
              <w:rPr/>
            </w:pPr>
            <w:r>
              <w:rPr/>
              <w:t> </w:t>
            </w:r>
          </w:p>
        </w:tc>
        <w:tc>
          <w:tcPr>
            <w:tcW w:w="989" w:type="dxa"/>
            <w:tcBorders/>
            <w:shd w:fill="CCEEFF" w:val="clear"/>
            <w:vAlign w:val="center"/>
          </w:tcPr>
          <w:p>
            <w:pPr>
              <w:pStyle w:val="TableContents"/>
              <w:spacing w:before="0" w:after="283"/>
              <w:jc w:val="right"/>
              <w:rPr/>
            </w:pPr>
            <w:r>
              <w:rPr/>
              <w:t>87</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w:t>
            </w:r>
          </w:p>
        </w:tc>
        <w:tc>
          <w:tcPr>
            <w:tcW w:w="835" w:type="dxa"/>
            <w:tcBorders/>
            <w:shd w:fill="CCEEFF" w:val="clear"/>
            <w:vAlign w:val="center"/>
          </w:tcPr>
          <w:p>
            <w:pPr>
              <w:pStyle w:val="TableContents"/>
              <w:spacing w:before="0" w:after="283"/>
              <w:jc w:val="right"/>
              <w:rPr/>
            </w:pPr>
            <w:r>
              <w:rPr/>
              <w:t>226,200</w:t>
            </w:r>
          </w:p>
        </w:tc>
        <w:tc>
          <w:tcPr>
            <w:tcW w:w="75" w:type="dxa"/>
            <w:tcBorders/>
            <w:shd w:fill="CCEEFF" w:val="clear"/>
            <w:vAlign w:val="center"/>
          </w:tcPr>
          <w:p>
            <w:pPr>
              <w:pStyle w:val="TableContents"/>
              <w:spacing w:before="0" w:after="283"/>
              <w:rPr/>
            </w:pPr>
            <w:r>
              <w:rPr/>
              <w:t> </w:t>
            </w:r>
          </w:p>
        </w:tc>
      </w:tr>
      <w:tr>
        <w:trPr/>
        <w:tc>
          <w:tcPr>
            <w:tcW w:w="14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Robert Orgel</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225,000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6" w:type="dxa"/>
            <w:tcBorders/>
            <w:shd w:fill="auto" w:val="clear"/>
            <w:vAlign w:val="center"/>
          </w:tcPr>
          <w:p>
            <w:pPr>
              <w:pStyle w:val="TableContents"/>
              <w:spacing w:before="0" w:after="283"/>
              <w:rPr/>
            </w:pPr>
            <w:r>
              <w:rPr/>
              <w:t> </w:t>
            </w:r>
          </w:p>
        </w:tc>
        <w:tc>
          <w:tcPr>
            <w:tcW w:w="989" w:type="dxa"/>
            <w:tcBorders/>
            <w:shd w:fill="auto" w:val="clear"/>
            <w:vAlign w:val="center"/>
          </w:tcPr>
          <w:p>
            <w:pPr>
              <w:pStyle w:val="TableContents"/>
              <w:spacing w:before="0" w:after="283"/>
              <w:jc w:val="right"/>
              <w:rPr/>
            </w:pPr>
            <w:r>
              <w:rPr/>
              <w:t>87</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w:t>
            </w:r>
          </w:p>
        </w:tc>
        <w:tc>
          <w:tcPr>
            <w:tcW w:w="835" w:type="dxa"/>
            <w:tcBorders/>
            <w:shd w:fill="auto" w:val="clear"/>
            <w:vAlign w:val="center"/>
          </w:tcPr>
          <w:p>
            <w:pPr>
              <w:pStyle w:val="TableContents"/>
              <w:spacing w:before="0" w:after="283"/>
              <w:jc w:val="right"/>
              <w:rPr/>
            </w:pPr>
            <w:r>
              <w:rPr/>
              <w:t>195,750</w:t>
            </w:r>
          </w:p>
        </w:tc>
        <w:tc>
          <w:tcPr>
            <w:tcW w:w="75" w:type="dxa"/>
            <w:tcBorders/>
            <w:shd w:fill="auto" w:val="clear"/>
            <w:vAlign w:val="center"/>
          </w:tcPr>
          <w:p>
            <w:pPr>
              <w:pStyle w:val="TableContents"/>
              <w:spacing w:before="0" w:after="283"/>
              <w:rPr/>
            </w:pPr>
            <w:r>
              <w:rPr/>
              <w:t> </w:t>
            </w:r>
          </w:p>
        </w:tc>
      </w:tr>
      <w:tr>
        <w:trPr/>
        <w:tc>
          <w:tcPr>
            <w:tcW w:w="14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Michael Ellis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225,000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6" w:type="dxa"/>
            <w:tcBorders/>
            <w:shd w:fill="CCEEFF" w:val="clear"/>
            <w:vAlign w:val="center"/>
          </w:tcPr>
          <w:p>
            <w:pPr>
              <w:pStyle w:val="TableContents"/>
              <w:spacing w:before="0" w:after="283"/>
              <w:rPr/>
            </w:pPr>
            <w:r>
              <w:rPr/>
              <w:t> </w:t>
            </w:r>
          </w:p>
        </w:tc>
        <w:tc>
          <w:tcPr>
            <w:tcW w:w="989" w:type="dxa"/>
            <w:tcBorders/>
            <w:shd w:fill="CCEEFF" w:val="clear"/>
            <w:vAlign w:val="center"/>
          </w:tcPr>
          <w:p>
            <w:pPr>
              <w:pStyle w:val="TableContents"/>
              <w:spacing w:before="0" w:after="283"/>
              <w:jc w:val="right"/>
              <w:rPr/>
            </w:pPr>
            <w:r>
              <w:rPr/>
              <w:t>90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w:t>
            </w:r>
          </w:p>
        </w:tc>
        <w:tc>
          <w:tcPr>
            <w:tcW w:w="835" w:type="dxa"/>
            <w:tcBorders/>
            <w:shd w:fill="CCEEFF" w:val="clear"/>
            <w:vAlign w:val="center"/>
          </w:tcPr>
          <w:p>
            <w:pPr>
              <w:pStyle w:val="TableContents"/>
              <w:spacing w:before="0" w:after="283"/>
              <w:jc w:val="right"/>
              <w:rPr/>
            </w:pPr>
            <w:r>
              <w:rPr/>
              <w:t>203,175</w:t>
            </w:r>
          </w:p>
        </w:tc>
        <w:tc>
          <w:tcPr>
            <w:tcW w:w="75" w:type="dxa"/>
            <w:tcBorders/>
            <w:shd w:fill="CCEEFF" w:val="clear"/>
            <w:vAlign w:val="center"/>
          </w:tcPr>
          <w:p>
            <w:pPr>
              <w:pStyle w:val="TableContents"/>
              <w:spacing w:before="0" w:after="283"/>
              <w:rPr/>
            </w:pPr>
            <w:r>
              <w:rPr/>
              <w:t> </w:t>
            </w:r>
          </w:p>
        </w:tc>
      </w:tr>
      <w:tr>
        <w:trPr/>
        <w:tc>
          <w:tcPr>
            <w:tcW w:w="14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Sharon Butler</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200,000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6" w:type="dxa"/>
            <w:tcBorders/>
            <w:shd w:fill="auto" w:val="clear"/>
            <w:vAlign w:val="center"/>
          </w:tcPr>
          <w:p>
            <w:pPr>
              <w:pStyle w:val="TableContents"/>
              <w:spacing w:before="0" w:after="283"/>
              <w:rPr/>
            </w:pPr>
            <w:r>
              <w:rPr/>
              <w:t> </w:t>
            </w:r>
          </w:p>
        </w:tc>
        <w:tc>
          <w:tcPr>
            <w:tcW w:w="989" w:type="dxa"/>
            <w:tcBorders/>
            <w:shd w:fill="auto" w:val="clear"/>
            <w:vAlign w:val="center"/>
          </w:tcPr>
          <w:p>
            <w:pPr>
              <w:pStyle w:val="TableContents"/>
              <w:spacing w:before="0" w:after="283"/>
              <w:jc w:val="right"/>
              <w:rPr/>
            </w:pPr>
            <w:r>
              <w:rPr/>
              <w:t>107</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w:t>
            </w:r>
          </w:p>
        </w:tc>
        <w:tc>
          <w:tcPr>
            <w:tcW w:w="835" w:type="dxa"/>
            <w:tcBorders/>
            <w:shd w:fill="auto" w:val="clear"/>
            <w:vAlign w:val="center"/>
          </w:tcPr>
          <w:p>
            <w:pPr>
              <w:pStyle w:val="TableContents"/>
              <w:spacing w:before="0" w:after="283"/>
              <w:jc w:val="right"/>
              <w:rPr/>
            </w:pPr>
            <w:r>
              <w:rPr/>
              <w:t>213,150</w:t>
            </w:r>
          </w:p>
        </w:tc>
        <w:tc>
          <w:tcPr>
            <w:tcW w:w="75" w:type="dxa"/>
            <w:tcBorders/>
            <w:shd w:fill="auto" w:val="clear"/>
            <w:vAlign w:val="center"/>
          </w:tcPr>
          <w:p>
            <w:pPr>
              <w:pStyle w:val="TableContents"/>
              <w:spacing w:before="0" w:after="283"/>
              <w:rPr/>
            </w:pPr>
            <w:r>
              <w:rPr/>
              <w:t> </w:t>
            </w:r>
          </w:p>
        </w:tc>
      </w:tr>
      <w:tr>
        <w:trPr/>
        <w:tc>
          <w:tcPr>
            <w:tcW w:w="14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David King</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150,000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6" w:type="dxa"/>
            <w:tcBorders/>
            <w:shd w:fill="CCEEFF" w:val="clear"/>
            <w:vAlign w:val="center"/>
          </w:tcPr>
          <w:p>
            <w:pPr>
              <w:pStyle w:val="TableContents"/>
              <w:spacing w:before="0" w:after="283"/>
              <w:rPr/>
            </w:pPr>
            <w:r>
              <w:rPr/>
              <w:t> </w:t>
            </w:r>
          </w:p>
        </w:tc>
        <w:tc>
          <w:tcPr>
            <w:tcW w:w="989" w:type="dxa"/>
            <w:tcBorders/>
            <w:shd w:fill="CCEEFF" w:val="clear"/>
            <w:vAlign w:val="center"/>
          </w:tcPr>
          <w:p>
            <w:pPr>
              <w:pStyle w:val="TableContents"/>
              <w:spacing w:before="0" w:after="283"/>
              <w:jc w:val="right"/>
              <w:rPr/>
            </w:pPr>
            <w:r>
              <w:rPr/>
              <w:t>88</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w:t>
            </w:r>
          </w:p>
        </w:tc>
        <w:tc>
          <w:tcPr>
            <w:tcW w:w="835" w:type="dxa"/>
            <w:tcBorders/>
            <w:shd w:fill="CCEEFF" w:val="clear"/>
            <w:vAlign w:val="center"/>
          </w:tcPr>
          <w:p>
            <w:pPr>
              <w:pStyle w:val="TableContents"/>
              <w:spacing w:before="0" w:after="283"/>
              <w:jc w:val="right"/>
              <w:rPr/>
            </w:pPr>
            <w:r>
              <w:rPr/>
              <w:t>132,525</w:t>
            </w:r>
          </w:p>
        </w:tc>
        <w:tc>
          <w:tcPr>
            <w:tcW w:w="75" w:type="dxa"/>
            <w:tcBorders/>
            <w:shd w:fill="CCEEFF" w:val="clear"/>
            <w:vAlign w:val="center"/>
          </w:tcPr>
          <w:p>
            <w:pPr>
              <w:pStyle w:val="TableContents"/>
              <w:spacing w:before="0" w:after="283"/>
              <w:rPr/>
            </w:pPr>
            <w:r>
              <w:rPr/>
              <w:t> </w:t>
            </w:r>
          </w:p>
        </w:tc>
      </w:tr>
    </w:tbl>
    <w:p>
      <w:pPr>
        <w:pStyle w:val="TextBody"/>
        <w:spacing w:before="360" w:after="0"/>
        <w:jc w:val="left"/>
        <w:rPr>
          <w:rFonts w:ascii="Times New Roman" w:hAnsi="Times New Roman"/>
          <w:b/>
          <w:i/>
          <w:sz w:val="20"/>
        </w:rPr>
      </w:pPr>
      <w:r>
        <w:rPr>
          <w:rFonts w:ascii="Times New Roman" w:hAnsi="Times New Roman"/>
          <w:b/>
          <w:i/>
          <w:sz w:val="20"/>
        </w:rPr>
        <w:t xml:space="preserve">2022 Long-Term Incentive Compensation </w:t>
      </w:r>
    </w:p>
    <w:p>
      <w:pPr>
        <w:pStyle w:val="TextBody"/>
        <w:spacing w:before="120" w:after="0"/>
        <w:jc w:val="left"/>
        <w:rPr>
          <w:rFonts w:ascii="Times New Roman" w:hAnsi="Times New Roman"/>
          <w:sz w:val="20"/>
        </w:rPr>
      </w:pPr>
      <w:r>
        <w:rPr>
          <w:rFonts w:ascii="Times New Roman" w:hAnsi="Times New Roman"/>
          <w:sz w:val="20"/>
        </w:rPr>
        <w:t xml:space="preserve">Our Compensation Committee is very focused on aligning pay with performance in our compensation program, and as such, we continue to evaluate the most effective way to do so. For Fiscal 2022, given our recent IPO and emphasis on retention, coupled with the volatility in the market and challenges with long-term goal setting, the Compensation Committee determined the most effective way to align executives with stockholders was to award RSUs that are directly aligned with stockholders, with value driven by the share price. The number of shares underlying RSUs granted to our NEOs is based on our Compensation Committee’s general understanding of competitive pay practices, our CEO’s recommendation (except with respect to his own awards), consultation with its compensation consultant, and other factors that our Compensation Committee deems appropriate. In addition to the annual RSU awards, our Compensation Committee may grant additional RSUs for merit, performance, retention or promotional purposes. In Fiscal 2022, our Compensation Committee granted an additional exceptional RSU award to each of Ms. Butler and Mr. King based on their contributions to the company, importance of their respective roles and to further incentivize and retain them. </w:t>
      </w:r>
    </w:p>
    <w:p>
      <w:pPr>
        <w:pStyle w:val="TextBody"/>
        <w:spacing w:before="240" w:after="0"/>
        <w:jc w:val="left"/>
        <w:rPr>
          <w:rFonts w:ascii="Times New Roman" w:hAnsi="Times New Roman"/>
          <w:sz w:val="20"/>
        </w:rPr>
      </w:pPr>
      <w:r>
        <w:rPr>
          <w:rFonts w:ascii="Times New Roman" w:hAnsi="Times New Roman"/>
          <w:sz w:val="20"/>
        </w:rPr>
        <w:t xml:space="preserve">In March 2022, our Compensation Committee granted the following time-based RSUs to our NEOs, which vest with respect to 25% of the shares after one year and the remainder vesting in substantially equal quarterly installments over the following three years, subject to the officer’s continued employment. </w:t>
      </w:r>
    </w:p>
    <w:p>
      <w:pPr>
        <w:pStyle w:val="TextBody"/>
        <w:spacing w:before="0" w:after="0"/>
        <w:jc w:val="left"/>
        <w:rPr/>
      </w:pPr>
      <w:r>
        <w:rPr/>
        <w:t> </w:t>
      </w:r>
    </w:p>
    <w:tbl>
      <w:tblPr>
        <w:tblW w:w="2815" w:type="dxa"/>
        <w:jc w:val="left"/>
        <w:tblInd w:w="0" w:type="dxa"/>
        <w:tblCellMar>
          <w:top w:w="0" w:type="dxa"/>
          <w:left w:w="0" w:type="dxa"/>
          <w:bottom w:w="0" w:type="dxa"/>
          <w:right w:w="0" w:type="dxa"/>
        </w:tblCellMar>
      </w:tblPr>
      <w:tblGrid>
        <w:gridCol w:w="1430"/>
        <w:gridCol w:w="120"/>
        <w:gridCol w:w="83"/>
        <w:gridCol w:w="1107"/>
        <w:gridCol w:w="75"/>
      </w:tblGrid>
      <w:tr>
        <w:trPr/>
        <w:tc>
          <w:tcPr>
            <w:tcW w:w="14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430" w:type="dxa"/>
            <w:tcBorders/>
            <w:shd w:fill="auto" w:val="clear"/>
            <w:vAlign w:val="center"/>
          </w:tcPr>
          <w:p>
            <w:pPr>
              <w:pStyle w:val="TableContents"/>
              <w:spacing w:before="0" w:after="283"/>
              <w:rPr>
                <w:b/>
              </w:rPr>
            </w:pPr>
            <w:r>
              <w:rPr>
                <w:b/>
              </w:rPr>
              <w:t>Name</w:t>
            </w:r>
          </w:p>
        </w:tc>
        <w:tc>
          <w:tcPr>
            <w:tcW w:w="120" w:type="dxa"/>
            <w:tcBorders/>
            <w:shd w:fill="auto" w:val="clear"/>
            <w:vAlign w:val="center"/>
          </w:tcPr>
          <w:p>
            <w:pPr>
              <w:pStyle w:val="TableContents"/>
              <w:spacing w:before="0" w:after="283"/>
              <w:rPr/>
            </w:pPr>
            <w:r>
              <w:rPr/>
              <w:t>  </w:t>
            </w:r>
          </w:p>
        </w:tc>
        <w:tc>
          <w:tcPr>
            <w:tcW w:w="1190" w:type="dxa"/>
            <w:gridSpan w:val="2"/>
            <w:tcBorders/>
            <w:shd w:fill="auto" w:val="clear"/>
            <w:vAlign w:val="center"/>
          </w:tcPr>
          <w:p>
            <w:pPr>
              <w:pStyle w:val="TableContents"/>
              <w:spacing w:before="0" w:after="283"/>
              <w:jc w:val="center"/>
              <w:rPr>
                <w:b/>
              </w:rPr>
            </w:pPr>
            <w:r>
              <w:rPr>
                <w:b/>
              </w:rPr>
              <w:t>Number of</w:t>
              <w:br/>
              <w:t>Shares</w:t>
              <w:br/>
              <w:t>Underlying</w:t>
              <w:br/>
              <w:t>RSU Grant</w:t>
            </w:r>
          </w:p>
        </w:tc>
        <w:tc>
          <w:tcPr>
            <w:tcW w:w="75" w:type="dxa"/>
            <w:tcBorders/>
            <w:shd w:fill="auto" w:val="clear"/>
            <w:vAlign w:val="center"/>
          </w:tcPr>
          <w:p>
            <w:pPr>
              <w:pStyle w:val="TableContents"/>
              <w:spacing w:before="0" w:after="283"/>
              <w:rPr/>
            </w:pPr>
            <w:r>
              <w:rPr/>
              <w:t> </w:t>
            </w:r>
          </w:p>
        </w:tc>
      </w:tr>
      <w:tr>
        <w:trPr/>
        <w:tc>
          <w:tcPr>
            <w:tcW w:w="14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Michael Massaro</w:t>
            </w:r>
          </w:p>
        </w:tc>
        <w:tc>
          <w:tcPr>
            <w:tcW w:w="12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107" w:type="dxa"/>
            <w:tcBorders/>
            <w:shd w:fill="CCEEFF" w:val="clear"/>
            <w:vAlign w:val="center"/>
          </w:tcPr>
          <w:p>
            <w:pPr>
              <w:pStyle w:val="TableContents"/>
              <w:spacing w:before="0" w:after="283"/>
              <w:jc w:val="right"/>
              <w:rPr/>
            </w:pPr>
            <w:r>
              <w:rPr/>
              <w:t>252,039</w:t>
            </w:r>
          </w:p>
        </w:tc>
        <w:tc>
          <w:tcPr>
            <w:tcW w:w="75" w:type="dxa"/>
            <w:tcBorders/>
            <w:shd w:fill="CCEEFF" w:val="clear"/>
            <w:vAlign w:val="center"/>
          </w:tcPr>
          <w:p>
            <w:pPr>
              <w:pStyle w:val="TableContents"/>
              <w:spacing w:before="0" w:after="283"/>
              <w:rPr/>
            </w:pPr>
            <w:r>
              <w:rPr/>
              <w:t> </w:t>
            </w:r>
          </w:p>
        </w:tc>
      </w:tr>
      <w:tr>
        <w:trPr/>
        <w:tc>
          <w:tcPr>
            <w:tcW w:w="14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Robert Orgel</w:t>
            </w:r>
          </w:p>
        </w:tc>
        <w:tc>
          <w:tcPr>
            <w:tcW w:w="12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107" w:type="dxa"/>
            <w:tcBorders/>
            <w:shd w:fill="auto" w:val="clear"/>
            <w:vAlign w:val="center"/>
          </w:tcPr>
          <w:p>
            <w:pPr>
              <w:pStyle w:val="TableContents"/>
              <w:spacing w:before="0" w:after="283"/>
              <w:jc w:val="right"/>
              <w:rPr/>
            </w:pPr>
            <w:r>
              <w:rPr/>
              <w:t>126,019</w:t>
            </w:r>
          </w:p>
        </w:tc>
        <w:tc>
          <w:tcPr>
            <w:tcW w:w="75" w:type="dxa"/>
            <w:tcBorders/>
            <w:shd w:fill="auto" w:val="clear"/>
            <w:vAlign w:val="center"/>
          </w:tcPr>
          <w:p>
            <w:pPr>
              <w:pStyle w:val="TableContents"/>
              <w:spacing w:before="0" w:after="283"/>
              <w:rPr/>
            </w:pPr>
            <w:r>
              <w:rPr/>
              <w:t> </w:t>
            </w:r>
          </w:p>
        </w:tc>
      </w:tr>
      <w:tr>
        <w:trPr/>
        <w:tc>
          <w:tcPr>
            <w:tcW w:w="14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Michael Ellis</w:t>
            </w:r>
          </w:p>
        </w:tc>
        <w:tc>
          <w:tcPr>
            <w:tcW w:w="12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107" w:type="dxa"/>
            <w:tcBorders/>
            <w:shd w:fill="CCEEFF" w:val="clear"/>
            <w:vAlign w:val="center"/>
          </w:tcPr>
          <w:p>
            <w:pPr>
              <w:pStyle w:val="TableContents"/>
              <w:spacing w:before="0" w:after="283"/>
              <w:jc w:val="right"/>
              <w:rPr/>
            </w:pPr>
            <w:r>
              <w:rPr/>
              <w:t>90,014</w:t>
            </w:r>
          </w:p>
        </w:tc>
        <w:tc>
          <w:tcPr>
            <w:tcW w:w="75" w:type="dxa"/>
            <w:tcBorders/>
            <w:shd w:fill="CCEEFF" w:val="clear"/>
            <w:vAlign w:val="center"/>
          </w:tcPr>
          <w:p>
            <w:pPr>
              <w:pStyle w:val="TableContents"/>
              <w:spacing w:before="0" w:after="283"/>
              <w:rPr/>
            </w:pPr>
            <w:r>
              <w:rPr/>
              <w:t> </w:t>
            </w:r>
          </w:p>
        </w:tc>
      </w:tr>
      <w:tr>
        <w:trPr/>
        <w:tc>
          <w:tcPr>
            <w:tcW w:w="14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Sharon Butler</w:t>
            </w:r>
          </w:p>
        </w:tc>
        <w:tc>
          <w:tcPr>
            <w:tcW w:w="12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107" w:type="dxa"/>
            <w:tcBorders/>
            <w:shd w:fill="auto" w:val="clear"/>
            <w:vAlign w:val="center"/>
          </w:tcPr>
          <w:p>
            <w:pPr>
              <w:pStyle w:val="TableContents"/>
              <w:spacing w:before="0" w:after="283"/>
              <w:jc w:val="right"/>
              <w:rPr/>
            </w:pPr>
            <w:r>
              <w:rPr/>
              <w:t>72,011</w:t>
            </w:r>
          </w:p>
        </w:tc>
        <w:tc>
          <w:tcPr>
            <w:tcW w:w="75" w:type="dxa"/>
            <w:tcBorders/>
            <w:shd w:fill="auto" w:val="clear"/>
            <w:vAlign w:val="center"/>
          </w:tcPr>
          <w:p>
            <w:pPr>
              <w:pStyle w:val="TableContents"/>
              <w:spacing w:before="0" w:after="283"/>
              <w:rPr/>
            </w:pPr>
            <w:r>
              <w:rPr/>
              <w:t> </w:t>
            </w:r>
          </w:p>
        </w:tc>
      </w:tr>
      <w:tr>
        <w:trPr/>
        <w:tc>
          <w:tcPr>
            <w:tcW w:w="14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David King</w:t>
            </w:r>
          </w:p>
        </w:tc>
        <w:tc>
          <w:tcPr>
            <w:tcW w:w="12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107" w:type="dxa"/>
            <w:tcBorders/>
            <w:shd w:fill="CCEEFF" w:val="clear"/>
            <w:vAlign w:val="center"/>
          </w:tcPr>
          <w:p>
            <w:pPr>
              <w:pStyle w:val="TableContents"/>
              <w:spacing w:before="0" w:after="283"/>
              <w:jc w:val="right"/>
              <w:rPr/>
            </w:pPr>
            <w:r>
              <w:rPr/>
              <w:t>126,019</w:t>
            </w:r>
          </w:p>
        </w:tc>
        <w:tc>
          <w:tcPr>
            <w:tcW w:w="75" w:type="dxa"/>
            <w:tcBorders/>
            <w:shd w:fill="CCEEFF" w:val="clear"/>
            <w:vAlign w:val="center"/>
          </w:tcPr>
          <w:p>
            <w:pPr>
              <w:pStyle w:val="TableContents"/>
              <w:spacing w:before="0" w:after="283"/>
              <w:rPr/>
            </w:pPr>
            <w:r>
              <w:rPr/>
              <w:t> </w:t>
            </w:r>
          </w:p>
        </w:tc>
      </w:tr>
    </w:tbl>
    <w:p>
      <w:pPr>
        <w:pStyle w:val="TextBody"/>
        <w:spacing w:before="360" w:after="0"/>
        <w:jc w:val="left"/>
        <w:rPr>
          <w:rFonts w:ascii="Times New Roman" w:hAnsi="Times New Roman"/>
          <w:b/>
          <w:i/>
          <w:sz w:val="20"/>
        </w:rPr>
      </w:pPr>
      <w:bookmarkStart w:id="34" w:name="toc359255_32"/>
      <w:bookmarkEnd w:id="34"/>
      <w:r>
        <w:rPr>
          <w:rFonts w:ascii="Times New Roman" w:hAnsi="Times New Roman"/>
          <w:b/>
          <w:i/>
          <w:sz w:val="20"/>
        </w:rPr>
        <w:t xml:space="preserve">Severance and Change in Control Benefits </w:t>
      </w:r>
    </w:p>
    <w:p>
      <w:pPr>
        <w:pStyle w:val="TextBody"/>
        <w:spacing w:before="120" w:after="0"/>
        <w:jc w:val="left"/>
        <w:rPr>
          <w:rFonts w:ascii="Times New Roman" w:hAnsi="Times New Roman"/>
          <w:sz w:val="20"/>
        </w:rPr>
      </w:pPr>
      <w:r>
        <w:rPr>
          <w:rFonts w:ascii="Times New Roman" w:hAnsi="Times New Roman"/>
          <w:sz w:val="20"/>
        </w:rPr>
        <w:t xml:space="preserve">Severance and change in control benefits promote stability and continuity of our senior management team in the event of a potential change in control and/or an involuntary termination. Our Compensation Committee believes these provisions help to align our NEO’s interests appropriately with those of our stockholders in these scenarios. We have entered into employment agreements with each of our NEOs, which provide for at-will employment and, other than in the context of a termination without Cause or a Resignation for Good Reason (as such terms are defined in the employment agreements), may be terminated at any time. See “Fiscal 2022 Potential Payments Upon Termination or Change in Control” below for a description of the severance benefits and the acceleration benefits, if any, that Messrs. Massaro, Orgel, Ellis and King and Ms. Butler are entitled to pursuant to their employment agreements and equity award agreements.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Other Benefits and Perquisites </w:t>
      </w:r>
    </w:p>
    <w:p>
      <w:pPr>
        <w:pStyle w:val="TextBody"/>
        <w:spacing w:before="120" w:after="0"/>
        <w:jc w:val="left"/>
        <w:rPr>
          <w:rFonts w:ascii="Times New Roman" w:hAnsi="Times New Roman"/>
          <w:sz w:val="20"/>
        </w:rPr>
      </w:pPr>
      <w:r>
        <w:rPr>
          <w:rFonts w:ascii="Times New Roman" w:hAnsi="Times New Roman"/>
          <w:sz w:val="20"/>
        </w:rPr>
        <w:t xml:space="preserve">Our NEOs are eligible to participate in all of our employee benefit plans such as medical, dental, vision, group life and disability insurance and our 401(k) plan as well as our employee stock purchase plan, in each case, on the same basis as our other employees. We are responsible for the administrative costs of the 401(k) plan. We match 50% of every dollar contributed up to 6% of salary, subject to certain limitations under the Internal Revenue Code. In addition to the standard employee benefits offered to all employees generally, our executive officers are eligible for term life and supplemental disability insurance. </w:t>
      </w:r>
    </w:p>
    <w:p>
      <w:pPr>
        <w:pStyle w:val="TextBody"/>
        <w:spacing w:before="360" w:after="0"/>
        <w:jc w:val="left"/>
        <w:rPr>
          <w:rFonts w:ascii="Times New Roman" w:hAnsi="Times New Roman"/>
          <w:b/>
          <w:sz w:val="20"/>
        </w:rPr>
      </w:pPr>
      <w:r>
        <w:rPr>
          <w:rFonts w:ascii="Times New Roman" w:hAnsi="Times New Roman"/>
          <w:b/>
          <w:sz w:val="20"/>
        </w:rPr>
        <w:t xml:space="preserve">Recoupment and Related Policies </w:t>
      </w:r>
    </w:p>
    <w:p>
      <w:pPr>
        <w:pStyle w:val="TextBody"/>
        <w:spacing w:before="120" w:after="0"/>
        <w:jc w:val="left"/>
        <w:rPr>
          <w:rFonts w:ascii="Times New Roman" w:hAnsi="Times New Roman"/>
          <w:sz w:val="20"/>
        </w:rPr>
      </w:pPr>
      <w:r>
        <w:rPr>
          <w:rFonts w:ascii="Times New Roman" w:hAnsi="Times New Roman"/>
          <w:sz w:val="20"/>
        </w:rPr>
        <w:t xml:space="preserve">We have a comprehensive Code of Conduct. In accordance with this policy, we investigate all reported instances of questionable or unethical behavior, and where improper behavior is found to have occurred, we take appropriate remedial action up to and including termination. If the results of an investigation establish that one of our employees, officers or directors has committed fraud or engaged in some other improper act that has the result of causing our financial statements for any period to be restated or that otherwise adversely affects those financial statements, our Board has discretion to take immediate and appropriate disciplinary action against the individual, including but not limited to termination. In addition, our Board has discretion to pursue whatever legal remedies are available to prosecute the individual to the fullest extent of the law and to claw back or recoup any amounts he or she inappropriately received as a result of the improper action or inaction, including but not limited to any annual or long-term incentives that he or she received but would not have received had such act not be taken. We intend to adopt a general compensation recovery, or clawback, policy covering our annual and long-term incentive award plans and arrangements consistent with the requirements of the Exchange Act Rule 10D-1 after Nasdaq releases final listing standards in accordance with such rule. </w:t>
      </w:r>
    </w:p>
    <w:p>
      <w:pPr>
        <w:pStyle w:val="TextBody"/>
        <w:spacing w:before="360" w:after="0"/>
        <w:jc w:val="left"/>
        <w:rPr>
          <w:rFonts w:ascii="Times New Roman" w:hAnsi="Times New Roman"/>
          <w:b/>
          <w:sz w:val="20"/>
        </w:rPr>
      </w:pPr>
      <w:r>
        <w:rPr>
          <w:rFonts w:ascii="Times New Roman" w:hAnsi="Times New Roman"/>
          <w:b/>
          <w:sz w:val="20"/>
        </w:rPr>
        <w:t xml:space="preserve">Restrictions on Trading </w:t>
      </w:r>
    </w:p>
    <w:p>
      <w:pPr>
        <w:pStyle w:val="TextBody"/>
        <w:spacing w:before="120" w:after="0"/>
        <w:jc w:val="left"/>
        <w:rPr>
          <w:rFonts w:ascii="Times New Roman" w:hAnsi="Times New Roman"/>
          <w:sz w:val="20"/>
        </w:rPr>
      </w:pPr>
      <w:r>
        <w:rPr>
          <w:rFonts w:ascii="Times New Roman" w:hAnsi="Times New Roman"/>
          <w:sz w:val="20"/>
        </w:rPr>
        <w:t xml:space="preserve">Our Insider Trading Policy, as amended and restated in the first quarter of 2023 (ITP), prohibits our employees (including officers) and directors, or any of their designees, from purchasing financial instruments (including prepaid variable forward contracts, equity swaps, collars, and exchange funds), or otherwise engaging in transactions, that hedge or offset, or are designed to hedge or offset, any decrease in the market value of our equity securities (i) granted to the employee or director as part of the compensation of the employee or director; or (ii) held, directly or indirectly, by the employee or director. In addition, our employees (including officers) and directors may not pledge our equity securities held by them without the prior clearance of one of our compliance officers. </w:t>
      </w:r>
    </w:p>
    <w:p>
      <w:pPr>
        <w:pStyle w:val="TextBody"/>
        <w:spacing w:before="360" w:after="0"/>
        <w:jc w:val="left"/>
        <w:rPr>
          <w:rFonts w:ascii="Times New Roman" w:hAnsi="Times New Roman"/>
          <w:b/>
          <w:sz w:val="20"/>
        </w:rPr>
      </w:pPr>
      <w:r>
        <w:rPr>
          <w:rFonts w:ascii="Times New Roman" w:hAnsi="Times New Roman"/>
          <w:b/>
          <w:sz w:val="20"/>
        </w:rPr>
        <w:t xml:space="preserve">Rule 10b5-1 Sales Plans </w:t>
      </w:r>
    </w:p>
    <w:p>
      <w:pPr>
        <w:pStyle w:val="TextBody"/>
        <w:spacing w:before="120" w:after="0"/>
        <w:jc w:val="left"/>
        <w:rPr>
          <w:rFonts w:ascii="Times New Roman" w:hAnsi="Times New Roman"/>
          <w:sz w:val="20"/>
        </w:rPr>
      </w:pPr>
      <w:r>
        <w:rPr>
          <w:rFonts w:ascii="Times New Roman" w:hAnsi="Times New Roman"/>
          <w:sz w:val="20"/>
        </w:rPr>
        <w:t xml:space="preserve">Our ITP permits our directors, officers and employees to enter into trading plans complying with Rule 10b5-1 under the Exchange Act at a time when such individuals are not in possession of material non-public information. Certain of our executive officers and directors have adopted, and may in the future adopt, Rule 10b5-1 trading plans. Generally, under these trading plans, the individual relinquishes control over the transactions once the trading plan is put into place. Accordingly, sales under these plans may occur at any time during the term of the trading plan, including possibly before, simultaneously with, or immediately after significant events involving our company, and at other times, including during a closed trading window, when a director, officer, or employee may be prohibited from trading otherwise. </w:t>
      </w:r>
    </w:p>
    <w:p>
      <w:pPr>
        <w:pStyle w:val="TextBody"/>
        <w:spacing w:before="360" w:after="0"/>
        <w:jc w:val="left"/>
        <w:rPr>
          <w:rFonts w:ascii="Times New Roman" w:hAnsi="Times New Roman"/>
          <w:b/>
          <w:sz w:val="20"/>
        </w:rPr>
      </w:pPr>
      <w:r>
        <w:rPr>
          <w:rFonts w:ascii="Times New Roman" w:hAnsi="Times New Roman"/>
          <w:b/>
          <w:sz w:val="20"/>
        </w:rPr>
        <w:t xml:space="preserve">COMPENSATION COMMITTEE REPORT* </w:t>
      </w:r>
    </w:p>
    <w:p>
      <w:pPr>
        <w:pStyle w:val="TextBody"/>
        <w:spacing w:before="120" w:after="0"/>
        <w:jc w:val="left"/>
        <w:rPr>
          <w:rFonts w:ascii="Times New Roman" w:hAnsi="Times New Roman"/>
          <w:sz w:val="20"/>
        </w:rPr>
      </w:pPr>
      <w:r>
        <w:rPr>
          <w:rFonts w:ascii="Times New Roman" w:hAnsi="Times New Roman"/>
          <w:sz w:val="20"/>
        </w:rPr>
        <w:t xml:space="preserve">Our Compensation Committee has reviewed and discussed the Compensation Discussion and Analysis with management. Based on such review and discussion, our Compensation Committee has recommended to our Board of Directors that the Compensation Discussion and Analysis be incorporated by reference into our Annual Report on Form 10-K for Fiscal 2022 and included in this proxy statement.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Respectfully submitted by the members of the Compensation Committee of our Board of Directors: </w:t>
      </w:r>
    </w:p>
    <w:p>
      <w:pPr>
        <w:pStyle w:val="TextBody"/>
        <w:spacing w:before="0" w:after="0"/>
        <w:jc w:val="left"/>
        <w:rPr/>
      </w:pPr>
      <w:r>
        <w:rPr/>
        <w:t> </w:t>
      </w:r>
    </w:p>
    <w:tbl>
      <w:tblPr>
        <w:tblW w:w="2179" w:type="dxa"/>
        <w:jc w:val="left"/>
        <w:tblInd w:w="0" w:type="dxa"/>
        <w:tblCellMar>
          <w:top w:w="0" w:type="dxa"/>
          <w:left w:w="0" w:type="dxa"/>
          <w:bottom w:w="0" w:type="dxa"/>
          <w:right w:w="0" w:type="dxa"/>
        </w:tblCellMar>
      </w:tblPr>
      <w:tblGrid>
        <w:gridCol w:w="835"/>
        <w:gridCol w:w="504"/>
        <w:gridCol w:w="840"/>
      </w:tblGrid>
      <w:tr>
        <w:trPr/>
        <w:tc>
          <w:tcPr>
            <w:tcW w:w="835"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r>
      <w:tr>
        <w:trPr/>
        <w:tc>
          <w:tcPr>
            <w:tcW w:w="2179" w:type="dxa"/>
            <w:gridSpan w:val="3"/>
            <w:tcBorders/>
            <w:shd w:fill="auto" w:val="clear"/>
            <w:vAlign w:val="center"/>
          </w:tcPr>
          <w:p>
            <w:pPr>
              <w:pStyle w:val="TableContents"/>
              <w:spacing w:before="0" w:after="283"/>
              <w:rPr/>
            </w:pPr>
            <w:r>
              <w:rPr/>
              <w:t>Matthew Harris, Chair</w:t>
            </w:r>
          </w:p>
        </w:tc>
      </w:tr>
      <w:tr>
        <w:trPr/>
        <w:tc>
          <w:tcPr>
            <w:tcW w:w="2179" w:type="dxa"/>
            <w:gridSpan w:val="3"/>
            <w:tcBorders/>
            <w:shd w:fill="auto" w:val="clear"/>
            <w:vAlign w:val="center"/>
          </w:tcPr>
          <w:p>
            <w:pPr>
              <w:pStyle w:val="TableContents"/>
              <w:spacing w:before="0" w:after="283"/>
              <w:rPr/>
            </w:pPr>
            <w:r>
              <w:rPr/>
              <w:t>Diane Offereins</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b/>
              </w:rPr>
            </w:pPr>
            <w:r>
              <w:rPr>
                <w:b/>
              </w:rPr>
              <w:t>*</w:t>
            </w:r>
          </w:p>
        </w:tc>
        <w:tc>
          <w:tcPr>
            <w:tcW w:w="1005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The material in this report is not soliciting material, is not deemed filed with the SEC and is not to be incorporated by reference in any filing of Flywire Corporation under the Securities Act or the Exchange Act, whether made before or after the date hereof and irrespective of any general incorporation language in any such filing. </w:t>
            </w:r>
          </w:p>
        </w:tc>
      </w:tr>
    </w:tbl>
    <w:p>
      <w:pPr>
        <w:pStyle w:val="TextBody"/>
        <w:spacing w:before="360" w:after="0"/>
        <w:jc w:val="left"/>
        <w:rPr>
          <w:rFonts w:ascii="Times New Roman" w:hAnsi="Times New Roman"/>
          <w:b/>
          <w:sz w:val="20"/>
        </w:rPr>
      </w:pPr>
      <w:bookmarkStart w:id="35" w:name="toc359255_33"/>
      <w:bookmarkEnd w:id="35"/>
      <w:r>
        <w:rPr>
          <w:rFonts w:ascii="Times New Roman" w:hAnsi="Times New Roman"/>
          <w:b/>
          <w:sz w:val="20"/>
        </w:rPr>
        <w:t xml:space="preserve">Fiscal 2022 Summary Compensation Table </w:t>
      </w:r>
    </w:p>
    <w:p>
      <w:pPr>
        <w:pStyle w:val="TextBody"/>
        <w:spacing w:before="120" w:after="0"/>
        <w:jc w:val="left"/>
        <w:rPr>
          <w:rFonts w:ascii="Times New Roman" w:hAnsi="Times New Roman"/>
          <w:sz w:val="20"/>
        </w:rPr>
      </w:pPr>
      <w:r>
        <w:rPr>
          <w:rFonts w:ascii="Times New Roman" w:hAnsi="Times New Roman"/>
          <w:sz w:val="20"/>
        </w:rPr>
        <w:t xml:space="preserve">The following table shows information regarding the compensation awarded to, earned by, or paid to our NEOs for the years indicated: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00"/>
        <w:gridCol w:w="120"/>
        <w:gridCol w:w="60"/>
        <w:gridCol w:w="500"/>
        <w:gridCol w:w="60"/>
        <w:gridCol w:w="120"/>
        <w:gridCol w:w="60"/>
        <w:gridCol w:w="800"/>
        <w:gridCol w:w="60"/>
        <w:gridCol w:w="120"/>
        <w:gridCol w:w="60"/>
        <w:gridCol w:w="980"/>
        <w:gridCol w:w="60"/>
        <w:gridCol w:w="120"/>
        <w:gridCol w:w="60"/>
        <w:gridCol w:w="980"/>
        <w:gridCol w:w="60"/>
        <w:gridCol w:w="120"/>
        <w:gridCol w:w="103"/>
        <w:gridCol w:w="1387"/>
        <w:gridCol w:w="224"/>
        <w:gridCol w:w="60"/>
        <w:gridCol w:w="144"/>
        <w:gridCol w:w="1346"/>
        <w:gridCol w:w="224"/>
        <w:gridCol w:w="60"/>
        <w:gridCol w:w="60"/>
        <w:gridCol w:w="980"/>
        <w:gridCol w:w="77"/>
      </w:tblGrid>
      <w:tr>
        <w:trPr/>
        <w:tc>
          <w:tcPr>
            <w:tcW w:w="12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1200" w:type="dxa"/>
            <w:tcBorders/>
            <w:shd w:fill="auto" w:val="clear"/>
            <w:vAlign w:val="center"/>
          </w:tcPr>
          <w:p>
            <w:pPr>
              <w:pStyle w:val="TableContents"/>
              <w:spacing w:before="0" w:after="283"/>
              <w:rPr>
                <w:b/>
              </w:rPr>
            </w:pPr>
            <w:r>
              <w:rPr>
                <w:b/>
              </w:rPr>
              <w:t>Name and Principal Position</w:t>
            </w:r>
          </w:p>
        </w:tc>
        <w:tc>
          <w:tcPr>
            <w:tcW w:w="120" w:type="dxa"/>
            <w:tcBorders/>
            <w:shd w:fill="auto" w:val="clear"/>
            <w:vAlign w:val="center"/>
          </w:tcPr>
          <w:p>
            <w:pPr>
              <w:pStyle w:val="TableContents"/>
              <w:spacing w:before="0" w:after="283"/>
              <w:rPr/>
            </w:pPr>
            <w:r>
              <w:rPr/>
              <w:t>  </w:t>
            </w:r>
          </w:p>
        </w:tc>
        <w:tc>
          <w:tcPr>
            <w:tcW w:w="560" w:type="dxa"/>
            <w:gridSpan w:val="2"/>
            <w:tcBorders/>
            <w:shd w:fill="auto" w:val="clear"/>
            <w:vAlign w:val="center"/>
          </w:tcPr>
          <w:p>
            <w:pPr>
              <w:pStyle w:val="TableContents"/>
              <w:spacing w:before="0" w:after="283"/>
              <w:jc w:val="center"/>
              <w:rPr>
                <w:b/>
              </w:rPr>
            </w:pPr>
            <w:r>
              <w:rPr>
                <w:b/>
              </w:rPr>
              <w:t>Year</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jc w:val="center"/>
              <w:rPr>
                <w:b/>
              </w:rPr>
            </w:pPr>
            <w:r>
              <w:rPr>
                <w:b/>
              </w:rPr>
              <w:t>Salary</w:t>
              <w:b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283"/>
              <w:jc w:val="center"/>
              <w:rPr>
                <w:b/>
              </w:rPr>
            </w:pPr>
            <w:r>
              <w:rPr>
                <w:b/>
              </w:rPr>
              <w:t>Stock</w:t>
              <w:br/>
              <w:t>Awards</w:t>
              <w:br/>
              <w:t>($)(1)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283"/>
              <w:jc w:val="center"/>
              <w:rPr>
                <w:b/>
              </w:rPr>
            </w:pPr>
            <w:r>
              <w:rPr>
                <w:b/>
              </w:rPr>
              <w:t>Option</w:t>
              <w:br/>
              <w:t>Awards</w:t>
              <w:br/>
              <w:t>($) (1)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jc w:val="center"/>
              <w:rPr>
                <w:b/>
              </w:rPr>
            </w:pPr>
            <w:r>
              <w:rPr>
                <w:b/>
              </w:rPr>
              <w:t>Non-Equity</w:t>
              <w:br/>
              <w:t>Incentive Plan</w:t>
              <w:br/>
              <w:t>Compensation</w:t>
              <w:br/>
              <w:t>($)</w:t>
            </w:r>
          </w:p>
        </w:tc>
        <w:tc>
          <w:tcPr>
            <w:tcW w:w="22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jc w:val="center"/>
              <w:rPr>
                <w:b/>
              </w:rPr>
            </w:pPr>
            <w:r>
              <w:rPr>
                <w:b/>
              </w:rPr>
              <w:t>All Other</w:t>
              <w:br/>
              <w:t>Compensation</w:t>
              <w:br/>
              <w:t>($)</w:t>
            </w:r>
          </w:p>
        </w:tc>
        <w:tc>
          <w:tcPr>
            <w:tcW w:w="22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283"/>
              <w:jc w:val="center"/>
              <w:rPr>
                <w:b/>
              </w:rPr>
            </w:pPr>
            <w:r>
              <w:rPr>
                <w:b/>
              </w:rPr>
              <w:t>Total ($)</w:t>
            </w:r>
          </w:p>
        </w:tc>
        <w:tc>
          <w:tcPr>
            <w:tcW w:w="77" w:type="dxa"/>
            <w:tcBorders/>
            <w:shd w:fill="auto" w:val="clear"/>
            <w:vAlign w:val="center"/>
          </w:tcPr>
          <w:p>
            <w:pPr>
              <w:pStyle w:val="TableContents"/>
              <w:spacing w:before="0" w:after="283"/>
              <w:rPr/>
            </w:pPr>
            <w:r>
              <w:rPr/>
              <w:t> </w:t>
            </w:r>
          </w:p>
        </w:tc>
      </w:tr>
      <w:tr>
        <w:trPr/>
        <w:tc>
          <w:tcPr>
            <w:tcW w:w="120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Michael Massaro</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00" w:type="dxa"/>
            <w:tcBorders/>
            <w:shd w:fill="CCEEFF" w:val="clear"/>
            <w:vAlign w:val="center"/>
          </w:tcPr>
          <w:p>
            <w:pPr>
              <w:pStyle w:val="TableContents"/>
              <w:spacing w:before="0" w:after="283"/>
              <w:jc w:val="right"/>
              <w:rPr/>
            </w:pPr>
            <w:r>
              <w:rPr/>
              <w:t>2022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450,000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6,384,148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387" w:type="dxa"/>
            <w:tcBorders/>
            <w:shd w:fill="CCEEFF" w:val="clear"/>
            <w:vAlign w:val="center"/>
          </w:tcPr>
          <w:p>
            <w:pPr>
              <w:pStyle w:val="TableContents"/>
              <w:spacing w:before="0" w:after="283"/>
              <w:jc w:val="right"/>
              <w:rPr/>
            </w:pPr>
            <w:r>
              <w:rPr/>
              <w:t>226,200</w:t>
            </w:r>
          </w:p>
        </w:tc>
        <w:tc>
          <w:tcPr>
            <w:tcW w:w="224" w:type="dxa"/>
            <w:tcBorders/>
            <w:shd w:fill="CCEEFF" w:val="clear"/>
            <w:vAlign w:val="center"/>
          </w:tcPr>
          <w:p>
            <w:pPr>
              <w:pStyle w:val="TableContents"/>
              <w:spacing w:before="0" w:after="283"/>
              <w:rPr/>
            </w:pPr>
            <w:r>
              <w:rPr/>
              <w:t>(2) </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pPr>
            <w:r>
              <w:rPr/>
              <w:t> </w:t>
            </w:r>
          </w:p>
        </w:tc>
        <w:tc>
          <w:tcPr>
            <w:tcW w:w="1346" w:type="dxa"/>
            <w:tcBorders/>
            <w:shd w:fill="CCEEFF" w:val="clear"/>
            <w:vAlign w:val="center"/>
          </w:tcPr>
          <w:p>
            <w:pPr>
              <w:pStyle w:val="TableContents"/>
              <w:spacing w:before="0" w:after="283"/>
              <w:jc w:val="right"/>
              <w:rPr/>
            </w:pPr>
            <w:r>
              <w:rPr/>
              <w:t>9,248</w:t>
            </w:r>
          </w:p>
        </w:tc>
        <w:tc>
          <w:tcPr>
            <w:tcW w:w="224" w:type="dxa"/>
            <w:tcBorders/>
            <w:shd w:fill="CCEEFF" w:val="clear"/>
            <w:vAlign w:val="center"/>
          </w:tcPr>
          <w:p>
            <w:pPr>
              <w:pStyle w:val="TableContents"/>
              <w:spacing w:before="0" w:after="283"/>
              <w:rPr/>
            </w:pPr>
            <w:r>
              <w:rPr/>
              <w:t>(3)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7,069,596</w:t>
            </w:r>
          </w:p>
        </w:tc>
        <w:tc>
          <w:tcPr>
            <w:tcW w:w="77" w:type="dxa"/>
            <w:tcBorders/>
            <w:shd w:fill="CCEEFF" w:val="clear"/>
            <w:vAlign w:val="center"/>
          </w:tcPr>
          <w:p>
            <w:pPr>
              <w:pStyle w:val="TableContents"/>
              <w:spacing w:before="0" w:after="283"/>
              <w:rPr/>
            </w:pPr>
            <w:r>
              <w:rPr/>
              <w:t> </w:t>
            </w:r>
          </w:p>
        </w:tc>
      </w:tr>
      <w:tr>
        <w:trPr/>
        <w:tc>
          <w:tcPr>
            <w:tcW w:w="1200" w:type="dxa"/>
            <w:tcBorders/>
            <w:shd w:fill="CCEEFF" w:val="clear"/>
            <w:vAlign w:val="center"/>
          </w:tcPr>
          <w:p>
            <w:pPr>
              <w:pStyle w:val="TableContents"/>
              <w:spacing w:before="0" w:after="0"/>
              <w:rPr>
                <w:rFonts w:ascii="Times New Roman" w:hAnsi="Times New Roman"/>
                <w:i/>
                <w:sz w:val="20"/>
              </w:rPr>
            </w:pPr>
            <w:r>
              <w:rPr>
                <w:rFonts w:ascii="Times New Roman" w:hAnsi="Times New Roman"/>
                <w:i/>
                <w:sz w:val="20"/>
              </w:rPr>
              <w:t>Chief Executive Officer</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00" w:type="dxa"/>
            <w:tcBorders/>
            <w:shd w:fill="CCEEFF" w:val="clear"/>
            <w:vAlign w:val="center"/>
          </w:tcPr>
          <w:p>
            <w:pPr>
              <w:pStyle w:val="TableContents"/>
              <w:spacing w:before="0" w:after="283"/>
              <w:jc w:val="right"/>
              <w:rPr/>
            </w:pPr>
            <w:r>
              <w:rPr/>
              <w:t>2021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450,000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4,052,400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387" w:type="dxa"/>
            <w:tcBorders/>
            <w:shd w:fill="CCEEFF" w:val="clear"/>
            <w:vAlign w:val="center"/>
          </w:tcPr>
          <w:p>
            <w:pPr>
              <w:pStyle w:val="TableContents"/>
              <w:spacing w:before="0" w:after="283"/>
              <w:jc w:val="right"/>
              <w:rPr/>
            </w:pPr>
            <w:r>
              <w:rPr/>
              <w:t>257,600</w:t>
            </w:r>
          </w:p>
        </w:tc>
        <w:tc>
          <w:tcPr>
            <w:tcW w:w="22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pPr>
            <w:r>
              <w:rPr/>
              <w:t> </w:t>
            </w:r>
          </w:p>
        </w:tc>
        <w:tc>
          <w:tcPr>
            <w:tcW w:w="1346" w:type="dxa"/>
            <w:tcBorders/>
            <w:shd w:fill="CCEEFF" w:val="clear"/>
            <w:vAlign w:val="center"/>
          </w:tcPr>
          <w:p>
            <w:pPr>
              <w:pStyle w:val="TableContents"/>
              <w:spacing w:before="0" w:after="283"/>
              <w:jc w:val="right"/>
              <w:rPr/>
            </w:pPr>
            <w:r>
              <w:rPr/>
              <w:t>8,798</w:t>
            </w:r>
          </w:p>
        </w:tc>
        <w:tc>
          <w:tcPr>
            <w:tcW w:w="22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4,768,798</w:t>
            </w:r>
          </w:p>
        </w:tc>
        <w:tc>
          <w:tcPr>
            <w:tcW w:w="77" w:type="dxa"/>
            <w:tcBorders/>
            <w:shd w:fill="CCEEFF" w:val="clear"/>
            <w:vAlign w:val="center"/>
          </w:tcPr>
          <w:p>
            <w:pPr>
              <w:pStyle w:val="TableContents"/>
              <w:spacing w:before="0" w:after="283"/>
              <w:rPr/>
            </w:pPr>
            <w:r>
              <w:rPr/>
              <w:t> </w:t>
            </w:r>
          </w:p>
        </w:tc>
      </w:tr>
      <w:tr>
        <w:trPr/>
        <w:tc>
          <w:tcPr>
            <w:tcW w:w="120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Robert Orgel</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350,000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3,192,061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387" w:type="dxa"/>
            <w:tcBorders/>
            <w:shd w:fill="auto" w:val="clear"/>
            <w:vAlign w:val="center"/>
          </w:tcPr>
          <w:p>
            <w:pPr>
              <w:pStyle w:val="TableContents"/>
              <w:spacing w:before="0" w:after="283"/>
              <w:jc w:val="right"/>
              <w:rPr/>
            </w:pPr>
            <w:r>
              <w:rPr/>
              <w:t>195,750</w:t>
            </w:r>
          </w:p>
        </w:tc>
        <w:tc>
          <w:tcPr>
            <w:tcW w:w="224" w:type="dxa"/>
            <w:tcBorders/>
            <w:shd w:fill="auto" w:val="clear"/>
            <w:vAlign w:val="center"/>
          </w:tcPr>
          <w:p>
            <w:pPr>
              <w:pStyle w:val="TableContents"/>
              <w:spacing w:before="0" w:after="283"/>
              <w:rPr/>
            </w:pPr>
            <w:r>
              <w:rPr/>
              <w:t>(2) </w:t>
            </w:r>
          </w:p>
        </w:tc>
        <w:tc>
          <w:tcPr>
            <w:tcW w:w="6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1346" w:type="dxa"/>
            <w:tcBorders/>
            <w:shd w:fill="auto" w:val="clear"/>
            <w:vAlign w:val="center"/>
          </w:tcPr>
          <w:p>
            <w:pPr>
              <w:pStyle w:val="TableContents"/>
              <w:spacing w:before="0" w:after="283"/>
              <w:jc w:val="right"/>
              <w:rPr/>
            </w:pPr>
            <w:r>
              <w:rPr/>
              <w:t>9,248</w:t>
            </w:r>
          </w:p>
        </w:tc>
        <w:tc>
          <w:tcPr>
            <w:tcW w:w="224" w:type="dxa"/>
            <w:tcBorders/>
            <w:shd w:fill="auto" w:val="clear"/>
            <w:vAlign w:val="center"/>
          </w:tcPr>
          <w:p>
            <w:pPr>
              <w:pStyle w:val="TableContents"/>
              <w:spacing w:before="0" w:after="283"/>
              <w:rPr/>
            </w:pPr>
            <w:r>
              <w:rPr/>
              <w:t>(4)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3,747,059</w:t>
            </w:r>
          </w:p>
        </w:tc>
        <w:tc>
          <w:tcPr>
            <w:tcW w:w="77" w:type="dxa"/>
            <w:tcBorders/>
            <w:shd w:fill="auto" w:val="clear"/>
            <w:vAlign w:val="center"/>
          </w:tcPr>
          <w:p>
            <w:pPr>
              <w:pStyle w:val="TableContents"/>
              <w:spacing w:before="0" w:after="283"/>
              <w:rPr/>
            </w:pPr>
            <w:r>
              <w:rPr/>
              <w:t> </w:t>
            </w:r>
          </w:p>
        </w:tc>
      </w:tr>
      <w:tr>
        <w:trPr/>
        <w:tc>
          <w:tcPr>
            <w:tcW w:w="1200" w:type="dxa"/>
            <w:tcBorders/>
            <w:shd w:fill="auto" w:val="clear"/>
            <w:vAlign w:val="center"/>
          </w:tcPr>
          <w:p>
            <w:pPr>
              <w:pStyle w:val="TableContents"/>
              <w:spacing w:before="0" w:after="0"/>
              <w:rPr>
                <w:rFonts w:ascii="Times New Roman" w:hAnsi="Times New Roman"/>
                <w:i/>
                <w:sz w:val="20"/>
              </w:rPr>
            </w:pPr>
            <w:r>
              <w:rPr>
                <w:rFonts w:ascii="Times New Roman" w:hAnsi="Times New Roman"/>
                <w:i/>
                <w:sz w:val="20"/>
              </w:rPr>
              <w:t>President and Chief Operating Officer</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347,917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3,039,300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387" w:type="dxa"/>
            <w:tcBorders/>
            <w:shd w:fill="auto" w:val="clear"/>
            <w:vAlign w:val="center"/>
          </w:tcPr>
          <w:p>
            <w:pPr>
              <w:pStyle w:val="TableContents"/>
              <w:spacing w:before="0" w:after="283"/>
              <w:jc w:val="right"/>
              <w:rPr/>
            </w:pPr>
            <w:r>
              <w:rPr/>
              <w:t>189,700</w:t>
            </w:r>
          </w:p>
        </w:tc>
        <w:tc>
          <w:tcPr>
            <w:tcW w:w="22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1346" w:type="dxa"/>
            <w:tcBorders/>
            <w:shd w:fill="auto" w:val="clear"/>
            <w:vAlign w:val="center"/>
          </w:tcPr>
          <w:p>
            <w:pPr>
              <w:pStyle w:val="TableContents"/>
              <w:spacing w:before="0" w:after="283"/>
              <w:jc w:val="right"/>
              <w:rPr/>
            </w:pPr>
            <w:r>
              <w:rPr/>
              <w:t>8,798</w:t>
            </w:r>
          </w:p>
        </w:tc>
        <w:tc>
          <w:tcPr>
            <w:tcW w:w="22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3,585,715</w:t>
            </w:r>
          </w:p>
        </w:tc>
        <w:tc>
          <w:tcPr>
            <w:tcW w:w="77" w:type="dxa"/>
            <w:tcBorders/>
            <w:shd w:fill="auto" w:val="clear"/>
            <w:vAlign w:val="center"/>
          </w:tcPr>
          <w:p>
            <w:pPr>
              <w:pStyle w:val="TableContents"/>
              <w:spacing w:before="0" w:after="283"/>
              <w:rPr/>
            </w:pPr>
            <w:r>
              <w:rPr/>
              <w:t> </w:t>
            </w:r>
          </w:p>
        </w:tc>
      </w:tr>
      <w:tr>
        <w:trPr/>
        <w:tc>
          <w:tcPr>
            <w:tcW w:w="120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Michael Ellis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00" w:type="dxa"/>
            <w:tcBorders/>
            <w:shd w:fill="CCEEFF" w:val="clear"/>
            <w:vAlign w:val="center"/>
          </w:tcPr>
          <w:p>
            <w:pPr>
              <w:pStyle w:val="TableContents"/>
              <w:spacing w:before="0" w:after="283"/>
              <w:jc w:val="right"/>
              <w:rPr/>
            </w:pPr>
            <w:r>
              <w:rPr/>
              <w:t>2022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319,792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2,280,055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387" w:type="dxa"/>
            <w:tcBorders/>
            <w:shd w:fill="CCEEFF" w:val="clear"/>
            <w:vAlign w:val="center"/>
          </w:tcPr>
          <w:p>
            <w:pPr>
              <w:pStyle w:val="TableContents"/>
              <w:spacing w:before="0" w:after="283"/>
              <w:jc w:val="right"/>
              <w:rPr/>
            </w:pPr>
            <w:r>
              <w:rPr/>
              <w:t>203,175</w:t>
            </w:r>
          </w:p>
        </w:tc>
        <w:tc>
          <w:tcPr>
            <w:tcW w:w="224" w:type="dxa"/>
            <w:tcBorders/>
            <w:shd w:fill="CCEEFF" w:val="clear"/>
            <w:vAlign w:val="center"/>
          </w:tcPr>
          <w:p>
            <w:pPr>
              <w:pStyle w:val="TableContents"/>
              <w:spacing w:before="0" w:after="283"/>
              <w:rPr/>
            </w:pPr>
            <w:r>
              <w:rPr/>
              <w:t>(2) </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pPr>
            <w:r>
              <w:rPr/>
              <w:t> </w:t>
            </w:r>
          </w:p>
        </w:tc>
        <w:tc>
          <w:tcPr>
            <w:tcW w:w="1346" w:type="dxa"/>
            <w:tcBorders/>
            <w:shd w:fill="CCEEFF" w:val="clear"/>
            <w:vAlign w:val="center"/>
          </w:tcPr>
          <w:p>
            <w:pPr>
              <w:pStyle w:val="TableContents"/>
              <w:spacing w:before="0" w:after="283"/>
              <w:jc w:val="right"/>
              <w:rPr/>
            </w:pPr>
            <w:r>
              <w:rPr/>
              <w:t>9,243</w:t>
            </w:r>
          </w:p>
        </w:tc>
        <w:tc>
          <w:tcPr>
            <w:tcW w:w="224" w:type="dxa"/>
            <w:tcBorders/>
            <w:shd w:fill="CCEEFF" w:val="clear"/>
            <w:vAlign w:val="center"/>
          </w:tcPr>
          <w:p>
            <w:pPr>
              <w:pStyle w:val="TableContents"/>
              <w:spacing w:before="0" w:after="283"/>
              <w:rPr/>
            </w:pPr>
            <w:r>
              <w:rPr/>
              <w:t>(5)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2,812,265</w:t>
            </w:r>
          </w:p>
        </w:tc>
        <w:tc>
          <w:tcPr>
            <w:tcW w:w="77" w:type="dxa"/>
            <w:tcBorders/>
            <w:shd w:fill="CCEEFF" w:val="clear"/>
            <w:vAlign w:val="center"/>
          </w:tcPr>
          <w:p>
            <w:pPr>
              <w:pStyle w:val="TableContents"/>
              <w:spacing w:before="0" w:after="283"/>
              <w:rPr/>
            </w:pPr>
            <w:r>
              <w:rPr/>
              <w:t> </w:t>
            </w:r>
          </w:p>
        </w:tc>
      </w:tr>
      <w:tr>
        <w:trPr/>
        <w:tc>
          <w:tcPr>
            <w:tcW w:w="1200" w:type="dxa"/>
            <w:tcBorders/>
            <w:shd w:fill="CCEEFF" w:val="clear"/>
            <w:vAlign w:val="center"/>
          </w:tcPr>
          <w:p>
            <w:pPr>
              <w:pStyle w:val="TableContents"/>
              <w:spacing w:before="0" w:after="0"/>
              <w:rPr>
                <w:rFonts w:ascii="Times New Roman" w:hAnsi="Times New Roman"/>
                <w:i/>
                <w:sz w:val="20"/>
              </w:rPr>
            </w:pPr>
            <w:r>
              <w:rPr>
                <w:rFonts w:ascii="Times New Roman" w:hAnsi="Times New Roman"/>
                <w:i/>
                <w:sz w:val="20"/>
              </w:rPr>
              <w:t>Chief Financial Officer</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00" w:type="dxa"/>
            <w:tcBorders/>
            <w:shd w:fill="CCEEFF" w:val="clear"/>
            <w:vAlign w:val="center"/>
          </w:tcPr>
          <w:p>
            <w:pPr>
              <w:pStyle w:val="TableContents"/>
              <w:spacing w:before="0" w:after="283"/>
              <w:jc w:val="right"/>
              <w:rPr/>
            </w:pPr>
            <w:r>
              <w:rPr/>
              <w:t>2021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297,500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1,317,030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387" w:type="dxa"/>
            <w:tcBorders/>
            <w:shd w:fill="CCEEFF" w:val="clear"/>
            <w:vAlign w:val="center"/>
          </w:tcPr>
          <w:p>
            <w:pPr>
              <w:pStyle w:val="TableContents"/>
              <w:spacing w:before="0" w:after="283"/>
              <w:jc w:val="right"/>
              <w:rPr/>
            </w:pPr>
            <w:r>
              <w:rPr/>
              <w:t>162,600</w:t>
            </w:r>
          </w:p>
        </w:tc>
        <w:tc>
          <w:tcPr>
            <w:tcW w:w="22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pPr>
            <w:r>
              <w:rPr/>
              <w:t> </w:t>
            </w:r>
          </w:p>
        </w:tc>
        <w:tc>
          <w:tcPr>
            <w:tcW w:w="1346" w:type="dxa"/>
            <w:tcBorders/>
            <w:shd w:fill="CCEEFF" w:val="clear"/>
            <w:vAlign w:val="center"/>
          </w:tcPr>
          <w:p>
            <w:pPr>
              <w:pStyle w:val="TableContents"/>
              <w:spacing w:before="0" w:after="283"/>
              <w:jc w:val="right"/>
              <w:rPr/>
            </w:pPr>
            <w:r>
              <w:rPr/>
              <w:t>8,793</w:t>
            </w:r>
          </w:p>
        </w:tc>
        <w:tc>
          <w:tcPr>
            <w:tcW w:w="22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1,785,923</w:t>
            </w:r>
          </w:p>
        </w:tc>
        <w:tc>
          <w:tcPr>
            <w:tcW w:w="77" w:type="dxa"/>
            <w:tcBorders/>
            <w:shd w:fill="CCEEFF" w:val="clear"/>
            <w:vAlign w:val="center"/>
          </w:tcPr>
          <w:p>
            <w:pPr>
              <w:pStyle w:val="TableContents"/>
              <w:spacing w:before="0" w:after="283"/>
              <w:rPr/>
            </w:pPr>
            <w:r>
              <w:rPr/>
              <w:t> </w:t>
            </w:r>
          </w:p>
        </w:tc>
      </w:tr>
      <w:tr>
        <w:trPr/>
        <w:tc>
          <w:tcPr>
            <w:tcW w:w="120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Sharon Butler (6)</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294,792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1,824,039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387" w:type="dxa"/>
            <w:tcBorders/>
            <w:shd w:fill="auto" w:val="clear"/>
            <w:vAlign w:val="center"/>
          </w:tcPr>
          <w:p>
            <w:pPr>
              <w:pStyle w:val="TableContents"/>
              <w:spacing w:before="0" w:after="283"/>
              <w:jc w:val="right"/>
              <w:rPr/>
            </w:pPr>
            <w:r>
              <w:rPr/>
              <w:t>213,150</w:t>
            </w:r>
          </w:p>
        </w:tc>
        <w:tc>
          <w:tcPr>
            <w:tcW w:w="224" w:type="dxa"/>
            <w:tcBorders/>
            <w:shd w:fill="auto" w:val="clear"/>
            <w:vAlign w:val="center"/>
          </w:tcPr>
          <w:p>
            <w:pPr>
              <w:pStyle w:val="TableContents"/>
              <w:spacing w:before="0" w:after="283"/>
              <w:rPr/>
            </w:pPr>
            <w:r>
              <w:rPr/>
              <w:t>(2) </w:t>
            </w:r>
          </w:p>
        </w:tc>
        <w:tc>
          <w:tcPr>
            <w:tcW w:w="6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1346" w:type="dxa"/>
            <w:tcBorders/>
            <w:shd w:fill="auto" w:val="clear"/>
            <w:vAlign w:val="center"/>
          </w:tcPr>
          <w:p>
            <w:pPr>
              <w:pStyle w:val="TableContents"/>
              <w:spacing w:before="0" w:after="283"/>
              <w:jc w:val="right"/>
              <w:rPr/>
            </w:pPr>
            <w:r>
              <w:rPr/>
              <w:t>9,233</w:t>
            </w:r>
          </w:p>
        </w:tc>
        <w:tc>
          <w:tcPr>
            <w:tcW w:w="224" w:type="dxa"/>
            <w:tcBorders/>
            <w:shd w:fill="auto" w:val="clear"/>
            <w:vAlign w:val="center"/>
          </w:tcPr>
          <w:p>
            <w:pPr>
              <w:pStyle w:val="TableContents"/>
              <w:spacing w:before="0" w:after="283"/>
              <w:rPr/>
            </w:pPr>
            <w:r>
              <w:rPr/>
              <w:t>(7)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2,341,214</w:t>
            </w:r>
          </w:p>
        </w:tc>
        <w:tc>
          <w:tcPr>
            <w:tcW w:w="77" w:type="dxa"/>
            <w:tcBorders/>
            <w:shd w:fill="auto" w:val="clear"/>
            <w:vAlign w:val="center"/>
          </w:tcPr>
          <w:p>
            <w:pPr>
              <w:pStyle w:val="TableContents"/>
              <w:spacing w:before="0" w:after="283"/>
              <w:rPr/>
            </w:pPr>
            <w:r>
              <w:rPr/>
              <w:t> </w:t>
            </w:r>
          </w:p>
        </w:tc>
      </w:tr>
      <w:tr>
        <w:trPr/>
        <w:tc>
          <w:tcPr>
            <w:tcW w:w="1200" w:type="dxa"/>
            <w:tcBorders/>
            <w:shd w:fill="auto" w:val="clear"/>
            <w:vAlign w:val="center"/>
          </w:tcPr>
          <w:p>
            <w:pPr>
              <w:pStyle w:val="TableContents"/>
              <w:spacing w:before="0" w:after="0"/>
              <w:rPr>
                <w:rFonts w:ascii="Times New Roman" w:hAnsi="Times New Roman"/>
                <w:i/>
                <w:sz w:val="20"/>
              </w:rPr>
            </w:pPr>
            <w:r>
              <w:rPr>
                <w:rFonts w:ascii="Times New Roman" w:hAnsi="Times New Roman"/>
                <w:i/>
                <w:sz w:val="20"/>
              </w:rPr>
              <w:t>Executive Vice President of Global Education</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120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David King</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00" w:type="dxa"/>
            <w:tcBorders/>
            <w:shd w:fill="CCEEFF" w:val="clear"/>
            <w:vAlign w:val="center"/>
          </w:tcPr>
          <w:p>
            <w:pPr>
              <w:pStyle w:val="TableContents"/>
              <w:spacing w:before="0" w:after="283"/>
              <w:jc w:val="right"/>
              <w:rPr/>
            </w:pPr>
            <w:r>
              <w:rPr/>
              <w:t>2022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294,792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3,192,061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387" w:type="dxa"/>
            <w:tcBorders/>
            <w:shd w:fill="CCEEFF" w:val="clear"/>
            <w:vAlign w:val="center"/>
          </w:tcPr>
          <w:p>
            <w:pPr>
              <w:pStyle w:val="TableContents"/>
              <w:spacing w:before="0" w:after="283"/>
              <w:jc w:val="right"/>
              <w:rPr/>
            </w:pPr>
            <w:r>
              <w:rPr/>
              <w:t>132,525</w:t>
            </w:r>
          </w:p>
        </w:tc>
        <w:tc>
          <w:tcPr>
            <w:tcW w:w="224" w:type="dxa"/>
            <w:tcBorders/>
            <w:shd w:fill="CCEEFF" w:val="clear"/>
            <w:vAlign w:val="center"/>
          </w:tcPr>
          <w:p>
            <w:pPr>
              <w:pStyle w:val="TableContents"/>
              <w:spacing w:before="0" w:after="283"/>
              <w:rPr/>
            </w:pPr>
            <w:r>
              <w:rPr/>
              <w:t>(2) </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pPr>
            <w:r>
              <w:rPr/>
              <w:t> </w:t>
            </w:r>
          </w:p>
        </w:tc>
        <w:tc>
          <w:tcPr>
            <w:tcW w:w="1346" w:type="dxa"/>
            <w:tcBorders/>
            <w:shd w:fill="CCEEFF" w:val="clear"/>
            <w:vAlign w:val="center"/>
          </w:tcPr>
          <w:p>
            <w:pPr>
              <w:pStyle w:val="TableContents"/>
              <w:spacing w:before="0" w:after="283"/>
              <w:jc w:val="right"/>
              <w:rPr/>
            </w:pPr>
            <w:r>
              <w:rPr/>
              <w:t>6,878</w:t>
            </w:r>
          </w:p>
        </w:tc>
        <w:tc>
          <w:tcPr>
            <w:tcW w:w="224" w:type="dxa"/>
            <w:tcBorders/>
            <w:shd w:fill="CCEEFF" w:val="clear"/>
            <w:vAlign w:val="center"/>
          </w:tcPr>
          <w:p>
            <w:pPr>
              <w:pStyle w:val="TableContents"/>
              <w:spacing w:before="0" w:after="283"/>
              <w:rPr/>
            </w:pPr>
            <w:r>
              <w:rPr/>
              <w:t>(8)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3,626,256</w:t>
            </w:r>
          </w:p>
        </w:tc>
        <w:tc>
          <w:tcPr>
            <w:tcW w:w="77" w:type="dxa"/>
            <w:tcBorders/>
            <w:shd w:fill="CCEEFF" w:val="clear"/>
            <w:vAlign w:val="center"/>
          </w:tcPr>
          <w:p>
            <w:pPr>
              <w:pStyle w:val="TableContents"/>
              <w:spacing w:before="0" w:after="283"/>
              <w:rPr/>
            </w:pPr>
            <w:r>
              <w:rPr/>
              <w:t> </w:t>
            </w:r>
          </w:p>
        </w:tc>
      </w:tr>
      <w:tr>
        <w:trPr/>
        <w:tc>
          <w:tcPr>
            <w:tcW w:w="1200" w:type="dxa"/>
            <w:tcBorders/>
            <w:shd w:fill="CCEEFF" w:val="clear"/>
            <w:vAlign w:val="center"/>
          </w:tcPr>
          <w:p>
            <w:pPr>
              <w:pStyle w:val="TableContents"/>
              <w:spacing w:before="0" w:after="0"/>
              <w:rPr>
                <w:rFonts w:ascii="Times New Roman" w:hAnsi="Times New Roman"/>
                <w:i/>
                <w:sz w:val="20"/>
              </w:rPr>
            </w:pPr>
            <w:r>
              <w:rPr>
                <w:rFonts w:ascii="Times New Roman" w:hAnsi="Times New Roman"/>
                <w:i/>
                <w:sz w:val="20"/>
              </w:rPr>
              <w:t>Chief Technology Officer</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50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80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sz w:val="4"/>
                <w:szCs w:val="4"/>
              </w:rPr>
            </w:pPr>
            <w:r>
              <w:rPr>
                <w:sz w:val="4"/>
                <w:szCs w:val="4"/>
              </w:rPr>
            </w:r>
          </w:p>
        </w:tc>
        <w:tc>
          <w:tcPr>
            <w:tcW w:w="1387" w:type="dxa"/>
            <w:tcBorders/>
            <w:shd w:fill="CCEEFF" w:val="clear"/>
            <w:vAlign w:val="center"/>
          </w:tcPr>
          <w:p>
            <w:pPr>
              <w:pStyle w:val="TableContents"/>
              <w:spacing w:before="0" w:after="283"/>
              <w:rPr>
                <w:sz w:val="4"/>
                <w:szCs w:val="4"/>
              </w:rPr>
            </w:pPr>
            <w:r>
              <w:rPr>
                <w:sz w:val="4"/>
                <w:szCs w:val="4"/>
              </w:rPr>
            </w:r>
          </w:p>
        </w:tc>
        <w:tc>
          <w:tcPr>
            <w:tcW w:w="224"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sz w:val="4"/>
                <w:szCs w:val="4"/>
              </w:rPr>
            </w:pPr>
            <w:r>
              <w:rPr>
                <w:sz w:val="4"/>
                <w:szCs w:val="4"/>
              </w:rPr>
            </w:r>
          </w:p>
        </w:tc>
        <w:tc>
          <w:tcPr>
            <w:tcW w:w="1346" w:type="dxa"/>
            <w:tcBorders/>
            <w:shd w:fill="CCEEFF" w:val="clear"/>
            <w:vAlign w:val="center"/>
          </w:tcPr>
          <w:p>
            <w:pPr>
              <w:pStyle w:val="TableContents"/>
              <w:spacing w:before="0" w:after="283"/>
              <w:rPr>
                <w:sz w:val="4"/>
                <w:szCs w:val="4"/>
              </w:rPr>
            </w:pPr>
            <w:r>
              <w:rPr>
                <w:sz w:val="4"/>
                <w:szCs w:val="4"/>
              </w:rPr>
            </w:r>
          </w:p>
        </w:tc>
        <w:tc>
          <w:tcPr>
            <w:tcW w:w="224"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77" w:type="dxa"/>
            <w:tcBorders/>
            <w:shd w:fill="CCEEFF"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3"/>
        <w:gridCol w:w="9952"/>
      </w:tblGrid>
      <w:tr>
        <w:trPr/>
        <w:tc>
          <w:tcPr>
            <w:tcW w:w="253" w:type="dxa"/>
            <w:tcBorders/>
            <w:shd w:fill="auto" w:val="clear"/>
            <w:vAlign w:val="center"/>
          </w:tcPr>
          <w:p>
            <w:pPr>
              <w:pStyle w:val="TableContents"/>
              <w:spacing w:before="0" w:after="283"/>
              <w:jc w:val="left"/>
              <w:rPr/>
            </w:pPr>
            <w:r>
              <w:rPr/>
              <w:t>(1)</w:t>
            </w:r>
          </w:p>
        </w:tc>
        <w:tc>
          <w:tcPr>
            <w:tcW w:w="995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Reflects the aggregate grant date fair value of option and stock awards granted during the applicable year calculated in accordance with FASB ASC Topic 718. For a discussion of valuation assumptions, see note 12 to our audited financial statements included in our Annual Report on Form 10-K for the year ended December 31, 2022 (the 2022 Annual Report). </w:t>
            </w:r>
          </w:p>
        </w:tc>
      </w:tr>
    </w:tbl>
    <w:tbl>
      <w:tblPr>
        <w:tblW w:w="7870" w:type="dxa"/>
        <w:jc w:val="left"/>
        <w:tblInd w:w="0" w:type="dxa"/>
        <w:tblCellMar>
          <w:top w:w="0" w:type="dxa"/>
          <w:left w:w="0" w:type="dxa"/>
          <w:bottom w:w="0" w:type="dxa"/>
          <w:right w:w="0" w:type="dxa"/>
        </w:tblCellMar>
      </w:tblPr>
      <w:tblGrid>
        <w:gridCol w:w="305"/>
        <w:gridCol w:w="7565"/>
      </w:tblGrid>
      <w:tr>
        <w:trPr/>
        <w:tc>
          <w:tcPr>
            <w:tcW w:w="305" w:type="dxa"/>
            <w:tcBorders/>
            <w:shd w:fill="auto" w:val="clear"/>
            <w:vAlign w:val="center"/>
          </w:tcPr>
          <w:p>
            <w:pPr>
              <w:pStyle w:val="TableContents"/>
              <w:spacing w:before="0" w:after="283"/>
              <w:jc w:val="left"/>
              <w:rPr/>
            </w:pPr>
            <w:r>
              <w:rPr/>
              <w:t>(2)</w:t>
            </w:r>
          </w:p>
        </w:tc>
        <w:tc>
          <w:tcPr>
            <w:tcW w:w="75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Represents amounts paid under our 2022 cash incentive bonus program paid in March 2023. </w:t>
            </w:r>
          </w:p>
        </w:tc>
      </w:tr>
    </w:tbl>
    <w:tbl>
      <w:tblPr>
        <w:tblW w:w="10205" w:type="dxa"/>
        <w:jc w:val="left"/>
        <w:tblInd w:w="0" w:type="dxa"/>
        <w:tblCellMar>
          <w:top w:w="0" w:type="dxa"/>
          <w:left w:w="0" w:type="dxa"/>
          <w:bottom w:w="0" w:type="dxa"/>
          <w:right w:w="0" w:type="dxa"/>
        </w:tblCellMar>
      </w:tblPr>
      <w:tblGrid>
        <w:gridCol w:w="279"/>
        <w:gridCol w:w="9926"/>
      </w:tblGrid>
      <w:tr>
        <w:trPr/>
        <w:tc>
          <w:tcPr>
            <w:tcW w:w="279" w:type="dxa"/>
            <w:tcBorders/>
            <w:shd w:fill="auto" w:val="clear"/>
            <w:vAlign w:val="center"/>
          </w:tcPr>
          <w:p>
            <w:pPr>
              <w:pStyle w:val="TableContents"/>
              <w:spacing w:before="0" w:after="283"/>
              <w:jc w:val="left"/>
              <w:rPr/>
            </w:pPr>
            <w:r>
              <w:rPr/>
              <w:t>(3)</w:t>
            </w:r>
          </w:p>
        </w:tc>
        <w:tc>
          <w:tcPr>
            <w:tcW w:w="992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For 2022, this amount represents $98 in life and other supplemental insurance premiums paid on Mr. Massaro’s behalf and a $9,150 matching contribution to his 401(k) account. </w:t>
            </w:r>
          </w:p>
        </w:tc>
      </w:tr>
    </w:tbl>
    <w:tbl>
      <w:tblPr>
        <w:tblW w:w="10205" w:type="dxa"/>
        <w:jc w:val="left"/>
        <w:tblInd w:w="0" w:type="dxa"/>
        <w:tblCellMar>
          <w:top w:w="0" w:type="dxa"/>
          <w:left w:w="0" w:type="dxa"/>
          <w:bottom w:w="0" w:type="dxa"/>
          <w:right w:w="0" w:type="dxa"/>
        </w:tblCellMar>
      </w:tblPr>
      <w:tblGrid>
        <w:gridCol w:w="280"/>
        <w:gridCol w:w="9925"/>
      </w:tblGrid>
      <w:tr>
        <w:trPr/>
        <w:tc>
          <w:tcPr>
            <w:tcW w:w="280" w:type="dxa"/>
            <w:tcBorders/>
            <w:shd w:fill="auto" w:val="clear"/>
            <w:vAlign w:val="center"/>
          </w:tcPr>
          <w:p>
            <w:pPr>
              <w:pStyle w:val="TableContents"/>
              <w:spacing w:before="0" w:after="283"/>
              <w:jc w:val="left"/>
              <w:rPr/>
            </w:pPr>
            <w:r>
              <w:rPr/>
              <w:t>(4)</w:t>
            </w:r>
          </w:p>
        </w:tc>
        <w:tc>
          <w:tcPr>
            <w:tcW w:w="99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For 2022, this amount represents $98 in life and other supplemental insurance premiums paid on Mr. Orgel’s behalf and a $9,150 matching contribution to his 401(k) account. </w:t>
            </w:r>
          </w:p>
        </w:tc>
      </w:tr>
    </w:tbl>
    <w:tbl>
      <w:tblPr>
        <w:tblW w:w="10205" w:type="dxa"/>
        <w:jc w:val="left"/>
        <w:tblInd w:w="0" w:type="dxa"/>
        <w:tblCellMar>
          <w:top w:w="0" w:type="dxa"/>
          <w:left w:w="0" w:type="dxa"/>
          <w:bottom w:w="0" w:type="dxa"/>
          <w:right w:w="0" w:type="dxa"/>
        </w:tblCellMar>
      </w:tblPr>
      <w:tblGrid>
        <w:gridCol w:w="281"/>
        <w:gridCol w:w="9924"/>
      </w:tblGrid>
      <w:tr>
        <w:trPr/>
        <w:tc>
          <w:tcPr>
            <w:tcW w:w="281" w:type="dxa"/>
            <w:tcBorders/>
            <w:shd w:fill="auto" w:val="clear"/>
            <w:vAlign w:val="center"/>
          </w:tcPr>
          <w:p>
            <w:pPr>
              <w:pStyle w:val="TableContents"/>
              <w:spacing w:before="0" w:after="283"/>
              <w:jc w:val="left"/>
              <w:rPr/>
            </w:pPr>
            <w:r>
              <w:rPr/>
              <w:t>(5)</w:t>
            </w:r>
          </w:p>
        </w:tc>
        <w:tc>
          <w:tcPr>
            <w:tcW w:w="9924"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For 2022, this amount represents $93 in life and other supplemental insurance premiums paid on Mr. Ellis’ behalf and a $9,150 matching contribution to his 401(k) account. </w:t>
            </w:r>
          </w:p>
        </w:tc>
      </w:tr>
    </w:tbl>
    <w:tbl>
      <w:tblPr>
        <w:tblW w:w="10205" w:type="dxa"/>
        <w:jc w:val="left"/>
        <w:tblInd w:w="0" w:type="dxa"/>
        <w:tblCellMar>
          <w:top w:w="0" w:type="dxa"/>
          <w:left w:w="0" w:type="dxa"/>
          <w:bottom w:w="0" w:type="dxa"/>
          <w:right w:w="0" w:type="dxa"/>
        </w:tblCellMar>
      </w:tblPr>
      <w:tblGrid>
        <w:gridCol w:w="297"/>
        <w:gridCol w:w="9908"/>
      </w:tblGrid>
      <w:tr>
        <w:trPr/>
        <w:tc>
          <w:tcPr>
            <w:tcW w:w="297" w:type="dxa"/>
            <w:tcBorders/>
            <w:shd w:fill="auto" w:val="clear"/>
            <w:vAlign w:val="center"/>
          </w:tcPr>
          <w:p>
            <w:pPr>
              <w:pStyle w:val="TableContents"/>
              <w:spacing w:before="0" w:after="283"/>
              <w:jc w:val="left"/>
              <w:rPr/>
            </w:pPr>
            <w:r>
              <w:rPr/>
              <w:t>(6)</w:t>
            </w:r>
          </w:p>
        </w:tc>
        <w:tc>
          <w:tcPr>
            <w:tcW w:w="990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Effective December 31, 2022, Ms. Butler is no longer considered an executive officer, as such term is defined under the Exchange Act. </w:t>
            </w:r>
          </w:p>
        </w:tc>
      </w:tr>
    </w:tbl>
    <w:tbl>
      <w:tblPr>
        <w:tblW w:w="10205" w:type="dxa"/>
        <w:jc w:val="left"/>
        <w:tblInd w:w="0" w:type="dxa"/>
        <w:tblCellMar>
          <w:top w:w="0" w:type="dxa"/>
          <w:left w:w="0" w:type="dxa"/>
          <w:bottom w:w="0" w:type="dxa"/>
          <w:right w:w="0" w:type="dxa"/>
        </w:tblCellMar>
      </w:tblPr>
      <w:tblGrid>
        <w:gridCol w:w="283"/>
        <w:gridCol w:w="9922"/>
      </w:tblGrid>
      <w:tr>
        <w:trPr/>
        <w:tc>
          <w:tcPr>
            <w:tcW w:w="283" w:type="dxa"/>
            <w:tcBorders/>
            <w:shd w:fill="auto" w:val="clear"/>
            <w:vAlign w:val="center"/>
          </w:tcPr>
          <w:p>
            <w:pPr>
              <w:pStyle w:val="TableContents"/>
              <w:spacing w:before="0" w:after="283"/>
              <w:jc w:val="left"/>
              <w:rPr/>
            </w:pPr>
            <w:r>
              <w:rPr/>
              <w:t>(7)</w:t>
            </w:r>
          </w:p>
        </w:tc>
        <w:tc>
          <w:tcPr>
            <w:tcW w:w="992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This amount represents $83 in life and other supplemental insurance premiums paid on Ms. Butler’s behalf and a $9,150 matching contribution to her 401(k) account. </w:t>
            </w:r>
          </w:p>
        </w:tc>
      </w:tr>
    </w:tbl>
    <w:tbl>
      <w:tblPr>
        <w:tblW w:w="10205" w:type="dxa"/>
        <w:jc w:val="left"/>
        <w:tblInd w:w="0" w:type="dxa"/>
        <w:tblCellMar>
          <w:top w:w="0" w:type="dxa"/>
          <w:left w:w="0" w:type="dxa"/>
          <w:bottom w:w="0" w:type="dxa"/>
          <w:right w:w="0" w:type="dxa"/>
        </w:tblCellMar>
      </w:tblPr>
      <w:tblGrid>
        <w:gridCol w:w="283"/>
        <w:gridCol w:w="9922"/>
      </w:tblGrid>
      <w:tr>
        <w:trPr/>
        <w:tc>
          <w:tcPr>
            <w:tcW w:w="283" w:type="dxa"/>
            <w:tcBorders/>
            <w:shd w:fill="auto" w:val="clear"/>
            <w:vAlign w:val="center"/>
          </w:tcPr>
          <w:p>
            <w:pPr>
              <w:pStyle w:val="TableContents"/>
              <w:spacing w:before="0" w:after="283"/>
              <w:jc w:val="left"/>
              <w:rPr/>
            </w:pPr>
            <w:r>
              <w:rPr/>
              <w:t>(8)</w:t>
            </w:r>
          </w:p>
        </w:tc>
        <w:tc>
          <w:tcPr>
            <w:tcW w:w="992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This amount represents $87 in life and other supplemental insurance premiums paid on Mr. King’s behalf and a $6,791 matching contribution to his 401(k) account.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Fiscal 2022 Grants of Plan-Based Awards Table </w:t>
      </w:r>
    </w:p>
    <w:p>
      <w:pPr>
        <w:pStyle w:val="TextBody"/>
        <w:spacing w:before="120" w:after="0"/>
        <w:jc w:val="left"/>
        <w:rPr>
          <w:rFonts w:ascii="Times New Roman" w:hAnsi="Times New Roman"/>
          <w:sz w:val="20"/>
        </w:rPr>
      </w:pPr>
      <w:r>
        <w:rPr>
          <w:rFonts w:ascii="Times New Roman" w:hAnsi="Times New Roman"/>
          <w:sz w:val="20"/>
        </w:rPr>
        <w:t xml:space="preserve">The following table sets forth certain information regarding each plan-based award granted to our NEOs during our Fiscal 2022. For a description of the types of awards indicated below, please see our Compensation Discussion and Analysis section above. </w:t>
      </w:r>
    </w:p>
    <w:p>
      <w:pPr>
        <w:pStyle w:val="TextBody"/>
        <w:spacing w:before="0" w:after="0"/>
        <w:jc w:val="left"/>
        <w:rPr/>
      </w:pPr>
      <w:r>
        <w:rPr/>
        <w:t> </w:t>
      </w:r>
    </w:p>
    <w:tbl>
      <w:tblPr>
        <w:tblW w:w="11290" w:type="dxa"/>
        <w:jc w:val="left"/>
        <w:tblInd w:w="0" w:type="dxa"/>
        <w:tblCellMar>
          <w:top w:w="0" w:type="dxa"/>
          <w:left w:w="0" w:type="dxa"/>
          <w:bottom w:w="0" w:type="dxa"/>
          <w:right w:w="0" w:type="dxa"/>
        </w:tblCellMar>
      </w:tblPr>
      <w:tblGrid>
        <w:gridCol w:w="710"/>
        <w:gridCol w:w="60"/>
        <w:gridCol w:w="60"/>
        <w:gridCol w:w="575"/>
        <w:gridCol w:w="60"/>
        <w:gridCol w:w="60"/>
        <w:gridCol w:w="84"/>
        <w:gridCol w:w="1124"/>
        <w:gridCol w:w="84"/>
        <w:gridCol w:w="84"/>
        <w:gridCol w:w="84"/>
        <w:gridCol w:w="1124"/>
        <w:gridCol w:w="84"/>
        <w:gridCol w:w="84"/>
        <w:gridCol w:w="84"/>
        <w:gridCol w:w="1129"/>
        <w:gridCol w:w="60"/>
        <w:gridCol w:w="60"/>
        <w:gridCol w:w="178"/>
        <w:gridCol w:w="2377"/>
        <w:gridCol w:w="60"/>
        <w:gridCol w:w="60"/>
        <w:gridCol w:w="366"/>
        <w:gridCol w:w="2564"/>
        <w:gridCol w:w="75"/>
      </w:tblGrid>
      <w:tr>
        <w:trPr/>
        <w:tc>
          <w:tcPr>
            <w:tcW w:w="7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37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2564"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405" w:type="dxa"/>
            <w:gridSpan w:val="4"/>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965" w:type="dxa"/>
            <w:gridSpan w:val="10"/>
            <w:tcBorders/>
            <w:shd w:fill="auto" w:val="clear"/>
            <w:vAlign w:val="center"/>
          </w:tcPr>
          <w:p>
            <w:pPr>
              <w:pStyle w:val="TableContents"/>
              <w:spacing w:before="0" w:after="283"/>
              <w:jc w:val="center"/>
              <w:rPr>
                <w:b/>
              </w:rPr>
            </w:pPr>
            <w:r>
              <w:rPr>
                <w:b/>
              </w:rPr>
              <w:t>Estimated Future Payouts Under Non-</w:t>
              <w:br/>
              <w:t>Equity Incentive Plan Awards (1)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5" w:type="dxa"/>
            <w:gridSpan w:val="6"/>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b/>
              </w:rPr>
            </w:pPr>
            <w:r>
              <w:rPr>
                <w:b/>
              </w:rPr>
              <w:t>Name</w:t>
            </w:r>
          </w:p>
        </w:tc>
        <w:tc>
          <w:tcPr>
            <w:tcW w:w="60" w:type="dxa"/>
            <w:tcBorders/>
            <w:shd w:fill="auto" w:val="clear"/>
            <w:vAlign w:val="center"/>
          </w:tcPr>
          <w:p>
            <w:pPr>
              <w:pStyle w:val="TableContents"/>
              <w:spacing w:before="0" w:after="283"/>
              <w:rPr/>
            </w:pPr>
            <w:r>
              <w:rPr/>
              <w:t> </w:t>
            </w:r>
          </w:p>
        </w:tc>
        <w:tc>
          <w:tcPr>
            <w:tcW w:w="635" w:type="dxa"/>
            <w:gridSpan w:val="2"/>
            <w:tcBorders/>
            <w:shd w:fill="auto" w:val="clear"/>
            <w:vAlign w:val="center"/>
          </w:tcPr>
          <w:p>
            <w:pPr>
              <w:pStyle w:val="TableContents"/>
              <w:spacing w:before="0" w:after="283"/>
              <w:jc w:val="center"/>
              <w:rPr>
                <w:b/>
              </w:rPr>
            </w:pPr>
            <w:r>
              <w:rPr>
                <w:b/>
              </w:rPr>
              <w:t>Grant</w:t>
              <w:br/>
              <w:t>Date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8" w:type="dxa"/>
            <w:gridSpan w:val="2"/>
            <w:tcBorders/>
            <w:shd w:fill="auto" w:val="clear"/>
            <w:vAlign w:val="center"/>
          </w:tcPr>
          <w:p>
            <w:pPr>
              <w:pStyle w:val="TableContents"/>
              <w:spacing w:before="0" w:after="283"/>
              <w:jc w:val="center"/>
              <w:rPr>
                <w:b/>
              </w:rPr>
            </w:pPr>
            <w:r>
              <w:rPr>
                <w:b/>
              </w:rPr>
              <w:t>Threshold</w:t>
              <w:br/>
              <w:t>($)</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208" w:type="dxa"/>
            <w:gridSpan w:val="2"/>
            <w:tcBorders/>
            <w:shd w:fill="auto" w:val="clear"/>
            <w:vAlign w:val="center"/>
          </w:tcPr>
          <w:p>
            <w:pPr>
              <w:pStyle w:val="TableContents"/>
              <w:spacing w:before="0" w:after="283"/>
              <w:jc w:val="center"/>
              <w:rPr>
                <w:b/>
              </w:rPr>
            </w:pPr>
            <w:r>
              <w:rPr>
                <w:b/>
              </w:rPr>
              <w:t>Target</w:t>
              <w:br/>
              <w:t>($)</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213" w:type="dxa"/>
            <w:gridSpan w:val="2"/>
            <w:tcBorders/>
            <w:shd w:fill="auto" w:val="clear"/>
            <w:vAlign w:val="center"/>
          </w:tcPr>
          <w:p>
            <w:pPr>
              <w:pStyle w:val="TableContents"/>
              <w:spacing w:before="0" w:after="283"/>
              <w:jc w:val="center"/>
              <w:rPr>
                <w:b/>
              </w:rPr>
            </w:pPr>
            <w:r>
              <w:rPr>
                <w:b/>
              </w:rPr>
              <w:t>Maximum</w:t>
              <w:b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55" w:type="dxa"/>
            <w:gridSpan w:val="2"/>
            <w:tcBorders/>
            <w:shd w:fill="auto" w:val="clear"/>
            <w:vAlign w:val="center"/>
          </w:tcPr>
          <w:p>
            <w:pPr>
              <w:pStyle w:val="TableContents"/>
              <w:spacing w:before="0" w:after="283"/>
              <w:jc w:val="center"/>
              <w:rPr>
                <w:b/>
              </w:rPr>
            </w:pPr>
            <w:r>
              <w:rPr>
                <w:b/>
              </w:rPr>
              <w:t>All Other Stock Awards:</w:t>
              <w:br/>
              <w:t>Number of Shares of</w:t>
              <w:br/>
              <w:t>Stock or Units (#)(2)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30" w:type="dxa"/>
            <w:gridSpan w:val="2"/>
            <w:tcBorders/>
            <w:shd w:fill="auto" w:val="clear"/>
            <w:vAlign w:val="center"/>
          </w:tcPr>
          <w:p>
            <w:pPr>
              <w:pStyle w:val="TableContents"/>
              <w:spacing w:before="0" w:after="283"/>
              <w:jc w:val="center"/>
              <w:rPr>
                <w:b/>
              </w:rPr>
            </w:pPr>
            <w:r>
              <w:rPr>
                <w:b/>
              </w:rPr>
              <w:t>Grant Date Fair Value of</w:t>
              <w:br/>
              <w:t>Stock and Option Awards (3)</w:t>
            </w:r>
          </w:p>
        </w:tc>
        <w:tc>
          <w:tcPr>
            <w:tcW w:w="75" w:type="dxa"/>
            <w:tcBorders/>
            <w:shd w:fill="auto" w:val="clear"/>
            <w:vAlign w:val="center"/>
          </w:tcPr>
          <w:p>
            <w:pPr>
              <w:pStyle w:val="TableContents"/>
              <w:spacing w:before="0" w:after="283"/>
              <w:rPr/>
            </w:pPr>
            <w:r>
              <w:rPr/>
              <w:t> </w:t>
            </w:r>
          </w:p>
        </w:tc>
      </w:tr>
      <w:tr>
        <w:trPr/>
        <w:tc>
          <w:tcPr>
            <w:tcW w:w="7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Michael Massaro</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5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1124" w:type="dxa"/>
            <w:tcBorders/>
            <w:shd w:fill="CCEEFF" w:val="clear"/>
            <w:vAlign w:val="center"/>
          </w:tcPr>
          <w:p>
            <w:pPr>
              <w:pStyle w:val="TableContents"/>
              <w:spacing w:before="0" w:after="283"/>
              <w:jc w:val="right"/>
              <w:rPr/>
            </w:pPr>
            <w:r>
              <w:rPr/>
              <w:t>195,000</w:t>
            </w:r>
          </w:p>
        </w:tc>
        <w:tc>
          <w:tcPr>
            <w:tcW w:w="84"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1124" w:type="dxa"/>
            <w:tcBorders/>
            <w:shd w:fill="CCEEFF" w:val="clear"/>
            <w:vAlign w:val="center"/>
          </w:tcPr>
          <w:p>
            <w:pPr>
              <w:pStyle w:val="TableContents"/>
              <w:spacing w:before="0" w:after="283"/>
              <w:jc w:val="right"/>
              <w:rPr/>
            </w:pPr>
            <w:r>
              <w:rPr/>
              <w:t>260,000</w:t>
            </w:r>
          </w:p>
        </w:tc>
        <w:tc>
          <w:tcPr>
            <w:tcW w:w="84"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1129" w:type="dxa"/>
            <w:tcBorders/>
            <w:shd w:fill="CCEEFF" w:val="clear"/>
            <w:vAlign w:val="center"/>
          </w:tcPr>
          <w:p>
            <w:pPr>
              <w:pStyle w:val="TableContents"/>
              <w:spacing w:before="0" w:after="283"/>
              <w:jc w:val="right"/>
              <w:rPr/>
            </w:pPr>
            <w:r>
              <w:rPr/>
              <w:t>325,000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sz w:val="4"/>
                <w:szCs w:val="4"/>
              </w:rPr>
            </w:pPr>
            <w:r>
              <w:rPr>
                <w:sz w:val="4"/>
                <w:szCs w:val="4"/>
              </w:rPr>
            </w:r>
          </w:p>
        </w:tc>
        <w:tc>
          <w:tcPr>
            <w:tcW w:w="237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366" w:type="dxa"/>
            <w:tcBorders/>
            <w:shd w:fill="CCEEFF" w:val="clear"/>
            <w:vAlign w:val="center"/>
          </w:tcPr>
          <w:p>
            <w:pPr>
              <w:pStyle w:val="TableContents"/>
              <w:spacing w:before="0" w:after="283"/>
              <w:rPr>
                <w:sz w:val="4"/>
                <w:szCs w:val="4"/>
              </w:rPr>
            </w:pPr>
            <w:r>
              <w:rPr>
                <w:sz w:val="4"/>
                <w:szCs w:val="4"/>
              </w:rPr>
            </w:r>
          </w:p>
        </w:tc>
        <w:tc>
          <w:tcPr>
            <w:tcW w:w="2564"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71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3/4/2022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sz w:val="4"/>
                <w:szCs w:val="4"/>
              </w:rPr>
            </w:pPr>
            <w:r>
              <w:rPr>
                <w:sz w:val="4"/>
                <w:szCs w:val="4"/>
              </w:rPr>
            </w:r>
          </w:p>
        </w:tc>
        <w:tc>
          <w:tcPr>
            <w:tcW w:w="1124" w:type="dxa"/>
            <w:tcBorders/>
            <w:shd w:fill="CCEEFF" w:val="clear"/>
            <w:vAlign w:val="center"/>
          </w:tcPr>
          <w:p>
            <w:pPr>
              <w:pStyle w:val="TableContents"/>
              <w:spacing w:before="0" w:after="283"/>
              <w:rPr>
                <w:sz w:val="4"/>
                <w:szCs w:val="4"/>
              </w:rPr>
            </w:pPr>
            <w:r>
              <w:rPr>
                <w:sz w:val="4"/>
                <w:szCs w:val="4"/>
              </w:rPr>
            </w:r>
          </w:p>
        </w:tc>
        <w:tc>
          <w:tcPr>
            <w:tcW w:w="84" w:type="dxa"/>
            <w:tcBorders/>
            <w:shd w:fill="CCEEFF" w:val="clear"/>
            <w:vAlign w:val="center"/>
          </w:tcPr>
          <w:p>
            <w:pPr>
              <w:pStyle w:val="TableContents"/>
              <w:spacing w:before="0" w:after="283"/>
              <w:rPr>
                <w:sz w:val="4"/>
                <w:szCs w:val="4"/>
              </w:rPr>
            </w:pPr>
            <w:r>
              <w:rPr>
                <w:sz w:val="4"/>
                <w:szCs w:val="4"/>
              </w:rPr>
            </w:r>
          </w:p>
        </w:tc>
        <w:tc>
          <w:tcPr>
            <w:tcW w:w="84"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sz w:val="4"/>
                <w:szCs w:val="4"/>
              </w:rPr>
            </w:pPr>
            <w:r>
              <w:rPr>
                <w:sz w:val="4"/>
                <w:szCs w:val="4"/>
              </w:rPr>
            </w:r>
          </w:p>
        </w:tc>
        <w:tc>
          <w:tcPr>
            <w:tcW w:w="1124" w:type="dxa"/>
            <w:tcBorders/>
            <w:shd w:fill="CCEEFF" w:val="clear"/>
            <w:vAlign w:val="center"/>
          </w:tcPr>
          <w:p>
            <w:pPr>
              <w:pStyle w:val="TableContents"/>
              <w:spacing w:before="0" w:after="283"/>
              <w:rPr>
                <w:sz w:val="4"/>
                <w:szCs w:val="4"/>
              </w:rPr>
            </w:pPr>
            <w:r>
              <w:rPr>
                <w:sz w:val="4"/>
                <w:szCs w:val="4"/>
              </w:rPr>
            </w:r>
          </w:p>
        </w:tc>
        <w:tc>
          <w:tcPr>
            <w:tcW w:w="84" w:type="dxa"/>
            <w:tcBorders/>
            <w:shd w:fill="CCEEFF" w:val="clear"/>
            <w:vAlign w:val="center"/>
          </w:tcPr>
          <w:p>
            <w:pPr>
              <w:pStyle w:val="TableContents"/>
              <w:spacing w:before="0" w:after="283"/>
              <w:rPr>
                <w:sz w:val="4"/>
                <w:szCs w:val="4"/>
              </w:rPr>
            </w:pPr>
            <w:r>
              <w:rPr>
                <w:sz w:val="4"/>
                <w:szCs w:val="4"/>
              </w:rPr>
            </w:r>
          </w:p>
        </w:tc>
        <w:tc>
          <w:tcPr>
            <w:tcW w:w="84"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sz w:val="4"/>
                <w:szCs w:val="4"/>
              </w:rPr>
            </w:pPr>
            <w:r>
              <w:rPr>
                <w:sz w:val="4"/>
                <w:szCs w:val="4"/>
              </w:rPr>
            </w:r>
          </w:p>
        </w:tc>
        <w:tc>
          <w:tcPr>
            <w:tcW w:w="1129"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2377" w:type="dxa"/>
            <w:tcBorders/>
            <w:shd w:fill="CCEEFF" w:val="clear"/>
            <w:vAlign w:val="center"/>
          </w:tcPr>
          <w:p>
            <w:pPr>
              <w:pStyle w:val="TableContents"/>
              <w:spacing w:before="0" w:after="283"/>
              <w:jc w:val="right"/>
              <w:rPr/>
            </w:pPr>
            <w:r>
              <w:rPr/>
              <w:t>252,039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66" w:type="dxa"/>
            <w:tcBorders/>
            <w:shd w:fill="CCEEFF" w:val="clear"/>
            <w:vAlign w:val="center"/>
          </w:tcPr>
          <w:p>
            <w:pPr>
              <w:pStyle w:val="TableContents"/>
              <w:spacing w:before="0" w:after="283"/>
              <w:rPr/>
            </w:pPr>
            <w:r>
              <w:rPr/>
              <w:t>$</w:t>
            </w:r>
          </w:p>
        </w:tc>
        <w:tc>
          <w:tcPr>
            <w:tcW w:w="2564" w:type="dxa"/>
            <w:tcBorders/>
            <w:shd w:fill="CCEEFF" w:val="clear"/>
            <w:vAlign w:val="center"/>
          </w:tcPr>
          <w:p>
            <w:pPr>
              <w:pStyle w:val="TableContents"/>
              <w:spacing w:before="0" w:after="283"/>
              <w:jc w:val="right"/>
              <w:rPr/>
            </w:pPr>
            <w:r>
              <w:rPr/>
              <w:t>6,384,148</w:t>
            </w:r>
          </w:p>
        </w:tc>
        <w:tc>
          <w:tcPr>
            <w:tcW w:w="75" w:type="dxa"/>
            <w:tcBorders/>
            <w:shd w:fill="CCEEFF"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Robert Orgel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124" w:type="dxa"/>
            <w:tcBorders/>
            <w:shd w:fill="auto" w:val="clear"/>
            <w:vAlign w:val="center"/>
          </w:tcPr>
          <w:p>
            <w:pPr>
              <w:pStyle w:val="TableContents"/>
              <w:spacing w:before="0" w:after="283"/>
              <w:jc w:val="right"/>
              <w:rPr/>
            </w:pPr>
            <w:r>
              <w:rPr/>
              <w:t>168,750</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124" w:type="dxa"/>
            <w:tcBorders/>
            <w:shd w:fill="auto" w:val="clear"/>
            <w:vAlign w:val="center"/>
          </w:tcPr>
          <w:p>
            <w:pPr>
              <w:pStyle w:val="TableContents"/>
              <w:spacing w:before="0" w:after="283"/>
              <w:jc w:val="right"/>
              <w:rPr/>
            </w:pPr>
            <w:r>
              <w:rPr/>
              <w:t>225,000</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129" w:type="dxa"/>
            <w:tcBorders/>
            <w:shd w:fill="auto" w:val="clear"/>
            <w:vAlign w:val="center"/>
          </w:tcPr>
          <w:p>
            <w:pPr>
              <w:pStyle w:val="TableContents"/>
              <w:spacing w:before="0" w:after="283"/>
              <w:jc w:val="right"/>
              <w:rPr/>
            </w:pPr>
            <w:r>
              <w:rPr/>
              <w:t>281,250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sz w:val="4"/>
                <w:szCs w:val="4"/>
              </w:rPr>
            </w:pPr>
            <w:r>
              <w:rPr>
                <w:sz w:val="4"/>
                <w:szCs w:val="4"/>
              </w:rPr>
            </w:r>
          </w:p>
        </w:tc>
        <w:tc>
          <w:tcPr>
            <w:tcW w:w="237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6" w:type="dxa"/>
            <w:tcBorders/>
            <w:shd w:fill="auto" w:val="clear"/>
            <w:vAlign w:val="center"/>
          </w:tcPr>
          <w:p>
            <w:pPr>
              <w:pStyle w:val="TableContents"/>
              <w:spacing w:before="0" w:after="283"/>
              <w:rPr>
                <w:sz w:val="4"/>
                <w:szCs w:val="4"/>
              </w:rPr>
            </w:pPr>
            <w:r>
              <w:rPr>
                <w:sz w:val="4"/>
                <w:szCs w:val="4"/>
              </w:rPr>
            </w:r>
          </w:p>
        </w:tc>
        <w:tc>
          <w:tcPr>
            <w:tcW w:w="2564"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3/4/2022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2377" w:type="dxa"/>
            <w:tcBorders/>
            <w:shd w:fill="auto" w:val="clear"/>
            <w:vAlign w:val="center"/>
          </w:tcPr>
          <w:p>
            <w:pPr>
              <w:pStyle w:val="TableContents"/>
              <w:spacing w:before="0" w:after="283"/>
              <w:jc w:val="right"/>
              <w:rPr/>
            </w:pPr>
            <w:r>
              <w:rPr/>
              <w:t>126,019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66" w:type="dxa"/>
            <w:tcBorders/>
            <w:shd w:fill="auto" w:val="clear"/>
            <w:vAlign w:val="center"/>
          </w:tcPr>
          <w:p>
            <w:pPr>
              <w:pStyle w:val="TableContents"/>
              <w:spacing w:before="0" w:after="283"/>
              <w:rPr/>
            </w:pPr>
            <w:r>
              <w:rPr/>
              <w:t>$</w:t>
            </w:r>
          </w:p>
        </w:tc>
        <w:tc>
          <w:tcPr>
            <w:tcW w:w="2564" w:type="dxa"/>
            <w:tcBorders/>
            <w:shd w:fill="auto" w:val="clear"/>
            <w:vAlign w:val="center"/>
          </w:tcPr>
          <w:p>
            <w:pPr>
              <w:pStyle w:val="TableContents"/>
              <w:spacing w:before="0" w:after="283"/>
              <w:jc w:val="right"/>
              <w:rPr/>
            </w:pPr>
            <w:r>
              <w:rPr/>
              <w:t>3,192,061</w:t>
            </w:r>
          </w:p>
        </w:tc>
        <w:tc>
          <w:tcPr>
            <w:tcW w:w="75" w:type="dxa"/>
            <w:tcBorders/>
            <w:shd w:fill="auto" w:val="clear"/>
            <w:vAlign w:val="center"/>
          </w:tcPr>
          <w:p>
            <w:pPr>
              <w:pStyle w:val="TableContents"/>
              <w:spacing w:before="0" w:after="283"/>
              <w:rPr/>
            </w:pPr>
            <w:r>
              <w:rPr/>
              <w:t> </w:t>
            </w:r>
          </w:p>
        </w:tc>
      </w:tr>
      <w:tr>
        <w:trPr/>
        <w:tc>
          <w:tcPr>
            <w:tcW w:w="7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Michael Ellis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5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1124" w:type="dxa"/>
            <w:tcBorders/>
            <w:shd w:fill="CCEEFF" w:val="clear"/>
            <w:vAlign w:val="center"/>
          </w:tcPr>
          <w:p>
            <w:pPr>
              <w:pStyle w:val="TableContents"/>
              <w:spacing w:before="0" w:after="283"/>
              <w:jc w:val="right"/>
              <w:rPr/>
            </w:pPr>
            <w:r>
              <w:rPr/>
              <w:t>168,750</w:t>
            </w:r>
          </w:p>
        </w:tc>
        <w:tc>
          <w:tcPr>
            <w:tcW w:w="84"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1124" w:type="dxa"/>
            <w:tcBorders/>
            <w:shd w:fill="CCEEFF" w:val="clear"/>
            <w:vAlign w:val="center"/>
          </w:tcPr>
          <w:p>
            <w:pPr>
              <w:pStyle w:val="TableContents"/>
              <w:spacing w:before="0" w:after="283"/>
              <w:jc w:val="right"/>
              <w:rPr/>
            </w:pPr>
            <w:r>
              <w:rPr/>
              <w:t>225,000</w:t>
            </w:r>
          </w:p>
        </w:tc>
        <w:tc>
          <w:tcPr>
            <w:tcW w:w="84"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1129" w:type="dxa"/>
            <w:tcBorders/>
            <w:shd w:fill="CCEEFF" w:val="clear"/>
            <w:vAlign w:val="center"/>
          </w:tcPr>
          <w:p>
            <w:pPr>
              <w:pStyle w:val="TableContents"/>
              <w:spacing w:before="0" w:after="283"/>
              <w:jc w:val="right"/>
              <w:rPr/>
            </w:pPr>
            <w:r>
              <w:rPr/>
              <w:t>281,250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sz w:val="4"/>
                <w:szCs w:val="4"/>
              </w:rPr>
            </w:pPr>
            <w:r>
              <w:rPr>
                <w:sz w:val="4"/>
                <w:szCs w:val="4"/>
              </w:rPr>
            </w:r>
          </w:p>
        </w:tc>
        <w:tc>
          <w:tcPr>
            <w:tcW w:w="237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366" w:type="dxa"/>
            <w:tcBorders/>
            <w:shd w:fill="CCEEFF" w:val="clear"/>
            <w:vAlign w:val="center"/>
          </w:tcPr>
          <w:p>
            <w:pPr>
              <w:pStyle w:val="TableContents"/>
              <w:spacing w:before="0" w:after="283"/>
              <w:rPr>
                <w:sz w:val="4"/>
                <w:szCs w:val="4"/>
              </w:rPr>
            </w:pPr>
            <w:r>
              <w:rPr>
                <w:sz w:val="4"/>
                <w:szCs w:val="4"/>
              </w:rPr>
            </w:r>
          </w:p>
        </w:tc>
        <w:tc>
          <w:tcPr>
            <w:tcW w:w="2564"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71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3/4/2022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sz w:val="4"/>
                <w:szCs w:val="4"/>
              </w:rPr>
            </w:pPr>
            <w:r>
              <w:rPr>
                <w:sz w:val="4"/>
                <w:szCs w:val="4"/>
              </w:rPr>
            </w:r>
          </w:p>
        </w:tc>
        <w:tc>
          <w:tcPr>
            <w:tcW w:w="1124" w:type="dxa"/>
            <w:tcBorders/>
            <w:shd w:fill="CCEEFF" w:val="clear"/>
            <w:vAlign w:val="center"/>
          </w:tcPr>
          <w:p>
            <w:pPr>
              <w:pStyle w:val="TableContents"/>
              <w:spacing w:before="0" w:after="283"/>
              <w:rPr>
                <w:sz w:val="4"/>
                <w:szCs w:val="4"/>
              </w:rPr>
            </w:pPr>
            <w:r>
              <w:rPr>
                <w:sz w:val="4"/>
                <w:szCs w:val="4"/>
              </w:rPr>
            </w:r>
          </w:p>
        </w:tc>
        <w:tc>
          <w:tcPr>
            <w:tcW w:w="84" w:type="dxa"/>
            <w:tcBorders/>
            <w:shd w:fill="CCEEFF" w:val="clear"/>
            <w:vAlign w:val="center"/>
          </w:tcPr>
          <w:p>
            <w:pPr>
              <w:pStyle w:val="TableContents"/>
              <w:spacing w:before="0" w:after="283"/>
              <w:rPr>
                <w:sz w:val="4"/>
                <w:szCs w:val="4"/>
              </w:rPr>
            </w:pPr>
            <w:r>
              <w:rPr>
                <w:sz w:val="4"/>
                <w:szCs w:val="4"/>
              </w:rPr>
            </w:r>
          </w:p>
        </w:tc>
        <w:tc>
          <w:tcPr>
            <w:tcW w:w="84"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sz w:val="4"/>
                <w:szCs w:val="4"/>
              </w:rPr>
            </w:pPr>
            <w:r>
              <w:rPr>
                <w:sz w:val="4"/>
                <w:szCs w:val="4"/>
              </w:rPr>
            </w:r>
          </w:p>
        </w:tc>
        <w:tc>
          <w:tcPr>
            <w:tcW w:w="1124" w:type="dxa"/>
            <w:tcBorders/>
            <w:shd w:fill="CCEEFF" w:val="clear"/>
            <w:vAlign w:val="center"/>
          </w:tcPr>
          <w:p>
            <w:pPr>
              <w:pStyle w:val="TableContents"/>
              <w:spacing w:before="0" w:after="283"/>
              <w:rPr>
                <w:sz w:val="4"/>
                <w:szCs w:val="4"/>
              </w:rPr>
            </w:pPr>
            <w:r>
              <w:rPr>
                <w:sz w:val="4"/>
                <w:szCs w:val="4"/>
              </w:rPr>
            </w:r>
          </w:p>
        </w:tc>
        <w:tc>
          <w:tcPr>
            <w:tcW w:w="84" w:type="dxa"/>
            <w:tcBorders/>
            <w:shd w:fill="CCEEFF" w:val="clear"/>
            <w:vAlign w:val="center"/>
          </w:tcPr>
          <w:p>
            <w:pPr>
              <w:pStyle w:val="TableContents"/>
              <w:spacing w:before="0" w:after="283"/>
              <w:rPr>
                <w:sz w:val="4"/>
                <w:szCs w:val="4"/>
              </w:rPr>
            </w:pPr>
            <w:r>
              <w:rPr>
                <w:sz w:val="4"/>
                <w:szCs w:val="4"/>
              </w:rPr>
            </w:r>
          </w:p>
        </w:tc>
        <w:tc>
          <w:tcPr>
            <w:tcW w:w="84"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sz w:val="4"/>
                <w:szCs w:val="4"/>
              </w:rPr>
            </w:pPr>
            <w:r>
              <w:rPr>
                <w:sz w:val="4"/>
                <w:szCs w:val="4"/>
              </w:rPr>
            </w:r>
          </w:p>
        </w:tc>
        <w:tc>
          <w:tcPr>
            <w:tcW w:w="1129"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2377" w:type="dxa"/>
            <w:tcBorders/>
            <w:shd w:fill="CCEEFF" w:val="clear"/>
            <w:vAlign w:val="center"/>
          </w:tcPr>
          <w:p>
            <w:pPr>
              <w:pStyle w:val="TableContents"/>
              <w:spacing w:before="0" w:after="283"/>
              <w:jc w:val="right"/>
              <w:rPr/>
            </w:pPr>
            <w:r>
              <w:rPr/>
              <w:t>90,014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66" w:type="dxa"/>
            <w:tcBorders/>
            <w:shd w:fill="CCEEFF" w:val="clear"/>
            <w:vAlign w:val="center"/>
          </w:tcPr>
          <w:p>
            <w:pPr>
              <w:pStyle w:val="TableContents"/>
              <w:spacing w:before="0" w:after="283"/>
              <w:rPr/>
            </w:pPr>
            <w:r>
              <w:rPr/>
              <w:t>$</w:t>
            </w:r>
          </w:p>
        </w:tc>
        <w:tc>
          <w:tcPr>
            <w:tcW w:w="2564" w:type="dxa"/>
            <w:tcBorders/>
            <w:shd w:fill="CCEEFF" w:val="clear"/>
            <w:vAlign w:val="center"/>
          </w:tcPr>
          <w:p>
            <w:pPr>
              <w:pStyle w:val="TableContents"/>
              <w:spacing w:before="0" w:after="283"/>
              <w:jc w:val="right"/>
              <w:rPr/>
            </w:pPr>
            <w:r>
              <w:rPr/>
              <w:t>2,280,055</w:t>
            </w:r>
          </w:p>
        </w:tc>
        <w:tc>
          <w:tcPr>
            <w:tcW w:w="75" w:type="dxa"/>
            <w:tcBorders/>
            <w:shd w:fill="CCEEFF"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Sharon Butler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124" w:type="dxa"/>
            <w:tcBorders/>
            <w:shd w:fill="auto" w:val="clear"/>
            <w:vAlign w:val="center"/>
          </w:tcPr>
          <w:p>
            <w:pPr>
              <w:pStyle w:val="TableContents"/>
              <w:spacing w:before="0" w:after="283"/>
              <w:jc w:val="right"/>
              <w:rPr/>
            </w:pPr>
            <w:r>
              <w:rPr/>
              <w:t>150,000</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124" w:type="dxa"/>
            <w:tcBorders/>
            <w:shd w:fill="auto" w:val="clear"/>
            <w:vAlign w:val="center"/>
          </w:tcPr>
          <w:p>
            <w:pPr>
              <w:pStyle w:val="TableContents"/>
              <w:spacing w:before="0" w:after="283"/>
              <w:jc w:val="right"/>
              <w:rPr/>
            </w:pPr>
            <w:r>
              <w:rPr/>
              <w:t>200,000</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129" w:type="dxa"/>
            <w:tcBorders/>
            <w:shd w:fill="auto" w:val="clear"/>
            <w:vAlign w:val="center"/>
          </w:tcPr>
          <w:p>
            <w:pPr>
              <w:pStyle w:val="TableContents"/>
              <w:spacing w:before="0" w:after="283"/>
              <w:jc w:val="right"/>
              <w:rPr/>
            </w:pPr>
            <w:r>
              <w:rPr/>
              <w:t>250,000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sz w:val="4"/>
                <w:szCs w:val="4"/>
              </w:rPr>
            </w:pPr>
            <w:r>
              <w:rPr>
                <w:sz w:val="4"/>
                <w:szCs w:val="4"/>
              </w:rPr>
            </w:r>
          </w:p>
        </w:tc>
        <w:tc>
          <w:tcPr>
            <w:tcW w:w="237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6" w:type="dxa"/>
            <w:tcBorders/>
            <w:shd w:fill="auto" w:val="clear"/>
            <w:vAlign w:val="center"/>
          </w:tcPr>
          <w:p>
            <w:pPr>
              <w:pStyle w:val="TableContents"/>
              <w:spacing w:before="0" w:after="283"/>
              <w:rPr>
                <w:sz w:val="4"/>
                <w:szCs w:val="4"/>
              </w:rPr>
            </w:pPr>
            <w:r>
              <w:rPr>
                <w:sz w:val="4"/>
                <w:szCs w:val="4"/>
              </w:rPr>
            </w:r>
          </w:p>
        </w:tc>
        <w:tc>
          <w:tcPr>
            <w:tcW w:w="2564"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3/4/2022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2377" w:type="dxa"/>
            <w:tcBorders/>
            <w:shd w:fill="auto" w:val="clear"/>
            <w:vAlign w:val="center"/>
          </w:tcPr>
          <w:p>
            <w:pPr>
              <w:pStyle w:val="TableContents"/>
              <w:spacing w:before="0" w:after="283"/>
              <w:jc w:val="right"/>
              <w:rPr/>
            </w:pPr>
            <w:r>
              <w:rPr/>
              <w:t>72,011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66" w:type="dxa"/>
            <w:tcBorders/>
            <w:shd w:fill="auto" w:val="clear"/>
            <w:vAlign w:val="center"/>
          </w:tcPr>
          <w:p>
            <w:pPr>
              <w:pStyle w:val="TableContents"/>
              <w:spacing w:before="0" w:after="283"/>
              <w:rPr/>
            </w:pPr>
            <w:r>
              <w:rPr/>
              <w:t>$</w:t>
            </w:r>
          </w:p>
        </w:tc>
        <w:tc>
          <w:tcPr>
            <w:tcW w:w="2564" w:type="dxa"/>
            <w:tcBorders/>
            <w:shd w:fill="auto" w:val="clear"/>
            <w:vAlign w:val="center"/>
          </w:tcPr>
          <w:p>
            <w:pPr>
              <w:pStyle w:val="TableContents"/>
              <w:spacing w:before="0" w:after="283"/>
              <w:jc w:val="right"/>
              <w:rPr/>
            </w:pPr>
            <w:r>
              <w:rPr/>
              <w:t>1,824,039</w:t>
            </w:r>
          </w:p>
        </w:tc>
        <w:tc>
          <w:tcPr>
            <w:tcW w:w="75" w:type="dxa"/>
            <w:tcBorders/>
            <w:shd w:fill="auto" w:val="clear"/>
            <w:vAlign w:val="center"/>
          </w:tcPr>
          <w:p>
            <w:pPr>
              <w:pStyle w:val="TableContents"/>
              <w:spacing w:before="0" w:after="283"/>
              <w:rPr/>
            </w:pPr>
            <w:r>
              <w:rPr/>
              <w:t> </w:t>
            </w:r>
          </w:p>
        </w:tc>
      </w:tr>
      <w:tr>
        <w:trPr/>
        <w:tc>
          <w:tcPr>
            <w:tcW w:w="7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David King</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5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1124" w:type="dxa"/>
            <w:tcBorders/>
            <w:shd w:fill="CCEEFF" w:val="clear"/>
            <w:vAlign w:val="center"/>
          </w:tcPr>
          <w:p>
            <w:pPr>
              <w:pStyle w:val="TableContents"/>
              <w:spacing w:before="0" w:after="283"/>
              <w:jc w:val="right"/>
              <w:rPr/>
            </w:pPr>
            <w:r>
              <w:rPr/>
              <w:t>112,500</w:t>
            </w:r>
          </w:p>
        </w:tc>
        <w:tc>
          <w:tcPr>
            <w:tcW w:w="84"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1124" w:type="dxa"/>
            <w:tcBorders/>
            <w:shd w:fill="CCEEFF" w:val="clear"/>
            <w:vAlign w:val="center"/>
          </w:tcPr>
          <w:p>
            <w:pPr>
              <w:pStyle w:val="TableContents"/>
              <w:spacing w:before="0" w:after="283"/>
              <w:jc w:val="right"/>
              <w:rPr/>
            </w:pPr>
            <w:r>
              <w:rPr/>
              <w:t>150,000</w:t>
            </w:r>
          </w:p>
        </w:tc>
        <w:tc>
          <w:tcPr>
            <w:tcW w:w="84"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1129" w:type="dxa"/>
            <w:tcBorders/>
            <w:shd w:fill="CCEEFF" w:val="clear"/>
            <w:vAlign w:val="center"/>
          </w:tcPr>
          <w:p>
            <w:pPr>
              <w:pStyle w:val="TableContents"/>
              <w:spacing w:before="0" w:after="283"/>
              <w:jc w:val="right"/>
              <w:rPr/>
            </w:pPr>
            <w:r>
              <w:rPr/>
              <w:t>187,500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sz w:val="4"/>
                <w:szCs w:val="4"/>
              </w:rPr>
            </w:pPr>
            <w:r>
              <w:rPr>
                <w:sz w:val="4"/>
                <w:szCs w:val="4"/>
              </w:rPr>
            </w:r>
          </w:p>
        </w:tc>
        <w:tc>
          <w:tcPr>
            <w:tcW w:w="237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366" w:type="dxa"/>
            <w:tcBorders/>
            <w:shd w:fill="CCEEFF" w:val="clear"/>
            <w:vAlign w:val="center"/>
          </w:tcPr>
          <w:p>
            <w:pPr>
              <w:pStyle w:val="TableContents"/>
              <w:spacing w:before="0" w:after="283"/>
              <w:rPr>
                <w:sz w:val="4"/>
                <w:szCs w:val="4"/>
              </w:rPr>
            </w:pPr>
            <w:r>
              <w:rPr>
                <w:sz w:val="4"/>
                <w:szCs w:val="4"/>
              </w:rPr>
            </w:r>
          </w:p>
        </w:tc>
        <w:tc>
          <w:tcPr>
            <w:tcW w:w="2564"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71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3/4/2022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sz w:val="4"/>
                <w:szCs w:val="4"/>
              </w:rPr>
            </w:pPr>
            <w:r>
              <w:rPr>
                <w:sz w:val="4"/>
                <w:szCs w:val="4"/>
              </w:rPr>
            </w:r>
          </w:p>
        </w:tc>
        <w:tc>
          <w:tcPr>
            <w:tcW w:w="1124" w:type="dxa"/>
            <w:tcBorders/>
            <w:shd w:fill="CCEEFF" w:val="clear"/>
            <w:vAlign w:val="center"/>
          </w:tcPr>
          <w:p>
            <w:pPr>
              <w:pStyle w:val="TableContents"/>
              <w:spacing w:before="0" w:after="283"/>
              <w:rPr>
                <w:sz w:val="4"/>
                <w:szCs w:val="4"/>
              </w:rPr>
            </w:pPr>
            <w:r>
              <w:rPr>
                <w:sz w:val="4"/>
                <w:szCs w:val="4"/>
              </w:rPr>
            </w:r>
          </w:p>
        </w:tc>
        <w:tc>
          <w:tcPr>
            <w:tcW w:w="84" w:type="dxa"/>
            <w:tcBorders/>
            <w:shd w:fill="CCEEFF" w:val="clear"/>
            <w:vAlign w:val="center"/>
          </w:tcPr>
          <w:p>
            <w:pPr>
              <w:pStyle w:val="TableContents"/>
              <w:spacing w:before="0" w:after="283"/>
              <w:rPr>
                <w:sz w:val="4"/>
                <w:szCs w:val="4"/>
              </w:rPr>
            </w:pPr>
            <w:r>
              <w:rPr>
                <w:sz w:val="4"/>
                <w:szCs w:val="4"/>
              </w:rPr>
            </w:r>
          </w:p>
        </w:tc>
        <w:tc>
          <w:tcPr>
            <w:tcW w:w="84"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sz w:val="4"/>
                <w:szCs w:val="4"/>
              </w:rPr>
            </w:pPr>
            <w:r>
              <w:rPr>
                <w:sz w:val="4"/>
                <w:szCs w:val="4"/>
              </w:rPr>
            </w:r>
          </w:p>
        </w:tc>
        <w:tc>
          <w:tcPr>
            <w:tcW w:w="1124" w:type="dxa"/>
            <w:tcBorders/>
            <w:shd w:fill="CCEEFF" w:val="clear"/>
            <w:vAlign w:val="center"/>
          </w:tcPr>
          <w:p>
            <w:pPr>
              <w:pStyle w:val="TableContents"/>
              <w:spacing w:before="0" w:after="283"/>
              <w:rPr>
                <w:sz w:val="4"/>
                <w:szCs w:val="4"/>
              </w:rPr>
            </w:pPr>
            <w:r>
              <w:rPr>
                <w:sz w:val="4"/>
                <w:szCs w:val="4"/>
              </w:rPr>
            </w:r>
          </w:p>
        </w:tc>
        <w:tc>
          <w:tcPr>
            <w:tcW w:w="84" w:type="dxa"/>
            <w:tcBorders/>
            <w:shd w:fill="CCEEFF" w:val="clear"/>
            <w:vAlign w:val="center"/>
          </w:tcPr>
          <w:p>
            <w:pPr>
              <w:pStyle w:val="TableContents"/>
              <w:spacing w:before="0" w:after="283"/>
              <w:rPr>
                <w:sz w:val="4"/>
                <w:szCs w:val="4"/>
              </w:rPr>
            </w:pPr>
            <w:r>
              <w:rPr>
                <w:sz w:val="4"/>
                <w:szCs w:val="4"/>
              </w:rPr>
            </w:r>
          </w:p>
        </w:tc>
        <w:tc>
          <w:tcPr>
            <w:tcW w:w="84"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sz w:val="4"/>
                <w:szCs w:val="4"/>
              </w:rPr>
            </w:pPr>
            <w:r>
              <w:rPr>
                <w:sz w:val="4"/>
                <w:szCs w:val="4"/>
              </w:rPr>
            </w:r>
          </w:p>
        </w:tc>
        <w:tc>
          <w:tcPr>
            <w:tcW w:w="1129"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2377" w:type="dxa"/>
            <w:tcBorders/>
            <w:shd w:fill="CCEEFF" w:val="clear"/>
            <w:vAlign w:val="center"/>
          </w:tcPr>
          <w:p>
            <w:pPr>
              <w:pStyle w:val="TableContents"/>
              <w:spacing w:before="0" w:after="283"/>
              <w:jc w:val="right"/>
              <w:rPr/>
            </w:pPr>
            <w:r>
              <w:rPr/>
              <w:t>126,019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66" w:type="dxa"/>
            <w:tcBorders/>
            <w:shd w:fill="CCEEFF" w:val="clear"/>
            <w:vAlign w:val="center"/>
          </w:tcPr>
          <w:p>
            <w:pPr>
              <w:pStyle w:val="TableContents"/>
              <w:spacing w:before="0" w:after="283"/>
              <w:rPr/>
            </w:pPr>
            <w:r>
              <w:rPr/>
              <w:t>$</w:t>
            </w:r>
          </w:p>
        </w:tc>
        <w:tc>
          <w:tcPr>
            <w:tcW w:w="2564" w:type="dxa"/>
            <w:tcBorders/>
            <w:shd w:fill="CCEEFF" w:val="clear"/>
            <w:vAlign w:val="center"/>
          </w:tcPr>
          <w:p>
            <w:pPr>
              <w:pStyle w:val="TableContents"/>
              <w:spacing w:before="0" w:after="283"/>
              <w:jc w:val="right"/>
              <w:rPr/>
            </w:pPr>
            <w:r>
              <w:rPr/>
              <w:t>3,192,061</w:t>
            </w:r>
          </w:p>
        </w:tc>
        <w:tc>
          <w:tcPr>
            <w:tcW w:w="75" w:type="dxa"/>
            <w:tcBorders/>
            <w:shd w:fill="CCEEFF" w:val="cle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2"/>
        <w:gridCol w:w="9943"/>
      </w:tblGrid>
      <w:tr>
        <w:trPr/>
        <w:tc>
          <w:tcPr>
            <w:tcW w:w="262" w:type="dxa"/>
            <w:tcBorders/>
            <w:shd w:fill="auto" w:val="clear"/>
            <w:vAlign w:val="center"/>
          </w:tcPr>
          <w:p>
            <w:pPr>
              <w:pStyle w:val="TableContents"/>
              <w:spacing w:before="0" w:after="283"/>
              <w:jc w:val="left"/>
              <w:rPr/>
            </w:pPr>
            <w:r>
              <w:rPr/>
              <w:t>(1)</w:t>
            </w:r>
          </w:p>
        </w:tc>
        <w:tc>
          <w:tcPr>
            <w:tcW w:w="994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Amounts shown in these columns represent the range of possible cash payouts for each NEO under the 2022 cash incentive bonus program. Please see the discussion of the 2022 cash incentive bonus program in the Compensation Discussion and Analysis above. </w:t>
            </w:r>
          </w:p>
        </w:tc>
      </w:tr>
    </w:tbl>
    <w:tbl>
      <w:tblPr>
        <w:tblW w:w="10205" w:type="dxa"/>
        <w:jc w:val="left"/>
        <w:tblInd w:w="0" w:type="dxa"/>
        <w:tblCellMar>
          <w:top w:w="0" w:type="dxa"/>
          <w:left w:w="0" w:type="dxa"/>
          <w:bottom w:w="0" w:type="dxa"/>
          <w:right w:w="0" w:type="dxa"/>
        </w:tblCellMar>
      </w:tblPr>
      <w:tblGrid>
        <w:gridCol w:w="254"/>
        <w:gridCol w:w="9951"/>
      </w:tblGrid>
      <w:tr>
        <w:trPr/>
        <w:tc>
          <w:tcPr>
            <w:tcW w:w="254" w:type="dxa"/>
            <w:tcBorders/>
            <w:shd w:fill="auto" w:val="clear"/>
            <w:vAlign w:val="center"/>
          </w:tcPr>
          <w:p>
            <w:pPr>
              <w:pStyle w:val="TableContents"/>
              <w:spacing w:before="0" w:after="283"/>
              <w:jc w:val="left"/>
              <w:rPr/>
            </w:pPr>
            <w:r>
              <w:rPr/>
              <w:t>(2)</w:t>
            </w:r>
          </w:p>
        </w:tc>
        <w:tc>
          <w:tcPr>
            <w:tcW w:w="995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This amount reflects the number of shares of common stock underlying time-vesting RSUs granted, which vested with respect to 25% of the shares on March 4, 2023, with the remainder of the shares vesting in equal quarterly installments over the following three years provided the NEO provides continuous service to us through such vesting dates. </w:t>
            </w:r>
          </w:p>
        </w:tc>
      </w:tr>
    </w:tbl>
    <w:tbl>
      <w:tblPr>
        <w:tblW w:w="10205" w:type="dxa"/>
        <w:jc w:val="left"/>
        <w:tblInd w:w="0" w:type="dxa"/>
        <w:tblCellMar>
          <w:top w:w="0" w:type="dxa"/>
          <w:left w:w="0" w:type="dxa"/>
          <w:bottom w:w="0" w:type="dxa"/>
          <w:right w:w="0" w:type="dxa"/>
        </w:tblCellMar>
      </w:tblPr>
      <w:tblGrid>
        <w:gridCol w:w="267"/>
        <w:gridCol w:w="9938"/>
      </w:tblGrid>
      <w:tr>
        <w:trPr/>
        <w:tc>
          <w:tcPr>
            <w:tcW w:w="267" w:type="dxa"/>
            <w:tcBorders/>
            <w:shd w:fill="auto" w:val="clear"/>
            <w:vAlign w:val="center"/>
          </w:tcPr>
          <w:p>
            <w:pPr>
              <w:pStyle w:val="TableContents"/>
              <w:spacing w:before="0" w:after="283"/>
              <w:jc w:val="left"/>
              <w:rPr/>
            </w:pPr>
            <w:r>
              <w:rPr/>
              <w:t>(3)</w:t>
            </w:r>
          </w:p>
        </w:tc>
        <w:tc>
          <w:tcPr>
            <w:tcW w:w="993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Reflects the grant date fair value of the stock award calculated in accordance with FASB ASC Topic 718. For a discussion of valuation assumptions, see Note 12 to our audited financial statements included in our 2022 Annual Report.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bookmarkStart w:id="36" w:name="toc359255_35"/>
      <w:bookmarkEnd w:id="36"/>
      <w:r>
        <w:rPr>
          <w:rFonts w:ascii="Times New Roman" w:hAnsi="Times New Roman"/>
          <w:b/>
          <w:sz w:val="20"/>
        </w:rPr>
        <w:t xml:space="preserve">Outstanding Equity Awards at Fiscal 2022 Year-End </w:t>
      </w:r>
    </w:p>
    <w:p>
      <w:pPr>
        <w:pStyle w:val="TextBody"/>
        <w:spacing w:before="120" w:after="0"/>
        <w:jc w:val="left"/>
        <w:rPr>
          <w:rFonts w:ascii="Times New Roman" w:hAnsi="Times New Roman"/>
          <w:sz w:val="20"/>
        </w:rPr>
      </w:pPr>
      <w:r>
        <w:rPr>
          <w:rFonts w:ascii="Times New Roman" w:hAnsi="Times New Roman"/>
          <w:sz w:val="20"/>
        </w:rPr>
        <w:t xml:space="preserve">The following table sets forth information regarding outstanding equity awards held by each of our NEOs as of December 31, 2022.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419"/>
        <w:gridCol w:w="60"/>
        <w:gridCol w:w="62"/>
        <w:gridCol w:w="828"/>
        <w:gridCol w:w="467"/>
        <w:gridCol w:w="60"/>
        <w:gridCol w:w="107"/>
        <w:gridCol w:w="1428"/>
        <w:gridCol w:w="60"/>
        <w:gridCol w:w="60"/>
        <w:gridCol w:w="177"/>
        <w:gridCol w:w="863"/>
        <w:gridCol w:w="60"/>
        <w:gridCol w:w="60"/>
        <w:gridCol w:w="261"/>
        <w:gridCol w:w="1394"/>
        <w:gridCol w:w="60"/>
        <w:gridCol w:w="60"/>
        <w:gridCol w:w="77"/>
        <w:gridCol w:w="1038"/>
        <w:gridCol w:w="347"/>
        <w:gridCol w:w="60"/>
        <w:gridCol w:w="140"/>
        <w:gridCol w:w="980"/>
        <w:gridCol w:w="77"/>
      </w:tblGrid>
      <w:tr>
        <w:trPr/>
        <w:tc>
          <w:tcPr>
            <w:tcW w:w="141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rPr>
                <w:sz w:val="4"/>
                <w:szCs w:val="4"/>
              </w:rPr>
            </w:pPr>
            <w:r>
              <w:rPr>
                <w:sz w:val="4"/>
                <w:szCs w:val="4"/>
              </w:rPr>
            </w:r>
          </w:p>
        </w:tc>
        <w:tc>
          <w:tcPr>
            <w:tcW w:w="142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3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1419" w:type="dxa"/>
            <w:tcBorders/>
            <w:shd w:fill="auto" w:val="clear"/>
            <w:vAlign w:val="center"/>
          </w:tcPr>
          <w:p>
            <w:pPr>
              <w:pStyle w:val="TableContents"/>
              <w:spacing w:before="0" w:after="283"/>
              <w:rPr>
                <w:b/>
              </w:rPr>
            </w:pPr>
            <w:r>
              <w:rPr>
                <w:b/>
              </w:rPr>
              <w:t>Name</w:t>
            </w:r>
          </w:p>
        </w:tc>
        <w:tc>
          <w:tcPr>
            <w:tcW w:w="60" w:type="dxa"/>
            <w:tcBorders/>
            <w:shd w:fill="auto" w:val="clear"/>
            <w:vAlign w:val="center"/>
          </w:tcPr>
          <w:p>
            <w:pPr>
              <w:pStyle w:val="TableContents"/>
              <w:spacing w:before="0" w:after="283"/>
              <w:rPr/>
            </w:pPr>
            <w:r>
              <w:rPr/>
              <w:t> </w:t>
            </w:r>
          </w:p>
        </w:tc>
        <w:tc>
          <w:tcPr>
            <w:tcW w:w="890" w:type="dxa"/>
            <w:gridSpan w:val="2"/>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Number of</w:t>
              <w:br/>
              <w:t>Securities</w:t>
              <w:br/>
              <w:t>Underlying</w:t>
              <w:br/>
              <w:t>Unexercised</w:t>
              <w:br/>
              <w:t>Options</w:t>
            </w:r>
          </w:p>
          <w:p>
            <w:pPr>
              <w:pStyle w:val="TableContents"/>
              <w:spacing w:before="0" w:after="0"/>
              <w:jc w:val="center"/>
              <w:rPr>
                <w:rFonts w:ascii="Times New Roman" w:hAnsi="Times New Roman"/>
                <w:b/>
                <w:sz w:val="16"/>
              </w:rPr>
            </w:pPr>
            <w:r>
              <w:rPr>
                <w:rFonts w:ascii="Times New Roman" w:hAnsi="Times New Roman"/>
                <w:b/>
                <w:sz w:val="16"/>
              </w:rPr>
              <w:t>(#)</w:t>
            </w:r>
          </w:p>
          <w:p>
            <w:pPr>
              <w:pStyle w:val="TableContents"/>
              <w:spacing w:before="0" w:after="20"/>
              <w:jc w:val="center"/>
              <w:rPr>
                <w:rFonts w:ascii="Times New Roman" w:hAnsi="Times New Roman"/>
                <w:b/>
                <w:sz w:val="16"/>
              </w:rPr>
            </w:pPr>
            <w:r>
              <w:rPr>
                <w:rFonts w:ascii="Times New Roman" w:hAnsi="Times New Roman"/>
                <w:b/>
                <w:sz w:val="16"/>
              </w:rPr>
              <w:t>Exercisable</w:t>
            </w:r>
          </w:p>
        </w:tc>
        <w:tc>
          <w:tcPr>
            <w:tcW w:w="46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35" w:type="dxa"/>
            <w:gridSpan w:val="2"/>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Number of Securities</w:t>
              <w:br/>
              <w:t>Underlying</w:t>
              <w:br/>
              <w:t>Unexercised Options</w:t>
            </w:r>
          </w:p>
          <w:p>
            <w:pPr>
              <w:pStyle w:val="TableContents"/>
              <w:spacing w:before="0" w:after="0"/>
              <w:jc w:val="center"/>
              <w:rPr>
                <w:rFonts w:ascii="Times New Roman" w:hAnsi="Times New Roman"/>
                <w:b/>
                <w:sz w:val="16"/>
              </w:rPr>
            </w:pPr>
            <w:r>
              <w:rPr>
                <w:rFonts w:ascii="Times New Roman" w:hAnsi="Times New Roman"/>
                <w:b/>
                <w:sz w:val="16"/>
              </w:rPr>
              <w:t>(#)</w:t>
            </w:r>
          </w:p>
          <w:p>
            <w:pPr>
              <w:pStyle w:val="TableContents"/>
              <w:spacing w:before="0" w:after="20"/>
              <w:jc w:val="center"/>
              <w:rPr>
                <w:rFonts w:ascii="Times New Roman" w:hAnsi="Times New Roman"/>
                <w:b/>
                <w:sz w:val="16"/>
              </w:rPr>
            </w:pPr>
            <w:r>
              <w:rPr>
                <w:rFonts w:ascii="Times New Roman" w:hAnsi="Times New Roman"/>
                <w:b/>
                <w:sz w:val="16"/>
              </w:rPr>
              <w:t>Unexercisable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Option</w:t>
              <w:br/>
              <w:t>Exercise Price</w:t>
            </w:r>
          </w:p>
          <w:p>
            <w:pPr>
              <w:pStyle w:val="TableContents"/>
              <w:spacing w:before="0" w:after="20"/>
              <w:jc w:val="center"/>
              <w:rPr>
                <w:rFonts w:ascii="Times New Roman" w:hAnsi="Times New Roman"/>
                <w:b/>
                <w:sz w:val="16"/>
              </w:rPr>
            </w:pPr>
            <w:r>
              <w:rPr>
                <w:rFonts w:ascii="Times New Roman" w:hAnsi="Times New Roman"/>
                <w:b/>
                <w:sz w:val="16"/>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55" w:type="dxa"/>
            <w:gridSpan w:val="2"/>
            <w:tcBorders/>
            <w:shd w:fill="auto" w:val="clear"/>
            <w:vAlign w:val="center"/>
          </w:tcPr>
          <w:p>
            <w:pPr>
              <w:pStyle w:val="TableContents"/>
              <w:spacing w:before="0" w:after="283"/>
              <w:jc w:val="center"/>
              <w:rPr>
                <w:b/>
              </w:rPr>
            </w:pPr>
            <w:r>
              <w:rPr>
                <w:b/>
              </w:rPr>
              <w:t>Option</w:t>
              <w:br/>
              <w:t>Expiration Date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5" w:type="dxa"/>
            <w:gridSpan w:val="2"/>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Number of</w:t>
              <w:br/>
              <w:t>Shares or</w:t>
              <w:br/>
              <w:t>Units of Stock</w:t>
              <w:br/>
              <w:t>That Have Not</w:t>
              <w:br/>
              <w:t>Vested</w:t>
            </w:r>
          </w:p>
          <w:p>
            <w:pPr>
              <w:pStyle w:val="TableContents"/>
              <w:spacing w:before="0" w:after="20"/>
              <w:jc w:val="center"/>
              <w:rPr>
                <w:rFonts w:ascii="Times New Roman" w:hAnsi="Times New Roman"/>
                <w:b/>
                <w:sz w:val="16"/>
              </w:rPr>
            </w:pPr>
            <w:r>
              <w:rPr>
                <w:rFonts w:ascii="Times New Roman" w:hAnsi="Times New Roman"/>
                <w:b/>
                <w:sz w:val="16"/>
              </w:rPr>
              <w:t>(#)</w:t>
            </w:r>
          </w:p>
        </w:tc>
        <w:tc>
          <w:tcPr>
            <w:tcW w:w="34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Market Value</w:t>
              <w:br/>
              <w:t>of Shares or</w:t>
              <w:br/>
              <w:t>Units of Stock</w:t>
              <w:br/>
              <w:t>That Have Not</w:t>
              <w:br/>
              <w:t>Vested</w:t>
            </w:r>
          </w:p>
          <w:p>
            <w:pPr>
              <w:pStyle w:val="TableContents"/>
              <w:spacing w:before="0" w:after="20"/>
              <w:jc w:val="center"/>
              <w:rPr>
                <w:rFonts w:ascii="Times New Roman" w:hAnsi="Times New Roman"/>
                <w:b/>
                <w:sz w:val="16"/>
              </w:rPr>
            </w:pPr>
            <w:r>
              <w:rPr>
                <w:rFonts w:ascii="Times New Roman" w:hAnsi="Times New Roman"/>
                <w:b/>
                <w:sz w:val="16"/>
              </w:rPr>
              <w:t>($)(1)</w:t>
            </w:r>
          </w:p>
        </w:tc>
        <w:tc>
          <w:tcPr>
            <w:tcW w:w="77" w:type="dxa"/>
            <w:tcBorders/>
            <w:shd w:fill="auto" w:val="clear"/>
            <w:vAlign w:val="center"/>
          </w:tcPr>
          <w:p>
            <w:pPr>
              <w:pStyle w:val="TableContents"/>
              <w:spacing w:before="0" w:after="283"/>
              <w:rPr/>
            </w:pPr>
            <w:r>
              <w:rPr/>
              <w:t> </w:t>
            </w:r>
          </w:p>
        </w:tc>
      </w:tr>
      <w:tr>
        <w:trPr/>
        <w:tc>
          <w:tcPr>
            <w:tcW w:w="1419"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Michael Massaro</w:t>
            </w:r>
          </w:p>
        </w:tc>
        <w:tc>
          <w:tcPr>
            <w:tcW w:w="6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828" w:type="dxa"/>
            <w:tcBorders/>
            <w:shd w:fill="CCEEFF" w:val="clear"/>
            <w:vAlign w:val="center"/>
          </w:tcPr>
          <w:p>
            <w:pPr>
              <w:pStyle w:val="TableContents"/>
              <w:spacing w:before="0" w:after="283"/>
              <w:jc w:val="right"/>
              <w:rPr/>
            </w:pPr>
            <w:r>
              <w:rPr/>
              <w:t>93,938</w:t>
            </w:r>
          </w:p>
        </w:tc>
        <w:tc>
          <w:tcPr>
            <w:tcW w:w="467" w:type="dxa"/>
            <w:tcBorders/>
            <w:shd w:fill="CCEEFF" w:val="clear"/>
            <w:vAlign w:val="center"/>
          </w:tcPr>
          <w:p>
            <w:pPr>
              <w:pStyle w:val="TableContents"/>
              <w:spacing w:before="0" w:after="283"/>
              <w:rPr/>
            </w:pPr>
            <w:r>
              <w:rPr/>
              <w:t>(2) </w:t>
            </w:r>
          </w:p>
        </w:tc>
        <w:tc>
          <w:tcPr>
            <w:tcW w:w="6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42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pPr>
            <w:r>
              <w:rPr/>
              <w:t>$</w:t>
            </w:r>
          </w:p>
        </w:tc>
        <w:tc>
          <w:tcPr>
            <w:tcW w:w="863" w:type="dxa"/>
            <w:tcBorders/>
            <w:shd w:fill="CCEEFF" w:val="clear"/>
            <w:vAlign w:val="center"/>
          </w:tcPr>
          <w:p>
            <w:pPr>
              <w:pStyle w:val="TableContents"/>
              <w:spacing w:before="0" w:after="283"/>
              <w:jc w:val="right"/>
              <w:rPr/>
            </w:pPr>
            <w:r>
              <w:rPr/>
              <w:t>0.20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1" w:type="dxa"/>
            <w:tcBorders/>
            <w:shd w:fill="CCEEFF" w:val="clear"/>
            <w:vAlign w:val="center"/>
          </w:tcPr>
          <w:p>
            <w:pPr>
              <w:pStyle w:val="TableContents"/>
              <w:spacing w:before="0" w:after="283"/>
              <w:rPr/>
            </w:pPr>
            <w:r>
              <w:rPr/>
              <w:t> </w:t>
            </w:r>
          </w:p>
        </w:tc>
        <w:tc>
          <w:tcPr>
            <w:tcW w:w="1394" w:type="dxa"/>
            <w:tcBorders/>
            <w:shd w:fill="CCEEFF" w:val="clear"/>
            <w:vAlign w:val="center"/>
          </w:tcPr>
          <w:p>
            <w:pPr>
              <w:pStyle w:val="TableContents"/>
              <w:spacing w:before="0" w:after="283"/>
              <w:jc w:val="right"/>
              <w:rPr/>
            </w:pPr>
            <w:r>
              <w:rPr/>
              <w:t>3/11/24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sz w:val="4"/>
                <w:szCs w:val="4"/>
              </w:rPr>
            </w:pPr>
            <w:r>
              <w:rPr>
                <w:sz w:val="4"/>
                <w:szCs w:val="4"/>
              </w:rPr>
            </w:r>
          </w:p>
        </w:tc>
        <w:tc>
          <w:tcPr>
            <w:tcW w:w="1038" w:type="dxa"/>
            <w:tcBorders/>
            <w:shd w:fill="CCEEFF" w:val="clear"/>
            <w:vAlign w:val="center"/>
          </w:tcPr>
          <w:p>
            <w:pPr>
              <w:pStyle w:val="TableContents"/>
              <w:spacing w:before="0" w:after="283"/>
              <w:rPr>
                <w:sz w:val="4"/>
                <w:szCs w:val="4"/>
              </w:rPr>
            </w:pPr>
            <w:r>
              <w:rPr>
                <w:sz w:val="4"/>
                <w:szCs w:val="4"/>
              </w:rPr>
            </w:r>
          </w:p>
        </w:tc>
        <w:tc>
          <w:tcPr>
            <w:tcW w:w="34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77" w:type="dxa"/>
            <w:tcBorders/>
            <w:shd w:fill="CCEEFF" w:val="clear"/>
            <w:vAlign w:val="center"/>
          </w:tcPr>
          <w:p>
            <w:pPr>
              <w:pStyle w:val="TableContents"/>
              <w:spacing w:before="0" w:after="283"/>
              <w:rPr>
                <w:sz w:val="4"/>
                <w:szCs w:val="4"/>
              </w:rPr>
            </w:pPr>
            <w:r>
              <w:rPr>
                <w:sz w:val="4"/>
                <w:szCs w:val="4"/>
              </w:rPr>
            </w:r>
          </w:p>
        </w:tc>
      </w:tr>
      <w:tr>
        <w:trPr/>
        <w:tc>
          <w:tcPr>
            <w:tcW w:w="1419"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828" w:type="dxa"/>
            <w:tcBorders/>
            <w:shd w:fill="CCEEFF" w:val="clear"/>
            <w:vAlign w:val="center"/>
          </w:tcPr>
          <w:p>
            <w:pPr>
              <w:pStyle w:val="TableContents"/>
              <w:spacing w:before="0" w:after="283"/>
              <w:jc w:val="right"/>
              <w:rPr/>
            </w:pPr>
            <w:r>
              <w:rPr/>
              <w:t>78,792</w:t>
            </w:r>
          </w:p>
        </w:tc>
        <w:tc>
          <w:tcPr>
            <w:tcW w:w="467" w:type="dxa"/>
            <w:tcBorders/>
            <w:shd w:fill="CCEEFF" w:val="clear"/>
            <w:vAlign w:val="center"/>
          </w:tcPr>
          <w:p>
            <w:pPr>
              <w:pStyle w:val="TableContents"/>
              <w:spacing w:before="0" w:after="283"/>
              <w:rPr/>
            </w:pPr>
            <w:r>
              <w:rPr/>
              <w:t>(3) </w:t>
            </w:r>
          </w:p>
        </w:tc>
        <w:tc>
          <w:tcPr>
            <w:tcW w:w="6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42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pPr>
            <w:r>
              <w:rPr/>
              <w:t>$</w:t>
            </w:r>
          </w:p>
        </w:tc>
        <w:tc>
          <w:tcPr>
            <w:tcW w:w="863" w:type="dxa"/>
            <w:tcBorders/>
            <w:shd w:fill="CCEEFF" w:val="clear"/>
            <w:vAlign w:val="center"/>
          </w:tcPr>
          <w:p>
            <w:pPr>
              <w:pStyle w:val="TableContents"/>
              <w:spacing w:before="0" w:after="283"/>
              <w:jc w:val="right"/>
              <w:rPr/>
            </w:pPr>
            <w:r>
              <w:rPr/>
              <w:t>0.35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1" w:type="dxa"/>
            <w:tcBorders/>
            <w:shd w:fill="CCEEFF" w:val="clear"/>
            <w:vAlign w:val="center"/>
          </w:tcPr>
          <w:p>
            <w:pPr>
              <w:pStyle w:val="TableContents"/>
              <w:spacing w:before="0" w:after="283"/>
              <w:rPr/>
            </w:pPr>
            <w:r>
              <w:rPr/>
              <w:t> </w:t>
            </w:r>
          </w:p>
        </w:tc>
        <w:tc>
          <w:tcPr>
            <w:tcW w:w="1394" w:type="dxa"/>
            <w:tcBorders/>
            <w:shd w:fill="CCEEFF" w:val="clear"/>
            <w:vAlign w:val="center"/>
          </w:tcPr>
          <w:p>
            <w:pPr>
              <w:pStyle w:val="TableContents"/>
              <w:spacing w:before="0" w:after="283"/>
              <w:jc w:val="right"/>
              <w:rPr/>
            </w:pPr>
            <w:r>
              <w:rPr/>
              <w:t>4/29/25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sz w:val="4"/>
                <w:szCs w:val="4"/>
              </w:rPr>
            </w:pPr>
            <w:r>
              <w:rPr>
                <w:sz w:val="4"/>
                <w:szCs w:val="4"/>
              </w:rPr>
            </w:r>
          </w:p>
        </w:tc>
        <w:tc>
          <w:tcPr>
            <w:tcW w:w="1038" w:type="dxa"/>
            <w:tcBorders/>
            <w:shd w:fill="CCEEFF" w:val="clear"/>
            <w:vAlign w:val="center"/>
          </w:tcPr>
          <w:p>
            <w:pPr>
              <w:pStyle w:val="TableContents"/>
              <w:spacing w:before="0" w:after="283"/>
              <w:rPr>
                <w:sz w:val="4"/>
                <w:szCs w:val="4"/>
              </w:rPr>
            </w:pPr>
            <w:r>
              <w:rPr>
                <w:sz w:val="4"/>
                <w:szCs w:val="4"/>
              </w:rPr>
            </w:r>
          </w:p>
        </w:tc>
        <w:tc>
          <w:tcPr>
            <w:tcW w:w="34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77" w:type="dxa"/>
            <w:tcBorders/>
            <w:shd w:fill="CCEEFF" w:val="clear"/>
            <w:vAlign w:val="center"/>
          </w:tcPr>
          <w:p>
            <w:pPr>
              <w:pStyle w:val="TableContents"/>
              <w:spacing w:before="0" w:after="283"/>
              <w:rPr>
                <w:sz w:val="4"/>
                <w:szCs w:val="4"/>
              </w:rPr>
            </w:pPr>
            <w:r>
              <w:rPr>
                <w:sz w:val="4"/>
                <w:szCs w:val="4"/>
              </w:rPr>
            </w:r>
          </w:p>
        </w:tc>
      </w:tr>
      <w:tr>
        <w:trPr/>
        <w:tc>
          <w:tcPr>
            <w:tcW w:w="1419"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828" w:type="dxa"/>
            <w:tcBorders/>
            <w:shd w:fill="CCEEFF" w:val="clear"/>
            <w:vAlign w:val="center"/>
          </w:tcPr>
          <w:p>
            <w:pPr>
              <w:pStyle w:val="TableContents"/>
              <w:spacing w:before="0" w:after="283"/>
              <w:jc w:val="right"/>
              <w:rPr/>
            </w:pPr>
            <w:r>
              <w:rPr/>
              <w:t>107,729</w:t>
            </w:r>
          </w:p>
        </w:tc>
        <w:tc>
          <w:tcPr>
            <w:tcW w:w="467" w:type="dxa"/>
            <w:tcBorders/>
            <w:shd w:fill="CCEEFF" w:val="clear"/>
            <w:vAlign w:val="center"/>
          </w:tcPr>
          <w:p>
            <w:pPr>
              <w:pStyle w:val="TableContents"/>
              <w:spacing w:before="0" w:after="283"/>
              <w:rPr/>
            </w:pPr>
            <w:r>
              <w:rPr/>
              <w:t>(3) </w:t>
            </w:r>
          </w:p>
        </w:tc>
        <w:tc>
          <w:tcPr>
            <w:tcW w:w="6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42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pPr>
            <w:r>
              <w:rPr/>
              <w:t>$</w:t>
            </w:r>
          </w:p>
        </w:tc>
        <w:tc>
          <w:tcPr>
            <w:tcW w:w="863" w:type="dxa"/>
            <w:tcBorders/>
            <w:shd w:fill="CCEEFF" w:val="clear"/>
            <w:vAlign w:val="center"/>
          </w:tcPr>
          <w:p>
            <w:pPr>
              <w:pStyle w:val="TableContents"/>
              <w:spacing w:before="0" w:after="283"/>
              <w:jc w:val="right"/>
              <w:rPr/>
            </w:pPr>
            <w:r>
              <w:rPr/>
              <w:t>0.35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1" w:type="dxa"/>
            <w:tcBorders/>
            <w:shd w:fill="CCEEFF" w:val="clear"/>
            <w:vAlign w:val="center"/>
          </w:tcPr>
          <w:p>
            <w:pPr>
              <w:pStyle w:val="TableContents"/>
              <w:spacing w:before="0" w:after="283"/>
              <w:rPr/>
            </w:pPr>
            <w:r>
              <w:rPr/>
              <w:t> </w:t>
            </w:r>
          </w:p>
        </w:tc>
        <w:tc>
          <w:tcPr>
            <w:tcW w:w="1394" w:type="dxa"/>
            <w:tcBorders/>
            <w:shd w:fill="CCEEFF" w:val="clear"/>
            <w:vAlign w:val="center"/>
          </w:tcPr>
          <w:p>
            <w:pPr>
              <w:pStyle w:val="TableContents"/>
              <w:spacing w:before="0" w:after="283"/>
              <w:jc w:val="right"/>
              <w:rPr/>
            </w:pPr>
            <w:r>
              <w:rPr/>
              <w:t>4/29/25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sz w:val="4"/>
                <w:szCs w:val="4"/>
              </w:rPr>
            </w:pPr>
            <w:r>
              <w:rPr>
                <w:sz w:val="4"/>
                <w:szCs w:val="4"/>
              </w:rPr>
            </w:r>
          </w:p>
        </w:tc>
        <w:tc>
          <w:tcPr>
            <w:tcW w:w="1038" w:type="dxa"/>
            <w:tcBorders/>
            <w:shd w:fill="CCEEFF" w:val="clear"/>
            <w:vAlign w:val="center"/>
          </w:tcPr>
          <w:p>
            <w:pPr>
              <w:pStyle w:val="TableContents"/>
              <w:spacing w:before="0" w:after="283"/>
              <w:rPr>
                <w:sz w:val="4"/>
                <w:szCs w:val="4"/>
              </w:rPr>
            </w:pPr>
            <w:r>
              <w:rPr>
                <w:sz w:val="4"/>
                <w:szCs w:val="4"/>
              </w:rPr>
            </w:r>
          </w:p>
        </w:tc>
        <w:tc>
          <w:tcPr>
            <w:tcW w:w="34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77" w:type="dxa"/>
            <w:tcBorders/>
            <w:shd w:fill="CCEEFF" w:val="clear"/>
            <w:vAlign w:val="center"/>
          </w:tcPr>
          <w:p>
            <w:pPr>
              <w:pStyle w:val="TableContents"/>
              <w:spacing w:before="0" w:after="283"/>
              <w:rPr>
                <w:sz w:val="4"/>
                <w:szCs w:val="4"/>
              </w:rPr>
            </w:pPr>
            <w:r>
              <w:rPr>
                <w:sz w:val="4"/>
                <w:szCs w:val="4"/>
              </w:rPr>
            </w:r>
          </w:p>
        </w:tc>
      </w:tr>
      <w:tr>
        <w:trPr/>
        <w:tc>
          <w:tcPr>
            <w:tcW w:w="1419"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828" w:type="dxa"/>
            <w:tcBorders/>
            <w:shd w:fill="CCEEFF" w:val="clear"/>
            <w:vAlign w:val="center"/>
          </w:tcPr>
          <w:p>
            <w:pPr>
              <w:pStyle w:val="TableContents"/>
              <w:spacing w:before="0" w:after="283"/>
              <w:jc w:val="right"/>
              <w:rPr/>
            </w:pPr>
            <w:r>
              <w:rPr/>
              <w:t>105,948</w:t>
            </w:r>
          </w:p>
        </w:tc>
        <w:tc>
          <w:tcPr>
            <w:tcW w:w="467" w:type="dxa"/>
            <w:tcBorders/>
            <w:shd w:fill="CCEEFF" w:val="clear"/>
            <w:vAlign w:val="center"/>
          </w:tcPr>
          <w:p>
            <w:pPr>
              <w:pStyle w:val="TableContents"/>
              <w:spacing w:before="0" w:after="283"/>
              <w:rPr/>
            </w:pPr>
            <w:r>
              <w:rPr/>
              <w:t>(4) </w:t>
            </w:r>
          </w:p>
        </w:tc>
        <w:tc>
          <w:tcPr>
            <w:tcW w:w="6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42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pPr>
            <w:r>
              <w:rPr/>
              <w:t>$</w:t>
            </w:r>
          </w:p>
        </w:tc>
        <w:tc>
          <w:tcPr>
            <w:tcW w:w="863" w:type="dxa"/>
            <w:tcBorders/>
            <w:shd w:fill="CCEEFF" w:val="clear"/>
            <w:vAlign w:val="center"/>
          </w:tcPr>
          <w:p>
            <w:pPr>
              <w:pStyle w:val="TableContents"/>
              <w:spacing w:before="0" w:after="283"/>
              <w:jc w:val="right"/>
              <w:rPr/>
            </w:pPr>
            <w:r>
              <w:rPr/>
              <w:t>0.59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1" w:type="dxa"/>
            <w:tcBorders/>
            <w:shd w:fill="CCEEFF" w:val="clear"/>
            <w:vAlign w:val="center"/>
          </w:tcPr>
          <w:p>
            <w:pPr>
              <w:pStyle w:val="TableContents"/>
              <w:spacing w:before="0" w:after="283"/>
              <w:rPr/>
            </w:pPr>
            <w:r>
              <w:rPr/>
              <w:t> </w:t>
            </w:r>
          </w:p>
        </w:tc>
        <w:tc>
          <w:tcPr>
            <w:tcW w:w="1394" w:type="dxa"/>
            <w:tcBorders/>
            <w:shd w:fill="CCEEFF" w:val="clear"/>
            <w:vAlign w:val="center"/>
          </w:tcPr>
          <w:p>
            <w:pPr>
              <w:pStyle w:val="TableContents"/>
              <w:spacing w:before="0" w:after="283"/>
              <w:jc w:val="right"/>
              <w:rPr/>
            </w:pPr>
            <w:r>
              <w:rPr/>
              <w:t>7/25/26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sz w:val="4"/>
                <w:szCs w:val="4"/>
              </w:rPr>
            </w:pPr>
            <w:r>
              <w:rPr>
                <w:sz w:val="4"/>
                <w:szCs w:val="4"/>
              </w:rPr>
            </w:r>
          </w:p>
        </w:tc>
        <w:tc>
          <w:tcPr>
            <w:tcW w:w="1038" w:type="dxa"/>
            <w:tcBorders/>
            <w:shd w:fill="CCEEFF" w:val="clear"/>
            <w:vAlign w:val="center"/>
          </w:tcPr>
          <w:p>
            <w:pPr>
              <w:pStyle w:val="TableContents"/>
              <w:spacing w:before="0" w:after="283"/>
              <w:rPr>
                <w:sz w:val="4"/>
                <w:szCs w:val="4"/>
              </w:rPr>
            </w:pPr>
            <w:r>
              <w:rPr>
                <w:sz w:val="4"/>
                <w:szCs w:val="4"/>
              </w:rPr>
            </w:r>
          </w:p>
        </w:tc>
        <w:tc>
          <w:tcPr>
            <w:tcW w:w="34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77" w:type="dxa"/>
            <w:tcBorders/>
            <w:shd w:fill="CCEEFF" w:val="clear"/>
            <w:vAlign w:val="center"/>
          </w:tcPr>
          <w:p>
            <w:pPr>
              <w:pStyle w:val="TableContents"/>
              <w:spacing w:before="0" w:after="283"/>
              <w:rPr>
                <w:sz w:val="4"/>
                <w:szCs w:val="4"/>
              </w:rPr>
            </w:pPr>
            <w:r>
              <w:rPr>
                <w:sz w:val="4"/>
                <w:szCs w:val="4"/>
              </w:rPr>
            </w:r>
          </w:p>
        </w:tc>
      </w:tr>
      <w:tr>
        <w:trPr/>
        <w:tc>
          <w:tcPr>
            <w:tcW w:w="1419"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828" w:type="dxa"/>
            <w:tcBorders/>
            <w:shd w:fill="CCEEFF" w:val="clear"/>
            <w:vAlign w:val="center"/>
          </w:tcPr>
          <w:p>
            <w:pPr>
              <w:pStyle w:val="TableContents"/>
              <w:spacing w:before="0" w:after="283"/>
              <w:jc w:val="right"/>
              <w:rPr/>
            </w:pPr>
            <w:r>
              <w:rPr/>
              <w:t>23,598</w:t>
            </w:r>
          </w:p>
        </w:tc>
        <w:tc>
          <w:tcPr>
            <w:tcW w:w="467" w:type="dxa"/>
            <w:tcBorders/>
            <w:shd w:fill="CCEEFF" w:val="clear"/>
            <w:vAlign w:val="center"/>
          </w:tcPr>
          <w:p>
            <w:pPr>
              <w:pStyle w:val="TableContents"/>
              <w:spacing w:before="0" w:after="283"/>
              <w:rPr/>
            </w:pPr>
            <w:r>
              <w:rPr/>
              <w:t>(4) </w:t>
            </w:r>
          </w:p>
        </w:tc>
        <w:tc>
          <w:tcPr>
            <w:tcW w:w="6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42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pPr>
            <w:r>
              <w:rPr/>
              <w:t>$</w:t>
            </w:r>
          </w:p>
        </w:tc>
        <w:tc>
          <w:tcPr>
            <w:tcW w:w="863" w:type="dxa"/>
            <w:tcBorders/>
            <w:shd w:fill="CCEEFF" w:val="clear"/>
            <w:vAlign w:val="center"/>
          </w:tcPr>
          <w:p>
            <w:pPr>
              <w:pStyle w:val="TableContents"/>
              <w:spacing w:before="0" w:after="283"/>
              <w:jc w:val="right"/>
              <w:rPr/>
            </w:pPr>
            <w:r>
              <w:rPr/>
              <w:t>0.59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1" w:type="dxa"/>
            <w:tcBorders/>
            <w:shd w:fill="CCEEFF" w:val="clear"/>
            <w:vAlign w:val="center"/>
          </w:tcPr>
          <w:p>
            <w:pPr>
              <w:pStyle w:val="TableContents"/>
              <w:spacing w:before="0" w:after="283"/>
              <w:rPr/>
            </w:pPr>
            <w:r>
              <w:rPr/>
              <w:t> </w:t>
            </w:r>
          </w:p>
        </w:tc>
        <w:tc>
          <w:tcPr>
            <w:tcW w:w="1394" w:type="dxa"/>
            <w:tcBorders/>
            <w:shd w:fill="CCEEFF" w:val="clear"/>
            <w:vAlign w:val="center"/>
          </w:tcPr>
          <w:p>
            <w:pPr>
              <w:pStyle w:val="TableContents"/>
              <w:spacing w:before="0" w:after="283"/>
              <w:jc w:val="right"/>
              <w:rPr/>
            </w:pPr>
            <w:r>
              <w:rPr/>
              <w:t>7/25/26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sz w:val="4"/>
                <w:szCs w:val="4"/>
              </w:rPr>
            </w:pPr>
            <w:r>
              <w:rPr>
                <w:sz w:val="4"/>
                <w:szCs w:val="4"/>
              </w:rPr>
            </w:r>
          </w:p>
        </w:tc>
        <w:tc>
          <w:tcPr>
            <w:tcW w:w="1038" w:type="dxa"/>
            <w:tcBorders/>
            <w:shd w:fill="CCEEFF" w:val="clear"/>
            <w:vAlign w:val="center"/>
          </w:tcPr>
          <w:p>
            <w:pPr>
              <w:pStyle w:val="TableContents"/>
              <w:spacing w:before="0" w:after="283"/>
              <w:rPr>
                <w:sz w:val="4"/>
                <w:szCs w:val="4"/>
              </w:rPr>
            </w:pPr>
            <w:r>
              <w:rPr>
                <w:sz w:val="4"/>
                <w:szCs w:val="4"/>
              </w:rPr>
            </w:r>
          </w:p>
        </w:tc>
        <w:tc>
          <w:tcPr>
            <w:tcW w:w="34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77" w:type="dxa"/>
            <w:tcBorders/>
            <w:shd w:fill="CCEEFF" w:val="clear"/>
            <w:vAlign w:val="center"/>
          </w:tcPr>
          <w:p>
            <w:pPr>
              <w:pStyle w:val="TableContents"/>
              <w:spacing w:before="0" w:after="283"/>
              <w:rPr>
                <w:sz w:val="4"/>
                <w:szCs w:val="4"/>
              </w:rPr>
            </w:pPr>
            <w:r>
              <w:rPr>
                <w:sz w:val="4"/>
                <w:szCs w:val="4"/>
              </w:rPr>
            </w:r>
          </w:p>
        </w:tc>
      </w:tr>
      <w:tr>
        <w:trPr/>
        <w:tc>
          <w:tcPr>
            <w:tcW w:w="1419"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828" w:type="dxa"/>
            <w:tcBorders/>
            <w:shd w:fill="CCEEFF" w:val="clear"/>
            <w:vAlign w:val="center"/>
          </w:tcPr>
          <w:p>
            <w:pPr>
              <w:pStyle w:val="TableContents"/>
              <w:spacing w:before="0" w:after="283"/>
              <w:jc w:val="right"/>
              <w:rPr/>
            </w:pPr>
            <w:r>
              <w:rPr/>
              <w:t>758,320</w:t>
            </w:r>
          </w:p>
        </w:tc>
        <w:tc>
          <w:tcPr>
            <w:tcW w:w="467" w:type="dxa"/>
            <w:tcBorders/>
            <w:shd w:fill="CCEEFF" w:val="clear"/>
            <w:vAlign w:val="center"/>
          </w:tcPr>
          <w:p>
            <w:pPr>
              <w:pStyle w:val="TableContents"/>
              <w:spacing w:before="0" w:after="283"/>
              <w:rPr/>
            </w:pPr>
            <w:r>
              <w:rPr/>
              <w:t>(5) </w:t>
            </w:r>
          </w:p>
        </w:tc>
        <w:tc>
          <w:tcPr>
            <w:tcW w:w="6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428" w:type="dxa"/>
            <w:tcBorders/>
            <w:shd w:fill="CCEEFF" w:val="clear"/>
            <w:vAlign w:val="center"/>
          </w:tcPr>
          <w:p>
            <w:pPr>
              <w:pStyle w:val="TableContents"/>
              <w:spacing w:before="0" w:after="283"/>
              <w:jc w:val="right"/>
              <w:rPr/>
            </w:pPr>
            <w:r>
              <w:rPr/>
              <w:t>35,688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pPr>
            <w:r>
              <w:rPr/>
              <w:t>$</w:t>
            </w:r>
          </w:p>
        </w:tc>
        <w:tc>
          <w:tcPr>
            <w:tcW w:w="863" w:type="dxa"/>
            <w:tcBorders/>
            <w:shd w:fill="CCEEFF" w:val="clear"/>
            <w:vAlign w:val="center"/>
          </w:tcPr>
          <w:p>
            <w:pPr>
              <w:pStyle w:val="TableContents"/>
              <w:spacing w:before="0" w:after="283"/>
              <w:jc w:val="right"/>
              <w:rPr/>
            </w:pPr>
            <w:r>
              <w:rPr/>
              <w:t>3.28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1" w:type="dxa"/>
            <w:tcBorders/>
            <w:shd w:fill="CCEEFF" w:val="clear"/>
            <w:vAlign w:val="center"/>
          </w:tcPr>
          <w:p>
            <w:pPr>
              <w:pStyle w:val="TableContents"/>
              <w:spacing w:before="0" w:after="283"/>
              <w:rPr/>
            </w:pPr>
            <w:r>
              <w:rPr/>
              <w:t> </w:t>
            </w:r>
          </w:p>
        </w:tc>
        <w:tc>
          <w:tcPr>
            <w:tcW w:w="1394" w:type="dxa"/>
            <w:tcBorders/>
            <w:shd w:fill="CCEEFF" w:val="clear"/>
            <w:vAlign w:val="center"/>
          </w:tcPr>
          <w:p>
            <w:pPr>
              <w:pStyle w:val="TableContents"/>
              <w:spacing w:before="0" w:after="283"/>
              <w:jc w:val="right"/>
              <w:rPr/>
            </w:pPr>
            <w:r>
              <w:rPr/>
              <w:t>2/27/29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sz w:val="4"/>
                <w:szCs w:val="4"/>
              </w:rPr>
            </w:pPr>
            <w:r>
              <w:rPr>
                <w:sz w:val="4"/>
                <w:szCs w:val="4"/>
              </w:rPr>
            </w:r>
          </w:p>
        </w:tc>
        <w:tc>
          <w:tcPr>
            <w:tcW w:w="1038" w:type="dxa"/>
            <w:tcBorders/>
            <w:shd w:fill="CCEEFF" w:val="clear"/>
            <w:vAlign w:val="center"/>
          </w:tcPr>
          <w:p>
            <w:pPr>
              <w:pStyle w:val="TableContents"/>
              <w:spacing w:before="0" w:after="283"/>
              <w:rPr>
                <w:sz w:val="4"/>
                <w:szCs w:val="4"/>
              </w:rPr>
            </w:pPr>
            <w:r>
              <w:rPr>
                <w:sz w:val="4"/>
                <w:szCs w:val="4"/>
              </w:rPr>
            </w:r>
          </w:p>
        </w:tc>
        <w:tc>
          <w:tcPr>
            <w:tcW w:w="34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77" w:type="dxa"/>
            <w:tcBorders/>
            <w:shd w:fill="CCEEFF" w:val="clear"/>
            <w:vAlign w:val="center"/>
          </w:tcPr>
          <w:p>
            <w:pPr>
              <w:pStyle w:val="TableContents"/>
              <w:spacing w:before="0" w:after="283"/>
              <w:rPr>
                <w:sz w:val="4"/>
                <w:szCs w:val="4"/>
              </w:rPr>
            </w:pPr>
            <w:r>
              <w:rPr>
                <w:sz w:val="4"/>
                <w:szCs w:val="4"/>
              </w:rPr>
            </w:r>
          </w:p>
        </w:tc>
      </w:tr>
      <w:tr>
        <w:trPr/>
        <w:tc>
          <w:tcPr>
            <w:tcW w:w="1419"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828" w:type="dxa"/>
            <w:tcBorders/>
            <w:shd w:fill="CCEEFF" w:val="clear"/>
            <w:vAlign w:val="center"/>
          </w:tcPr>
          <w:p>
            <w:pPr>
              <w:pStyle w:val="TableContents"/>
              <w:spacing w:before="0" w:after="283"/>
              <w:jc w:val="right"/>
              <w:rPr/>
            </w:pPr>
            <w:r>
              <w:rPr/>
              <w:t>245,963</w:t>
            </w:r>
          </w:p>
        </w:tc>
        <w:tc>
          <w:tcPr>
            <w:tcW w:w="467" w:type="dxa"/>
            <w:tcBorders/>
            <w:shd w:fill="CCEEFF" w:val="clear"/>
            <w:vAlign w:val="center"/>
          </w:tcPr>
          <w:p>
            <w:pPr>
              <w:pStyle w:val="TableContents"/>
              <w:spacing w:before="0" w:after="283"/>
              <w:rPr/>
            </w:pPr>
            <w:r>
              <w:rPr/>
              <w:t>(6) </w:t>
            </w:r>
          </w:p>
        </w:tc>
        <w:tc>
          <w:tcPr>
            <w:tcW w:w="6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428" w:type="dxa"/>
            <w:tcBorders/>
            <w:shd w:fill="CCEEFF" w:val="clear"/>
            <w:vAlign w:val="center"/>
          </w:tcPr>
          <w:p>
            <w:pPr>
              <w:pStyle w:val="TableContents"/>
              <w:spacing w:before="0" w:after="283"/>
              <w:jc w:val="right"/>
              <w:rPr/>
            </w:pPr>
            <w:r>
              <w:rPr/>
              <w:t>56,761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pPr>
            <w:r>
              <w:rPr/>
              <w:t>$</w:t>
            </w:r>
          </w:p>
        </w:tc>
        <w:tc>
          <w:tcPr>
            <w:tcW w:w="863" w:type="dxa"/>
            <w:tcBorders/>
            <w:shd w:fill="CCEEFF" w:val="clear"/>
            <w:vAlign w:val="center"/>
          </w:tcPr>
          <w:p>
            <w:pPr>
              <w:pStyle w:val="TableContents"/>
              <w:spacing w:before="0" w:after="283"/>
              <w:jc w:val="right"/>
              <w:rPr/>
            </w:pPr>
            <w:r>
              <w:rPr/>
              <w:t>3.30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1" w:type="dxa"/>
            <w:tcBorders/>
            <w:shd w:fill="CCEEFF" w:val="clear"/>
            <w:vAlign w:val="center"/>
          </w:tcPr>
          <w:p>
            <w:pPr>
              <w:pStyle w:val="TableContents"/>
              <w:spacing w:before="0" w:after="283"/>
              <w:rPr/>
            </w:pPr>
            <w:r>
              <w:rPr/>
              <w:t> </w:t>
            </w:r>
          </w:p>
        </w:tc>
        <w:tc>
          <w:tcPr>
            <w:tcW w:w="1394" w:type="dxa"/>
            <w:tcBorders/>
            <w:shd w:fill="CCEEFF" w:val="clear"/>
            <w:vAlign w:val="center"/>
          </w:tcPr>
          <w:p>
            <w:pPr>
              <w:pStyle w:val="TableContents"/>
              <w:spacing w:before="0" w:after="283"/>
              <w:jc w:val="right"/>
              <w:rPr/>
            </w:pPr>
            <w:r>
              <w:rPr/>
              <w:t>10/31/29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sz w:val="4"/>
                <w:szCs w:val="4"/>
              </w:rPr>
            </w:pPr>
            <w:r>
              <w:rPr>
                <w:sz w:val="4"/>
                <w:szCs w:val="4"/>
              </w:rPr>
            </w:r>
          </w:p>
        </w:tc>
        <w:tc>
          <w:tcPr>
            <w:tcW w:w="1038" w:type="dxa"/>
            <w:tcBorders/>
            <w:shd w:fill="CCEEFF" w:val="clear"/>
            <w:vAlign w:val="center"/>
          </w:tcPr>
          <w:p>
            <w:pPr>
              <w:pStyle w:val="TableContents"/>
              <w:spacing w:before="0" w:after="283"/>
              <w:rPr>
                <w:sz w:val="4"/>
                <w:szCs w:val="4"/>
              </w:rPr>
            </w:pPr>
            <w:r>
              <w:rPr>
                <w:sz w:val="4"/>
                <w:szCs w:val="4"/>
              </w:rPr>
            </w:r>
          </w:p>
        </w:tc>
        <w:tc>
          <w:tcPr>
            <w:tcW w:w="34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77" w:type="dxa"/>
            <w:tcBorders/>
            <w:shd w:fill="CCEEFF" w:val="clear"/>
            <w:vAlign w:val="center"/>
          </w:tcPr>
          <w:p>
            <w:pPr>
              <w:pStyle w:val="TableContents"/>
              <w:spacing w:before="0" w:after="283"/>
              <w:rPr>
                <w:sz w:val="4"/>
                <w:szCs w:val="4"/>
              </w:rPr>
            </w:pPr>
            <w:r>
              <w:rPr>
                <w:sz w:val="4"/>
                <w:szCs w:val="4"/>
              </w:rPr>
            </w:r>
          </w:p>
        </w:tc>
      </w:tr>
      <w:tr>
        <w:trPr/>
        <w:tc>
          <w:tcPr>
            <w:tcW w:w="1419"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828" w:type="dxa"/>
            <w:tcBorders/>
            <w:shd w:fill="CCEEFF" w:val="clear"/>
            <w:vAlign w:val="center"/>
          </w:tcPr>
          <w:p>
            <w:pPr>
              <w:pStyle w:val="TableContents"/>
              <w:spacing w:before="0" w:after="283"/>
              <w:jc w:val="right"/>
              <w:rPr/>
            </w:pPr>
            <w:r>
              <w:rPr/>
              <w:t>143,750</w:t>
            </w:r>
          </w:p>
        </w:tc>
        <w:tc>
          <w:tcPr>
            <w:tcW w:w="467" w:type="dxa"/>
            <w:tcBorders/>
            <w:shd w:fill="CCEEFF" w:val="clear"/>
            <w:vAlign w:val="center"/>
          </w:tcPr>
          <w:p>
            <w:pPr>
              <w:pStyle w:val="TableContents"/>
              <w:spacing w:before="0" w:after="283"/>
              <w:rPr/>
            </w:pPr>
            <w:r>
              <w:rPr/>
              <w:t>(7) </w:t>
            </w:r>
          </w:p>
        </w:tc>
        <w:tc>
          <w:tcPr>
            <w:tcW w:w="6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428" w:type="dxa"/>
            <w:tcBorders/>
            <w:shd w:fill="CCEEFF" w:val="clear"/>
            <w:vAlign w:val="center"/>
          </w:tcPr>
          <w:p>
            <w:pPr>
              <w:pStyle w:val="TableContents"/>
              <w:spacing w:before="0" w:after="283"/>
              <w:jc w:val="right"/>
              <w:rPr/>
            </w:pPr>
            <w:r>
              <w:rPr/>
              <w:t>156,250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pPr>
            <w:r>
              <w:rPr/>
              <w:t>$</w:t>
            </w:r>
          </w:p>
        </w:tc>
        <w:tc>
          <w:tcPr>
            <w:tcW w:w="863" w:type="dxa"/>
            <w:tcBorders/>
            <w:shd w:fill="CCEEFF" w:val="clear"/>
            <w:vAlign w:val="center"/>
          </w:tcPr>
          <w:p>
            <w:pPr>
              <w:pStyle w:val="TableContents"/>
              <w:spacing w:before="0" w:after="283"/>
              <w:jc w:val="right"/>
              <w:rPr/>
            </w:pPr>
            <w:r>
              <w:rPr/>
              <w:t>3.95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1" w:type="dxa"/>
            <w:tcBorders/>
            <w:shd w:fill="CCEEFF" w:val="clear"/>
            <w:vAlign w:val="center"/>
          </w:tcPr>
          <w:p>
            <w:pPr>
              <w:pStyle w:val="TableContents"/>
              <w:spacing w:before="0" w:after="283"/>
              <w:rPr/>
            </w:pPr>
            <w:r>
              <w:rPr/>
              <w:t> </w:t>
            </w:r>
          </w:p>
        </w:tc>
        <w:tc>
          <w:tcPr>
            <w:tcW w:w="1394" w:type="dxa"/>
            <w:tcBorders/>
            <w:shd w:fill="CCEEFF" w:val="clear"/>
            <w:vAlign w:val="center"/>
          </w:tcPr>
          <w:p>
            <w:pPr>
              <w:pStyle w:val="TableContents"/>
              <w:spacing w:before="0" w:after="283"/>
              <w:jc w:val="right"/>
              <w:rPr/>
            </w:pPr>
            <w:r>
              <w:rPr/>
              <w:t>1/20/31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sz w:val="4"/>
                <w:szCs w:val="4"/>
              </w:rPr>
            </w:pPr>
            <w:r>
              <w:rPr>
                <w:sz w:val="4"/>
                <w:szCs w:val="4"/>
              </w:rPr>
            </w:r>
          </w:p>
        </w:tc>
        <w:tc>
          <w:tcPr>
            <w:tcW w:w="1038" w:type="dxa"/>
            <w:tcBorders/>
            <w:shd w:fill="CCEEFF" w:val="clear"/>
            <w:vAlign w:val="center"/>
          </w:tcPr>
          <w:p>
            <w:pPr>
              <w:pStyle w:val="TableContents"/>
              <w:spacing w:before="0" w:after="283"/>
              <w:rPr>
                <w:sz w:val="4"/>
                <w:szCs w:val="4"/>
              </w:rPr>
            </w:pPr>
            <w:r>
              <w:rPr>
                <w:sz w:val="4"/>
                <w:szCs w:val="4"/>
              </w:rPr>
            </w:r>
          </w:p>
        </w:tc>
        <w:tc>
          <w:tcPr>
            <w:tcW w:w="34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77" w:type="dxa"/>
            <w:tcBorders/>
            <w:shd w:fill="CCEEFF" w:val="clear"/>
            <w:vAlign w:val="center"/>
          </w:tcPr>
          <w:p>
            <w:pPr>
              <w:pStyle w:val="TableContents"/>
              <w:spacing w:before="0" w:after="283"/>
              <w:rPr>
                <w:sz w:val="4"/>
                <w:szCs w:val="4"/>
              </w:rPr>
            </w:pPr>
            <w:r>
              <w:rPr>
                <w:sz w:val="4"/>
                <w:szCs w:val="4"/>
              </w:rPr>
            </w:r>
          </w:p>
        </w:tc>
      </w:tr>
      <w:tr>
        <w:trPr/>
        <w:tc>
          <w:tcPr>
            <w:tcW w:w="1419"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828" w:type="dxa"/>
            <w:tcBorders/>
            <w:shd w:fill="CCEEFF" w:val="clear"/>
            <w:vAlign w:val="center"/>
          </w:tcPr>
          <w:p>
            <w:pPr>
              <w:pStyle w:val="TableContents"/>
              <w:spacing w:before="0" w:after="283"/>
              <w:jc w:val="right"/>
              <w:rPr/>
            </w:pPr>
            <w:r>
              <w:rPr/>
              <w:t>115,000</w:t>
            </w:r>
          </w:p>
        </w:tc>
        <w:tc>
          <w:tcPr>
            <w:tcW w:w="467" w:type="dxa"/>
            <w:tcBorders/>
            <w:shd w:fill="CCEEFF" w:val="clear"/>
            <w:vAlign w:val="center"/>
          </w:tcPr>
          <w:p>
            <w:pPr>
              <w:pStyle w:val="TableContents"/>
              <w:spacing w:before="0" w:after="283"/>
              <w:rPr/>
            </w:pPr>
            <w:r>
              <w:rPr/>
              <w:t>(8) </w:t>
            </w:r>
          </w:p>
        </w:tc>
        <w:tc>
          <w:tcPr>
            <w:tcW w:w="6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428" w:type="dxa"/>
            <w:tcBorders/>
            <w:shd w:fill="CCEEFF" w:val="clear"/>
            <w:vAlign w:val="center"/>
          </w:tcPr>
          <w:p>
            <w:pPr>
              <w:pStyle w:val="TableContents"/>
              <w:spacing w:before="0" w:after="283"/>
              <w:jc w:val="right"/>
              <w:rPr/>
            </w:pPr>
            <w:r>
              <w:rPr/>
              <w:t>185,000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pPr>
            <w:r>
              <w:rPr/>
              <w:t>$</w:t>
            </w:r>
          </w:p>
        </w:tc>
        <w:tc>
          <w:tcPr>
            <w:tcW w:w="863" w:type="dxa"/>
            <w:tcBorders/>
            <w:shd w:fill="CCEEFF" w:val="clear"/>
            <w:vAlign w:val="center"/>
          </w:tcPr>
          <w:p>
            <w:pPr>
              <w:pStyle w:val="TableContents"/>
              <w:spacing w:before="0" w:after="283"/>
              <w:jc w:val="right"/>
              <w:rPr/>
            </w:pPr>
            <w:r>
              <w:rPr/>
              <w:t>3.95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1" w:type="dxa"/>
            <w:tcBorders/>
            <w:shd w:fill="CCEEFF" w:val="clear"/>
            <w:vAlign w:val="center"/>
          </w:tcPr>
          <w:p>
            <w:pPr>
              <w:pStyle w:val="TableContents"/>
              <w:spacing w:before="0" w:after="283"/>
              <w:rPr/>
            </w:pPr>
            <w:r>
              <w:rPr/>
              <w:t> </w:t>
            </w:r>
          </w:p>
        </w:tc>
        <w:tc>
          <w:tcPr>
            <w:tcW w:w="1394" w:type="dxa"/>
            <w:tcBorders/>
            <w:shd w:fill="CCEEFF" w:val="clear"/>
            <w:vAlign w:val="center"/>
          </w:tcPr>
          <w:p>
            <w:pPr>
              <w:pStyle w:val="TableContents"/>
              <w:spacing w:before="0" w:after="283"/>
              <w:jc w:val="right"/>
              <w:rPr/>
            </w:pPr>
            <w:r>
              <w:rPr/>
              <w:t>1/20/31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sz w:val="4"/>
                <w:szCs w:val="4"/>
              </w:rPr>
            </w:pPr>
            <w:r>
              <w:rPr>
                <w:sz w:val="4"/>
                <w:szCs w:val="4"/>
              </w:rPr>
            </w:r>
          </w:p>
        </w:tc>
        <w:tc>
          <w:tcPr>
            <w:tcW w:w="1038" w:type="dxa"/>
            <w:tcBorders/>
            <w:shd w:fill="CCEEFF" w:val="clear"/>
            <w:vAlign w:val="center"/>
          </w:tcPr>
          <w:p>
            <w:pPr>
              <w:pStyle w:val="TableContents"/>
              <w:spacing w:before="0" w:after="283"/>
              <w:rPr>
                <w:sz w:val="4"/>
                <w:szCs w:val="4"/>
              </w:rPr>
            </w:pPr>
            <w:r>
              <w:rPr>
                <w:sz w:val="4"/>
                <w:szCs w:val="4"/>
              </w:rPr>
            </w:r>
          </w:p>
        </w:tc>
        <w:tc>
          <w:tcPr>
            <w:tcW w:w="34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77" w:type="dxa"/>
            <w:tcBorders/>
            <w:shd w:fill="CCEEFF" w:val="clear"/>
            <w:vAlign w:val="center"/>
          </w:tcPr>
          <w:p>
            <w:pPr>
              <w:pStyle w:val="TableContents"/>
              <w:spacing w:before="0" w:after="283"/>
              <w:rPr>
                <w:sz w:val="4"/>
                <w:szCs w:val="4"/>
              </w:rPr>
            </w:pPr>
            <w:r>
              <w:rPr>
                <w:sz w:val="4"/>
                <w:szCs w:val="4"/>
              </w:rPr>
            </w:r>
          </w:p>
        </w:tc>
      </w:tr>
      <w:tr>
        <w:trPr/>
        <w:tc>
          <w:tcPr>
            <w:tcW w:w="1419"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sz w:val="4"/>
                <w:szCs w:val="4"/>
              </w:rPr>
            </w:pPr>
            <w:r>
              <w:rPr>
                <w:sz w:val="4"/>
                <w:szCs w:val="4"/>
              </w:rPr>
            </w:r>
          </w:p>
        </w:tc>
        <w:tc>
          <w:tcPr>
            <w:tcW w:w="828" w:type="dxa"/>
            <w:tcBorders/>
            <w:shd w:fill="CCEEFF" w:val="clear"/>
            <w:vAlign w:val="center"/>
          </w:tcPr>
          <w:p>
            <w:pPr>
              <w:pStyle w:val="TableContents"/>
              <w:spacing w:before="0" w:after="283"/>
              <w:rPr>
                <w:sz w:val="4"/>
                <w:szCs w:val="4"/>
              </w:rPr>
            </w:pPr>
            <w:r>
              <w:rPr>
                <w:sz w:val="4"/>
                <w:szCs w:val="4"/>
              </w:rPr>
            </w:r>
          </w:p>
        </w:tc>
        <w:tc>
          <w:tcPr>
            <w:tcW w:w="46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sz w:val="4"/>
                <w:szCs w:val="4"/>
              </w:rPr>
            </w:pPr>
            <w:r>
              <w:rPr>
                <w:sz w:val="4"/>
                <w:szCs w:val="4"/>
              </w:rPr>
            </w:r>
          </w:p>
        </w:tc>
        <w:tc>
          <w:tcPr>
            <w:tcW w:w="1428"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sz w:val="4"/>
                <w:szCs w:val="4"/>
              </w:rPr>
            </w:pPr>
            <w:r>
              <w:rPr>
                <w:sz w:val="4"/>
                <w:szCs w:val="4"/>
              </w:rPr>
            </w:r>
          </w:p>
        </w:tc>
        <w:tc>
          <w:tcPr>
            <w:tcW w:w="8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261" w:type="dxa"/>
            <w:tcBorders/>
            <w:shd w:fill="CCEEFF" w:val="clear"/>
            <w:vAlign w:val="center"/>
          </w:tcPr>
          <w:p>
            <w:pPr>
              <w:pStyle w:val="TableContents"/>
              <w:spacing w:before="0" w:after="283"/>
              <w:rPr>
                <w:sz w:val="4"/>
                <w:szCs w:val="4"/>
              </w:rPr>
            </w:pPr>
            <w:r>
              <w:rPr>
                <w:sz w:val="4"/>
                <w:szCs w:val="4"/>
              </w:rPr>
            </w:r>
          </w:p>
        </w:tc>
        <w:tc>
          <w:tcPr>
            <w:tcW w:w="1394"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1038" w:type="dxa"/>
            <w:tcBorders/>
            <w:shd w:fill="CCEEFF" w:val="clear"/>
            <w:vAlign w:val="center"/>
          </w:tcPr>
          <w:p>
            <w:pPr>
              <w:pStyle w:val="TableContents"/>
              <w:spacing w:before="0" w:after="283"/>
              <w:jc w:val="right"/>
              <w:rPr/>
            </w:pPr>
            <w:r>
              <w:rPr/>
              <w:t>252,039</w:t>
            </w:r>
          </w:p>
        </w:tc>
        <w:tc>
          <w:tcPr>
            <w:tcW w:w="347" w:type="dxa"/>
            <w:tcBorders/>
            <w:shd w:fill="CCEEFF" w:val="clear"/>
            <w:vAlign w:val="center"/>
          </w:tcPr>
          <w:p>
            <w:pPr>
              <w:pStyle w:val="TableContents"/>
              <w:spacing w:before="0" w:after="283"/>
              <w:rPr/>
            </w:pPr>
            <w:r>
              <w:rPr/>
              <w:t>(9)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6,167,394</w:t>
            </w:r>
          </w:p>
        </w:tc>
        <w:tc>
          <w:tcPr>
            <w:tcW w:w="77" w:type="dxa"/>
            <w:tcBorders/>
            <w:shd w:fill="CCEEFF" w:val="clear"/>
            <w:vAlign w:val="center"/>
          </w:tcPr>
          <w:p>
            <w:pPr>
              <w:pStyle w:val="TableContents"/>
              <w:spacing w:before="0" w:after="283"/>
              <w:rPr/>
            </w:pPr>
            <w:r>
              <w:rPr/>
              <w:t> </w:t>
            </w:r>
          </w:p>
        </w:tc>
      </w:tr>
      <w:tr>
        <w:trPr/>
        <w:tc>
          <w:tcPr>
            <w:tcW w:w="1419"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Robert Orgel</w:t>
            </w:r>
          </w:p>
        </w:tc>
        <w:tc>
          <w:tcPr>
            <w:tcW w:w="6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828" w:type="dxa"/>
            <w:tcBorders/>
            <w:shd w:fill="auto" w:val="clear"/>
            <w:vAlign w:val="center"/>
          </w:tcPr>
          <w:p>
            <w:pPr>
              <w:pStyle w:val="TableContents"/>
              <w:spacing w:before="0" w:after="283"/>
              <w:jc w:val="right"/>
              <w:rPr/>
            </w:pPr>
            <w:r>
              <w:rPr/>
              <w:t>274,411</w:t>
            </w:r>
          </w:p>
        </w:tc>
        <w:tc>
          <w:tcPr>
            <w:tcW w:w="467" w:type="dxa"/>
            <w:tcBorders/>
            <w:shd w:fill="auto" w:val="clear"/>
            <w:vAlign w:val="center"/>
          </w:tcPr>
          <w:p>
            <w:pPr>
              <w:pStyle w:val="TableContents"/>
              <w:spacing w:before="0" w:after="283"/>
              <w:rPr/>
            </w:pPr>
            <w:r>
              <w:rPr/>
              <w:t>(10) </w:t>
            </w:r>
          </w:p>
        </w:tc>
        <w:tc>
          <w:tcPr>
            <w:tcW w:w="6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428" w:type="dxa"/>
            <w:tcBorders/>
            <w:shd w:fill="auto" w:val="clear"/>
            <w:vAlign w:val="center"/>
          </w:tcPr>
          <w:p>
            <w:pPr>
              <w:pStyle w:val="TableContents"/>
              <w:spacing w:before="0" w:after="283"/>
              <w:jc w:val="right"/>
              <w:rPr/>
            </w:pPr>
            <w:r>
              <w:rPr/>
              <w:t>175,313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w:t>
            </w:r>
          </w:p>
        </w:tc>
        <w:tc>
          <w:tcPr>
            <w:tcW w:w="863" w:type="dxa"/>
            <w:tcBorders/>
            <w:shd w:fill="auto" w:val="clear"/>
            <w:vAlign w:val="center"/>
          </w:tcPr>
          <w:p>
            <w:pPr>
              <w:pStyle w:val="TableContents"/>
              <w:spacing w:before="0" w:after="283"/>
              <w:jc w:val="right"/>
              <w:rPr/>
            </w:pPr>
            <w:r>
              <w:rPr/>
              <w:t>3.30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1" w:type="dxa"/>
            <w:tcBorders/>
            <w:shd w:fill="auto" w:val="clear"/>
            <w:vAlign w:val="center"/>
          </w:tcPr>
          <w:p>
            <w:pPr>
              <w:pStyle w:val="TableContents"/>
              <w:spacing w:before="0" w:after="283"/>
              <w:rPr/>
            </w:pPr>
            <w:r>
              <w:rPr/>
              <w:t> </w:t>
            </w:r>
          </w:p>
        </w:tc>
        <w:tc>
          <w:tcPr>
            <w:tcW w:w="1394" w:type="dxa"/>
            <w:tcBorders/>
            <w:shd w:fill="auto" w:val="clear"/>
            <w:vAlign w:val="center"/>
          </w:tcPr>
          <w:p>
            <w:pPr>
              <w:pStyle w:val="TableContents"/>
              <w:spacing w:before="0" w:after="283"/>
              <w:jc w:val="right"/>
              <w:rPr/>
            </w:pPr>
            <w:r>
              <w:rPr/>
              <w:t>10/31/29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141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828" w:type="dxa"/>
            <w:tcBorders/>
            <w:shd w:fill="auto" w:val="clear"/>
            <w:vAlign w:val="center"/>
          </w:tcPr>
          <w:p>
            <w:pPr>
              <w:pStyle w:val="TableContents"/>
              <w:spacing w:before="0" w:after="283"/>
              <w:jc w:val="right"/>
              <w:rPr/>
            </w:pPr>
            <w:r>
              <w:rPr/>
              <w:t>165,625</w:t>
            </w:r>
          </w:p>
        </w:tc>
        <w:tc>
          <w:tcPr>
            <w:tcW w:w="467" w:type="dxa"/>
            <w:tcBorders/>
            <w:shd w:fill="auto" w:val="clear"/>
            <w:vAlign w:val="center"/>
          </w:tcPr>
          <w:p>
            <w:pPr>
              <w:pStyle w:val="TableContents"/>
              <w:spacing w:before="0" w:after="283"/>
              <w:rPr/>
            </w:pPr>
            <w:r>
              <w:rPr/>
              <w:t>(11) </w:t>
            </w:r>
          </w:p>
        </w:tc>
        <w:tc>
          <w:tcPr>
            <w:tcW w:w="6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428" w:type="dxa"/>
            <w:tcBorders/>
            <w:shd w:fill="auto" w:val="clear"/>
            <w:vAlign w:val="center"/>
          </w:tcPr>
          <w:p>
            <w:pPr>
              <w:pStyle w:val="TableContents"/>
              <w:spacing w:before="0" w:after="283"/>
              <w:jc w:val="right"/>
              <w:rPr/>
            </w:pPr>
            <w:r>
              <w:rPr/>
              <w:t>234,375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w:t>
            </w:r>
          </w:p>
        </w:tc>
        <w:tc>
          <w:tcPr>
            <w:tcW w:w="863" w:type="dxa"/>
            <w:tcBorders/>
            <w:shd w:fill="auto" w:val="clear"/>
            <w:vAlign w:val="center"/>
          </w:tcPr>
          <w:p>
            <w:pPr>
              <w:pStyle w:val="TableContents"/>
              <w:spacing w:before="0" w:after="283"/>
              <w:jc w:val="right"/>
              <w:rPr/>
            </w:pPr>
            <w:r>
              <w:rPr/>
              <w:t>3.95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1" w:type="dxa"/>
            <w:tcBorders/>
            <w:shd w:fill="auto" w:val="clear"/>
            <w:vAlign w:val="center"/>
          </w:tcPr>
          <w:p>
            <w:pPr>
              <w:pStyle w:val="TableContents"/>
              <w:spacing w:before="0" w:after="283"/>
              <w:rPr/>
            </w:pPr>
            <w:r>
              <w:rPr/>
              <w:t> </w:t>
            </w:r>
          </w:p>
        </w:tc>
        <w:tc>
          <w:tcPr>
            <w:tcW w:w="1394" w:type="dxa"/>
            <w:tcBorders/>
            <w:shd w:fill="auto" w:val="clear"/>
            <w:vAlign w:val="center"/>
          </w:tcPr>
          <w:p>
            <w:pPr>
              <w:pStyle w:val="TableContents"/>
              <w:spacing w:before="0" w:after="283"/>
              <w:jc w:val="right"/>
              <w:rPr/>
            </w:pPr>
            <w:r>
              <w:rPr/>
              <w:t>1/20/31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141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sz w:val="4"/>
                <w:szCs w:val="4"/>
              </w:rPr>
            </w:pPr>
            <w:r>
              <w:rPr>
                <w:sz w:val="4"/>
                <w:szCs w:val="4"/>
              </w:rPr>
            </w:r>
          </w:p>
        </w:tc>
        <w:tc>
          <w:tcPr>
            <w:tcW w:w="142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1" w:type="dxa"/>
            <w:tcBorders/>
            <w:shd w:fill="auto" w:val="clear"/>
            <w:vAlign w:val="center"/>
          </w:tcPr>
          <w:p>
            <w:pPr>
              <w:pStyle w:val="TableContents"/>
              <w:spacing w:before="0" w:after="283"/>
              <w:rPr>
                <w:sz w:val="4"/>
                <w:szCs w:val="4"/>
              </w:rPr>
            </w:pPr>
            <w:r>
              <w:rPr>
                <w:sz w:val="4"/>
                <w:szCs w:val="4"/>
              </w:rPr>
            </w:r>
          </w:p>
        </w:tc>
        <w:tc>
          <w:tcPr>
            <w:tcW w:w="13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1038" w:type="dxa"/>
            <w:tcBorders/>
            <w:shd w:fill="auto" w:val="clear"/>
            <w:vAlign w:val="center"/>
          </w:tcPr>
          <w:p>
            <w:pPr>
              <w:pStyle w:val="TableContents"/>
              <w:spacing w:before="0" w:after="283"/>
              <w:jc w:val="right"/>
              <w:rPr/>
            </w:pPr>
            <w:r>
              <w:rPr/>
              <w:t>126,019</w:t>
            </w:r>
          </w:p>
        </w:tc>
        <w:tc>
          <w:tcPr>
            <w:tcW w:w="347" w:type="dxa"/>
            <w:tcBorders/>
            <w:shd w:fill="auto" w:val="clear"/>
            <w:vAlign w:val="center"/>
          </w:tcPr>
          <w:p>
            <w:pPr>
              <w:pStyle w:val="TableContents"/>
              <w:spacing w:before="0" w:after="283"/>
              <w:rPr/>
            </w:pPr>
            <w:r>
              <w:rPr/>
              <w:t>(9)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3,083,685</w:t>
            </w:r>
          </w:p>
        </w:tc>
        <w:tc>
          <w:tcPr>
            <w:tcW w:w="77" w:type="dxa"/>
            <w:tcBorders/>
            <w:shd w:fill="auto" w:val="clear"/>
            <w:vAlign w:val="center"/>
          </w:tcPr>
          <w:p>
            <w:pPr>
              <w:pStyle w:val="TableContents"/>
              <w:spacing w:before="0" w:after="283"/>
              <w:rPr/>
            </w:pPr>
            <w:r>
              <w:rPr/>
              <w:t> </w:t>
            </w:r>
          </w:p>
        </w:tc>
      </w:tr>
      <w:tr>
        <w:trPr/>
        <w:tc>
          <w:tcPr>
            <w:tcW w:w="1419"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Michael Ellis</w:t>
            </w:r>
          </w:p>
        </w:tc>
        <w:tc>
          <w:tcPr>
            <w:tcW w:w="6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828" w:type="dxa"/>
            <w:tcBorders/>
            <w:shd w:fill="CCEEFF" w:val="clear"/>
            <w:vAlign w:val="center"/>
          </w:tcPr>
          <w:p>
            <w:pPr>
              <w:pStyle w:val="TableContents"/>
              <w:spacing w:before="0" w:after="283"/>
              <w:jc w:val="right"/>
              <w:rPr/>
            </w:pPr>
            <w:r>
              <w:rPr/>
              <w:t>151,729</w:t>
            </w:r>
          </w:p>
        </w:tc>
        <w:tc>
          <w:tcPr>
            <w:tcW w:w="467" w:type="dxa"/>
            <w:tcBorders/>
            <w:shd w:fill="CCEEFF" w:val="clear"/>
            <w:vAlign w:val="center"/>
          </w:tcPr>
          <w:p>
            <w:pPr>
              <w:pStyle w:val="TableContents"/>
              <w:spacing w:before="0" w:after="283"/>
              <w:rPr/>
            </w:pPr>
            <w:r>
              <w:rPr/>
              <w:t>(12) </w:t>
            </w:r>
          </w:p>
        </w:tc>
        <w:tc>
          <w:tcPr>
            <w:tcW w:w="6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42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pPr>
            <w:r>
              <w:rPr/>
              <w:t>$</w:t>
            </w:r>
          </w:p>
        </w:tc>
        <w:tc>
          <w:tcPr>
            <w:tcW w:w="863" w:type="dxa"/>
            <w:tcBorders/>
            <w:shd w:fill="CCEEFF" w:val="clear"/>
            <w:vAlign w:val="center"/>
          </w:tcPr>
          <w:p>
            <w:pPr>
              <w:pStyle w:val="TableContents"/>
              <w:spacing w:before="0" w:after="283"/>
              <w:jc w:val="right"/>
              <w:rPr/>
            </w:pPr>
            <w:r>
              <w:rPr/>
              <w:t>0.35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1" w:type="dxa"/>
            <w:tcBorders/>
            <w:shd w:fill="CCEEFF" w:val="clear"/>
            <w:vAlign w:val="center"/>
          </w:tcPr>
          <w:p>
            <w:pPr>
              <w:pStyle w:val="TableContents"/>
              <w:spacing w:before="0" w:after="283"/>
              <w:rPr/>
            </w:pPr>
            <w:r>
              <w:rPr/>
              <w:t> </w:t>
            </w:r>
          </w:p>
        </w:tc>
        <w:tc>
          <w:tcPr>
            <w:tcW w:w="1394" w:type="dxa"/>
            <w:tcBorders/>
            <w:shd w:fill="CCEEFF" w:val="clear"/>
            <w:vAlign w:val="center"/>
          </w:tcPr>
          <w:p>
            <w:pPr>
              <w:pStyle w:val="TableContents"/>
              <w:spacing w:before="0" w:after="283"/>
              <w:jc w:val="right"/>
              <w:rPr/>
            </w:pPr>
            <w:r>
              <w:rPr/>
              <w:t>4/29/25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sz w:val="4"/>
                <w:szCs w:val="4"/>
              </w:rPr>
            </w:pPr>
            <w:r>
              <w:rPr>
                <w:sz w:val="4"/>
                <w:szCs w:val="4"/>
              </w:rPr>
            </w:r>
          </w:p>
        </w:tc>
        <w:tc>
          <w:tcPr>
            <w:tcW w:w="1038" w:type="dxa"/>
            <w:tcBorders/>
            <w:shd w:fill="CCEEFF" w:val="clear"/>
            <w:vAlign w:val="center"/>
          </w:tcPr>
          <w:p>
            <w:pPr>
              <w:pStyle w:val="TableContents"/>
              <w:spacing w:before="0" w:after="283"/>
              <w:rPr>
                <w:sz w:val="4"/>
                <w:szCs w:val="4"/>
              </w:rPr>
            </w:pPr>
            <w:r>
              <w:rPr>
                <w:sz w:val="4"/>
                <w:szCs w:val="4"/>
              </w:rPr>
            </w:r>
          </w:p>
        </w:tc>
        <w:tc>
          <w:tcPr>
            <w:tcW w:w="34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77" w:type="dxa"/>
            <w:tcBorders/>
            <w:shd w:fill="CCEEFF" w:val="clear"/>
            <w:vAlign w:val="center"/>
          </w:tcPr>
          <w:p>
            <w:pPr>
              <w:pStyle w:val="TableContents"/>
              <w:spacing w:before="0" w:after="283"/>
              <w:rPr>
                <w:sz w:val="4"/>
                <w:szCs w:val="4"/>
              </w:rPr>
            </w:pPr>
            <w:r>
              <w:rPr>
                <w:sz w:val="4"/>
                <w:szCs w:val="4"/>
              </w:rPr>
            </w:r>
          </w:p>
        </w:tc>
      </w:tr>
      <w:tr>
        <w:trPr/>
        <w:tc>
          <w:tcPr>
            <w:tcW w:w="1419"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828" w:type="dxa"/>
            <w:tcBorders/>
            <w:shd w:fill="CCEEFF" w:val="clear"/>
            <w:vAlign w:val="center"/>
          </w:tcPr>
          <w:p>
            <w:pPr>
              <w:pStyle w:val="TableContents"/>
              <w:spacing w:before="0" w:after="283"/>
              <w:jc w:val="right"/>
              <w:rPr/>
            </w:pPr>
            <w:r>
              <w:rPr/>
              <w:t>152,500</w:t>
            </w:r>
          </w:p>
        </w:tc>
        <w:tc>
          <w:tcPr>
            <w:tcW w:w="467" w:type="dxa"/>
            <w:tcBorders/>
            <w:shd w:fill="CCEEFF" w:val="clear"/>
            <w:vAlign w:val="center"/>
          </w:tcPr>
          <w:p>
            <w:pPr>
              <w:pStyle w:val="TableContents"/>
              <w:spacing w:before="0" w:after="283"/>
              <w:rPr/>
            </w:pPr>
            <w:r>
              <w:rPr/>
              <w:t>(13) </w:t>
            </w:r>
          </w:p>
        </w:tc>
        <w:tc>
          <w:tcPr>
            <w:tcW w:w="6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42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pPr>
            <w:r>
              <w:rPr/>
              <w:t>$</w:t>
            </w:r>
          </w:p>
        </w:tc>
        <w:tc>
          <w:tcPr>
            <w:tcW w:w="863" w:type="dxa"/>
            <w:tcBorders/>
            <w:shd w:fill="CCEEFF" w:val="clear"/>
            <w:vAlign w:val="center"/>
          </w:tcPr>
          <w:p>
            <w:pPr>
              <w:pStyle w:val="TableContents"/>
              <w:spacing w:before="0" w:after="283"/>
              <w:jc w:val="right"/>
              <w:rPr/>
            </w:pPr>
            <w:r>
              <w:rPr/>
              <w:t>3.28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1" w:type="dxa"/>
            <w:tcBorders/>
            <w:shd w:fill="CCEEFF" w:val="clear"/>
            <w:vAlign w:val="center"/>
          </w:tcPr>
          <w:p>
            <w:pPr>
              <w:pStyle w:val="TableContents"/>
              <w:spacing w:before="0" w:after="283"/>
              <w:rPr/>
            </w:pPr>
            <w:r>
              <w:rPr/>
              <w:t> </w:t>
            </w:r>
          </w:p>
        </w:tc>
        <w:tc>
          <w:tcPr>
            <w:tcW w:w="1394" w:type="dxa"/>
            <w:tcBorders/>
            <w:shd w:fill="CCEEFF" w:val="clear"/>
            <w:vAlign w:val="center"/>
          </w:tcPr>
          <w:p>
            <w:pPr>
              <w:pStyle w:val="TableContents"/>
              <w:spacing w:before="0" w:after="283"/>
              <w:jc w:val="right"/>
              <w:rPr/>
            </w:pPr>
            <w:r>
              <w:rPr/>
              <w:t>11/27/28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sz w:val="4"/>
                <w:szCs w:val="4"/>
              </w:rPr>
            </w:pPr>
            <w:r>
              <w:rPr>
                <w:sz w:val="4"/>
                <w:szCs w:val="4"/>
              </w:rPr>
            </w:r>
          </w:p>
        </w:tc>
        <w:tc>
          <w:tcPr>
            <w:tcW w:w="1038" w:type="dxa"/>
            <w:tcBorders/>
            <w:shd w:fill="CCEEFF" w:val="clear"/>
            <w:vAlign w:val="center"/>
          </w:tcPr>
          <w:p>
            <w:pPr>
              <w:pStyle w:val="TableContents"/>
              <w:spacing w:before="0" w:after="283"/>
              <w:rPr>
                <w:sz w:val="4"/>
                <w:szCs w:val="4"/>
              </w:rPr>
            </w:pPr>
            <w:r>
              <w:rPr>
                <w:sz w:val="4"/>
                <w:szCs w:val="4"/>
              </w:rPr>
            </w:r>
          </w:p>
        </w:tc>
        <w:tc>
          <w:tcPr>
            <w:tcW w:w="34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77" w:type="dxa"/>
            <w:tcBorders/>
            <w:shd w:fill="CCEEFF" w:val="clear"/>
            <w:vAlign w:val="center"/>
          </w:tcPr>
          <w:p>
            <w:pPr>
              <w:pStyle w:val="TableContents"/>
              <w:spacing w:before="0" w:after="283"/>
              <w:rPr>
                <w:sz w:val="4"/>
                <w:szCs w:val="4"/>
              </w:rPr>
            </w:pPr>
            <w:r>
              <w:rPr>
                <w:sz w:val="4"/>
                <w:szCs w:val="4"/>
              </w:rPr>
            </w:r>
          </w:p>
        </w:tc>
      </w:tr>
      <w:tr>
        <w:trPr/>
        <w:tc>
          <w:tcPr>
            <w:tcW w:w="1419"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828" w:type="dxa"/>
            <w:tcBorders/>
            <w:shd w:fill="CCEEFF" w:val="clear"/>
            <w:vAlign w:val="center"/>
          </w:tcPr>
          <w:p>
            <w:pPr>
              <w:pStyle w:val="TableContents"/>
              <w:spacing w:before="0" w:after="283"/>
              <w:jc w:val="right"/>
              <w:rPr/>
            </w:pPr>
            <w:r>
              <w:rPr/>
              <w:t>93,437</w:t>
            </w:r>
          </w:p>
        </w:tc>
        <w:tc>
          <w:tcPr>
            <w:tcW w:w="467" w:type="dxa"/>
            <w:tcBorders/>
            <w:shd w:fill="CCEEFF" w:val="clear"/>
            <w:vAlign w:val="center"/>
          </w:tcPr>
          <w:p>
            <w:pPr>
              <w:pStyle w:val="TableContents"/>
              <w:spacing w:before="0" w:after="283"/>
              <w:rPr/>
            </w:pPr>
            <w:r>
              <w:rPr/>
              <w:t>(11) </w:t>
            </w:r>
          </w:p>
        </w:tc>
        <w:tc>
          <w:tcPr>
            <w:tcW w:w="6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428" w:type="dxa"/>
            <w:tcBorders/>
            <w:shd w:fill="CCEEFF" w:val="clear"/>
            <w:vAlign w:val="center"/>
          </w:tcPr>
          <w:p>
            <w:pPr>
              <w:pStyle w:val="TableContents"/>
              <w:spacing w:before="0" w:after="283"/>
              <w:jc w:val="right"/>
              <w:rPr/>
            </w:pPr>
            <w:r>
              <w:rPr/>
              <w:t>101,563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pPr>
            <w:r>
              <w:rPr/>
              <w:t>$</w:t>
            </w:r>
          </w:p>
        </w:tc>
        <w:tc>
          <w:tcPr>
            <w:tcW w:w="863" w:type="dxa"/>
            <w:tcBorders/>
            <w:shd w:fill="CCEEFF" w:val="clear"/>
            <w:vAlign w:val="center"/>
          </w:tcPr>
          <w:p>
            <w:pPr>
              <w:pStyle w:val="TableContents"/>
              <w:spacing w:before="0" w:after="283"/>
              <w:jc w:val="right"/>
              <w:rPr/>
            </w:pPr>
            <w:r>
              <w:rPr/>
              <w:t>3.95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1" w:type="dxa"/>
            <w:tcBorders/>
            <w:shd w:fill="CCEEFF" w:val="clear"/>
            <w:vAlign w:val="center"/>
          </w:tcPr>
          <w:p>
            <w:pPr>
              <w:pStyle w:val="TableContents"/>
              <w:spacing w:before="0" w:after="283"/>
              <w:rPr/>
            </w:pPr>
            <w:r>
              <w:rPr/>
              <w:t> </w:t>
            </w:r>
          </w:p>
        </w:tc>
        <w:tc>
          <w:tcPr>
            <w:tcW w:w="1394" w:type="dxa"/>
            <w:tcBorders/>
            <w:shd w:fill="CCEEFF" w:val="clear"/>
            <w:vAlign w:val="center"/>
          </w:tcPr>
          <w:p>
            <w:pPr>
              <w:pStyle w:val="TableContents"/>
              <w:spacing w:before="0" w:after="283"/>
              <w:jc w:val="right"/>
              <w:rPr/>
            </w:pPr>
            <w:r>
              <w:rPr/>
              <w:t>1/20/31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sz w:val="4"/>
                <w:szCs w:val="4"/>
              </w:rPr>
            </w:pPr>
            <w:r>
              <w:rPr>
                <w:sz w:val="4"/>
                <w:szCs w:val="4"/>
              </w:rPr>
            </w:r>
          </w:p>
        </w:tc>
        <w:tc>
          <w:tcPr>
            <w:tcW w:w="1038" w:type="dxa"/>
            <w:tcBorders/>
            <w:shd w:fill="CCEEFF" w:val="clear"/>
            <w:vAlign w:val="center"/>
          </w:tcPr>
          <w:p>
            <w:pPr>
              <w:pStyle w:val="TableContents"/>
              <w:spacing w:before="0" w:after="283"/>
              <w:rPr>
                <w:sz w:val="4"/>
                <w:szCs w:val="4"/>
              </w:rPr>
            </w:pPr>
            <w:r>
              <w:rPr>
                <w:sz w:val="4"/>
                <w:szCs w:val="4"/>
              </w:rPr>
            </w:r>
          </w:p>
        </w:tc>
        <w:tc>
          <w:tcPr>
            <w:tcW w:w="34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77" w:type="dxa"/>
            <w:tcBorders/>
            <w:shd w:fill="CCEEFF" w:val="clear"/>
            <w:vAlign w:val="center"/>
          </w:tcPr>
          <w:p>
            <w:pPr>
              <w:pStyle w:val="TableContents"/>
              <w:spacing w:before="0" w:after="283"/>
              <w:rPr>
                <w:sz w:val="4"/>
                <w:szCs w:val="4"/>
              </w:rPr>
            </w:pPr>
            <w:r>
              <w:rPr>
                <w:sz w:val="4"/>
                <w:szCs w:val="4"/>
              </w:rPr>
            </w:r>
          </w:p>
        </w:tc>
      </w:tr>
      <w:tr>
        <w:trPr/>
        <w:tc>
          <w:tcPr>
            <w:tcW w:w="1419"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sz w:val="4"/>
                <w:szCs w:val="4"/>
              </w:rPr>
            </w:pPr>
            <w:r>
              <w:rPr>
                <w:sz w:val="4"/>
                <w:szCs w:val="4"/>
              </w:rPr>
            </w:r>
          </w:p>
        </w:tc>
        <w:tc>
          <w:tcPr>
            <w:tcW w:w="828" w:type="dxa"/>
            <w:tcBorders/>
            <w:shd w:fill="CCEEFF" w:val="clear"/>
            <w:vAlign w:val="center"/>
          </w:tcPr>
          <w:p>
            <w:pPr>
              <w:pStyle w:val="TableContents"/>
              <w:spacing w:before="0" w:after="283"/>
              <w:rPr>
                <w:sz w:val="4"/>
                <w:szCs w:val="4"/>
              </w:rPr>
            </w:pPr>
            <w:r>
              <w:rPr>
                <w:sz w:val="4"/>
                <w:szCs w:val="4"/>
              </w:rPr>
            </w:r>
          </w:p>
        </w:tc>
        <w:tc>
          <w:tcPr>
            <w:tcW w:w="46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sz w:val="4"/>
                <w:szCs w:val="4"/>
              </w:rPr>
            </w:pPr>
            <w:r>
              <w:rPr>
                <w:sz w:val="4"/>
                <w:szCs w:val="4"/>
              </w:rPr>
            </w:r>
          </w:p>
        </w:tc>
        <w:tc>
          <w:tcPr>
            <w:tcW w:w="1428"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sz w:val="4"/>
                <w:szCs w:val="4"/>
              </w:rPr>
            </w:pPr>
            <w:r>
              <w:rPr>
                <w:sz w:val="4"/>
                <w:szCs w:val="4"/>
              </w:rPr>
            </w:r>
          </w:p>
        </w:tc>
        <w:tc>
          <w:tcPr>
            <w:tcW w:w="8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261" w:type="dxa"/>
            <w:tcBorders/>
            <w:shd w:fill="CCEEFF" w:val="clear"/>
            <w:vAlign w:val="center"/>
          </w:tcPr>
          <w:p>
            <w:pPr>
              <w:pStyle w:val="TableContents"/>
              <w:spacing w:before="0" w:after="283"/>
              <w:rPr>
                <w:sz w:val="4"/>
                <w:szCs w:val="4"/>
              </w:rPr>
            </w:pPr>
            <w:r>
              <w:rPr>
                <w:sz w:val="4"/>
                <w:szCs w:val="4"/>
              </w:rPr>
            </w:r>
          </w:p>
        </w:tc>
        <w:tc>
          <w:tcPr>
            <w:tcW w:w="1394"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1038" w:type="dxa"/>
            <w:tcBorders/>
            <w:shd w:fill="CCEEFF" w:val="clear"/>
            <w:vAlign w:val="center"/>
          </w:tcPr>
          <w:p>
            <w:pPr>
              <w:pStyle w:val="TableContents"/>
              <w:spacing w:before="0" w:after="283"/>
              <w:jc w:val="right"/>
              <w:rPr/>
            </w:pPr>
            <w:r>
              <w:rPr/>
              <w:t>90,014</w:t>
            </w:r>
          </w:p>
        </w:tc>
        <w:tc>
          <w:tcPr>
            <w:tcW w:w="347" w:type="dxa"/>
            <w:tcBorders/>
            <w:shd w:fill="CCEEFF" w:val="clear"/>
            <w:vAlign w:val="center"/>
          </w:tcPr>
          <w:p>
            <w:pPr>
              <w:pStyle w:val="TableContents"/>
              <w:spacing w:before="0" w:after="283"/>
              <w:rPr/>
            </w:pPr>
            <w:r>
              <w:rPr/>
              <w:t>(9)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2,202,643</w:t>
            </w:r>
          </w:p>
        </w:tc>
        <w:tc>
          <w:tcPr>
            <w:tcW w:w="77" w:type="dxa"/>
            <w:tcBorders/>
            <w:shd w:fill="CCEEFF" w:val="clear"/>
            <w:vAlign w:val="center"/>
          </w:tcPr>
          <w:p>
            <w:pPr>
              <w:pStyle w:val="TableContents"/>
              <w:spacing w:before="0" w:after="283"/>
              <w:rPr/>
            </w:pPr>
            <w:r>
              <w:rPr/>
              <w:t> </w:t>
            </w:r>
          </w:p>
        </w:tc>
      </w:tr>
      <w:tr>
        <w:trPr/>
        <w:tc>
          <w:tcPr>
            <w:tcW w:w="1419"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Sharon Butler</w:t>
            </w:r>
          </w:p>
        </w:tc>
        <w:tc>
          <w:tcPr>
            <w:tcW w:w="6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828" w:type="dxa"/>
            <w:tcBorders/>
            <w:shd w:fill="auto" w:val="clear"/>
            <w:vAlign w:val="center"/>
          </w:tcPr>
          <w:p>
            <w:pPr>
              <w:pStyle w:val="TableContents"/>
              <w:spacing w:before="0" w:after="283"/>
              <w:jc w:val="right"/>
              <w:rPr/>
            </w:pPr>
            <w:r>
              <w:rPr/>
              <w:t>90,000</w:t>
            </w:r>
          </w:p>
        </w:tc>
        <w:tc>
          <w:tcPr>
            <w:tcW w:w="467" w:type="dxa"/>
            <w:tcBorders/>
            <w:shd w:fill="auto" w:val="clear"/>
            <w:vAlign w:val="center"/>
          </w:tcPr>
          <w:p>
            <w:pPr>
              <w:pStyle w:val="TableContents"/>
              <w:spacing w:before="0" w:after="283"/>
              <w:rPr/>
            </w:pPr>
            <w:r>
              <w:rPr/>
              <w:t>(13) </w:t>
            </w:r>
          </w:p>
        </w:tc>
        <w:tc>
          <w:tcPr>
            <w:tcW w:w="6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428"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w:t>
            </w:r>
          </w:p>
        </w:tc>
        <w:tc>
          <w:tcPr>
            <w:tcW w:w="863" w:type="dxa"/>
            <w:tcBorders/>
            <w:shd w:fill="auto" w:val="clear"/>
            <w:vAlign w:val="center"/>
          </w:tcPr>
          <w:p>
            <w:pPr>
              <w:pStyle w:val="TableContents"/>
              <w:spacing w:before="0" w:after="283"/>
              <w:jc w:val="right"/>
              <w:rPr/>
            </w:pPr>
            <w:r>
              <w:rPr/>
              <w:t>3.2766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1" w:type="dxa"/>
            <w:tcBorders/>
            <w:shd w:fill="auto" w:val="clear"/>
            <w:vAlign w:val="center"/>
          </w:tcPr>
          <w:p>
            <w:pPr>
              <w:pStyle w:val="TableContents"/>
              <w:spacing w:before="0" w:after="283"/>
              <w:rPr/>
            </w:pPr>
            <w:r>
              <w:rPr/>
              <w:t> </w:t>
            </w:r>
          </w:p>
        </w:tc>
        <w:tc>
          <w:tcPr>
            <w:tcW w:w="1394" w:type="dxa"/>
            <w:tcBorders/>
            <w:shd w:fill="auto" w:val="clear"/>
            <w:vAlign w:val="center"/>
          </w:tcPr>
          <w:p>
            <w:pPr>
              <w:pStyle w:val="TableContents"/>
              <w:spacing w:before="0" w:after="283"/>
              <w:jc w:val="right"/>
              <w:rPr/>
            </w:pPr>
            <w:r>
              <w:rPr/>
              <w:t>11/27/28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141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828" w:type="dxa"/>
            <w:tcBorders/>
            <w:shd w:fill="auto" w:val="clear"/>
            <w:vAlign w:val="center"/>
          </w:tcPr>
          <w:p>
            <w:pPr>
              <w:pStyle w:val="TableContents"/>
              <w:spacing w:before="0" w:after="283"/>
              <w:jc w:val="right"/>
              <w:rPr/>
            </w:pPr>
            <w:r>
              <w:rPr/>
              <w:t>71,875</w:t>
            </w:r>
          </w:p>
        </w:tc>
        <w:tc>
          <w:tcPr>
            <w:tcW w:w="467" w:type="dxa"/>
            <w:tcBorders/>
            <w:shd w:fill="auto" w:val="clear"/>
            <w:vAlign w:val="center"/>
          </w:tcPr>
          <w:p>
            <w:pPr>
              <w:pStyle w:val="TableContents"/>
              <w:spacing w:before="0" w:after="283"/>
              <w:rPr/>
            </w:pPr>
            <w:r>
              <w:rPr/>
              <w:t>(11) </w:t>
            </w:r>
          </w:p>
        </w:tc>
        <w:tc>
          <w:tcPr>
            <w:tcW w:w="6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428" w:type="dxa"/>
            <w:tcBorders/>
            <w:shd w:fill="auto" w:val="clear"/>
            <w:vAlign w:val="center"/>
          </w:tcPr>
          <w:p>
            <w:pPr>
              <w:pStyle w:val="TableContents"/>
              <w:spacing w:before="0" w:after="283"/>
              <w:jc w:val="right"/>
              <w:rPr/>
            </w:pPr>
            <w:r>
              <w:rPr/>
              <w:t>78,125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w:t>
            </w:r>
          </w:p>
        </w:tc>
        <w:tc>
          <w:tcPr>
            <w:tcW w:w="863" w:type="dxa"/>
            <w:tcBorders/>
            <w:shd w:fill="auto" w:val="clear"/>
            <w:vAlign w:val="center"/>
          </w:tcPr>
          <w:p>
            <w:pPr>
              <w:pStyle w:val="TableContents"/>
              <w:spacing w:before="0" w:after="283"/>
              <w:jc w:val="right"/>
              <w:rPr/>
            </w:pPr>
            <w:r>
              <w:rPr/>
              <w:t>3.9470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1" w:type="dxa"/>
            <w:tcBorders/>
            <w:shd w:fill="auto" w:val="clear"/>
            <w:vAlign w:val="center"/>
          </w:tcPr>
          <w:p>
            <w:pPr>
              <w:pStyle w:val="TableContents"/>
              <w:spacing w:before="0" w:after="283"/>
              <w:rPr/>
            </w:pPr>
            <w:r>
              <w:rPr/>
              <w:t> </w:t>
            </w:r>
          </w:p>
        </w:tc>
        <w:tc>
          <w:tcPr>
            <w:tcW w:w="1394" w:type="dxa"/>
            <w:tcBorders/>
            <w:shd w:fill="auto" w:val="clear"/>
            <w:vAlign w:val="center"/>
          </w:tcPr>
          <w:p>
            <w:pPr>
              <w:pStyle w:val="TableContents"/>
              <w:spacing w:before="0" w:after="283"/>
              <w:jc w:val="right"/>
              <w:rPr/>
            </w:pPr>
            <w:r>
              <w:rPr/>
              <w:t>1/20/31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141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sz w:val="4"/>
                <w:szCs w:val="4"/>
              </w:rPr>
            </w:pPr>
            <w:r>
              <w:rPr>
                <w:sz w:val="4"/>
                <w:szCs w:val="4"/>
              </w:rPr>
            </w:r>
          </w:p>
        </w:tc>
        <w:tc>
          <w:tcPr>
            <w:tcW w:w="142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1" w:type="dxa"/>
            <w:tcBorders/>
            <w:shd w:fill="auto" w:val="clear"/>
            <w:vAlign w:val="center"/>
          </w:tcPr>
          <w:p>
            <w:pPr>
              <w:pStyle w:val="TableContents"/>
              <w:spacing w:before="0" w:after="283"/>
              <w:rPr>
                <w:sz w:val="4"/>
                <w:szCs w:val="4"/>
              </w:rPr>
            </w:pPr>
            <w:r>
              <w:rPr>
                <w:sz w:val="4"/>
                <w:szCs w:val="4"/>
              </w:rPr>
            </w:r>
          </w:p>
        </w:tc>
        <w:tc>
          <w:tcPr>
            <w:tcW w:w="13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1038" w:type="dxa"/>
            <w:tcBorders/>
            <w:shd w:fill="auto" w:val="clear"/>
            <w:vAlign w:val="center"/>
          </w:tcPr>
          <w:p>
            <w:pPr>
              <w:pStyle w:val="TableContents"/>
              <w:spacing w:before="0" w:after="283"/>
              <w:jc w:val="right"/>
              <w:rPr/>
            </w:pPr>
            <w:r>
              <w:rPr/>
              <w:t>72,011</w:t>
            </w:r>
          </w:p>
        </w:tc>
        <w:tc>
          <w:tcPr>
            <w:tcW w:w="347" w:type="dxa"/>
            <w:tcBorders/>
            <w:shd w:fill="auto" w:val="clear"/>
            <w:vAlign w:val="center"/>
          </w:tcPr>
          <w:p>
            <w:pPr>
              <w:pStyle w:val="TableContents"/>
              <w:spacing w:before="0" w:after="283"/>
              <w:rPr/>
            </w:pPr>
            <w:r>
              <w:rPr/>
              <w:t>(9)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1,762,109</w:t>
            </w:r>
          </w:p>
        </w:tc>
        <w:tc>
          <w:tcPr>
            <w:tcW w:w="77" w:type="dxa"/>
            <w:tcBorders/>
            <w:shd w:fill="auto" w:val="clear"/>
            <w:vAlign w:val="center"/>
          </w:tcPr>
          <w:p>
            <w:pPr>
              <w:pStyle w:val="TableContents"/>
              <w:spacing w:before="0" w:after="283"/>
              <w:rPr/>
            </w:pPr>
            <w:r>
              <w:rPr/>
              <w:t> </w:t>
            </w:r>
          </w:p>
        </w:tc>
      </w:tr>
      <w:tr>
        <w:trPr/>
        <w:tc>
          <w:tcPr>
            <w:tcW w:w="1419"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David King</w:t>
            </w:r>
          </w:p>
        </w:tc>
        <w:tc>
          <w:tcPr>
            <w:tcW w:w="6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828" w:type="dxa"/>
            <w:tcBorders/>
            <w:shd w:fill="CCEEFF" w:val="clear"/>
            <w:vAlign w:val="center"/>
          </w:tcPr>
          <w:p>
            <w:pPr>
              <w:pStyle w:val="TableContents"/>
              <w:spacing w:before="0" w:after="283"/>
              <w:jc w:val="right"/>
              <w:rPr/>
            </w:pPr>
            <w:r>
              <w:rPr/>
              <w:t>43,125</w:t>
            </w:r>
          </w:p>
        </w:tc>
        <w:tc>
          <w:tcPr>
            <w:tcW w:w="467" w:type="dxa"/>
            <w:tcBorders/>
            <w:shd w:fill="CCEEFF" w:val="clear"/>
            <w:vAlign w:val="center"/>
          </w:tcPr>
          <w:p>
            <w:pPr>
              <w:pStyle w:val="TableContents"/>
              <w:spacing w:before="0" w:after="283"/>
              <w:rPr/>
            </w:pPr>
            <w:r>
              <w:rPr/>
              <w:t>(11) </w:t>
            </w:r>
          </w:p>
        </w:tc>
        <w:tc>
          <w:tcPr>
            <w:tcW w:w="6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428" w:type="dxa"/>
            <w:tcBorders/>
            <w:shd w:fill="CCEEFF" w:val="clear"/>
            <w:vAlign w:val="center"/>
          </w:tcPr>
          <w:p>
            <w:pPr>
              <w:pStyle w:val="TableContents"/>
              <w:spacing w:before="0" w:after="283"/>
              <w:jc w:val="right"/>
              <w:rPr/>
            </w:pPr>
            <w:r>
              <w:rPr/>
              <w:t>46,875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pPr>
            <w:r>
              <w:rPr/>
              <w:t>$</w:t>
            </w:r>
          </w:p>
        </w:tc>
        <w:tc>
          <w:tcPr>
            <w:tcW w:w="863" w:type="dxa"/>
            <w:tcBorders/>
            <w:shd w:fill="CCEEFF" w:val="clear"/>
            <w:vAlign w:val="center"/>
          </w:tcPr>
          <w:p>
            <w:pPr>
              <w:pStyle w:val="TableContents"/>
              <w:spacing w:before="0" w:after="283"/>
              <w:jc w:val="right"/>
              <w:rPr/>
            </w:pPr>
            <w:r>
              <w:rPr/>
              <w:t>3.95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1" w:type="dxa"/>
            <w:tcBorders/>
            <w:shd w:fill="CCEEFF" w:val="clear"/>
            <w:vAlign w:val="center"/>
          </w:tcPr>
          <w:p>
            <w:pPr>
              <w:pStyle w:val="TableContents"/>
              <w:spacing w:before="0" w:after="283"/>
              <w:rPr/>
            </w:pPr>
            <w:r>
              <w:rPr/>
              <w:t> </w:t>
            </w:r>
          </w:p>
        </w:tc>
        <w:tc>
          <w:tcPr>
            <w:tcW w:w="1394" w:type="dxa"/>
            <w:tcBorders/>
            <w:shd w:fill="CCEEFF" w:val="clear"/>
            <w:vAlign w:val="center"/>
          </w:tcPr>
          <w:p>
            <w:pPr>
              <w:pStyle w:val="TableContents"/>
              <w:spacing w:before="0" w:after="283"/>
              <w:jc w:val="right"/>
              <w:rPr/>
            </w:pPr>
            <w:r>
              <w:rPr/>
              <w:t>1/20/31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sz w:val="4"/>
                <w:szCs w:val="4"/>
              </w:rPr>
            </w:pPr>
            <w:r>
              <w:rPr>
                <w:sz w:val="4"/>
                <w:szCs w:val="4"/>
              </w:rPr>
            </w:r>
          </w:p>
        </w:tc>
        <w:tc>
          <w:tcPr>
            <w:tcW w:w="1038" w:type="dxa"/>
            <w:tcBorders/>
            <w:shd w:fill="CCEEFF" w:val="clear"/>
            <w:vAlign w:val="center"/>
          </w:tcPr>
          <w:p>
            <w:pPr>
              <w:pStyle w:val="TableContents"/>
              <w:spacing w:before="0" w:after="283"/>
              <w:rPr>
                <w:sz w:val="4"/>
                <w:szCs w:val="4"/>
              </w:rPr>
            </w:pPr>
            <w:r>
              <w:rPr>
                <w:sz w:val="4"/>
                <w:szCs w:val="4"/>
              </w:rPr>
            </w:r>
          </w:p>
        </w:tc>
        <w:tc>
          <w:tcPr>
            <w:tcW w:w="34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77" w:type="dxa"/>
            <w:tcBorders/>
            <w:shd w:fill="CCEEFF" w:val="clear"/>
            <w:vAlign w:val="center"/>
          </w:tcPr>
          <w:p>
            <w:pPr>
              <w:pStyle w:val="TableContents"/>
              <w:spacing w:before="0" w:after="283"/>
              <w:rPr>
                <w:sz w:val="4"/>
                <w:szCs w:val="4"/>
              </w:rPr>
            </w:pPr>
            <w:r>
              <w:rPr>
                <w:sz w:val="4"/>
                <w:szCs w:val="4"/>
              </w:rPr>
            </w:r>
          </w:p>
        </w:tc>
      </w:tr>
      <w:tr>
        <w:trPr/>
        <w:tc>
          <w:tcPr>
            <w:tcW w:w="1419"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sz w:val="4"/>
                <w:szCs w:val="4"/>
              </w:rPr>
            </w:pPr>
            <w:r>
              <w:rPr>
                <w:sz w:val="4"/>
                <w:szCs w:val="4"/>
              </w:rPr>
            </w:r>
          </w:p>
        </w:tc>
        <w:tc>
          <w:tcPr>
            <w:tcW w:w="828" w:type="dxa"/>
            <w:tcBorders/>
            <w:shd w:fill="CCEEFF" w:val="clear"/>
            <w:vAlign w:val="center"/>
          </w:tcPr>
          <w:p>
            <w:pPr>
              <w:pStyle w:val="TableContents"/>
              <w:spacing w:before="0" w:after="283"/>
              <w:rPr>
                <w:sz w:val="4"/>
                <w:szCs w:val="4"/>
              </w:rPr>
            </w:pPr>
            <w:r>
              <w:rPr>
                <w:sz w:val="4"/>
                <w:szCs w:val="4"/>
              </w:rPr>
            </w:r>
          </w:p>
        </w:tc>
        <w:tc>
          <w:tcPr>
            <w:tcW w:w="46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sz w:val="4"/>
                <w:szCs w:val="4"/>
              </w:rPr>
            </w:pPr>
            <w:r>
              <w:rPr>
                <w:sz w:val="4"/>
                <w:szCs w:val="4"/>
              </w:rPr>
            </w:r>
          </w:p>
        </w:tc>
        <w:tc>
          <w:tcPr>
            <w:tcW w:w="1428"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sz w:val="4"/>
                <w:szCs w:val="4"/>
              </w:rPr>
            </w:pPr>
            <w:r>
              <w:rPr>
                <w:sz w:val="4"/>
                <w:szCs w:val="4"/>
              </w:rPr>
            </w:r>
          </w:p>
        </w:tc>
        <w:tc>
          <w:tcPr>
            <w:tcW w:w="8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261" w:type="dxa"/>
            <w:tcBorders/>
            <w:shd w:fill="CCEEFF" w:val="clear"/>
            <w:vAlign w:val="center"/>
          </w:tcPr>
          <w:p>
            <w:pPr>
              <w:pStyle w:val="TableContents"/>
              <w:spacing w:before="0" w:after="283"/>
              <w:rPr>
                <w:sz w:val="4"/>
                <w:szCs w:val="4"/>
              </w:rPr>
            </w:pPr>
            <w:r>
              <w:rPr>
                <w:sz w:val="4"/>
                <w:szCs w:val="4"/>
              </w:rPr>
            </w:r>
          </w:p>
        </w:tc>
        <w:tc>
          <w:tcPr>
            <w:tcW w:w="1394"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1038" w:type="dxa"/>
            <w:tcBorders/>
            <w:shd w:fill="CCEEFF" w:val="clear"/>
            <w:vAlign w:val="center"/>
          </w:tcPr>
          <w:p>
            <w:pPr>
              <w:pStyle w:val="TableContents"/>
              <w:spacing w:before="0" w:after="283"/>
              <w:jc w:val="right"/>
              <w:rPr/>
            </w:pPr>
            <w:r>
              <w:rPr/>
              <w:t>126,019</w:t>
            </w:r>
          </w:p>
        </w:tc>
        <w:tc>
          <w:tcPr>
            <w:tcW w:w="347" w:type="dxa"/>
            <w:tcBorders/>
            <w:shd w:fill="CCEEFF" w:val="clear"/>
            <w:vAlign w:val="center"/>
          </w:tcPr>
          <w:p>
            <w:pPr>
              <w:pStyle w:val="TableContents"/>
              <w:spacing w:before="0" w:after="283"/>
              <w:rPr/>
            </w:pPr>
            <w:r>
              <w:rPr/>
              <w:t>(9)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3,083,685</w:t>
            </w:r>
          </w:p>
        </w:tc>
        <w:tc>
          <w:tcPr>
            <w:tcW w:w="77" w:type="dxa"/>
            <w:tcBorders/>
            <w:shd w:fill="CCEEFF" w:val="cle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1"/>
        <w:gridCol w:w="9964"/>
      </w:tblGrid>
      <w:tr>
        <w:trPr/>
        <w:tc>
          <w:tcPr>
            <w:tcW w:w="241" w:type="dxa"/>
            <w:tcBorders/>
            <w:shd w:fill="auto" w:val="clear"/>
            <w:vAlign w:val="center"/>
          </w:tcPr>
          <w:p>
            <w:pPr>
              <w:pStyle w:val="TableContents"/>
              <w:spacing w:before="0" w:after="283"/>
              <w:jc w:val="left"/>
              <w:rPr/>
            </w:pPr>
            <w:r>
              <w:rPr/>
              <w:t>(1)</w:t>
            </w:r>
          </w:p>
        </w:tc>
        <w:tc>
          <w:tcPr>
            <w:tcW w:w="9964"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Computed in accordance with SEC rules as the number of shares of common stock underlying unvested RSUs multiplied by the closing market price per share of our common stock on December 30, 2022, which was the last trading day of 2022, which was $24.47 per share. The actual value (if any) to be realized by the NEO depends on whether the RSUs vest and the future performance of our common stock. Each of the RSUs vest if we are acquired and the NEO is either terminated without cause or voluntarily resigns for good reason under certain circumstances following our change of control, as discussed in more detail below under Fiscal 2022 Potential Payments Upon Termination or Change in Control. </w:t>
            </w:r>
          </w:p>
        </w:tc>
      </w:tr>
    </w:tbl>
    <w:tbl>
      <w:tblPr>
        <w:tblW w:w="10205" w:type="dxa"/>
        <w:jc w:val="left"/>
        <w:tblInd w:w="0" w:type="dxa"/>
        <w:tblCellMar>
          <w:top w:w="0" w:type="dxa"/>
          <w:left w:w="0" w:type="dxa"/>
          <w:bottom w:w="0" w:type="dxa"/>
          <w:right w:w="0" w:type="dxa"/>
        </w:tblCellMar>
      </w:tblPr>
      <w:tblGrid>
        <w:gridCol w:w="280"/>
        <w:gridCol w:w="9925"/>
      </w:tblGrid>
      <w:tr>
        <w:trPr/>
        <w:tc>
          <w:tcPr>
            <w:tcW w:w="280" w:type="dxa"/>
            <w:tcBorders/>
            <w:shd w:fill="auto" w:val="clear"/>
            <w:vAlign w:val="center"/>
          </w:tcPr>
          <w:p>
            <w:pPr>
              <w:pStyle w:val="TableContents"/>
              <w:spacing w:before="0" w:after="283"/>
              <w:jc w:val="left"/>
              <w:rPr/>
            </w:pPr>
            <w:r>
              <w:rPr/>
              <w:t>(2)</w:t>
            </w:r>
          </w:p>
        </w:tc>
        <w:tc>
          <w:tcPr>
            <w:tcW w:w="99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shares originally subject to this option vest in substantially equal monthly installments over the next 48 months of continuous service to Flywire after December 13, 2013. </w:t>
            </w:r>
          </w:p>
        </w:tc>
      </w:tr>
    </w:tbl>
    <w:tbl>
      <w:tblPr>
        <w:tblW w:w="10205" w:type="dxa"/>
        <w:jc w:val="left"/>
        <w:tblInd w:w="0" w:type="dxa"/>
        <w:tblCellMar>
          <w:top w:w="0" w:type="dxa"/>
          <w:left w:w="0" w:type="dxa"/>
          <w:bottom w:w="0" w:type="dxa"/>
          <w:right w:w="0" w:type="dxa"/>
        </w:tblCellMar>
      </w:tblPr>
      <w:tblGrid>
        <w:gridCol w:w="282"/>
        <w:gridCol w:w="9923"/>
      </w:tblGrid>
      <w:tr>
        <w:trPr/>
        <w:tc>
          <w:tcPr>
            <w:tcW w:w="282" w:type="dxa"/>
            <w:tcBorders/>
            <w:shd w:fill="auto" w:val="clear"/>
            <w:vAlign w:val="center"/>
          </w:tcPr>
          <w:p>
            <w:pPr>
              <w:pStyle w:val="TableContents"/>
              <w:spacing w:before="0" w:after="283"/>
              <w:jc w:val="left"/>
              <w:rPr/>
            </w:pPr>
            <w:r>
              <w:rPr/>
              <w:t>(3)</w:t>
            </w:r>
          </w:p>
        </w:tc>
        <w:tc>
          <w:tcPr>
            <w:tcW w:w="992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shares originally subject to this option vest in substantially equal monthly installments over the next 48 months of continuous service to Flywire after June 1, 2015. </w:t>
            </w:r>
          </w:p>
        </w:tc>
      </w:tr>
    </w:tbl>
    <w:tbl>
      <w:tblPr>
        <w:tblW w:w="10205" w:type="dxa"/>
        <w:jc w:val="left"/>
        <w:tblInd w:w="0" w:type="dxa"/>
        <w:tblCellMar>
          <w:top w:w="0" w:type="dxa"/>
          <w:left w:w="0" w:type="dxa"/>
          <w:bottom w:w="0" w:type="dxa"/>
          <w:right w:w="0" w:type="dxa"/>
        </w:tblCellMar>
      </w:tblPr>
      <w:tblGrid>
        <w:gridCol w:w="281"/>
        <w:gridCol w:w="9924"/>
      </w:tblGrid>
      <w:tr>
        <w:trPr/>
        <w:tc>
          <w:tcPr>
            <w:tcW w:w="281" w:type="dxa"/>
            <w:tcBorders/>
            <w:shd w:fill="auto" w:val="clear"/>
            <w:vAlign w:val="center"/>
          </w:tcPr>
          <w:p>
            <w:pPr>
              <w:pStyle w:val="TableContents"/>
              <w:spacing w:before="0" w:after="283"/>
              <w:jc w:val="left"/>
              <w:rPr/>
            </w:pPr>
            <w:r>
              <w:rPr/>
              <w:t>(4)</w:t>
            </w:r>
          </w:p>
        </w:tc>
        <w:tc>
          <w:tcPr>
            <w:tcW w:w="9924"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shares originally subject to this option vest in substantially equal monthly installments over the next 48 months of continuous service to Flywire after February 1, 2016. </w:t>
            </w:r>
          </w:p>
        </w:tc>
      </w:tr>
    </w:tbl>
    <w:tbl>
      <w:tblPr>
        <w:tblW w:w="10205" w:type="dxa"/>
        <w:jc w:val="left"/>
        <w:tblInd w:w="0" w:type="dxa"/>
        <w:tblCellMar>
          <w:top w:w="0" w:type="dxa"/>
          <w:left w:w="0" w:type="dxa"/>
          <w:bottom w:w="0" w:type="dxa"/>
          <w:right w:w="0" w:type="dxa"/>
        </w:tblCellMar>
      </w:tblPr>
      <w:tblGrid>
        <w:gridCol w:w="284"/>
        <w:gridCol w:w="9921"/>
      </w:tblGrid>
      <w:tr>
        <w:trPr/>
        <w:tc>
          <w:tcPr>
            <w:tcW w:w="284" w:type="dxa"/>
            <w:tcBorders/>
            <w:shd w:fill="auto" w:val="clear"/>
            <w:vAlign w:val="center"/>
          </w:tcPr>
          <w:p>
            <w:pPr>
              <w:pStyle w:val="TableContents"/>
              <w:spacing w:before="0" w:after="283"/>
              <w:jc w:val="left"/>
              <w:rPr/>
            </w:pPr>
            <w:r>
              <w:rPr/>
              <w:t>(5)</w:t>
            </w:r>
          </w:p>
        </w:tc>
        <w:tc>
          <w:tcPr>
            <w:tcW w:w="992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shares subject to this option vest in substantially equal monthly installments over the next 48 months of continuous service to Flywire after February 29, 2019.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284"/>
        <w:gridCol w:w="9921"/>
      </w:tblGrid>
      <w:tr>
        <w:trPr/>
        <w:tc>
          <w:tcPr>
            <w:tcW w:w="284" w:type="dxa"/>
            <w:tcBorders/>
            <w:shd w:fill="auto" w:val="clear"/>
            <w:vAlign w:val="center"/>
          </w:tcPr>
          <w:p>
            <w:pPr>
              <w:pStyle w:val="TableContents"/>
              <w:spacing w:before="0" w:after="283"/>
              <w:jc w:val="left"/>
              <w:rPr/>
            </w:pPr>
            <w:r>
              <w:rPr/>
              <w:t>(6)</w:t>
            </w:r>
          </w:p>
        </w:tc>
        <w:tc>
          <w:tcPr>
            <w:tcW w:w="992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shares subject to this option vest in substantially equal monthly installments over the next 48 months of continuous service to Flywire after September 1, 2019. </w:t>
            </w:r>
          </w:p>
        </w:tc>
      </w:tr>
    </w:tbl>
    <w:tbl>
      <w:tblPr>
        <w:tblW w:w="10205" w:type="dxa"/>
        <w:jc w:val="left"/>
        <w:tblInd w:w="0" w:type="dxa"/>
        <w:tblCellMar>
          <w:top w:w="0" w:type="dxa"/>
          <w:left w:w="0" w:type="dxa"/>
          <w:bottom w:w="0" w:type="dxa"/>
          <w:right w:w="0" w:type="dxa"/>
        </w:tblCellMar>
      </w:tblPr>
      <w:tblGrid>
        <w:gridCol w:w="284"/>
        <w:gridCol w:w="9921"/>
      </w:tblGrid>
      <w:tr>
        <w:trPr/>
        <w:tc>
          <w:tcPr>
            <w:tcW w:w="284" w:type="dxa"/>
            <w:tcBorders/>
            <w:shd w:fill="auto" w:val="clear"/>
            <w:vAlign w:val="center"/>
          </w:tcPr>
          <w:p>
            <w:pPr>
              <w:pStyle w:val="TableContents"/>
              <w:spacing w:before="0" w:after="283"/>
              <w:jc w:val="left"/>
              <w:rPr/>
            </w:pPr>
            <w:r>
              <w:rPr/>
              <w:t>(7)</w:t>
            </w:r>
          </w:p>
        </w:tc>
        <w:tc>
          <w:tcPr>
            <w:tcW w:w="992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shares subject to this option vest in substantially equal monthly installments over the next 48 months of continuous service to Flywire after January 21, 2021. </w:t>
            </w:r>
          </w:p>
        </w:tc>
      </w:tr>
    </w:tbl>
    <w:tbl>
      <w:tblPr>
        <w:tblW w:w="10205" w:type="dxa"/>
        <w:jc w:val="left"/>
        <w:tblInd w:w="0" w:type="dxa"/>
        <w:tblCellMar>
          <w:top w:w="0" w:type="dxa"/>
          <w:left w:w="0" w:type="dxa"/>
          <w:bottom w:w="0" w:type="dxa"/>
          <w:right w:w="0" w:type="dxa"/>
        </w:tblCellMar>
      </w:tblPr>
      <w:tblGrid>
        <w:gridCol w:w="284"/>
        <w:gridCol w:w="9921"/>
      </w:tblGrid>
      <w:tr>
        <w:trPr/>
        <w:tc>
          <w:tcPr>
            <w:tcW w:w="284" w:type="dxa"/>
            <w:tcBorders/>
            <w:shd w:fill="auto" w:val="clear"/>
            <w:vAlign w:val="center"/>
          </w:tcPr>
          <w:p>
            <w:pPr>
              <w:pStyle w:val="TableContents"/>
              <w:spacing w:before="0" w:after="283"/>
              <w:jc w:val="left"/>
              <w:rPr/>
            </w:pPr>
            <w:r>
              <w:rPr/>
              <w:t>(8)</w:t>
            </w:r>
          </w:p>
        </w:tc>
        <w:tc>
          <w:tcPr>
            <w:tcW w:w="992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shares subject to this option vest in substantially equal monthly installments over the next 60 months of continuous service to Flywire after January 21, 2021. </w:t>
            </w:r>
          </w:p>
        </w:tc>
      </w:tr>
    </w:tbl>
    <w:tbl>
      <w:tblPr>
        <w:tblW w:w="10205" w:type="dxa"/>
        <w:jc w:val="left"/>
        <w:tblInd w:w="0" w:type="dxa"/>
        <w:tblCellMar>
          <w:top w:w="0" w:type="dxa"/>
          <w:left w:w="0" w:type="dxa"/>
          <w:bottom w:w="0" w:type="dxa"/>
          <w:right w:w="0" w:type="dxa"/>
        </w:tblCellMar>
      </w:tblPr>
      <w:tblGrid>
        <w:gridCol w:w="276"/>
        <w:gridCol w:w="9929"/>
      </w:tblGrid>
      <w:tr>
        <w:trPr/>
        <w:tc>
          <w:tcPr>
            <w:tcW w:w="276" w:type="dxa"/>
            <w:tcBorders/>
            <w:shd w:fill="auto" w:val="clear"/>
            <w:vAlign w:val="center"/>
          </w:tcPr>
          <w:p>
            <w:pPr>
              <w:pStyle w:val="TableContents"/>
              <w:spacing w:before="0" w:after="283"/>
              <w:jc w:val="left"/>
              <w:rPr/>
            </w:pPr>
            <w:r>
              <w:rPr/>
              <w:t>(9)</w:t>
            </w:r>
          </w:p>
        </w:tc>
        <w:tc>
          <w:tcPr>
            <w:tcW w:w="9929"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Time-based restricted stock units vest 25% on March 4, 2023 and the remaining 75% in substantially equal quarterly installments over the next 36 months of continuous service thereafter. </w:t>
            </w:r>
          </w:p>
        </w:tc>
      </w:tr>
    </w:tbl>
    <w:tbl>
      <w:tblPr>
        <w:tblW w:w="10205" w:type="dxa"/>
        <w:jc w:val="left"/>
        <w:tblInd w:w="0" w:type="dxa"/>
        <w:tblCellMar>
          <w:top w:w="0" w:type="dxa"/>
          <w:left w:w="0" w:type="dxa"/>
          <w:bottom w:w="0" w:type="dxa"/>
          <w:right w:w="0" w:type="dxa"/>
        </w:tblCellMar>
      </w:tblPr>
      <w:tblGrid>
        <w:gridCol w:w="395"/>
        <w:gridCol w:w="9810"/>
      </w:tblGrid>
      <w:tr>
        <w:trPr/>
        <w:tc>
          <w:tcPr>
            <w:tcW w:w="395" w:type="dxa"/>
            <w:tcBorders/>
            <w:shd w:fill="auto" w:val="clear"/>
            <w:vAlign w:val="center"/>
          </w:tcPr>
          <w:p>
            <w:pPr>
              <w:pStyle w:val="TableContents"/>
              <w:spacing w:before="0" w:after="283"/>
              <w:jc w:val="left"/>
              <w:rPr/>
            </w:pPr>
            <w:r>
              <w:rPr/>
              <w:t>(10)</w:t>
            </w:r>
          </w:p>
        </w:tc>
        <w:tc>
          <w:tcPr>
            <w:tcW w:w="98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shares subject to this option vest 25% on November 1, 2020 and the remaining 75% in substantially equal monthly installments over the next 36 months of continuous service thereafter. </w:t>
            </w:r>
          </w:p>
        </w:tc>
      </w:tr>
    </w:tbl>
    <w:tbl>
      <w:tblPr>
        <w:tblW w:w="10205" w:type="dxa"/>
        <w:jc w:val="left"/>
        <w:tblInd w:w="0" w:type="dxa"/>
        <w:tblCellMar>
          <w:top w:w="0" w:type="dxa"/>
          <w:left w:w="0" w:type="dxa"/>
          <w:bottom w:w="0" w:type="dxa"/>
          <w:right w:w="0" w:type="dxa"/>
        </w:tblCellMar>
      </w:tblPr>
      <w:tblGrid>
        <w:gridCol w:w="395"/>
        <w:gridCol w:w="9810"/>
      </w:tblGrid>
      <w:tr>
        <w:trPr/>
        <w:tc>
          <w:tcPr>
            <w:tcW w:w="395" w:type="dxa"/>
            <w:tcBorders/>
            <w:shd w:fill="auto" w:val="clear"/>
            <w:vAlign w:val="center"/>
          </w:tcPr>
          <w:p>
            <w:pPr>
              <w:pStyle w:val="TableContents"/>
              <w:spacing w:before="0" w:after="283"/>
              <w:jc w:val="left"/>
              <w:rPr/>
            </w:pPr>
            <w:r>
              <w:rPr/>
              <w:t>(11)</w:t>
            </w:r>
          </w:p>
        </w:tc>
        <w:tc>
          <w:tcPr>
            <w:tcW w:w="98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shares subject to this option vest 25% on January 21, 2022 and the remaining 75% in substantially equal monthly installments over the next 36 months of continuous service thereafter. </w:t>
            </w:r>
          </w:p>
        </w:tc>
      </w:tr>
    </w:tbl>
    <w:tbl>
      <w:tblPr>
        <w:tblW w:w="10205" w:type="dxa"/>
        <w:jc w:val="left"/>
        <w:tblInd w:w="0" w:type="dxa"/>
        <w:tblCellMar>
          <w:top w:w="0" w:type="dxa"/>
          <w:left w:w="0" w:type="dxa"/>
          <w:bottom w:w="0" w:type="dxa"/>
          <w:right w:w="0" w:type="dxa"/>
        </w:tblCellMar>
      </w:tblPr>
      <w:tblGrid>
        <w:gridCol w:w="396"/>
        <w:gridCol w:w="9809"/>
      </w:tblGrid>
      <w:tr>
        <w:trPr/>
        <w:tc>
          <w:tcPr>
            <w:tcW w:w="396" w:type="dxa"/>
            <w:tcBorders/>
            <w:shd w:fill="auto" w:val="clear"/>
            <w:vAlign w:val="center"/>
          </w:tcPr>
          <w:p>
            <w:pPr>
              <w:pStyle w:val="TableContents"/>
              <w:spacing w:before="0" w:after="283"/>
              <w:jc w:val="left"/>
              <w:rPr/>
            </w:pPr>
            <w:r>
              <w:rPr/>
              <w:t>(12)</w:t>
            </w:r>
          </w:p>
        </w:tc>
        <w:tc>
          <w:tcPr>
            <w:tcW w:w="9809"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shares subject to this option vest 25% on April 20, 2016 and the remaining 75% in substantially equal monthly installments over the next 36 months of continuous service thereafter. </w:t>
            </w:r>
          </w:p>
        </w:tc>
      </w:tr>
    </w:tbl>
    <w:tbl>
      <w:tblPr>
        <w:tblW w:w="10205" w:type="dxa"/>
        <w:jc w:val="left"/>
        <w:tblInd w:w="0" w:type="dxa"/>
        <w:tblCellMar>
          <w:top w:w="0" w:type="dxa"/>
          <w:left w:w="0" w:type="dxa"/>
          <w:bottom w:w="0" w:type="dxa"/>
          <w:right w:w="0" w:type="dxa"/>
        </w:tblCellMar>
      </w:tblPr>
      <w:tblGrid>
        <w:gridCol w:w="396"/>
        <w:gridCol w:w="9809"/>
      </w:tblGrid>
      <w:tr>
        <w:trPr/>
        <w:tc>
          <w:tcPr>
            <w:tcW w:w="396" w:type="dxa"/>
            <w:tcBorders/>
            <w:shd w:fill="auto" w:val="clear"/>
            <w:vAlign w:val="center"/>
          </w:tcPr>
          <w:p>
            <w:pPr>
              <w:pStyle w:val="TableContents"/>
              <w:spacing w:before="0" w:after="283"/>
              <w:jc w:val="left"/>
              <w:rPr/>
            </w:pPr>
            <w:r>
              <w:rPr/>
              <w:t>(13)</w:t>
            </w:r>
          </w:p>
        </w:tc>
        <w:tc>
          <w:tcPr>
            <w:tcW w:w="9809"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shares subject to this option vest 25% on October 3, 2019 and the remaining 75% in substantially equal monthly installments over the next 36 months of continuous service thereafter. </w:t>
            </w:r>
          </w:p>
        </w:tc>
      </w:tr>
    </w:tbl>
    <w:p>
      <w:pPr>
        <w:pStyle w:val="TextBody"/>
        <w:spacing w:before="360" w:after="0"/>
        <w:jc w:val="left"/>
        <w:rPr>
          <w:rFonts w:ascii="Times New Roman" w:hAnsi="Times New Roman"/>
          <w:b/>
          <w:sz w:val="20"/>
        </w:rPr>
      </w:pPr>
      <w:r>
        <w:rPr>
          <w:rFonts w:ascii="Times New Roman" w:hAnsi="Times New Roman"/>
          <w:b/>
          <w:sz w:val="20"/>
        </w:rPr>
        <w:t xml:space="preserve">Fiscal 2022 Option Exercises and Stock Vested Table </w:t>
      </w:r>
    </w:p>
    <w:p>
      <w:pPr>
        <w:pStyle w:val="TextBody"/>
        <w:spacing w:before="120" w:after="0"/>
        <w:jc w:val="left"/>
        <w:rPr>
          <w:rFonts w:ascii="Times New Roman" w:hAnsi="Times New Roman"/>
          <w:sz w:val="20"/>
        </w:rPr>
      </w:pPr>
      <w:r>
        <w:rPr>
          <w:rFonts w:ascii="Times New Roman" w:hAnsi="Times New Roman"/>
          <w:sz w:val="20"/>
        </w:rPr>
        <w:t xml:space="preserve">The following table shows the number of shares our NEOs acquired upon exercise of options and vesting of restricted stock and restricted stock units during Fiscal 2022. </w:t>
      </w:r>
    </w:p>
    <w:p>
      <w:pPr>
        <w:pStyle w:val="TextBody"/>
        <w:spacing w:before="0" w:after="0"/>
        <w:jc w:val="left"/>
        <w:rPr/>
      </w:pPr>
      <w:r>
        <w:rPr/>
        <w:t> </w:t>
      </w:r>
    </w:p>
    <w:tbl>
      <w:tblPr>
        <w:tblW w:w="9655" w:type="dxa"/>
        <w:jc w:val="left"/>
        <w:tblInd w:w="0" w:type="dxa"/>
        <w:tblCellMar>
          <w:top w:w="0" w:type="dxa"/>
          <w:left w:w="0" w:type="dxa"/>
          <w:bottom w:w="0" w:type="dxa"/>
          <w:right w:w="0" w:type="dxa"/>
        </w:tblCellMar>
      </w:tblPr>
      <w:tblGrid>
        <w:gridCol w:w="1430"/>
        <w:gridCol w:w="120"/>
        <w:gridCol w:w="131"/>
        <w:gridCol w:w="1749"/>
        <w:gridCol w:w="60"/>
        <w:gridCol w:w="120"/>
        <w:gridCol w:w="233"/>
        <w:gridCol w:w="1632"/>
        <w:gridCol w:w="60"/>
        <w:gridCol w:w="120"/>
        <w:gridCol w:w="152"/>
        <w:gridCol w:w="1728"/>
        <w:gridCol w:w="60"/>
        <w:gridCol w:w="120"/>
        <w:gridCol w:w="277"/>
        <w:gridCol w:w="1588"/>
        <w:gridCol w:w="75"/>
      </w:tblGrid>
      <w:tr>
        <w:trPr/>
        <w:tc>
          <w:tcPr>
            <w:tcW w:w="14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74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6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72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58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4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925"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Option Awards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925"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Stock Awards</w:t>
            </w:r>
          </w:p>
        </w:tc>
        <w:tc>
          <w:tcPr>
            <w:tcW w:w="75" w:type="dxa"/>
            <w:tcBorders/>
            <w:shd w:fill="auto" w:val="clear"/>
            <w:vAlign w:val="center"/>
          </w:tcPr>
          <w:p>
            <w:pPr>
              <w:pStyle w:val="TableContents"/>
              <w:spacing w:before="0" w:after="283"/>
              <w:rPr/>
            </w:pPr>
            <w:r>
              <w:rPr/>
              <w:t> </w:t>
            </w:r>
          </w:p>
        </w:tc>
      </w:tr>
      <w:tr>
        <w:trPr/>
        <w:tc>
          <w:tcPr>
            <w:tcW w:w="143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120" w:type="dxa"/>
            <w:tcBorders/>
            <w:shd w:fill="auto" w:val="clear"/>
            <w:vAlign w:val="center"/>
          </w:tcPr>
          <w:p>
            <w:pPr>
              <w:pStyle w:val="TableContents"/>
              <w:spacing w:before="0" w:after="283"/>
              <w:rPr/>
            </w:pPr>
            <w:r>
              <w:rPr/>
              <w:t>  </w:t>
            </w:r>
          </w:p>
        </w:tc>
        <w:tc>
          <w:tcPr>
            <w:tcW w:w="188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Number of Shares</w:t>
              <w:br/>
              <w:t>Acquired on</w:t>
              <w:br/>
              <w:t>Exercise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6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Value Realized on</w:t>
              <w:br/>
              <w:t>Exercise ($) (1)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8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Number of Shares</w:t>
              <w:br/>
              <w:t>Acquired on</w:t>
              <w:br/>
              <w:t>Vesting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6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Value Realized on</w:t>
              <w:br/>
              <w:t>Vesting ($) (1)</w:t>
            </w:r>
          </w:p>
        </w:tc>
        <w:tc>
          <w:tcPr>
            <w:tcW w:w="75" w:type="dxa"/>
            <w:tcBorders/>
            <w:shd w:fill="auto" w:val="clear"/>
            <w:vAlign w:val="center"/>
          </w:tcPr>
          <w:p>
            <w:pPr>
              <w:pStyle w:val="TableContents"/>
              <w:spacing w:before="0" w:after="283"/>
              <w:rPr/>
            </w:pPr>
            <w:r>
              <w:rPr/>
              <w:t> </w:t>
            </w:r>
          </w:p>
        </w:tc>
      </w:tr>
      <w:tr>
        <w:trPr/>
        <w:tc>
          <w:tcPr>
            <w:tcW w:w="14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Michael Massaro</w:t>
            </w:r>
          </w:p>
        </w:tc>
        <w:tc>
          <w:tcPr>
            <w:tcW w:w="12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1749" w:type="dxa"/>
            <w:tcBorders/>
            <w:shd w:fill="CCEEFF" w:val="clear"/>
            <w:vAlign w:val="center"/>
          </w:tcPr>
          <w:p>
            <w:pPr>
              <w:pStyle w:val="TableContents"/>
              <w:spacing w:before="0" w:after="283"/>
              <w:jc w:val="right"/>
              <w:rPr/>
            </w:pPr>
            <w:r>
              <w:rPr/>
              <w:t>272,505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33" w:type="dxa"/>
            <w:tcBorders/>
            <w:shd w:fill="CCEEFF" w:val="clear"/>
            <w:vAlign w:val="center"/>
          </w:tcPr>
          <w:p>
            <w:pPr>
              <w:pStyle w:val="TableContents"/>
              <w:spacing w:before="0" w:after="283"/>
              <w:rPr/>
            </w:pPr>
            <w:r>
              <w:rPr/>
              <w:t>$</w:t>
            </w:r>
          </w:p>
        </w:tc>
        <w:tc>
          <w:tcPr>
            <w:tcW w:w="1632" w:type="dxa"/>
            <w:tcBorders/>
            <w:shd w:fill="CCEEFF" w:val="clear"/>
            <w:vAlign w:val="center"/>
          </w:tcPr>
          <w:p>
            <w:pPr>
              <w:pStyle w:val="TableContents"/>
              <w:spacing w:before="0" w:after="283"/>
              <w:jc w:val="right"/>
              <w:rPr/>
            </w:pPr>
            <w:r>
              <w:rPr/>
              <w:t>5,143,161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rPr/>
            </w:pPr>
            <w:r>
              <w:rPr/>
              <w:t> </w:t>
            </w:r>
          </w:p>
        </w:tc>
        <w:tc>
          <w:tcPr>
            <w:tcW w:w="1728"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77" w:type="dxa"/>
            <w:tcBorders/>
            <w:shd w:fill="CCEEFF" w:val="clear"/>
            <w:vAlign w:val="center"/>
          </w:tcPr>
          <w:p>
            <w:pPr>
              <w:pStyle w:val="TableContents"/>
              <w:spacing w:before="0" w:after="283"/>
              <w:rPr/>
            </w:pPr>
            <w:r>
              <w:rPr/>
              <w:t> </w:t>
            </w:r>
          </w:p>
        </w:tc>
        <w:tc>
          <w:tcPr>
            <w:tcW w:w="1588" w:type="dxa"/>
            <w:tcBorders/>
            <w:shd w:fill="CCEEFF" w:val="clear"/>
            <w:vAlign w:val="center"/>
          </w:tcPr>
          <w:p>
            <w:pPr>
              <w:pStyle w:val="TableContents"/>
              <w:spacing w:before="0" w:after="283"/>
              <w:jc w:val="right"/>
              <w:rPr/>
            </w:pPr>
            <w:r>
              <w:rPr/>
              <w:t>0</w:t>
            </w:r>
          </w:p>
        </w:tc>
        <w:tc>
          <w:tcPr>
            <w:tcW w:w="75" w:type="dxa"/>
            <w:tcBorders/>
            <w:shd w:fill="CCEEFF" w:val="clear"/>
            <w:vAlign w:val="center"/>
          </w:tcPr>
          <w:p>
            <w:pPr>
              <w:pStyle w:val="TableContents"/>
              <w:spacing w:before="0" w:after="283"/>
              <w:rPr/>
            </w:pPr>
            <w:r>
              <w:rPr/>
              <w:t> </w:t>
            </w:r>
          </w:p>
        </w:tc>
      </w:tr>
      <w:tr>
        <w:trPr/>
        <w:tc>
          <w:tcPr>
            <w:tcW w:w="14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Robert Orgel</w:t>
            </w:r>
          </w:p>
        </w:tc>
        <w:tc>
          <w:tcPr>
            <w:tcW w:w="120"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1749" w:type="dxa"/>
            <w:tcBorders/>
            <w:shd w:fill="auto" w:val="clear"/>
            <w:vAlign w:val="center"/>
          </w:tcPr>
          <w:p>
            <w:pPr>
              <w:pStyle w:val="TableContents"/>
              <w:spacing w:before="0" w:after="283"/>
              <w:jc w:val="right"/>
              <w:rPr/>
            </w:pPr>
            <w:r>
              <w:rPr/>
              <w:t>140,276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w:t>
            </w:r>
          </w:p>
        </w:tc>
        <w:tc>
          <w:tcPr>
            <w:tcW w:w="1632" w:type="dxa"/>
            <w:tcBorders/>
            <w:shd w:fill="auto" w:val="clear"/>
            <w:vAlign w:val="center"/>
          </w:tcPr>
          <w:p>
            <w:pPr>
              <w:pStyle w:val="TableContents"/>
              <w:spacing w:before="0" w:after="283"/>
              <w:jc w:val="right"/>
              <w:rPr/>
            </w:pPr>
            <w:r>
              <w:rPr/>
              <w:t>3,274,689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rPr/>
            </w:pPr>
            <w:r>
              <w:rPr/>
              <w:t> </w:t>
            </w:r>
          </w:p>
        </w:tc>
        <w:tc>
          <w:tcPr>
            <w:tcW w:w="1728"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283"/>
              <w:rPr/>
            </w:pPr>
            <w:r>
              <w:rPr/>
              <w:t> </w:t>
            </w:r>
          </w:p>
        </w:tc>
        <w:tc>
          <w:tcPr>
            <w:tcW w:w="1588" w:type="dxa"/>
            <w:tcBorders/>
            <w:shd w:fill="auto" w:val="clear"/>
            <w:vAlign w:val="center"/>
          </w:tcPr>
          <w:p>
            <w:pPr>
              <w:pStyle w:val="TableContents"/>
              <w:spacing w:before="0" w:after="283"/>
              <w:jc w:val="right"/>
              <w:rPr/>
            </w:pPr>
            <w:r>
              <w:rPr/>
              <w:t>0</w:t>
            </w:r>
          </w:p>
        </w:tc>
        <w:tc>
          <w:tcPr>
            <w:tcW w:w="75" w:type="dxa"/>
            <w:tcBorders/>
            <w:shd w:fill="auto" w:val="clear"/>
            <w:vAlign w:val="center"/>
          </w:tcPr>
          <w:p>
            <w:pPr>
              <w:pStyle w:val="TableContents"/>
              <w:spacing w:before="0" w:after="283"/>
              <w:rPr/>
            </w:pPr>
            <w:r>
              <w:rPr/>
              <w:t> </w:t>
            </w:r>
          </w:p>
        </w:tc>
      </w:tr>
      <w:tr>
        <w:trPr/>
        <w:tc>
          <w:tcPr>
            <w:tcW w:w="14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Michael Ellis</w:t>
            </w:r>
          </w:p>
        </w:tc>
        <w:tc>
          <w:tcPr>
            <w:tcW w:w="12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1749" w:type="dxa"/>
            <w:tcBorders/>
            <w:shd w:fill="CCEEFF" w:val="clear"/>
            <w:vAlign w:val="center"/>
          </w:tcPr>
          <w:p>
            <w:pPr>
              <w:pStyle w:val="TableContents"/>
              <w:spacing w:before="0" w:after="283"/>
              <w:jc w:val="right"/>
              <w:rPr/>
            </w:pPr>
            <w:r>
              <w:rPr/>
              <w:t>45,000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33" w:type="dxa"/>
            <w:tcBorders/>
            <w:shd w:fill="CCEEFF" w:val="clear"/>
            <w:vAlign w:val="center"/>
          </w:tcPr>
          <w:p>
            <w:pPr>
              <w:pStyle w:val="TableContents"/>
              <w:spacing w:before="0" w:after="283"/>
              <w:rPr/>
            </w:pPr>
            <w:r>
              <w:rPr/>
              <w:t>$</w:t>
            </w:r>
          </w:p>
        </w:tc>
        <w:tc>
          <w:tcPr>
            <w:tcW w:w="1632" w:type="dxa"/>
            <w:tcBorders/>
            <w:shd w:fill="CCEEFF" w:val="clear"/>
            <w:vAlign w:val="center"/>
          </w:tcPr>
          <w:p>
            <w:pPr>
              <w:pStyle w:val="TableContents"/>
              <w:spacing w:before="0" w:after="283"/>
              <w:jc w:val="right"/>
              <w:rPr/>
            </w:pPr>
            <w:r>
              <w:rPr/>
              <w:t>1,542,302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rPr/>
            </w:pPr>
            <w:r>
              <w:rPr/>
              <w:t> </w:t>
            </w:r>
          </w:p>
        </w:tc>
        <w:tc>
          <w:tcPr>
            <w:tcW w:w="1728"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77" w:type="dxa"/>
            <w:tcBorders/>
            <w:shd w:fill="CCEEFF" w:val="clear"/>
            <w:vAlign w:val="center"/>
          </w:tcPr>
          <w:p>
            <w:pPr>
              <w:pStyle w:val="TableContents"/>
              <w:spacing w:before="0" w:after="283"/>
              <w:rPr/>
            </w:pPr>
            <w:r>
              <w:rPr/>
              <w:t> </w:t>
            </w:r>
          </w:p>
        </w:tc>
        <w:tc>
          <w:tcPr>
            <w:tcW w:w="1588" w:type="dxa"/>
            <w:tcBorders/>
            <w:shd w:fill="CCEEFF" w:val="clear"/>
            <w:vAlign w:val="center"/>
          </w:tcPr>
          <w:p>
            <w:pPr>
              <w:pStyle w:val="TableContents"/>
              <w:spacing w:before="0" w:after="283"/>
              <w:jc w:val="right"/>
              <w:rPr/>
            </w:pPr>
            <w:r>
              <w:rPr/>
              <w:t>0</w:t>
            </w:r>
          </w:p>
        </w:tc>
        <w:tc>
          <w:tcPr>
            <w:tcW w:w="75" w:type="dxa"/>
            <w:tcBorders/>
            <w:shd w:fill="CCEEFF" w:val="clear"/>
            <w:vAlign w:val="center"/>
          </w:tcPr>
          <w:p>
            <w:pPr>
              <w:pStyle w:val="TableContents"/>
              <w:spacing w:before="0" w:after="283"/>
              <w:rPr/>
            </w:pPr>
            <w:r>
              <w:rPr/>
              <w:t> </w:t>
            </w:r>
          </w:p>
        </w:tc>
      </w:tr>
      <w:tr>
        <w:trPr/>
        <w:tc>
          <w:tcPr>
            <w:tcW w:w="14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Sharon Butler</w:t>
            </w:r>
          </w:p>
        </w:tc>
        <w:tc>
          <w:tcPr>
            <w:tcW w:w="120"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1749"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1632"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rPr/>
            </w:pPr>
            <w:r>
              <w:rPr/>
              <w:t> </w:t>
            </w:r>
          </w:p>
        </w:tc>
        <w:tc>
          <w:tcPr>
            <w:tcW w:w="1728"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283"/>
              <w:rPr/>
            </w:pPr>
            <w:r>
              <w:rPr/>
              <w:t> </w:t>
            </w:r>
          </w:p>
        </w:tc>
        <w:tc>
          <w:tcPr>
            <w:tcW w:w="1588" w:type="dxa"/>
            <w:tcBorders/>
            <w:shd w:fill="auto" w:val="clear"/>
            <w:vAlign w:val="center"/>
          </w:tcPr>
          <w:p>
            <w:pPr>
              <w:pStyle w:val="TableContents"/>
              <w:spacing w:before="0" w:after="283"/>
              <w:jc w:val="right"/>
              <w:rPr/>
            </w:pPr>
            <w:r>
              <w:rPr/>
              <w:t>0</w:t>
            </w:r>
          </w:p>
        </w:tc>
        <w:tc>
          <w:tcPr>
            <w:tcW w:w="75" w:type="dxa"/>
            <w:tcBorders/>
            <w:shd w:fill="auto" w:val="clear"/>
            <w:vAlign w:val="center"/>
          </w:tcPr>
          <w:p>
            <w:pPr>
              <w:pStyle w:val="TableContents"/>
              <w:spacing w:before="0" w:after="283"/>
              <w:rPr/>
            </w:pPr>
            <w:r>
              <w:rPr/>
              <w:t> </w:t>
            </w:r>
          </w:p>
        </w:tc>
      </w:tr>
      <w:tr>
        <w:trPr/>
        <w:tc>
          <w:tcPr>
            <w:tcW w:w="14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David King</w:t>
            </w:r>
          </w:p>
        </w:tc>
        <w:tc>
          <w:tcPr>
            <w:tcW w:w="12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1749"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33" w:type="dxa"/>
            <w:tcBorders/>
            <w:shd w:fill="CCEEFF" w:val="clear"/>
            <w:vAlign w:val="center"/>
          </w:tcPr>
          <w:p>
            <w:pPr>
              <w:pStyle w:val="TableContents"/>
              <w:spacing w:before="0" w:after="283"/>
              <w:rPr/>
            </w:pPr>
            <w:r>
              <w:rPr/>
              <w:t> </w:t>
            </w:r>
          </w:p>
        </w:tc>
        <w:tc>
          <w:tcPr>
            <w:tcW w:w="1632"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rPr/>
            </w:pPr>
            <w:r>
              <w:rPr/>
              <w:t> </w:t>
            </w:r>
          </w:p>
        </w:tc>
        <w:tc>
          <w:tcPr>
            <w:tcW w:w="1728" w:type="dxa"/>
            <w:tcBorders/>
            <w:shd w:fill="CCEEFF" w:val="clear"/>
            <w:vAlign w:val="center"/>
          </w:tcPr>
          <w:p>
            <w:pPr>
              <w:pStyle w:val="TableContents"/>
              <w:spacing w:before="0" w:after="283"/>
              <w:jc w:val="right"/>
              <w:rPr/>
            </w:pPr>
            <w:r>
              <w:rPr/>
              <w:t>17,869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77" w:type="dxa"/>
            <w:tcBorders/>
            <w:shd w:fill="CCEEFF" w:val="clear"/>
            <w:vAlign w:val="center"/>
          </w:tcPr>
          <w:p>
            <w:pPr>
              <w:pStyle w:val="TableContents"/>
              <w:spacing w:before="0" w:after="283"/>
              <w:rPr/>
            </w:pPr>
            <w:r>
              <w:rPr/>
              <w:t>$</w:t>
            </w:r>
          </w:p>
        </w:tc>
        <w:tc>
          <w:tcPr>
            <w:tcW w:w="1588" w:type="dxa"/>
            <w:tcBorders/>
            <w:shd w:fill="CCEEFF" w:val="clear"/>
            <w:vAlign w:val="center"/>
          </w:tcPr>
          <w:p>
            <w:pPr>
              <w:pStyle w:val="TableContents"/>
              <w:spacing w:before="0" w:after="283"/>
              <w:jc w:val="right"/>
              <w:rPr/>
            </w:pPr>
            <w:r>
              <w:rPr/>
              <w:t>531,424</w:t>
            </w:r>
          </w:p>
        </w:tc>
        <w:tc>
          <w:tcPr>
            <w:tcW w:w="75" w:type="dxa"/>
            <w:tcBorders/>
            <w:shd w:fill="CCEEFF" w:val="cle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4"/>
        <w:gridCol w:w="9961"/>
      </w:tblGrid>
      <w:tr>
        <w:trPr/>
        <w:tc>
          <w:tcPr>
            <w:tcW w:w="244" w:type="dxa"/>
            <w:tcBorders/>
            <w:shd w:fill="auto" w:val="clear"/>
            <w:vAlign w:val="center"/>
          </w:tcPr>
          <w:p>
            <w:pPr>
              <w:pStyle w:val="TableContents"/>
              <w:spacing w:before="0" w:after="283"/>
              <w:jc w:val="left"/>
              <w:rPr/>
            </w:pPr>
            <w:r>
              <w:rPr/>
              <w:t>(1)</w:t>
            </w:r>
          </w:p>
        </w:tc>
        <w:tc>
          <w:tcPr>
            <w:tcW w:w="996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For option awards, value realized on exercise is based on the closing price of our common stock on the exercise date less the exercise price. For stock awards, value realized on vesting is based on the closing price of our common stock on the vesting date. In neither case do the amounts set forth above necessarily reflect proceeds actually received by the NEO. Our NEOs will only realize value on these awards when the underlying shares are sold, which value may differ from the value shown in the table above as it is dependent on the price at which such shares of common stock are actually sold. </w:t>
            </w:r>
          </w:p>
        </w:tc>
      </w:tr>
    </w:tbl>
    <w:p>
      <w:pPr>
        <w:pStyle w:val="TextBody"/>
        <w:spacing w:before="360" w:after="0"/>
        <w:jc w:val="left"/>
        <w:rPr>
          <w:rFonts w:ascii="Times New Roman" w:hAnsi="Times New Roman"/>
          <w:b/>
          <w:sz w:val="20"/>
        </w:rPr>
      </w:pPr>
      <w:r>
        <w:rPr>
          <w:rFonts w:ascii="Times New Roman" w:hAnsi="Times New Roman"/>
          <w:b/>
          <w:sz w:val="20"/>
        </w:rPr>
        <w:t xml:space="preserve">Pension Benefits </w:t>
      </w:r>
    </w:p>
    <w:p>
      <w:pPr>
        <w:pStyle w:val="TextBody"/>
        <w:spacing w:before="120" w:after="0"/>
        <w:jc w:val="left"/>
        <w:rPr>
          <w:rFonts w:ascii="Times New Roman" w:hAnsi="Times New Roman"/>
          <w:sz w:val="20"/>
        </w:rPr>
      </w:pPr>
      <w:r>
        <w:rPr>
          <w:rFonts w:ascii="Times New Roman" w:hAnsi="Times New Roman"/>
          <w:sz w:val="20"/>
        </w:rPr>
        <w:t xml:space="preserve">We do not maintain any defined benefit pension plans. </w:t>
      </w:r>
    </w:p>
    <w:p>
      <w:pPr>
        <w:pStyle w:val="TextBody"/>
        <w:spacing w:before="360" w:after="0"/>
        <w:jc w:val="left"/>
        <w:rPr>
          <w:rFonts w:ascii="Times New Roman" w:hAnsi="Times New Roman"/>
          <w:b/>
          <w:sz w:val="20"/>
        </w:rPr>
      </w:pPr>
      <w:r>
        <w:rPr>
          <w:rFonts w:ascii="Times New Roman" w:hAnsi="Times New Roman"/>
          <w:b/>
          <w:sz w:val="20"/>
        </w:rPr>
        <w:t xml:space="preserve">Nonqualified Deferred Compensation </w:t>
      </w:r>
    </w:p>
    <w:p>
      <w:pPr>
        <w:pStyle w:val="TextBody"/>
        <w:spacing w:before="120" w:after="0"/>
        <w:jc w:val="left"/>
        <w:rPr>
          <w:rFonts w:ascii="Times New Roman" w:hAnsi="Times New Roman"/>
          <w:sz w:val="20"/>
        </w:rPr>
      </w:pPr>
      <w:r>
        <w:rPr>
          <w:rFonts w:ascii="Times New Roman" w:hAnsi="Times New Roman"/>
          <w:sz w:val="20"/>
        </w:rPr>
        <w:t xml:space="preserve">We do not maintain any nonqualified deferred compensation plans. </w:t>
      </w:r>
    </w:p>
    <w:p>
      <w:pPr>
        <w:pStyle w:val="TextBody"/>
        <w:spacing w:before="360" w:after="0"/>
        <w:jc w:val="left"/>
        <w:rPr>
          <w:rFonts w:ascii="Times New Roman" w:hAnsi="Times New Roman"/>
          <w:b/>
          <w:sz w:val="20"/>
        </w:rPr>
      </w:pPr>
      <w:r>
        <w:rPr>
          <w:rFonts w:ascii="Times New Roman" w:hAnsi="Times New Roman"/>
          <w:b/>
          <w:sz w:val="20"/>
        </w:rPr>
        <w:t xml:space="preserve">Fiscal 2022 Potential Payments Upon Termination or Change in Control </w:t>
      </w:r>
    </w:p>
    <w:p>
      <w:pPr>
        <w:pStyle w:val="TextBody"/>
        <w:spacing w:before="120" w:after="0"/>
        <w:jc w:val="left"/>
        <w:rPr>
          <w:rFonts w:ascii="Times New Roman" w:hAnsi="Times New Roman"/>
          <w:sz w:val="20"/>
        </w:rPr>
      </w:pPr>
      <w:r>
        <w:rPr>
          <w:rFonts w:ascii="Times New Roman" w:hAnsi="Times New Roman"/>
          <w:sz w:val="20"/>
        </w:rPr>
        <w:t xml:space="preserve">The following table, footnotes and narrative set forth our payment and benefit obligations pursuant to the employment agreements with each of our NEOs if the NEO’s employment is terminated by us or our acquirer or successor without Cause (as defined below) or if such executive Resigns for Good Reason (as defined below) within or outside the three months prior to a change in control, upon a change in control, or within 12 months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following a change in control (such period being the Change in Control Window). The table below quantifies the potential payments and benefits that would have become due to our NEOs assuming that one of the triggering events above occurred as of December 31, 2022. The closing market price per share of our common stock on December 30, 2022 (the last trading day of Fiscal 2022), was $24.47 per share. For purposes of the table below: (i) the target annual bonus was used to estimate the accrued and unpaid bonus outside of a Change in Control Window and (ii) the value realized on the acceleration of options is based on the difference between the closing market price per share of our common stock on December 30, 2022 and the exercise price of the related stock option, multiplied by the number of shares for which the options were exercised. Because our executive compensation program is heavily weighted towards equity-based compensation, a significant percentage of the compensation to be received by our NEOs upon a termination of employment or Resignation for Good Reason (as defined below) under the circumstances described below relates to the settlement of outstanding equity awards. Please see the Outstanding Equity Awards at Fiscal 2022 Year-End above for further information regarding outstanding equity awards granted to the NEOs in Fiscal 2022 and in prior years. </w:t>
      </w:r>
    </w:p>
    <w:p>
      <w:pPr>
        <w:pStyle w:val="TextBody"/>
        <w:spacing w:before="0" w:after="0"/>
        <w:jc w:val="left"/>
        <w:rPr/>
      </w:pPr>
      <w:r>
        <w:rPr/>
        <w:t> </w:t>
      </w:r>
    </w:p>
    <w:tbl>
      <w:tblPr>
        <w:tblW w:w="9315" w:type="dxa"/>
        <w:jc w:val="left"/>
        <w:tblInd w:w="0" w:type="dxa"/>
        <w:tblCellMar>
          <w:top w:w="0" w:type="dxa"/>
          <w:left w:w="0" w:type="dxa"/>
          <w:bottom w:w="0" w:type="dxa"/>
          <w:right w:w="0" w:type="dxa"/>
        </w:tblCellMar>
      </w:tblPr>
      <w:tblGrid>
        <w:gridCol w:w="2855"/>
        <w:gridCol w:w="120"/>
        <w:gridCol w:w="339"/>
        <w:gridCol w:w="2666"/>
        <w:gridCol w:w="60"/>
        <w:gridCol w:w="120"/>
        <w:gridCol w:w="385"/>
        <w:gridCol w:w="2695"/>
        <w:gridCol w:w="75"/>
      </w:tblGrid>
      <w:tr>
        <w:trPr/>
        <w:tc>
          <w:tcPr>
            <w:tcW w:w="28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266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269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855" w:type="dxa"/>
            <w:tcBorders/>
            <w:shd w:fill="auto" w:val="clear"/>
            <w:vAlign w:val="center"/>
          </w:tcPr>
          <w:p>
            <w:pPr>
              <w:pStyle w:val="TableContents"/>
              <w:spacing w:before="0" w:after="283"/>
              <w:rPr>
                <w:b/>
              </w:rPr>
            </w:pPr>
            <w:r>
              <w:rPr>
                <w:b/>
              </w:rPr>
              <w:t>Name</w:t>
            </w:r>
          </w:p>
        </w:tc>
        <w:tc>
          <w:tcPr>
            <w:tcW w:w="120" w:type="dxa"/>
            <w:tcBorders/>
            <w:shd w:fill="auto" w:val="clear"/>
            <w:vAlign w:val="center"/>
          </w:tcPr>
          <w:p>
            <w:pPr>
              <w:pStyle w:val="TableContents"/>
              <w:spacing w:before="0" w:after="283"/>
              <w:rPr/>
            </w:pPr>
            <w:r>
              <w:rPr/>
              <w:t>  </w:t>
            </w:r>
          </w:p>
        </w:tc>
        <w:tc>
          <w:tcPr>
            <w:tcW w:w="3005" w:type="dxa"/>
            <w:gridSpan w:val="2"/>
            <w:tcBorders/>
            <w:shd w:fill="auto" w:val="clear"/>
            <w:vAlign w:val="center"/>
          </w:tcPr>
          <w:p>
            <w:pPr>
              <w:pStyle w:val="TableContents"/>
              <w:spacing w:before="0" w:after="283"/>
              <w:jc w:val="center"/>
              <w:rPr>
                <w:b/>
              </w:rPr>
            </w:pPr>
            <w:r>
              <w:rPr>
                <w:b/>
              </w:rPr>
              <w:t>Termination Without</w:t>
              <w:br/>
              <w:t>Cause or for Resignation for</w:t>
              <w:br/>
              <w:t>Good Reason Within Change</w:t>
              <w:br/>
              <w:t>in Control Window ($)(1)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80" w:type="dxa"/>
            <w:gridSpan w:val="2"/>
            <w:tcBorders/>
            <w:shd w:fill="auto" w:val="clear"/>
            <w:vAlign w:val="center"/>
          </w:tcPr>
          <w:p>
            <w:pPr>
              <w:pStyle w:val="TableContents"/>
              <w:spacing w:before="0" w:after="283"/>
              <w:jc w:val="center"/>
              <w:rPr>
                <w:b/>
              </w:rPr>
            </w:pPr>
            <w:r>
              <w:rPr>
                <w:b/>
              </w:rPr>
              <w:t>Termination Without</w:t>
              <w:br/>
              <w:t>Cause or Resignation for</w:t>
              <w:br/>
              <w:t>Good Reason Outside Change</w:t>
              <w:br/>
              <w:t>in Control Window ($)(2)</w:t>
            </w:r>
          </w:p>
        </w:tc>
        <w:tc>
          <w:tcPr>
            <w:tcW w:w="75" w:type="dxa"/>
            <w:tcBorders/>
            <w:shd w:fill="auto" w:val="clear"/>
            <w:vAlign w:val="center"/>
          </w:tcPr>
          <w:p>
            <w:pPr>
              <w:pStyle w:val="TableContents"/>
              <w:spacing w:before="0" w:after="283"/>
              <w:rPr/>
            </w:pPr>
            <w:r>
              <w:rPr/>
              <w:t> </w:t>
            </w:r>
          </w:p>
        </w:tc>
      </w:tr>
      <w:tr>
        <w:trPr/>
        <w:tc>
          <w:tcPr>
            <w:tcW w:w="28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Michael Massaro</w:t>
            </w:r>
          </w:p>
        </w:tc>
        <w:tc>
          <w:tcPr>
            <w:tcW w:w="120" w:type="dxa"/>
            <w:tcBorders/>
            <w:shd w:fill="CCEEFF" w:val="clear"/>
            <w:vAlign w:val="center"/>
          </w:tcPr>
          <w:p>
            <w:pPr>
              <w:pStyle w:val="TableContents"/>
              <w:spacing w:before="0" w:after="283"/>
              <w:rPr/>
            </w:pPr>
            <w:r>
              <w:rPr/>
              <w:t>  </w:t>
            </w:r>
          </w:p>
        </w:tc>
        <w:tc>
          <w:tcPr>
            <w:tcW w:w="339" w:type="dxa"/>
            <w:tcBorders/>
            <w:shd w:fill="CCEEFF" w:val="clear"/>
            <w:vAlign w:val="center"/>
          </w:tcPr>
          <w:p>
            <w:pPr>
              <w:pStyle w:val="TableContents"/>
              <w:spacing w:before="0" w:after="283"/>
              <w:rPr>
                <w:sz w:val="4"/>
                <w:szCs w:val="4"/>
              </w:rPr>
            </w:pPr>
            <w:r>
              <w:rPr>
                <w:sz w:val="4"/>
                <w:szCs w:val="4"/>
              </w:rPr>
            </w:r>
          </w:p>
        </w:tc>
        <w:tc>
          <w:tcPr>
            <w:tcW w:w="2666"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385" w:type="dxa"/>
            <w:tcBorders/>
            <w:shd w:fill="CCEEFF" w:val="clear"/>
            <w:vAlign w:val="center"/>
          </w:tcPr>
          <w:p>
            <w:pPr>
              <w:pStyle w:val="TableContents"/>
              <w:spacing w:before="0" w:after="283"/>
              <w:rPr>
                <w:sz w:val="4"/>
                <w:szCs w:val="4"/>
              </w:rPr>
            </w:pPr>
            <w:r>
              <w:rPr>
                <w:sz w:val="4"/>
                <w:szCs w:val="4"/>
              </w:rPr>
            </w:r>
          </w:p>
        </w:tc>
        <w:tc>
          <w:tcPr>
            <w:tcW w:w="2695"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2855" w:type="dxa"/>
            <w:tcBorders/>
            <w:shd w:fill="CCEEFF" w:val="clear"/>
            <w:vAlign w:val="center"/>
          </w:tcPr>
          <w:p>
            <w:pPr>
              <w:pStyle w:val="TableContents"/>
              <w:spacing w:before="0" w:after="0"/>
              <w:rPr>
                <w:rFonts w:ascii="Times New Roman" w:hAnsi="Times New Roman"/>
                <w:i/>
                <w:sz w:val="20"/>
              </w:rPr>
            </w:pPr>
            <w:r>
              <w:rPr>
                <w:rFonts w:ascii="Times New Roman" w:hAnsi="Times New Roman"/>
                <w:i/>
                <w:sz w:val="20"/>
              </w:rPr>
              <w:t>Cash Severance</w:t>
            </w:r>
          </w:p>
        </w:tc>
        <w:tc>
          <w:tcPr>
            <w:tcW w:w="120" w:type="dxa"/>
            <w:tcBorders/>
            <w:shd w:fill="CCEEFF" w:val="clear"/>
            <w:vAlign w:val="center"/>
          </w:tcPr>
          <w:p>
            <w:pPr>
              <w:pStyle w:val="TableContents"/>
              <w:spacing w:before="0" w:after="283"/>
              <w:rPr/>
            </w:pPr>
            <w:r>
              <w:rPr/>
              <w:t>  </w:t>
            </w:r>
          </w:p>
        </w:tc>
        <w:tc>
          <w:tcPr>
            <w:tcW w:w="339" w:type="dxa"/>
            <w:tcBorders/>
            <w:shd w:fill="CCEEFF" w:val="clear"/>
            <w:vAlign w:val="center"/>
          </w:tcPr>
          <w:p>
            <w:pPr>
              <w:pStyle w:val="TableContents"/>
              <w:spacing w:before="0" w:after="283"/>
              <w:rPr/>
            </w:pPr>
            <w:r>
              <w:rPr/>
              <w:t>$</w:t>
            </w:r>
          </w:p>
        </w:tc>
        <w:tc>
          <w:tcPr>
            <w:tcW w:w="2666" w:type="dxa"/>
            <w:tcBorders/>
            <w:shd w:fill="CCEEFF" w:val="clear"/>
            <w:vAlign w:val="center"/>
          </w:tcPr>
          <w:p>
            <w:pPr>
              <w:pStyle w:val="TableContents"/>
              <w:spacing w:before="0" w:after="283"/>
              <w:jc w:val="right"/>
              <w:rPr/>
            </w:pPr>
            <w:r>
              <w:rPr/>
              <w:t>1,065,000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85" w:type="dxa"/>
            <w:tcBorders/>
            <w:shd w:fill="CCEEFF" w:val="clear"/>
            <w:vAlign w:val="center"/>
          </w:tcPr>
          <w:p>
            <w:pPr>
              <w:pStyle w:val="TableContents"/>
              <w:spacing w:before="0" w:after="283"/>
              <w:rPr/>
            </w:pPr>
            <w:r>
              <w:rPr/>
              <w:t>$</w:t>
            </w:r>
          </w:p>
        </w:tc>
        <w:tc>
          <w:tcPr>
            <w:tcW w:w="2695" w:type="dxa"/>
            <w:tcBorders/>
            <w:shd w:fill="CCEEFF" w:val="clear"/>
            <w:vAlign w:val="center"/>
          </w:tcPr>
          <w:p>
            <w:pPr>
              <w:pStyle w:val="TableContents"/>
              <w:spacing w:before="0" w:after="283"/>
              <w:jc w:val="right"/>
              <w:rPr/>
            </w:pPr>
            <w:r>
              <w:rPr/>
              <w:t>710,000</w:t>
            </w:r>
          </w:p>
        </w:tc>
        <w:tc>
          <w:tcPr>
            <w:tcW w:w="75" w:type="dxa"/>
            <w:tcBorders/>
            <w:shd w:fill="CCEEFF" w:val="clear"/>
            <w:vAlign w:val="center"/>
          </w:tcPr>
          <w:p>
            <w:pPr>
              <w:pStyle w:val="TableContents"/>
              <w:spacing w:before="0" w:after="283"/>
              <w:rPr/>
            </w:pPr>
            <w:r>
              <w:rPr/>
              <w:t> </w:t>
            </w:r>
          </w:p>
        </w:tc>
      </w:tr>
      <w:tr>
        <w:trPr/>
        <w:tc>
          <w:tcPr>
            <w:tcW w:w="2855" w:type="dxa"/>
            <w:tcBorders/>
            <w:shd w:fill="CCEEFF" w:val="clear"/>
            <w:vAlign w:val="center"/>
          </w:tcPr>
          <w:p>
            <w:pPr>
              <w:pStyle w:val="TableContents"/>
              <w:spacing w:before="0" w:after="0"/>
              <w:rPr>
                <w:rFonts w:ascii="Times New Roman" w:hAnsi="Times New Roman"/>
                <w:i/>
                <w:sz w:val="20"/>
              </w:rPr>
            </w:pPr>
            <w:r>
              <w:rPr>
                <w:rFonts w:ascii="Times New Roman" w:hAnsi="Times New Roman"/>
                <w:i/>
                <w:sz w:val="20"/>
              </w:rPr>
              <w:t>Option Acceleration</w:t>
            </w:r>
          </w:p>
        </w:tc>
        <w:tc>
          <w:tcPr>
            <w:tcW w:w="120" w:type="dxa"/>
            <w:tcBorders/>
            <w:shd w:fill="CCEEFF" w:val="clear"/>
            <w:vAlign w:val="center"/>
          </w:tcPr>
          <w:p>
            <w:pPr>
              <w:pStyle w:val="TableContents"/>
              <w:spacing w:before="0" w:after="283"/>
              <w:rPr/>
            </w:pPr>
            <w:r>
              <w:rPr/>
              <w:t>  </w:t>
            </w:r>
          </w:p>
        </w:tc>
        <w:tc>
          <w:tcPr>
            <w:tcW w:w="339" w:type="dxa"/>
            <w:tcBorders/>
            <w:shd w:fill="CCEEFF" w:val="clear"/>
            <w:vAlign w:val="center"/>
          </w:tcPr>
          <w:p>
            <w:pPr>
              <w:pStyle w:val="TableContents"/>
              <w:spacing w:before="0" w:after="283"/>
              <w:rPr/>
            </w:pPr>
            <w:r>
              <w:rPr/>
              <w:t>$</w:t>
            </w:r>
          </w:p>
        </w:tc>
        <w:tc>
          <w:tcPr>
            <w:tcW w:w="2666" w:type="dxa"/>
            <w:tcBorders/>
            <w:shd w:fill="CCEEFF" w:val="clear"/>
            <w:vAlign w:val="center"/>
          </w:tcPr>
          <w:p>
            <w:pPr>
              <w:pStyle w:val="TableContents"/>
              <w:spacing w:before="0" w:after="283"/>
              <w:jc w:val="right"/>
              <w:rPr/>
            </w:pPr>
            <w:r>
              <w:rPr/>
              <w:t>8,960,309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85" w:type="dxa"/>
            <w:tcBorders/>
            <w:shd w:fill="CCEEFF" w:val="clear"/>
            <w:vAlign w:val="center"/>
          </w:tcPr>
          <w:p>
            <w:pPr>
              <w:pStyle w:val="TableContents"/>
              <w:spacing w:before="0" w:after="283"/>
              <w:rPr/>
            </w:pPr>
            <w:r>
              <w:rPr/>
              <w:t>$</w:t>
            </w:r>
          </w:p>
        </w:tc>
        <w:tc>
          <w:tcPr>
            <w:tcW w:w="2695" w:type="dxa"/>
            <w:tcBorders/>
            <w:shd w:fill="CCEEFF" w:val="clear"/>
            <w:vAlign w:val="center"/>
          </w:tcPr>
          <w:p>
            <w:pPr>
              <w:pStyle w:val="TableContents"/>
              <w:spacing w:before="0" w:after="283"/>
              <w:jc w:val="right"/>
              <w:rPr/>
            </w:pPr>
            <w:r>
              <w:rPr/>
              <w:t>4,728,059</w:t>
            </w:r>
          </w:p>
        </w:tc>
        <w:tc>
          <w:tcPr>
            <w:tcW w:w="75" w:type="dxa"/>
            <w:tcBorders/>
            <w:shd w:fill="CCEEFF" w:val="clear"/>
            <w:vAlign w:val="center"/>
          </w:tcPr>
          <w:p>
            <w:pPr>
              <w:pStyle w:val="TableContents"/>
              <w:spacing w:before="0" w:after="283"/>
              <w:rPr/>
            </w:pPr>
            <w:r>
              <w:rPr/>
              <w:t> </w:t>
            </w:r>
          </w:p>
        </w:tc>
      </w:tr>
      <w:tr>
        <w:trPr/>
        <w:tc>
          <w:tcPr>
            <w:tcW w:w="2855" w:type="dxa"/>
            <w:tcBorders/>
            <w:shd w:fill="CCEEFF" w:val="clear"/>
            <w:vAlign w:val="center"/>
          </w:tcPr>
          <w:p>
            <w:pPr>
              <w:pStyle w:val="TableContents"/>
              <w:spacing w:before="0" w:after="0"/>
              <w:rPr>
                <w:rFonts w:ascii="Times New Roman" w:hAnsi="Times New Roman"/>
                <w:i/>
                <w:sz w:val="20"/>
              </w:rPr>
            </w:pPr>
            <w:r>
              <w:rPr>
                <w:rFonts w:ascii="Times New Roman" w:hAnsi="Times New Roman"/>
                <w:i/>
                <w:sz w:val="20"/>
              </w:rPr>
              <w:t>Restricted Stock Unit Acceleration</w:t>
            </w:r>
          </w:p>
        </w:tc>
        <w:tc>
          <w:tcPr>
            <w:tcW w:w="120" w:type="dxa"/>
            <w:tcBorders/>
            <w:shd w:fill="CCEEFF" w:val="clear"/>
            <w:vAlign w:val="center"/>
          </w:tcPr>
          <w:p>
            <w:pPr>
              <w:pStyle w:val="TableContents"/>
              <w:spacing w:before="0" w:after="283"/>
              <w:rPr/>
            </w:pPr>
            <w:r>
              <w:rPr/>
              <w:t>  </w:t>
            </w:r>
          </w:p>
        </w:tc>
        <w:tc>
          <w:tcPr>
            <w:tcW w:w="339" w:type="dxa"/>
            <w:tcBorders/>
            <w:shd w:fill="CCEEFF" w:val="clear"/>
            <w:vAlign w:val="center"/>
          </w:tcPr>
          <w:p>
            <w:pPr>
              <w:pStyle w:val="TableContents"/>
              <w:spacing w:before="0" w:after="283"/>
              <w:rPr/>
            </w:pPr>
            <w:r>
              <w:rPr/>
              <w:t>$</w:t>
            </w:r>
          </w:p>
        </w:tc>
        <w:tc>
          <w:tcPr>
            <w:tcW w:w="2666" w:type="dxa"/>
            <w:tcBorders/>
            <w:shd w:fill="CCEEFF" w:val="clear"/>
            <w:vAlign w:val="center"/>
          </w:tcPr>
          <w:p>
            <w:pPr>
              <w:pStyle w:val="TableContents"/>
              <w:spacing w:before="0" w:after="283"/>
              <w:jc w:val="right"/>
              <w:rPr/>
            </w:pPr>
            <w:r>
              <w:rPr/>
              <w:t>6,167,394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85" w:type="dxa"/>
            <w:tcBorders/>
            <w:shd w:fill="CCEEFF" w:val="clear"/>
            <w:vAlign w:val="center"/>
          </w:tcPr>
          <w:p>
            <w:pPr>
              <w:pStyle w:val="TableContents"/>
              <w:spacing w:before="0" w:after="283"/>
              <w:rPr/>
            </w:pPr>
            <w:r>
              <w:rPr/>
              <w:t>$</w:t>
            </w:r>
          </w:p>
        </w:tc>
        <w:tc>
          <w:tcPr>
            <w:tcW w:w="2695" w:type="dxa"/>
            <w:tcBorders/>
            <w:shd w:fill="CCEEFF" w:val="clear"/>
            <w:vAlign w:val="center"/>
          </w:tcPr>
          <w:p>
            <w:pPr>
              <w:pStyle w:val="TableContents"/>
              <w:spacing w:before="0" w:after="283"/>
              <w:jc w:val="right"/>
              <w:rPr/>
            </w:pPr>
            <w:r>
              <w:rPr/>
              <w:t>2,698,209</w:t>
            </w:r>
          </w:p>
        </w:tc>
        <w:tc>
          <w:tcPr>
            <w:tcW w:w="75" w:type="dxa"/>
            <w:tcBorders/>
            <w:shd w:fill="CCEEFF" w:val="clear"/>
            <w:vAlign w:val="center"/>
          </w:tcPr>
          <w:p>
            <w:pPr>
              <w:pStyle w:val="TableContents"/>
              <w:spacing w:before="0" w:after="283"/>
              <w:rPr/>
            </w:pPr>
            <w:r>
              <w:rPr/>
              <w:t> </w:t>
            </w:r>
          </w:p>
        </w:tc>
      </w:tr>
      <w:tr>
        <w:trPr/>
        <w:tc>
          <w:tcPr>
            <w:tcW w:w="2855" w:type="dxa"/>
            <w:tcBorders/>
            <w:shd w:fill="CCEEFF" w:val="clear"/>
            <w:vAlign w:val="center"/>
          </w:tcPr>
          <w:p>
            <w:pPr>
              <w:pStyle w:val="TableContents"/>
              <w:spacing w:before="0" w:after="0"/>
              <w:rPr>
                <w:rFonts w:ascii="Times New Roman" w:hAnsi="Times New Roman"/>
                <w:i/>
                <w:sz w:val="20"/>
              </w:rPr>
            </w:pPr>
            <w:r>
              <w:rPr>
                <w:rFonts w:ascii="Times New Roman" w:hAnsi="Times New Roman"/>
                <w:i/>
                <w:sz w:val="20"/>
              </w:rPr>
              <w:t>Benefit Continuation</w:t>
            </w:r>
          </w:p>
        </w:tc>
        <w:tc>
          <w:tcPr>
            <w:tcW w:w="120" w:type="dxa"/>
            <w:tcBorders/>
            <w:shd w:fill="CCEEFF" w:val="clear"/>
            <w:vAlign w:val="center"/>
          </w:tcPr>
          <w:p>
            <w:pPr>
              <w:pStyle w:val="TableContents"/>
              <w:spacing w:before="0" w:after="283"/>
              <w:rPr/>
            </w:pPr>
            <w:r>
              <w:rPr/>
              <w:t>  </w:t>
            </w:r>
          </w:p>
        </w:tc>
        <w:tc>
          <w:tcPr>
            <w:tcW w:w="339" w:type="dxa"/>
            <w:tcBorders/>
            <w:shd w:fill="CCEEFF" w:val="clear"/>
            <w:vAlign w:val="center"/>
          </w:tcPr>
          <w:p>
            <w:pPr>
              <w:pStyle w:val="TableContents"/>
              <w:spacing w:before="0" w:after="283"/>
              <w:rPr/>
            </w:pPr>
            <w:r>
              <w:rPr/>
              <w:t>$</w:t>
            </w:r>
          </w:p>
        </w:tc>
        <w:tc>
          <w:tcPr>
            <w:tcW w:w="2666" w:type="dxa"/>
            <w:tcBorders/>
            <w:shd w:fill="CCEEFF" w:val="clear"/>
            <w:vAlign w:val="center"/>
          </w:tcPr>
          <w:p>
            <w:pPr>
              <w:pStyle w:val="TableContents"/>
              <w:spacing w:before="0" w:after="283"/>
              <w:jc w:val="right"/>
              <w:rPr/>
            </w:pPr>
            <w:r>
              <w:rPr/>
              <w:t>42,312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85" w:type="dxa"/>
            <w:tcBorders/>
            <w:shd w:fill="CCEEFF" w:val="clear"/>
            <w:vAlign w:val="center"/>
          </w:tcPr>
          <w:p>
            <w:pPr>
              <w:pStyle w:val="TableContents"/>
              <w:spacing w:before="0" w:after="283"/>
              <w:rPr/>
            </w:pPr>
            <w:r>
              <w:rPr/>
              <w:t>$</w:t>
            </w:r>
          </w:p>
        </w:tc>
        <w:tc>
          <w:tcPr>
            <w:tcW w:w="2695" w:type="dxa"/>
            <w:tcBorders/>
            <w:shd w:fill="CCEEFF" w:val="clear"/>
            <w:vAlign w:val="center"/>
          </w:tcPr>
          <w:p>
            <w:pPr>
              <w:pStyle w:val="TableContents"/>
              <w:spacing w:before="0" w:after="283"/>
              <w:jc w:val="right"/>
              <w:rPr/>
            </w:pPr>
            <w:r>
              <w:rPr/>
              <w:t>28,208</w:t>
            </w:r>
          </w:p>
        </w:tc>
        <w:tc>
          <w:tcPr>
            <w:tcW w:w="75" w:type="dxa"/>
            <w:tcBorders/>
            <w:shd w:fill="CCEEFF" w:val="clear"/>
            <w:vAlign w:val="center"/>
          </w:tcPr>
          <w:p>
            <w:pPr>
              <w:pStyle w:val="TableContents"/>
              <w:spacing w:before="0" w:after="283"/>
              <w:rPr/>
            </w:pPr>
            <w:r>
              <w:rPr/>
              <w:t> </w:t>
            </w:r>
          </w:p>
        </w:tc>
      </w:tr>
      <w:tr>
        <w:trPr/>
        <w:tc>
          <w:tcPr>
            <w:tcW w:w="2855" w:type="dxa"/>
            <w:tcBorders/>
            <w:shd w:fill="CCEEFF" w:val="clear"/>
            <w:vAlign w:val="center"/>
          </w:tcPr>
          <w:p>
            <w:pPr>
              <w:pStyle w:val="TableContents"/>
              <w:spacing w:before="0" w:after="0"/>
              <w:rPr>
                <w:rFonts w:ascii="Times New Roman" w:hAnsi="Times New Roman"/>
                <w:i/>
                <w:sz w:val="20"/>
              </w:rPr>
            </w:pPr>
            <w:r>
              <w:rPr>
                <w:rFonts w:ascii="Times New Roman" w:hAnsi="Times New Roman"/>
                <w:i/>
                <w:sz w:val="20"/>
              </w:rPr>
              <w:t>Total Value</w:t>
            </w:r>
          </w:p>
        </w:tc>
        <w:tc>
          <w:tcPr>
            <w:tcW w:w="120" w:type="dxa"/>
            <w:tcBorders/>
            <w:shd w:fill="CCEEFF" w:val="clear"/>
            <w:vAlign w:val="center"/>
          </w:tcPr>
          <w:p>
            <w:pPr>
              <w:pStyle w:val="TableContents"/>
              <w:spacing w:before="0" w:after="283"/>
              <w:rPr/>
            </w:pPr>
            <w:r>
              <w:rPr/>
              <w:t>  </w:t>
            </w:r>
          </w:p>
        </w:tc>
        <w:tc>
          <w:tcPr>
            <w:tcW w:w="339" w:type="dxa"/>
            <w:tcBorders/>
            <w:shd w:fill="CCEEFF" w:val="clear"/>
            <w:vAlign w:val="center"/>
          </w:tcPr>
          <w:p>
            <w:pPr>
              <w:pStyle w:val="TableContents"/>
              <w:spacing w:before="0" w:after="283"/>
              <w:rPr/>
            </w:pPr>
            <w:r>
              <w:rPr/>
              <w:t>$</w:t>
            </w:r>
          </w:p>
        </w:tc>
        <w:tc>
          <w:tcPr>
            <w:tcW w:w="2666" w:type="dxa"/>
            <w:tcBorders/>
            <w:shd w:fill="CCEEFF" w:val="clear"/>
            <w:vAlign w:val="center"/>
          </w:tcPr>
          <w:p>
            <w:pPr>
              <w:pStyle w:val="TableContents"/>
              <w:spacing w:before="0" w:after="283"/>
              <w:jc w:val="right"/>
              <w:rPr/>
            </w:pPr>
            <w:r>
              <w:rPr/>
              <w:t>16,235,015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85" w:type="dxa"/>
            <w:tcBorders/>
            <w:shd w:fill="CCEEFF" w:val="clear"/>
            <w:vAlign w:val="center"/>
          </w:tcPr>
          <w:p>
            <w:pPr>
              <w:pStyle w:val="TableContents"/>
              <w:spacing w:before="0" w:after="283"/>
              <w:rPr/>
            </w:pPr>
            <w:r>
              <w:rPr/>
              <w:t>$</w:t>
            </w:r>
          </w:p>
        </w:tc>
        <w:tc>
          <w:tcPr>
            <w:tcW w:w="2695" w:type="dxa"/>
            <w:tcBorders/>
            <w:shd w:fill="CCEEFF" w:val="clear"/>
            <w:vAlign w:val="center"/>
          </w:tcPr>
          <w:p>
            <w:pPr>
              <w:pStyle w:val="TableContents"/>
              <w:spacing w:before="0" w:after="283"/>
              <w:jc w:val="right"/>
              <w:rPr/>
            </w:pPr>
            <w:r>
              <w:rPr/>
              <w:t>8,164,476</w:t>
            </w:r>
          </w:p>
        </w:tc>
        <w:tc>
          <w:tcPr>
            <w:tcW w:w="75" w:type="dxa"/>
            <w:tcBorders/>
            <w:shd w:fill="CCEEFF" w:val="clear"/>
            <w:vAlign w:val="center"/>
          </w:tcPr>
          <w:p>
            <w:pPr>
              <w:pStyle w:val="TableContents"/>
              <w:spacing w:before="0" w:after="283"/>
              <w:rPr/>
            </w:pPr>
            <w:r>
              <w:rPr/>
              <w:t> </w:t>
            </w:r>
          </w:p>
        </w:tc>
      </w:tr>
      <w:tr>
        <w:trPr/>
        <w:tc>
          <w:tcPr>
            <w:tcW w:w="28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Robert Orgel</w:t>
            </w:r>
          </w:p>
        </w:tc>
        <w:tc>
          <w:tcPr>
            <w:tcW w:w="12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sz w:val="4"/>
                <w:szCs w:val="4"/>
              </w:rPr>
            </w:pPr>
            <w:r>
              <w:rPr>
                <w:sz w:val="4"/>
                <w:szCs w:val="4"/>
              </w:rPr>
            </w:r>
          </w:p>
        </w:tc>
        <w:tc>
          <w:tcPr>
            <w:tcW w:w="266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sz w:val="4"/>
                <w:szCs w:val="4"/>
              </w:rPr>
            </w:pPr>
            <w:r>
              <w:rPr>
                <w:sz w:val="4"/>
                <w:szCs w:val="4"/>
              </w:rPr>
            </w:r>
          </w:p>
        </w:tc>
        <w:tc>
          <w:tcPr>
            <w:tcW w:w="269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855" w:type="dxa"/>
            <w:tcBorders/>
            <w:shd w:fill="auto" w:val="clear"/>
            <w:vAlign w:val="center"/>
          </w:tcPr>
          <w:p>
            <w:pPr>
              <w:pStyle w:val="TableContents"/>
              <w:spacing w:before="0" w:after="0"/>
              <w:rPr>
                <w:rFonts w:ascii="Times New Roman" w:hAnsi="Times New Roman"/>
                <w:i/>
                <w:sz w:val="20"/>
              </w:rPr>
            </w:pPr>
            <w:r>
              <w:rPr>
                <w:rFonts w:ascii="Times New Roman" w:hAnsi="Times New Roman"/>
                <w:i/>
                <w:sz w:val="20"/>
              </w:rPr>
              <w:t>Cash Severance</w:t>
            </w:r>
          </w:p>
        </w:tc>
        <w:tc>
          <w:tcPr>
            <w:tcW w:w="12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w:t>
            </w:r>
          </w:p>
        </w:tc>
        <w:tc>
          <w:tcPr>
            <w:tcW w:w="2666" w:type="dxa"/>
            <w:tcBorders/>
            <w:shd w:fill="auto" w:val="clear"/>
            <w:vAlign w:val="center"/>
          </w:tcPr>
          <w:p>
            <w:pPr>
              <w:pStyle w:val="TableContents"/>
              <w:spacing w:before="0" w:after="283"/>
              <w:jc w:val="right"/>
              <w:rPr/>
            </w:pPr>
            <w:r>
              <w:rPr/>
              <w:t>575,000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w:t>
            </w:r>
          </w:p>
        </w:tc>
        <w:tc>
          <w:tcPr>
            <w:tcW w:w="2695" w:type="dxa"/>
            <w:tcBorders/>
            <w:shd w:fill="auto" w:val="clear"/>
            <w:vAlign w:val="center"/>
          </w:tcPr>
          <w:p>
            <w:pPr>
              <w:pStyle w:val="TableContents"/>
              <w:spacing w:before="0" w:after="283"/>
              <w:jc w:val="right"/>
              <w:rPr/>
            </w:pPr>
            <w:r>
              <w:rPr/>
              <w:t>487,500</w:t>
            </w:r>
          </w:p>
        </w:tc>
        <w:tc>
          <w:tcPr>
            <w:tcW w:w="75" w:type="dxa"/>
            <w:tcBorders/>
            <w:shd w:fill="auto" w:val="clear"/>
            <w:vAlign w:val="center"/>
          </w:tcPr>
          <w:p>
            <w:pPr>
              <w:pStyle w:val="TableContents"/>
              <w:spacing w:before="0" w:after="283"/>
              <w:rPr/>
            </w:pPr>
            <w:r>
              <w:rPr/>
              <w:t> </w:t>
            </w:r>
          </w:p>
        </w:tc>
      </w:tr>
      <w:tr>
        <w:trPr/>
        <w:tc>
          <w:tcPr>
            <w:tcW w:w="2855" w:type="dxa"/>
            <w:tcBorders/>
            <w:shd w:fill="auto" w:val="clear"/>
            <w:vAlign w:val="center"/>
          </w:tcPr>
          <w:p>
            <w:pPr>
              <w:pStyle w:val="TableContents"/>
              <w:spacing w:before="0" w:after="0"/>
              <w:rPr>
                <w:rFonts w:ascii="Times New Roman" w:hAnsi="Times New Roman"/>
                <w:i/>
                <w:sz w:val="20"/>
              </w:rPr>
            </w:pPr>
            <w:r>
              <w:rPr>
                <w:rFonts w:ascii="Times New Roman" w:hAnsi="Times New Roman"/>
                <w:i/>
                <w:sz w:val="20"/>
              </w:rPr>
              <w:t>Option Acceleration</w:t>
            </w:r>
          </w:p>
        </w:tc>
        <w:tc>
          <w:tcPr>
            <w:tcW w:w="12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w:t>
            </w:r>
          </w:p>
        </w:tc>
        <w:tc>
          <w:tcPr>
            <w:tcW w:w="2666" w:type="dxa"/>
            <w:tcBorders/>
            <w:shd w:fill="auto" w:val="clear"/>
            <w:vAlign w:val="center"/>
          </w:tcPr>
          <w:p>
            <w:pPr>
              <w:pStyle w:val="TableContents"/>
              <w:spacing w:before="0" w:after="283"/>
              <w:jc w:val="right"/>
              <w:rPr/>
            </w:pPr>
            <w:r>
              <w:rPr/>
              <w:t>8,520,751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w:t>
            </w:r>
          </w:p>
        </w:tc>
        <w:tc>
          <w:tcPr>
            <w:tcW w:w="2695" w:type="dxa"/>
            <w:tcBorders/>
            <w:shd w:fill="auto" w:val="clear"/>
            <w:vAlign w:val="center"/>
          </w:tcPr>
          <w:p>
            <w:pPr>
              <w:pStyle w:val="TableContents"/>
              <w:spacing w:before="0" w:after="283"/>
              <w:jc w:val="right"/>
              <w:rPr/>
            </w:pPr>
            <w:r>
              <w:rPr/>
              <w:t>5,105,344</w:t>
            </w:r>
          </w:p>
        </w:tc>
        <w:tc>
          <w:tcPr>
            <w:tcW w:w="75" w:type="dxa"/>
            <w:tcBorders/>
            <w:shd w:fill="auto" w:val="clear"/>
            <w:vAlign w:val="center"/>
          </w:tcPr>
          <w:p>
            <w:pPr>
              <w:pStyle w:val="TableContents"/>
              <w:spacing w:before="0" w:after="283"/>
              <w:rPr/>
            </w:pPr>
            <w:r>
              <w:rPr/>
              <w:t> </w:t>
            </w:r>
          </w:p>
        </w:tc>
      </w:tr>
      <w:tr>
        <w:trPr/>
        <w:tc>
          <w:tcPr>
            <w:tcW w:w="2855" w:type="dxa"/>
            <w:tcBorders/>
            <w:shd w:fill="auto" w:val="clear"/>
            <w:vAlign w:val="center"/>
          </w:tcPr>
          <w:p>
            <w:pPr>
              <w:pStyle w:val="TableContents"/>
              <w:spacing w:before="0" w:after="0"/>
              <w:rPr>
                <w:rFonts w:ascii="Times New Roman" w:hAnsi="Times New Roman"/>
                <w:i/>
                <w:sz w:val="20"/>
              </w:rPr>
            </w:pPr>
            <w:r>
              <w:rPr>
                <w:rFonts w:ascii="Times New Roman" w:hAnsi="Times New Roman"/>
                <w:i/>
                <w:sz w:val="20"/>
              </w:rPr>
              <w:t>Restricted Stock Unit Acceleration</w:t>
            </w:r>
          </w:p>
        </w:tc>
        <w:tc>
          <w:tcPr>
            <w:tcW w:w="12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w:t>
            </w:r>
          </w:p>
        </w:tc>
        <w:tc>
          <w:tcPr>
            <w:tcW w:w="2666" w:type="dxa"/>
            <w:tcBorders/>
            <w:shd w:fill="auto" w:val="clear"/>
            <w:vAlign w:val="center"/>
          </w:tcPr>
          <w:p>
            <w:pPr>
              <w:pStyle w:val="TableContents"/>
              <w:spacing w:before="0" w:after="283"/>
              <w:jc w:val="right"/>
              <w:rPr/>
            </w:pPr>
            <w:r>
              <w:rPr/>
              <w:t>3,083,685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w:t>
            </w:r>
          </w:p>
        </w:tc>
        <w:tc>
          <w:tcPr>
            <w:tcW w:w="2695" w:type="dxa"/>
            <w:tcBorders/>
            <w:shd w:fill="auto" w:val="clear"/>
            <w:vAlign w:val="center"/>
          </w:tcPr>
          <w:p>
            <w:pPr>
              <w:pStyle w:val="TableContents"/>
              <w:spacing w:before="0" w:after="283"/>
              <w:jc w:val="right"/>
              <w:rPr/>
            </w:pPr>
            <w:r>
              <w:rPr/>
              <w:t>1,156,354</w:t>
            </w:r>
          </w:p>
        </w:tc>
        <w:tc>
          <w:tcPr>
            <w:tcW w:w="75" w:type="dxa"/>
            <w:tcBorders/>
            <w:shd w:fill="auto" w:val="clear"/>
            <w:vAlign w:val="center"/>
          </w:tcPr>
          <w:p>
            <w:pPr>
              <w:pStyle w:val="TableContents"/>
              <w:spacing w:before="0" w:after="283"/>
              <w:rPr/>
            </w:pPr>
            <w:r>
              <w:rPr/>
              <w:t> </w:t>
            </w:r>
          </w:p>
        </w:tc>
      </w:tr>
      <w:tr>
        <w:trPr/>
        <w:tc>
          <w:tcPr>
            <w:tcW w:w="2855" w:type="dxa"/>
            <w:tcBorders/>
            <w:shd w:fill="auto" w:val="clear"/>
            <w:vAlign w:val="center"/>
          </w:tcPr>
          <w:p>
            <w:pPr>
              <w:pStyle w:val="TableContents"/>
              <w:spacing w:before="0" w:after="0"/>
              <w:rPr>
                <w:rFonts w:ascii="Times New Roman" w:hAnsi="Times New Roman"/>
                <w:i/>
                <w:sz w:val="20"/>
              </w:rPr>
            </w:pPr>
            <w:r>
              <w:rPr>
                <w:rFonts w:ascii="Times New Roman" w:hAnsi="Times New Roman"/>
                <w:i/>
                <w:sz w:val="20"/>
              </w:rPr>
              <w:t>Benefit Continuation</w:t>
            </w:r>
          </w:p>
        </w:tc>
        <w:tc>
          <w:tcPr>
            <w:tcW w:w="12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w:t>
            </w:r>
          </w:p>
        </w:tc>
        <w:tc>
          <w:tcPr>
            <w:tcW w:w="2666" w:type="dxa"/>
            <w:tcBorders/>
            <w:shd w:fill="auto" w:val="clear"/>
            <w:vAlign w:val="center"/>
          </w:tcPr>
          <w:p>
            <w:pPr>
              <w:pStyle w:val="TableContents"/>
              <w:spacing w:before="0" w:after="283"/>
              <w:jc w:val="right"/>
              <w:rPr/>
            </w:pPr>
            <w:r>
              <w:rPr/>
              <w:t>28,208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w:t>
            </w:r>
          </w:p>
        </w:tc>
        <w:tc>
          <w:tcPr>
            <w:tcW w:w="2695" w:type="dxa"/>
            <w:tcBorders/>
            <w:shd w:fill="auto" w:val="clear"/>
            <w:vAlign w:val="center"/>
          </w:tcPr>
          <w:p>
            <w:pPr>
              <w:pStyle w:val="TableContents"/>
              <w:spacing w:before="0" w:after="283"/>
              <w:jc w:val="right"/>
              <w:rPr/>
            </w:pPr>
            <w:r>
              <w:rPr/>
              <w:t>21,156</w:t>
            </w:r>
          </w:p>
        </w:tc>
        <w:tc>
          <w:tcPr>
            <w:tcW w:w="75" w:type="dxa"/>
            <w:tcBorders/>
            <w:shd w:fill="auto" w:val="clear"/>
            <w:vAlign w:val="center"/>
          </w:tcPr>
          <w:p>
            <w:pPr>
              <w:pStyle w:val="TableContents"/>
              <w:spacing w:before="0" w:after="283"/>
              <w:rPr/>
            </w:pPr>
            <w:r>
              <w:rPr/>
              <w:t> </w:t>
            </w:r>
          </w:p>
        </w:tc>
      </w:tr>
      <w:tr>
        <w:trPr/>
        <w:tc>
          <w:tcPr>
            <w:tcW w:w="2855" w:type="dxa"/>
            <w:tcBorders/>
            <w:shd w:fill="auto" w:val="clear"/>
            <w:vAlign w:val="center"/>
          </w:tcPr>
          <w:p>
            <w:pPr>
              <w:pStyle w:val="TableContents"/>
              <w:spacing w:before="0" w:after="0"/>
              <w:rPr>
                <w:rFonts w:ascii="Times New Roman" w:hAnsi="Times New Roman"/>
                <w:i/>
                <w:sz w:val="20"/>
              </w:rPr>
            </w:pPr>
            <w:r>
              <w:rPr>
                <w:rFonts w:ascii="Times New Roman" w:hAnsi="Times New Roman"/>
                <w:i/>
                <w:sz w:val="20"/>
              </w:rPr>
              <w:t>Total Value</w:t>
            </w:r>
          </w:p>
        </w:tc>
        <w:tc>
          <w:tcPr>
            <w:tcW w:w="12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w:t>
            </w:r>
          </w:p>
        </w:tc>
        <w:tc>
          <w:tcPr>
            <w:tcW w:w="2666" w:type="dxa"/>
            <w:tcBorders/>
            <w:shd w:fill="auto" w:val="clear"/>
            <w:vAlign w:val="center"/>
          </w:tcPr>
          <w:p>
            <w:pPr>
              <w:pStyle w:val="TableContents"/>
              <w:spacing w:before="0" w:after="283"/>
              <w:jc w:val="right"/>
              <w:rPr/>
            </w:pPr>
            <w:r>
              <w:rPr/>
              <w:t>12,207,644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w:t>
            </w:r>
          </w:p>
        </w:tc>
        <w:tc>
          <w:tcPr>
            <w:tcW w:w="2695" w:type="dxa"/>
            <w:tcBorders/>
            <w:shd w:fill="auto" w:val="clear"/>
            <w:vAlign w:val="center"/>
          </w:tcPr>
          <w:p>
            <w:pPr>
              <w:pStyle w:val="TableContents"/>
              <w:spacing w:before="0" w:after="283"/>
              <w:jc w:val="right"/>
              <w:rPr/>
            </w:pPr>
            <w:r>
              <w:rPr/>
              <w:t>6,770,354</w:t>
            </w:r>
          </w:p>
        </w:tc>
        <w:tc>
          <w:tcPr>
            <w:tcW w:w="75" w:type="dxa"/>
            <w:tcBorders/>
            <w:shd w:fill="auto" w:val="clear"/>
            <w:vAlign w:val="center"/>
          </w:tcPr>
          <w:p>
            <w:pPr>
              <w:pStyle w:val="TableContents"/>
              <w:spacing w:before="0" w:after="283"/>
              <w:rPr/>
            </w:pPr>
            <w:r>
              <w:rPr/>
              <w:t> </w:t>
            </w:r>
          </w:p>
        </w:tc>
      </w:tr>
      <w:tr>
        <w:trPr/>
        <w:tc>
          <w:tcPr>
            <w:tcW w:w="28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Michael Ellis</w:t>
            </w:r>
          </w:p>
        </w:tc>
        <w:tc>
          <w:tcPr>
            <w:tcW w:w="120" w:type="dxa"/>
            <w:tcBorders/>
            <w:shd w:fill="CCEEFF" w:val="clear"/>
            <w:vAlign w:val="center"/>
          </w:tcPr>
          <w:p>
            <w:pPr>
              <w:pStyle w:val="TableContents"/>
              <w:spacing w:before="0" w:after="283"/>
              <w:rPr/>
            </w:pPr>
            <w:r>
              <w:rPr/>
              <w:t>  </w:t>
            </w:r>
          </w:p>
        </w:tc>
        <w:tc>
          <w:tcPr>
            <w:tcW w:w="339" w:type="dxa"/>
            <w:tcBorders/>
            <w:shd w:fill="CCEEFF" w:val="clear"/>
            <w:vAlign w:val="center"/>
          </w:tcPr>
          <w:p>
            <w:pPr>
              <w:pStyle w:val="TableContents"/>
              <w:spacing w:before="0" w:after="283"/>
              <w:rPr>
                <w:sz w:val="4"/>
                <w:szCs w:val="4"/>
              </w:rPr>
            </w:pPr>
            <w:r>
              <w:rPr>
                <w:sz w:val="4"/>
                <w:szCs w:val="4"/>
              </w:rPr>
            </w:r>
          </w:p>
        </w:tc>
        <w:tc>
          <w:tcPr>
            <w:tcW w:w="2666"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385" w:type="dxa"/>
            <w:tcBorders/>
            <w:shd w:fill="CCEEFF" w:val="clear"/>
            <w:vAlign w:val="center"/>
          </w:tcPr>
          <w:p>
            <w:pPr>
              <w:pStyle w:val="TableContents"/>
              <w:spacing w:before="0" w:after="283"/>
              <w:rPr>
                <w:sz w:val="4"/>
                <w:szCs w:val="4"/>
              </w:rPr>
            </w:pPr>
            <w:r>
              <w:rPr>
                <w:sz w:val="4"/>
                <w:szCs w:val="4"/>
              </w:rPr>
            </w:r>
          </w:p>
        </w:tc>
        <w:tc>
          <w:tcPr>
            <w:tcW w:w="2695"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2855" w:type="dxa"/>
            <w:tcBorders/>
            <w:shd w:fill="CCEEFF" w:val="clear"/>
            <w:vAlign w:val="center"/>
          </w:tcPr>
          <w:p>
            <w:pPr>
              <w:pStyle w:val="TableContents"/>
              <w:spacing w:before="0" w:after="0"/>
              <w:rPr>
                <w:rFonts w:ascii="Times New Roman" w:hAnsi="Times New Roman"/>
                <w:i/>
                <w:sz w:val="20"/>
              </w:rPr>
            </w:pPr>
            <w:r>
              <w:rPr>
                <w:rFonts w:ascii="Times New Roman" w:hAnsi="Times New Roman"/>
                <w:i/>
                <w:sz w:val="20"/>
              </w:rPr>
              <w:t>Cash Severance</w:t>
            </w:r>
          </w:p>
        </w:tc>
        <w:tc>
          <w:tcPr>
            <w:tcW w:w="120" w:type="dxa"/>
            <w:tcBorders/>
            <w:shd w:fill="CCEEFF" w:val="clear"/>
            <w:vAlign w:val="center"/>
          </w:tcPr>
          <w:p>
            <w:pPr>
              <w:pStyle w:val="TableContents"/>
              <w:spacing w:before="0" w:after="283"/>
              <w:rPr/>
            </w:pPr>
            <w:r>
              <w:rPr/>
              <w:t>  </w:t>
            </w:r>
          </w:p>
        </w:tc>
        <w:tc>
          <w:tcPr>
            <w:tcW w:w="339" w:type="dxa"/>
            <w:tcBorders/>
            <w:shd w:fill="CCEEFF" w:val="clear"/>
            <w:vAlign w:val="center"/>
          </w:tcPr>
          <w:p>
            <w:pPr>
              <w:pStyle w:val="TableContents"/>
              <w:spacing w:before="0" w:after="283"/>
              <w:rPr/>
            </w:pPr>
            <w:r>
              <w:rPr/>
              <w:t>$</w:t>
            </w:r>
          </w:p>
        </w:tc>
        <w:tc>
          <w:tcPr>
            <w:tcW w:w="2666" w:type="dxa"/>
            <w:tcBorders/>
            <w:shd w:fill="CCEEFF" w:val="clear"/>
            <w:vAlign w:val="center"/>
          </w:tcPr>
          <w:p>
            <w:pPr>
              <w:pStyle w:val="TableContents"/>
              <w:spacing w:before="0" w:after="283"/>
              <w:jc w:val="right"/>
              <w:rPr/>
            </w:pPr>
            <w:r>
              <w:rPr/>
              <w:t>550,000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85" w:type="dxa"/>
            <w:tcBorders/>
            <w:shd w:fill="CCEEFF" w:val="clear"/>
            <w:vAlign w:val="center"/>
          </w:tcPr>
          <w:p>
            <w:pPr>
              <w:pStyle w:val="TableContents"/>
              <w:spacing w:before="0" w:after="283"/>
              <w:rPr/>
            </w:pPr>
            <w:r>
              <w:rPr/>
              <w:t>$</w:t>
            </w:r>
          </w:p>
        </w:tc>
        <w:tc>
          <w:tcPr>
            <w:tcW w:w="2695" w:type="dxa"/>
            <w:tcBorders/>
            <w:shd w:fill="CCEEFF" w:val="clear"/>
            <w:vAlign w:val="center"/>
          </w:tcPr>
          <w:p>
            <w:pPr>
              <w:pStyle w:val="TableContents"/>
              <w:spacing w:before="0" w:after="283"/>
              <w:jc w:val="right"/>
              <w:rPr/>
            </w:pPr>
            <w:r>
              <w:rPr/>
              <w:t>468,750</w:t>
            </w:r>
          </w:p>
        </w:tc>
        <w:tc>
          <w:tcPr>
            <w:tcW w:w="75" w:type="dxa"/>
            <w:tcBorders/>
            <w:shd w:fill="CCEEFF" w:val="clear"/>
            <w:vAlign w:val="center"/>
          </w:tcPr>
          <w:p>
            <w:pPr>
              <w:pStyle w:val="TableContents"/>
              <w:spacing w:before="0" w:after="283"/>
              <w:rPr/>
            </w:pPr>
            <w:r>
              <w:rPr/>
              <w:t> </w:t>
            </w:r>
          </w:p>
        </w:tc>
      </w:tr>
      <w:tr>
        <w:trPr/>
        <w:tc>
          <w:tcPr>
            <w:tcW w:w="2855" w:type="dxa"/>
            <w:tcBorders/>
            <w:shd w:fill="CCEEFF" w:val="clear"/>
            <w:vAlign w:val="center"/>
          </w:tcPr>
          <w:p>
            <w:pPr>
              <w:pStyle w:val="TableContents"/>
              <w:spacing w:before="0" w:after="0"/>
              <w:rPr>
                <w:rFonts w:ascii="Times New Roman" w:hAnsi="Times New Roman"/>
                <w:i/>
                <w:sz w:val="20"/>
              </w:rPr>
            </w:pPr>
            <w:r>
              <w:rPr>
                <w:rFonts w:ascii="Times New Roman" w:hAnsi="Times New Roman"/>
                <w:i/>
                <w:sz w:val="20"/>
              </w:rPr>
              <w:t>Option Acceleration</w:t>
            </w:r>
          </w:p>
        </w:tc>
        <w:tc>
          <w:tcPr>
            <w:tcW w:w="120" w:type="dxa"/>
            <w:tcBorders/>
            <w:shd w:fill="CCEEFF" w:val="clear"/>
            <w:vAlign w:val="center"/>
          </w:tcPr>
          <w:p>
            <w:pPr>
              <w:pStyle w:val="TableContents"/>
              <w:spacing w:before="0" w:after="283"/>
              <w:rPr/>
            </w:pPr>
            <w:r>
              <w:rPr/>
              <w:t>  </w:t>
            </w:r>
          </w:p>
        </w:tc>
        <w:tc>
          <w:tcPr>
            <w:tcW w:w="339" w:type="dxa"/>
            <w:tcBorders/>
            <w:shd w:fill="CCEEFF" w:val="clear"/>
            <w:vAlign w:val="center"/>
          </w:tcPr>
          <w:p>
            <w:pPr>
              <w:pStyle w:val="TableContents"/>
              <w:spacing w:before="0" w:after="283"/>
              <w:rPr/>
            </w:pPr>
            <w:r>
              <w:rPr/>
              <w:t>$</w:t>
            </w:r>
          </w:p>
        </w:tc>
        <w:tc>
          <w:tcPr>
            <w:tcW w:w="2666" w:type="dxa"/>
            <w:tcBorders/>
            <w:shd w:fill="CCEEFF" w:val="clear"/>
            <w:vAlign w:val="center"/>
          </w:tcPr>
          <w:p>
            <w:pPr>
              <w:pStyle w:val="TableContents"/>
              <w:spacing w:before="0" w:after="283"/>
              <w:jc w:val="right"/>
              <w:rPr/>
            </w:pPr>
            <w:r>
              <w:rPr/>
              <w:t>2,084,073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85" w:type="dxa"/>
            <w:tcBorders/>
            <w:shd w:fill="CCEEFF" w:val="clear"/>
            <w:vAlign w:val="center"/>
          </w:tcPr>
          <w:p>
            <w:pPr>
              <w:pStyle w:val="TableContents"/>
              <w:spacing w:before="0" w:after="283"/>
              <w:rPr/>
            </w:pPr>
            <w:r>
              <w:rPr/>
              <w:t>$</w:t>
            </w:r>
          </w:p>
        </w:tc>
        <w:tc>
          <w:tcPr>
            <w:tcW w:w="2695" w:type="dxa"/>
            <w:tcBorders/>
            <w:shd w:fill="CCEEFF" w:val="clear"/>
            <w:vAlign w:val="center"/>
          </w:tcPr>
          <w:p>
            <w:pPr>
              <w:pStyle w:val="TableContents"/>
              <w:spacing w:before="0" w:after="283"/>
              <w:jc w:val="right"/>
              <w:rPr/>
            </w:pPr>
            <w:r>
              <w:rPr/>
              <w:t>750,273</w:t>
            </w:r>
          </w:p>
        </w:tc>
        <w:tc>
          <w:tcPr>
            <w:tcW w:w="75" w:type="dxa"/>
            <w:tcBorders/>
            <w:shd w:fill="CCEEFF" w:val="clear"/>
            <w:vAlign w:val="center"/>
          </w:tcPr>
          <w:p>
            <w:pPr>
              <w:pStyle w:val="TableContents"/>
              <w:spacing w:before="0" w:after="283"/>
              <w:rPr/>
            </w:pPr>
            <w:r>
              <w:rPr/>
              <w:t> </w:t>
            </w:r>
          </w:p>
        </w:tc>
      </w:tr>
      <w:tr>
        <w:trPr/>
        <w:tc>
          <w:tcPr>
            <w:tcW w:w="2855" w:type="dxa"/>
            <w:tcBorders/>
            <w:shd w:fill="CCEEFF" w:val="clear"/>
            <w:vAlign w:val="center"/>
          </w:tcPr>
          <w:p>
            <w:pPr>
              <w:pStyle w:val="TableContents"/>
              <w:spacing w:before="0" w:after="0"/>
              <w:rPr>
                <w:rFonts w:ascii="Times New Roman" w:hAnsi="Times New Roman"/>
                <w:i/>
                <w:sz w:val="20"/>
              </w:rPr>
            </w:pPr>
            <w:r>
              <w:rPr>
                <w:rFonts w:ascii="Times New Roman" w:hAnsi="Times New Roman"/>
                <w:i/>
                <w:sz w:val="20"/>
              </w:rPr>
              <w:t>Restricted Stock Unit Acceleration</w:t>
            </w:r>
          </w:p>
        </w:tc>
        <w:tc>
          <w:tcPr>
            <w:tcW w:w="120" w:type="dxa"/>
            <w:tcBorders/>
            <w:shd w:fill="CCEEFF" w:val="clear"/>
            <w:vAlign w:val="center"/>
          </w:tcPr>
          <w:p>
            <w:pPr>
              <w:pStyle w:val="TableContents"/>
              <w:spacing w:before="0" w:after="283"/>
              <w:rPr/>
            </w:pPr>
            <w:r>
              <w:rPr/>
              <w:t>  </w:t>
            </w:r>
          </w:p>
        </w:tc>
        <w:tc>
          <w:tcPr>
            <w:tcW w:w="339" w:type="dxa"/>
            <w:tcBorders/>
            <w:shd w:fill="CCEEFF" w:val="clear"/>
            <w:vAlign w:val="center"/>
          </w:tcPr>
          <w:p>
            <w:pPr>
              <w:pStyle w:val="TableContents"/>
              <w:spacing w:before="0" w:after="283"/>
              <w:rPr/>
            </w:pPr>
            <w:r>
              <w:rPr/>
              <w:t>$</w:t>
            </w:r>
          </w:p>
        </w:tc>
        <w:tc>
          <w:tcPr>
            <w:tcW w:w="2666" w:type="dxa"/>
            <w:tcBorders/>
            <w:shd w:fill="CCEEFF" w:val="clear"/>
            <w:vAlign w:val="center"/>
          </w:tcPr>
          <w:p>
            <w:pPr>
              <w:pStyle w:val="TableContents"/>
              <w:spacing w:before="0" w:after="283"/>
              <w:jc w:val="right"/>
              <w:rPr/>
            </w:pPr>
            <w:r>
              <w:rPr/>
              <w:t>2,202,643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85" w:type="dxa"/>
            <w:tcBorders/>
            <w:shd w:fill="CCEEFF" w:val="clear"/>
            <w:vAlign w:val="center"/>
          </w:tcPr>
          <w:p>
            <w:pPr>
              <w:pStyle w:val="TableContents"/>
              <w:spacing w:before="0" w:after="283"/>
              <w:rPr/>
            </w:pPr>
            <w:r>
              <w:rPr/>
              <w:t>$</w:t>
            </w:r>
          </w:p>
        </w:tc>
        <w:tc>
          <w:tcPr>
            <w:tcW w:w="2695" w:type="dxa"/>
            <w:tcBorders/>
            <w:shd w:fill="CCEEFF" w:val="clear"/>
            <w:vAlign w:val="center"/>
          </w:tcPr>
          <w:p>
            <w:pPr>
              <w:pStyle w:val="TableContents"/>
              <w:spacing w:before="0" w:after="283"/>
              <w:jc w:val="right"/>
              <w:rPr/>
            </w:pPr>
            <w:r>
              <w:rPr/>
              <w:t>963,629</w:t>
            </w:r>
          </w:p>
        </w:tc>
        <w:tc>
          <w:tcPr>
            <w:tcW w:w="75" w:type="dxa"/>
            <w:tcBorders/>
            <w:shd w:fill="CCEEFF" w:val="clear"/>
            <w:vAlign w:val="center"/>
          </w:tcPr>
          <w:p>
            <w:pPr>
              <w:pStyle w:val="TableContents"/>
              <w:spacing w:before="0" w:after="283"/>
              <w:rPr/>
            </w:pPr>
            <w:r>
              <w:rPr/>
              <w:t> </w:t>
            </w:r>
          </w:p>
        </w:tc>
      </w:tr>
      <w:tr>
        <w:trPr/>
        <w:tc>
          <w:tcPr>
            <w:tcW w:w="2855" w:type="dxa"/>
            <w:tcBorders/>
            <w:shd w:fill="CCEEFF" w:val="clear"/>
            <w:vAlign w:val="center"/>
          </w:tcPr>
          <w:p>
            <w:pPr>
              <w:pStyle w:val="TableContents"/>
              <w:spacing w:before="0" w:after="0"/>
              <w:rPr>
                <w:rFonts w:ascii="Times New Roman" w:hAnsi="Times New Roman"/>
                <w:i/>
                <w:sz w:val="20"/>
              </w:rPr>
            </w:pPr>
            <w:r>
              <w:rPr>
                <w:rFonts w:ascii="Times New Roman" w:hAnsi="Times New Roman"/>
                <w:i/>
                <w:sz w:val="20"/>
              </w:rPr>
              <w:t>Benefit Continuation</w:t>
            </w:r>
          </w:p>
        </w:tc>
        <w:tc>
          <w:tcPr>
            <w:tcW w:w="120" w:type="dxa"/>
            <w:tcBorders/>
            <w:shd w:fill="CCEEFF" w:val="clear"/>
            <w:vAlign w:val="center"/>
          </w:tcPr>
          <w:p>
            <w:pPr>
              <w:pStyle w:val="TableContents"/>
              <w:spacing w:before="0" w:after="283"/>
              <w:rPr/>
            </w:pPr>
            <w:r>
              <w:rPr/>
              <w:t>  </w:t>
            </w:r>
          </w:p>
        </w:tc>
        <w:tc>
          <w:tcPr>
            <w:tcW w:w="339" w:type="dxa"/>
            <w:tcBorders/>
            <w:shd w:fill="CCEEFF" w:val="clear"/>
            <w:vAlign w:val="center"/>
          </w:tcPr>
          <w:p>
            <w:pPr>
              <w:pStyle w:val="TableContents"/>
              <w:spacing w:before="0" w:after="283"/>
              <w:rPr/>
            </w:pPr>
            <w:r>
              <w:rPr/>
              <w:t>$</w:t>
            </w:r>
          </w:p>
        </w:tc>
        <w:tc>
          <w:tcPr>
            <w:tcW w:w="2666" w:type="dxa"/>
            <w:tcBorders/>
            <w:shd w:fill="CCEEFF" w:val="clear"/>
            <w:vAlign w:val="center"/>
          </w:tcPr>
          <w:p>
            <w:pPr>
              <w:pStyle w:val="TableContents"/>
              <w:spacing w:before="0" w:after="283"/>
              <w:jc w:val="right"/>
              <w:rPr/>
            </w:pPr>
            <w:r>
              <w:rPr/>
              <w:t>28,208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85" w:type="dxa"/>
            <w:tcBorders/>
            <w:shd w:fill="CCEEFF" w:val="clear"/>
            <w:vAlign w:val="center"/>
          </w:tcPr>
          <w:p>
            <w:pPr>
              <w:pStyle w:val="TableContents"/>
              <w:spacing w:before="0" w:after="283"/>
              <w:rPr/>
            </w:pPr>
            <w:r>
              <w:rPr/>
              <w:t>$</w:t>
            </w:r>
          </w:p>
        </w:tc>
        <w:tc>
          <w:tcPr>
            <w:tcW w:w="2695" w:type="dxa"/>
            <w:tcBorders/>
            <w:shd w:fill="CCEEFF" w:val="clear"/>
            <w:vAlign w:val="center"/>
          </w:tcPr>
          <w:p>
            <w:pPr>
              <w:pStyle w:val="TableContents"/>
              <w:spacing w:before="0" w:after="283"/>
              <w:jc w:val="right"/>
              <w:rPr/>
            </w:pPr>
            <w:r>
              <w:rPr/>
              <w:t>21,156</w:t>
            </w:r>
          </w:p>
        </w:tc>
        <w:tc>
          <w:tcPr>
            <w:tcW w:w="75" w:type="dxa"/>
            <w:tcBorders/>
            <w:shd w:fill="CCEEFF" w:val="clear"/>
            <w:vAlign w:val="center"/>
          </w:tcPr>
          <w:p>
            <w:pPr>
              <w:pStyle w:val="TableContents"/>
              <w:spacing w:before="0" w:after="283"/>
              <w:rPr/>
            </w:pPr>
            <w:r>
              <w:rPr/>
              <w:t> </w:t>
            </w:r>
          </w:p>
        </w:tc>
      </w:tr>
      <w:tr>
        <w:trPr/>
        <w:tc>
          <w:tcPr>
            <w:tcW w:w="2855" w:type="dxa"/>
            <w:tcBorders/>
            <w:shd w:fill="CCEEFF" w:val="clear"/>
            <w:vAlign w:val="center"/>
          </w:tcPr>
          <w:p>
            <w:pPr>
              <w:pStyle w:val="TableContents"/>
              <w:spacing w:before="0" w:after="0"/>
              <w:rPr>
                <w:rFonts w:ascii="Times New Roman" w:hAnsi="Times New Roman"/>
                <w:i/>
                <w:sz w:val="20"/>
              </w:rPr>
            </w:pPr>
            <w:r>
              <w:rPr>
                <w:rFonts w:ascii="Times New Roman" w:hAnsi="Times New Roman"/>
                <w:i/>
                <w:sz w:val="20"/>
              </w:rPr>
              <w:t>Total Value</w:t>
            </w:r>
          </w:p>
        </w:tc>
        <w:tc>
          <w:tcPr>
            <w:tcW w:w="120" w:type="dxa"/>
            <w:tcBorders/>
            <w:shd w:fill="CCEEFF" w:val="clear"/>
            <w:vAlign w:val="center"/>
          </w:tcPr>
          <w:p>
            <w:pPr>
              <w:pStyle w:val="TableContents"/>
              <w:spacing w:before="0" w:after="283"/>
              <w:rPr/>
            </w:pPr>
            <w:r>
              <w:rPr/>
              <w:t>  </w:t>
            </w:r>
          </w:p>
        </w:tc>
        <w:tc>
          <w:tcPr>
            <w:tcW w:w="339" w:type="dxa"/>
            <w:tcBorders/>
            <w:shd w:fill="CCEEFF" w:val="clear"/>
            <w:vAlign w:val="center"/>
          </w:tcPr>
          <w:p>
            <w:pPr>
              <w:pStyle w:val="TableContents"/>
              <w:spacing w:before="0" w:after="283"/>
              <w:rPr/>
            </w:pPr>
            <w:r>
              <w:rPr/>
              <w:t>$</w:t>
            </w:r>
          </w:p>
        </w:tc>
        <w:tc>
          <w:tcPr>
            <w:tcW w:w="2666" w:type="dxa"/>
            <w:tcBorders/>
            <w:shd w:fill="CCEEFF" w:val="clear"/>
            <w:vAlign w:val="center"/>
          </w:tcPr>
          <w:p>
            <w:pPr>
              <w:pStyle w:val="TableContents"/>
              <w:spacing w:before="0" w:after="283"/>
              <w:jc w:val="right"/>
              <w:rPr/>
            </w:pPr>
            <w:r>
              <w:rPr/>
              <w:t>4,864,924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85" w:type="dxa"/>
            <w:tcBorders/>
            <w:shd w:fill="CCEEFF" w:val="clear"/>
            <w:vAlign w:val="center"/>
          </w:tcPr>
          <w:p>
            <w:pPr>
              <w:pStyle w:val="TableContents"/>
              <w:spacing w:before="0" w:after="283"/>
              <w:rPr/>
            </w:pPr>
            <w:r>
              <w:rPr/>
              <w:t>$</w:t>
            </w:r>
          </w:p>
        </w:tc>
        <w:tc>
          <w:tcPr>
            <w:tcW w:w="2695" w:type="dxa"/>
            <w:tcBorders/>
            <w:shd w:fill="CCEEFF" w:val="clear"/>
            <w:vAlign w:val="center"/>
          </w:tcPr>
          <w:p>
            <w:pPr>
              <w:pStyle w:val="TableContents"/>
              <w:spacing w:before="0" w:after="283"/>
              <w:jc w:val="right"/>
              <w:rPr/>
            </w:pPr>
            <w:r>
              <w:rPr/>
              <w:t>2,203,808</w:t>
            </w:r>
          </w:p>
        </w:tc>
        <w:tc>
          <w:tcPr>
            <w:tcW w:w="75" w:type="dxa"/>
            <w:tcBorders/>
            <w:shd w:fill="CCEEFF" w:val="clear"/>
            <w:vAlign w:val="center"/>
          </w:tcPr>
          <w:p>
            <w:pPr>
              <w:pStyle w:val="TableContents"/>
              <w:spacing w:before="0" w:after="283"/>
              <w:rPr/>
            </w:pPr>
            <w:r>
              <w:rPr/>
              <w:t> </w:t>
            </w:r>
          </w:p>
        </w:tc>
      </w:tr>
      <w:tr>
        <w:trPr/>
        <w:tc>
          <w:tcPr>
            <w:tcW w:w="28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Sharon Butler</w:t>
            </w:r>
          </w:p>
        </w:tc>
        <w:tc>
          <w:tcPr>
            <w:tcW w:w="12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sz w:val="4"/>
                <w:szCs w:val="4"/>
              </w:rPr>
            </w:pPr>
            <w:r>
              <w:rPr>
                <w:sz w:val="4"/>
                <w:szCs w:val="4"/>
              </w:rPr>
            </w:r>
          </w:p>
        </w:tc>
        <w:tc>
          <w:tcPr>
            <w:tcW w:w="266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sz w:val="4"/>
                <w:szCs w:val="4"/>
              </w:rPr>
            </w:pPr>
            <w:r>
              <w:rPr>
                <w:sz w:val="4"/>
                <w:szCs w:val="4"/>
              </w:rPr>
            </w:r>
          </w:p>
        </w:tc>
        <w:tc>
          <w:tcPr>
            <w:tcW w:w="269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855" w:type="dxa"/>
            <w:tcBorders/>
            <w:shd w:fill="auto" w:val="clear"/>
            <w:vAlign w:val="center"/>
          </w:tcPr>
          <w:p>
            <w:pPr>
              <w:pStyle w:val="TableContents"/>
              <w:spacing w:before="0" w:after="0"/>
              <w:rPr>
                <w:rFonts w:ascii="Times New Roman" w:hAnsi="Times New Roman"/>
                <w:i/>
                <w:sz w:val="20"/>
              </w:rPr>
            </w:pPr>
            <w:r>
              <w:rPr>
                <w:rFonts w:ascii="Times New Roman" w:hAnsi="Times New Roman"/>
                <w:i/>
                <w:sz w:val="20"/>
              </w:rPr>
              <w:t>Cash Severance</w:t>
            </w:r>
          </w:p>
        </w:tc>
        <w:tc>
          <w:tcPr>
            <w:tcW w:w="12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w:t>
            </w:r>
          </w:p>
        </w:tc>
        <w:tc>
          <w:tcPr>
            <w:tcW w:w="2666" w:type="dxa"/>
            <w:tcBorders/>
            <w:shd w:fill="auto" w:val="clear"/>
            <w:vAlign w:val="center"/>
          </w:tcPr>
          <w:p>
            <w:pPr>
              <w:pStyle w:val="TableContents"/>
              <w:spacing w:before="0" w:after="283"/>
              <w:jc w:val="right"/>
              <w:rPr/>
            </w:pPr>
            <w:r>
              <w:rPr/>
              <w:t>500,000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w:t>
            </w:r>
          </w:p>
        </w:tc>
        <w:tc>
          <w:tcPr>
            <w:tcW w:w="2695" w:type="dxa"/>
            <w:tcBorders/>
            <w:shd w:fill="auto" w:val="clear"/>
            <w:vAlign w:val="center"/>
          </w:tcPr>
          <w:p>
            <w:pPr>
              <w:pStyle w:val="TableContents"/>
              <w:spacing w:before="0" w:after="283"/>
              <w:jc w:val="right"/>
              <w:rPr/>
            </w:pPr>
            <w:r>
              <w:rPr/>
              <w:t>350,000</w:t>
            </w:r>
          </w:p>
        </w:tc>
        <w:tc>
          <w:tcPr>
            <w:tcW w:w="75" w:type="dxa"/>
            <w:tcBorders/>
            <w:shd w:fill="auto" w:val="clear"/>
            <w:vAlign w:val="center"/>
          </w:tcPr>
          <w:p>
            <w:pPr>
              <w:pStyle w:val="TableContents"/>
              <w:spacing w:before="0" w:after="283"/>
              <w:rPr/>
            </w:pPr>
            <w:r>
              <w:rPr/>
              <w:t> </w:t>
            </w:r>
          </w:p>
        </w:tc>
      </w:tr>
      <w:tr>
        <w:trPr/>
        <w:tc>
          <w:tcPr>
            <w:tcW w:w="2855" w:type="dxa"/>
            <w:tcBorders/>
            <w:shd w:fill="auto" w:val="clear"/>
            <w:vAlign w:val="center"/>
          </w:tcPr>
          <w:p>
            <w:pPr>
              <w:pStyle w:val="TableContents"/>
              <w:spacing w:before="0" w:after="0"/>
              <w:rPr>
                <w:rFonts w:ascii="Times New Roman" w:hAnsi="Times New Roman"/>
                <w:i/>
                <w:sz w:val="20"/>
              </w:rPr>
            </w:pPr>
            <w:r>
              <w:rPr>
                <w:rFonts w:ascii="Times New Roman" w:hAnsi="Times New Roman"/>
                <w:i/>
                <w:sz w:val="20"/>
              </w:rPr>
              <w:t>Option Acceleration</w:t>
            </w:r>
          </w:p>
        </w:tc>
        <w:tc>
          <w:tcPr>
            <w:tcW w:w="12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w:t>
            </w:r>
          </w:p>
        </w:tc>
        <w:tc>
          <w:tcPr>
            <w:tcW w:w="2666" w:type="dxa"/>
            <w:tcBorders/>
            <w:shd w:fill="auto" w:val="clear"/>
            <w:vAlign w:val="center"/>
          </w:tcPr>
          <w:p>
            <w:pPr>
              <w:pStyle w:val="TableContents"/>
              <w:spacing w:before="0" w:after="283"/>
              <w:jc w:val="right"/>
              <w:rPr/>
            </w:pPr>
            <w:r>
              <w:rPr/>
              <w:t>1,603,125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w:t>
            </w:r>
          </w:p>
        </w:tc>
        <w:tc>
          <w:tcPr>
            <w:tcW w:w="2695" w:type="dxa"/>
            <w:tcBorders/>
            <w:shd w:fill="auto" w:val="clear"/>
            <w:vAlign w:val="center"/>
          </w:tcPr>
          <w:p>
            <w:pPr>
              <w:pStyle w:val="TableContents"/>
              <w:spacing w:before="0" w:after="283"/>
              <w:jc w:val="right"/>
              <w:rPr/>
            </w:pPr>
            <w:r>
              <w:rPr/>
              <w:t>384,750</w:t>
            </w:r>
          </w:p>
        </w:tc>
        <w:tc>
          <w:tcPr>
            <w:tcW w:w="75" w:type="dxa"/>
            <w:tcBorders/>
            <w:shd w:fill="auto" w:val="clear"/>
            <w:vAlign w:val="center"/>
          </w:tcPr>
          <w:p>
            <w:pPr>
              <w:pStyle w:val="TableContents"/>
              <w:spacing w:before="0" w:after="283"/>
              <w:rPr/>
            </w:pPr>
            <w:r>
              <w:rPr/>
              <w:t> </w:t>
            </w:r>
          </w:p>
        </w:tc>
      </w:tr>
      <w:tr>
        <w:trPr/>
        <w:tc>
          <w:tcPr>
            <w:tcW w:w="2855" w:type="dxa"/>
            <w:tcBorders/>
            <w:shd w:fill="auto" w:val="clear"/>
            <w:vAlign w:val="center"/>
          </w:tcPr>
          <w:p>
            <w:pPr>
              <w:pStyle w:val="TableContents"/>
              <w:spacing w:before="0" w:after="0"/>
              <w:rPr>
                <w:rFonts w:ascii="Times New Roman" w:hAnsi="Times New Roman"/>
                <w:i/>
                <w:sz w:val="20"/>
              </w:rPr>
            </w:pPr>
            <w:r>
              <w:rPr>
                <w:rFonts w:ascii="Times New Roman" w:hAnsi="Times New Roman"/>
                <w:i/>
                <w:sz w:val="20"/>
              </w:rPr>
              <w:t>Restricted Stock Unit Acceleration</w:t>
            </w:r>
          </w:p>
        </w:tc>
        <w:tc>
          <w:tcPr>
            <w:tcW w:w="12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w:t>
            </w:r>
          </w:p>
        </w:tc>
        <w:tc>
          <w:tcPr>
            <w:tcW w:w="2666" w:type="dxa"/>
            <w:tcBorders/>
            <w:shd w:fill="auto" w:val="clear"/>
            <w:vAlign w:val="center"/>
          </w:tcPr>
          <w:p>
            <w:pPr>
              <w:pStyle w:val="TableContents"/>
              <w:spacing w:before="0" w:after="283"/>
              <w:jc w:val="right"/>
              <w:rPr/>
            </w:pPr>
            <w:r>
              <w:rPr/>
              <w:t>1,762,109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w:t>
            </w:r>
          </w:p>
        </w:tc>
        <w:tc>
          <w:tcPr>
            <w:tcW w:w="2695" w:type="dxa"/>
            <w:tcBorders/>
            <w:shd w:fill="auto" w:val="clear"/>
            <w:vAlign w:val="center"/>
          </w:tcPr>
          <w:p>
            <w:pPr>
              <w:pStyle w:val="TableContents"/>
              <w:spacing w:before="0" w:after="283"/>
              <w:jc w:val="right"/>
              <w:rPr/>
            </w:pPr>
            <w:r>
              <w:rPr/>
              <w:t>550,599</w:t>
            </w:r>
          </w:p>
        </w:tc>
        <w:tc>
          <w:tcPr>
            <w:tcW w:w="75" w:type="dxa"/>
            <w:tcBorders/>
            <w:shd w:fill="auto" w:val="clear"/>
            <w:vAlign w:val="center"/>
          </w:tcPr>
          <w:p>
            <w:pPr>
              <w:pStyle w:val="TableContents"/>
              <w:spacing w:before="0" w:after="283"/>
              <w:rPr/>
            </w:pPr>
            <w:r>
              <w:rPr/>
              <w:t> </w:t>
            </w:r>
          </w:p>
        </w:tc>
      </w:tr>
      <w:tr>
        <w:trPr/>
        <w:tc>
          <w:tcPr>
            <w:tcW w:w="2855" w:type="dxa"/>
            <w:tcBorders/>
            <w:shd w:fill="auto" w:val="clear"/>
            <w:vAlign w:val="center"/>
          </w:tcPr>
          <w:p>
            <w:pPr>
              <w:pStyle w:val="TableContents"/>
              <w:spacing w:before="0" w:after="0"/>
              <w:rPr>
                <w:rFonts w:ascii="Times New Roman" w:hAnsi="Times New Roman"/>
                <w:i/>
                <w:sz w:val="20"/>
              </w:rPr>
            </w:pPr>
            <w:r>
              <w:rPr>
                <w:rFonts w:ascii="Times New Roman" w:hAnsi="Times New Roman"/>
                <w:i/>
                <w:sz w:val="20"/>
              </w:rPr>
              <w:t>Benefit Continuation</w:t>
            </w:r>
          </w:p>
        </w:tc>
        <w:tc>
          <w:tcPr>
            <w:tcW w:w="12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w:t>
            </w:r>
          </w:p>
        </w:tc>
        <w:tc>
          <w:tcPr>
            <w:tcW w:w="2666" w:type="dxa"/>
            <w:tcBorders/>
            <w:shd w:fill="auto" w:val="clear"/>
            <w:vAlign w:val="center"/>
          </w:tcPr>
          <w:p>
            <w:pPr>
              <w:pStyle w:val="TableContents"/>
              <w:spacing w:before="0" w:after="283"/>
              <w:jc w:val="right"/>
              <w:rPr/>
            </w:pPr>
            <w:r>
              <w:rPr/>
              <w:t>28,208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w:t>
            </w:r>
          </w:p>
        </w:tc>
        <w:tc>
          <w:tcPr>
            <w:tcW w:w="2695" w:type="dxa"/>
            <w:tcBorders/>
            <w:shd w:fill="auto" w:val="clear"/>
            <w:vAlign w:val="center"/>
          </w:tcPr>
          <w:p>
            <w:pPr>
              <w:pStyle w:val="TableContents"/>
              <w:spacing w:before="0" w:after="283"/>
              <w:jc w:val="right"/>
              <w:rPr/>
            </w:pPr>
            <w:r>
              <w:rPr/>
              <w:t>14,104</w:t>
            </w:r>
          </w:p>
        </w:tc>
        <w:tc>
          <w:tcPr>
            <w:tcW w:w="75" w:type="dxa"/>
            <w:tcBorders/>
            <w:shd w:fill="auto" w:val="clear"/>
            <w:vAlign w:val="center"/>
          </w:tcPr>
          <w:p>
            <w:pPr>
              <w:pStyle w:val="TableContents"/>
              <w:spacing w:before="0" w:after="283"/>
              <w:rPr/>
            </w:pPr>
            <w:r>
              <w:rPr/>
              <w:t> </w:t>
            </w:r>
          </w:p>
        </w:tc>
      </w:tr>
      <w:tr>
        <w:trPr/>
        <w:tc>
          <w:tcPr>
            <w:tcW w:w="2855" w:type="dxa"/>
            <w:tcBorders/>
            <w:shd w:fill="auto" w:val="clear"/>
            <w:vAlign w:val="center"/>
          </w:tcPr>
          <w:p>
            <w:pPr>
              <w:pStyle w:val="TableContents"/>
              <w:spacing w:before="0" w:after="0"/>
              <w:rPr>
                <w:rFonts w:ascii="Times New Roman" w:hAnsi="Times New Roman"/>
                <w:i/>
                <w:sz w:val="20"/>
              </w:rPr>
            </w:pPr>
            <w:r>
              <w:rPr>
                <w:rFonts w:ascii="Times New Roman" w:hAnsi="Times New Roman"/>
                <w:i/>
                <w:sz w:val="20"/>
              </w:rPr>
              <w:t>Total Value</w:t>
            </w:r>
          </w:p>
        </w:tc>
        <w:tc>
          <w:tcPr>
            <w:tcW w:w="12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w:t>
            </w:r>
          </w:p>
        </w:tc>
        <w:tc>
          <w:tcPr>
            <w:tcW w:w="2666" w:type="dxa"/>
            <w:tcBorders/>
            <w:shd w:fill="auto" w:val="clear"/>
            <w:vAlign w:val="center"/>
          </w:tcPr>
          <w:p>
            <w:pPr>
              <w:pStyle w:val="TableContents"/>
              <w:spacing w:before="0" w:after="283"/>
              <w:jc w:val="right"/>
              <w:rPr/>
            </w:pPr>
            <w:r>
              <w:rPr/>
              <w:t>3,893,442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w:t>
            </w:r>
          </w:p>
        </w:tc>
        <w:tc>
          <w:tcPr>
            <w:tcW w:w="2695" w:type="dxa"/>
            <w:tcBorders/>
            <w:shd w:fill="auto" w:val="clear"/>
            <w:vAlign w:val="center"/>
          </w:tcPr>
          <w:p>
            <w:pPr>
              <w:pStyle w:val="TableContents"/>
              <w:spacing w:before="0" w:after="283"/>
              <w:jc w:val="right"/>
              <w:rPr/>
            </w:pPr>
            <w:r>
              <w:rPr/>
              <w:t>1,299,453</w:t>
            </w:r>
          </w:p>
        </w:tc>
        <w:tc>
          <w:tcPr>
            <w:tcW w:w="75" w:type="dxa"/>
            <w:tcBorders/>
            <w:shd w:fill="auto" w:val="clear"/>
            <w:vAlign w:val="center"/>
          </w:tcPr>
          <w:p>
            <w:pPr>
              <w:pStyle w:val="TableContents"/>
              <w:spacing w:before="0" w:after="283"/>
              <w:rPr/>
            </w:pPr>
            <w:r>
              <w:rPr/>
              <w:t> </w:t>
            </w:r>
          </w:p>
        </w:tc>
      </w:tr>
      <w:tr>
        <w:trPr/>
        <w:tc>
          <w:tcPr>
            <w:tcW w:w="28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David King</w:t>
            </w:r>
          </w:p>
        </w:tc>
        <w:tc>
          <w:tcPr>
            <w:tcW w:w="120" w:type="dxa"/>
            <w:tcBorders/>
            <w:shd w:fill="CCEEFF" w:val="clear"/>
            <w:vAlign w:val="center"/>
          </w:tcPr>
          <w:p>
            <w:pPr>
              <w:pStyle w:val="TableContents"/>
              <w:spacing w:before="0" w:after="283"/>
              <w:rPr/>
            </w:pPr>
            <w:r>
              <w:rPr/>
              <w:t>  </w:t>
            </w:r>
          </w:p>
        </w:tc>
        <w:tc>
          <w:tcPr>
            <w:tcW w:w="339" w:type="dxa"/>
            <w:tcBorders/>
            <w:shd w:fill="CCEEFF" w:val="clear"/>
            <w:vAlign w:val="center"/>
          </w:tcPr>
          <w:p>
            <w:pPr>
              <w:pStyle w:val="TableContents"/>
              <w:spacing w:before="0" w:after="283"/>
              <w:rPr>
                <w:sz w:val="4"/>
                <w:szCs w:val="4"/>
              </w:rPr>
            </w:pPr>
            <w:r>
              <w:rPr>
                <w:sz w:val="4"/>
                <w:szCs w:val="4"/>
              </w:rPr>
            </w:r>
          </w:p>
        </w:tc>
        <w:tc>
          <w:tcPr>
            <w:tcW w:w="2666"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385" w:type="dxa"/>
            <w:tcBorders/>
            <w:shd w:fill="CCEEFF" w:val="clear"/>
            <w:vAlign w:val="center"/>
          </w:tcPr>
          <w:p>
            <w:pPr>
              <w:pStyle w:val="TableContents"/>
              <w:spacing w:before="0" w:after="283"/>
              <w:rPr>
                <w:sz w:val="4"/>
                <w:szCs w:val="4"/>
              </w:rPr>
            </w:pPr>
            <w:r>
              <w:rPr>
                <w:sz w:val="4"/>
                <w:szCs w:val="4"/>
              </w:rPr>
            </w:r>
          </w:p>
        </w:tc>
        <w:tc>
          <w:tcPr>
            <w:tcW w:w="2695"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2855" w:type="dxa"/>
            <w:tcBorders/>
            <w:shd w:fill="CCEEFF" w:val="clear"/>
            <w:vAlign w:val="center"/>
          </w:tcPr>
          <w:p>
            <w:pPr>
              <w:pStyle w:val="TableContents"/>
              <w:spacing w:before="0" w:after="0"/>
              <w:rPr>
                <w:rFonts w:ascii="Times New Roman" w:hAnsi="Times New Roman"/>
                <w:i/>
                <w:sz w:val="20"/>
              </w:rPr>
            </w:pPr>
            <w:r>
              <w:rPr>
                <w:rFonts w:ascii="Times New Roman" w:hAnsi="Times New Roman"/>
                <w:i/>
                <w:sz w:val="20"/>
              </w:rPr>
              <w:t>Cash Severance</w:t>
            </w:r>
          </w:p>
        </w:tc>
        <w:tc>
          <w:tcPr>
            <w:tcW w:w="120" w:type="dxa"/>
            <w:tcBorders/>
            <w:shd w:fill="CCEEFF" w:val="clear"/>
            <w:vAlign w:val="center"/>
          </w:tcPr>
          <w:p>
            <w:pPr>
              <w:pStyle w:val="TableContents"/>
              <w:spacing w:before="0" w:after="283"/>
              <w:rPr/>
            </w:pPr>
            <w:r>
              <w:rPr/>
              <w:t>  </w:t>
            </w:r>
          </w:p>
        </w:tc>
        <w:tc>
          <w:tcPr>
            <w:tcW w:w="339" w:type="dxa"/>
            <w:tcBorders/>
            <w:shd w:fill="CCEEFF" w:val="clear"/>
            <w:vAlign w:val="center"/>
          </w:tcPr>
          <w:p>
            <w:pPr>
              <w:pStyle w:val="TableContents"/>
              <w:spacing w:before="0" w:after="283"/>
              <w:rPr/>
            </w:pPr>
            <w:r>
              <w:rPr/>
              <w:t>$</w:t>
            </w:r>
          </w:p>
        </w:tc>
        <w:tc>
          <w:tcPr>
            <w:tcW w:w="2666" w:type="dxa"/>
            <w:tcBorders/>
            <w:shd w:fill="CCEEFF" w:val="clear"/>
            <w:vAlign w:val="center"/>
          </w:tcPr>
          <w:p>
            <w:pPr>
              <w:pStyle w:val="TableContents"/>
              <w:spacing w:before="0" w:after="283"/>
              <w:jc w:val="right"/>
              <w:rPr/>
            </w:pPr>
            <w:r>
              <w:rPr/>
              <w:t>450,000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85" w:type="dxa"/>
            <w:tcBorders/>
            <w:shd w:fill="CCEEFF" w:val="clear"/>
            <w:vAlign w:val="center"/>
          </w:tcPr>
          <w:p>
            <w:pPr>
              <w:pStyle w:val="TableContents"/>
              <w:spacing w:before="0" w:after="283"/>
              <w:rPr/>
            </w:pPr>
            <w:r>
              <w:rPr/>
              <w:t>$</w:t>
            </w:r>
          </w:p>
        </w:tc>
        <w:tc>
          <w:tcPr>
            <w:tcW w:w="2695" w:type="dxa"/>
            <w:tcBorders/>
            <w:shd w:fill="CCEEFF" w:val="clear"/>
            <w:vAlign w:val="center"/>
          </w:tcPr>
          <w:p>
            <w:pPr>
              <w:pStyle w:val="TableContents"/>
              <w:spacing w:before="0" w:after="283"/>
              <w:jc w:val="right"/>
              <w:rPr/>
            </w:pPr>
            <w:r>
              <w:rPr/>
              <w:t>300,000</w:t>
            </w:r>
          </w:p>
        </w:tc>
        <w:tc>
          <w:tcPr>
            <w:tcW w:w="75" w:type="dxa"/>
            <w:tcBorders/>
            <w:shd w:fill="CCEEFF" w:val="clear"/>
            <w:vAlign w:val="center"/>
          </w:tcPr>
          <w:p>
            <w:pPr>
              <w:pStyle w:val="TableContents"/>
              <w:spacing w:before="0" w:after="283"/>
              <w:rPr/>
            </w:pPr>
            <w:r>
              <w:rPr/>
              <w:t> </w:t>
            </w:r>
          </w:p>
        </w:tc>
      </w:tr>
      <w:tr>
        <w:trPr/>
        <w:tc>
          <w:tcPr>
            <w:tcW w:w="2855" w:type="dxa"/>
            <w:tcBorders/>
            <w:shd w:fill="CCEEFF" w:val="clear"/>
            <w:vAlign w:val="center"/>
          </w:tcPr>
          <w:p>
            <w:pPr>
              <w:pStyle w:val="TableContents"/>
              <w:spacing w:before="0" w:after="0"/>
              <w:rPr>
                <w:rFonts w:ascii="Times New Roman" w:hAnsi="Times New Roman"/>
                <w:i/>
                <w:sz w:val="20"/>
              </w:rPr>
            </w:pPr>
            <w:r>
              <w:rPr>
                <w:rFonts w:ascii="Times New Roman" w:hAnsi="Times New Roman"/>
                <w:i/>
                <w:sz w:val="20"/>
              </w:rPr>
              <w:t>Option Acceleration</w:t>
            </w:r>
          </w:p>
        </w:tc>
        <w:tc>
          <w:tcPr>
            <w:tcW w:w="120" w:type="dxa"/>
            <w:tcBorders/>
            <w:shd w:fill="CCEEFF" w:val="clear"/>
            <w:vAlign w:val="center"/>
          </w:tcPr>
          <w:p>
            <w:pPr>
              <w:pStyle w:val="TableContents"/>
              <w:spacing w:before="0" w:after="283"/>
              <w:rPr/>
            </w:pPr>
            <w:r>
              <w:rPr/>
              <w:t>  </w:t>
            </w:r>
          </w:p>
        </w:tc>
        <w:tc>
          <w:tcPr>
            <w:tcW w:w="339" w:type="dxa"/>
            <w:tcBorders/>
            <w:shd w:fill="CCEEFF" w:val="clear"/>
            <w:vAlign w:val="center"/>
          </w:tcPr>
          <w:p>
            <w:pPr>
              <w:pStyle w:val="TableContents"/>
              <w:spacing w:before="0" w:after="283"/>
              <w:rPr/>
            </w:pPr>
            <w:r>
              <w:rPr/>
              <w:t>$</w:t>
            </w:r>
          </w:p>
        </w:tc>
        <w:tc>
          <w:tcPr>
            <w:tcW w:w="2666" w:type="dxa"/>
            <w:tcBorders/>
            <w:shd w:fill="CCEEFF" w:val="clear"/>
            <w:vAlign w:val="center"/>
          </w:tcPr>
          <w:p>
            <w:pPr>
              <w:pStyle w:val="TableContents"/>
              <w:spacing w:before="0" w:after="283"/>
              <w:jc w:val="right"/>
              <w:rPr/>
            </w:pPr>
            <w:r>
              <w:rPr/>
              <w:t>961,875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85" w:type="dxa"/>
            <w:tcBorders/>
            <w:shd w:fill="CCEEFF" w:val="clear"/>
            <w:vAlign w:val="center"/>
          </w:tcPr>
          <w:p>
            <w:pPr>
              <w:pStyle w:val="TableContents"/>
              <w:spacing w:before="0" w:after="283"/>
              <w:rPr/>
            </w:pPr>
            <w:r>
              <w:rPr/>
              <w:t>$</w:t>
            </w:r>
          </w:p>
        </w:tc>
        <w:tc>
          <w:tcPr>
            <w:tcW w:w="2695" w:type="dxa"/>
            <w:tcBorders/>
            <w:shd w:fill="CCEEFF" w:val="clear"/>
            <w:vAlign w:val="center"/>
          </w:tcPr>
          <w:p>
            <w:pPr>
              <w:pStyle w:val="TableContents"/>
              <w:spacing w:before="0" w:after="283"/>
              <w:jc w:val="right"/>
              <w:rPr/>
            </w:pPr>
            <w:r>
              <w:rPr/>
              <w:t>230,850</w:t>
            </w:r>
          </w:p>
        </w:tc>
        <w:tc>
          <w:tcPr>
            <w:tcW w:w="75" w:type="dxa"/>
            <w:tcBorders/>
            <w:shd w:fill="CCEEFF" w:val="clear"/>
            <w:vAlign w:val="center"/>
          </w:tcPr>
          <w:p>
            <w:pPr>
              <w:pStyle w:val="TableContents"/>
              <w:spacing w:before="0" w:after="283"/>
              <w:rPr/>
            </w:pPr>
            <w:r>
              <w:rPr/>
              <w:t> </w:t>
            </w:r>
          </w:p>
        </w:tc>
      </w:tr>
      <w:tr>
        <w:trPr/>
        <w:tc>
          <w:tcPr>
            <w:tcW w:w="2855" w:type="dxa"/>
            <w:tcBorders/>
            <w:shd w:fill="CCEEFF" w:val="clear"/>
            <w:vAlign w:val="center"/>
          </w:tcPr>
          <w:p>
            <w:pPr>
              <w:pStyle w:val="TableContents"/>
              <w:spacing w:before="0" w:after="0"/>
              <w:rPr>
                <w:rFonts w:ascii="Times New Roman" w:hAnsi="Times New Roman"/>
                <w:i/>
                <w:sz w:val="20"/>
              </w:rPr>
            </w:pPr>
            <w:r>
              <w:rPr>
                <w:rFonts w:ascii="Times New Roman" w:hAnsi="Times New Roman"/>
                <w:i/>
                <w:sz w:val="20"/>
              </w:rPr>
              <w:t>Restricted Stock Unit Acceleration</w:t>
            </w:r>
          </w:p>
        </w:tc>
        <w:tc>
          <w:tcPr>
            <w:tcW w:w="120" w:type="dxa"/>
            <w:tcBorders/>
            <w:shd w:fill="CCEEFF" w:val="clear"/>
            <w:vAlign w:val="center"/>
          </w:tcPr>
          <w:p>
            <w:pPr>
              <w:pStyle w:val="TableContents"/>
              <w:spacing w:before="0" w:after="283"/>
              <w:rPr/>
            </w:pPr>
            <w:r>
              <w:rPr/>
              <w:t>  </w:t>
            </w:r>
          </w:p>
        </w:tc>
        <w:tc>
          <w:tcPr>
            <w:tcW w:w="339" w:type="dxa"/>
            <w:tcBorders/>
            <w:shd w:fill="CCEEFF" w:val="clear"/>
            <w:vAlign w:val="center"/>
          </w:tcPr>
          <w:p>
            <w:pPr>
              <w:pStyle w:val="TableContents"/>
              <w:spacing w:before="0" w:after="283"/>
              <w:rPr/>
            </w:pPr>
            <w:r>
              <w:rPr/>
              <w:t>$</w:t>
            </w:r>
          </w:p>
        </w:tc>
        <w:tc>
          <w:tcPr>
            <w:tcW w:w="2666" w:type="dxa"/>
            <w:tcBorders/>
            <w:shd w:fill="CCEEFF" w:val="clear"/>
            <w:vAlign w:val="center"/>
          </w:tcPr>
          <w:p>
            <w:pPr>
              <w:pStyle w:val="TableContents"/>
              <w:spacing w:before="0" w:after="283"/>
              <w:jc w:val="right"/>
              <w:rPr/>
            </w:pPr>
            <w:r>
              <w:rPr/>
              <w:t>3,083,685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85" w:type="dxa"/>
            <w:tcBorders/>
            <w:shd w:fill="CCEEFF" w:val="clear"/>
            <w:vAlign w:val="center"/>
          </w:tcPr>
          <w:p>
            <w:pPr>
              <w:pStyle w:val="TableContents"/>
              <w:spacing w:before="0" w:after="283"/>
              <w:rPr/>
            </w:pPr>
            <w:r>
              <w:rPr/>
              <w:t>$</w:t>
            </w:r>
          </w:p>
        </w:tc>
        <w:tc>
          <w:tcPr>
            <w:tcW w:w="2695" w:type="dxa"/>
            <w:tcBorders/>
            <w:shd w:fill="CCEEFF" w:val="clear"/>
            <w:vAlign w:val="center"/>
          </w:tcPr>
          <w:p>
            <w:pPr>
              <w:pStyle w:val="TableContents"/>
              <w:spacing w:before="0" w:after="283"/>
              <w:jc w:val="right"/>
              <w:rPr/>
            </w:pPr>
            <w:r>
              <w:rPr/>
              <w:t>963,604</w:t>
            </w:r>
          </w:p>
        </w:tc>
        <w:tc>
          <w:tcPr>
            <w:tcW w:w="75" w:type="dxa"/>
            <w:tcBorders/>
            <w:shd w:fill="CCEEFF" w:val="clear"/>
            <w:vAlign w:val="center"/>
          </w:tcPr>
          <w:p>
            <w:pPr>
              <w:pStyle w:val="TableContents"/>
              <w:spacing w:before="0" w:after="283"/>
              <w:rPr/>
            </w:pPr>
            <w:r>
              <w:rPr/>
              <w:t> </w:t>
            </w:r>
          </w:p>
        </w:tc>
      </w:tr>
      <w:tr>
        <w:trPr/>
        <w:tc>
          <w:tcPr>
            <w:tcW w:w="2855" w:type="dxa"/>
            <w:tcBorders/>
            <w:shd w:fill="CCEEFF" w:val="clear"/>
            <w:vAlign w:val="center"/>
          </w:tcPr>
          <w:p>
            <w:pPr>
              <w:pStyle w:val="TableContents"/>
              <w:spacing w:before="0" w:after="0"/>
              <w:rPr>
                <w:rFonts w:ascii="Times New Roman" w:hAnsi="Times New Roman"/>
                <w:i/>
                <w:sz w:val="20"/>
              </w:rPr>
            </w:pPr>
            <w:r>
              <w:rPr>
                <w:rFonts w:ascii="Times New Roman" w:hAnsi="Times New Roman"/>
                <w:i/>
                <w:sz w:val="20"/>
              </w:rPr>
              <w:t>Benefit Continuation</w:t>
            </w:r>
          </w:p>
        </w:tc>
        <w:tc>
          <w:tcPr>
            <w:tcW w:w="120" w:type="dxa"/>
            <w:tcBorders/>
            <w:shd w:fill="CCEEFF" w:val="clear"/>
            <w:vAlign w:val="center"/>
          </w:tcPr>
          <w:p>
            <w:pPr>
              <w:pStyle w:val="TableContents"/>
              <w:spacing w:before="0" w:after="283"/>
              <w:rPr/>
            </w:pPr>
            <w:r>
              <w:rPr/>
              <w:t>  </w:t>
            </w:r>
          </w:p>
        </w:tc>
        <w:tc>
          <w:tcPr>
            <w:tcW w:w="339" w:type="dxa"/>
            <w:tcBorders/>
            <w:shd w:fill="CCEEFF" w:val="clear"/>
            <w:vAlign w:val="center"/>
          </w:tcPr>
          <w:p>
            <w:pPr>
              <w:pStyle w:val="TableContents"/>
              <w:spacing w:before="0" w:after="283"/>
              <w:rPr/>
            </w:pPr>
            <w:r>
              <w:rPr/>
              <w:t>$</w:t>
            </w:r>
          </w:p>
        </w:tc>
        <w:tc>
          <w:tcPr>
            <w:tcW w:w="2666" w:type="dxa"/>
            <w:tcBorders/>
            <w:shd w:fill="CCEEFF" w:val="clear"/>
            <w:vAlign w:val="center"/>
          </w:tcPr>
          <w:p>
            <w:pPr>
              <w:pStyle w:val="TableContents"/>
              <w:spacing w:before="0" w:after="283"/>
              <w:jc w:val="right"/>
              <w:rPr/>
            </w:pPr>
            <w:r>
              <w:rPr/>
              <w:t>28,208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85" w:type="dxa"/>
            <w:tcBorders/>
            <w:shd w:fill="CCEEFF" w:val="clear"/>
            <w:vAlign w:val="center"/>
          </w:tcPr>
          <w:p>
            <w:pPr>
              <w:pStyle w:val="TableContents"/>
              <w:spacing w:before="0" w:after="283"/>
              <w:rPr/>
            </w:pPr>
            <w:r>
              <w:rPr/>
              <w:t>$</w:t>
            </w:r>
          </w:p>
        </w:tc>
        <w:tc>
          <w:tcPr>
            <w:tcW w:w="2695" w:type="dxa"/>
            <w:tcBorders/>
            <w:shd w:fill="CCEEFF" w:val="clear"/>
            <w:vAlign w:val="center"/>
          </w:tcPr>
          <w:p>
            <w:pPr>
              <w:pStyle w:val="TableContents"/>
              <w:spacing w:before="0" w:after="283"/>
              <w:jc w:val="right"/>
              <w:rPr/>
            </w:pPr>
            <w:r>
              <w:rPr/>
              <w:t>14,104</w:t>
            </w:r>
          </w:p>
        </w:tc>
        <w:tc>
          <w:tcPr>
            <w:tcW w:w="75" w:type="dxa"/>
            <w:tcBorders/>
            <w:shd w:fill="CCEEFF" w:val="clear"/>
            <w:vAlign w:val="center"/>
          </w:tcPr>
          <w:p>
            <w:pPr>
              <w:pStyle w:val="TableContents"/>
              <w:spacing w:before="0" w:after="283"/>
              <w:rPr/>
            </w:pPr>
            <w:r>
              <w:rPr/>
              <w:t> </w:t>
            </w:r>
          </w:p>
        </w:tc>
      </w:tr>
      <w:tr>
        <w:trPr/>
        <w:tc>
          <w:tcPr>
            <w:tcW w:w="2855" w:type="dxa"/>
            <w:tcBorders/>
            <w:shd w:fill="CCEEFF" w:val="clear"/>
            <w:vAlign w:val="center"/>
          </w:tcPr>
          <w:p>
            <w:pPr>
              <w:pStyle w:val="TableContents"/>
              <w:spacing w:before="0" w:after="0"/>
              <w:rPr>
                <w:rFonts w:ascii="Times New Roman" w:hAnsi="Times New Roman"/>
                <w:i/>
                <w:sz w:val="20"/>
              </w:rPr>
            </w:pPr>
            <w:r>
              <w:rPr>
                <w:rFonts w:ascii="Times New Roman" w:hAnsi="Times New Roman"/>
                <w:i/>
                <w:sz w:val="20"/>
              </w:rPr>
              <w:t>Total Value</w:t>
            </w:r>
          </w:p>
        </w:tc>
        <w:tc>
          <w:tcPr>
            <w:tcW w:w="120" w:type="dxa"/>
            <w:tcBorders/>
            <w:shd w:fill="CCEEFF" w:val="clear"/>
            <w:vAlign w:val="center"/>
          </w:tcPr>
          <w:p>
            <w:pPr>
              <w:pStyle w:val="TableContents"/>
              <w:spacing w:before="0" w:after="283"/>
              <w:rPr/>
            </w:pPr>
            <w:r>
              <w:rPr/>
              <w:t>  </w:t>
            </w:r>
          </w:p>
        </w:tc>
        <w:tc>
          <w:tcPr>
            <w:tcW w:w="339" w:type="dxa"/>
            <w:tcBorders/>
            <w:shd w:fill="CCEEFF" w:val="clear"/>
            <w:vAlign w:val="center"/>
          </w:tcPr>
          <w:p>
            <w:pPr>
              <w:pStyle w:val="TableContents"/>
              <w:spacing w:before="0" w:after="283"/>
              <w:rPr/>
            </w:pPr>
            <w:r>
              <w:rPr/>
              <w:t>$</w:t>
            </w:r>
          </w:p>
        </w:tc>
        <w:tc>
          <w:tcPr>
            <w:tcW w:w="2666" w:type="dxa"/>
            <w:tcBorders/>
            <w:shd w:fill="CCEEFF" w:val="clear"/>
            <w:vAlign w:val="center"/>
          </w:tcPr>
          <w:p>
            <w:pPr>
              <w:pStyle w:val="TableContents"/>
              <w:spacing w:before="0" w:after="283"/>
              <w:jc w:val="right"/>
              <w:rPr/>
            </w:pPr>
            <w:r>
              <w:rPr/>
              <w:t>4,523,768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85" w:type="dxa"/>
            <w:tcBorders/>
            <w:shd w:fill="CCEEFF" w:val="clear"/>
            <w:vAlign w:val="center"/>
          </w:tcPr>
          <w:p>
            <w:pPr>
              <w:pStyle w:val="TableContents"/>
              <w:spacing w:before="0" w:after="283"/>
              <w:rPr/>
            </w:pPr>
            <w:r>
              <w:rPr/>
              <w:t>$</w:t>
            </w:r>
          </w:p>
        </w:tc>
        <w:tc>
          <w:tcPr>
            <w:tcW w:w="2695" w:type="dxa"/>
            <w:tcBorders/>
            <w:shd w:fill="CCEEFF" w:val="clear"/>
            <w:vAlign w:val="center"/>
          </w:tcPr>
          <w:p>
            <w:pPr>
              <w:pStyle w:val="TableContents"/>
              <w:spacing w:before="0" w:after="283"/>
              <w:jc w:val="right"/>
              <w:rPr/>
            </w:pPr>
            <w:r>
              <w:rPr/>
              <w:t>1,508,558</w:t>
            </w:r>
          </w:p>
        </w:tc>
        <w:tc>
          <w:tcPr>
            <w:tcW w:w="75" w:type="dxa"/>
            <w:tcBorders/>
            <w:shd w:fill="CCEEFF"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254"/>
        <w:gridCol w:w="9951"/>
      </w:tblGrid>
      <w:tr>
        <w:trPr/>
        <w:tc>
          <w:tcPr>
            <w:tcW w:w="254" w:type="dxa"/>
            <w:tcBorders/>
            <w:shd w:fill="auto" w:val="clear"/>
            <w:vAlign w:val="center"/>
          </w:tcPr>
          <w:p>
            <w:pPr>
              <w:pStyle w:val="TableContents"/>
              <w:spacing w:before="0" w:after="283"/>
              <w:jc w:val="left"/>
              <w:rPr/>
            </w:pPr>
            <w:r>
              <w:rPr/>
              <w:t>(1)</w:t>
            </w:r>
          </w:p>
        </w:tc>
        <w:tc>
          <w:tcPr>
            <w:tcW w:w="995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Pursuant to their employment agreements, if we terminate the employment of any of our NEOs without Cause (as defined below) or if such executive Resigns for Good Reason (as defined below) in a Change of Control Window, then, subject to them executing and not revoking a release of claims against us, such NEO will be eligible to receive:</w:t>
            </w:r>
            <w:r>
              <w:rPr>
                <w:rFonts w:ascii="Times New Roman" w:hAnsi="Times New Roman"/>
                <w:sz w:val="20"/>
                <w:u w:val="single"/>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85"/>
        <w:gridCol w:w="9945"/>
      </w:tblGrid>
      <w:tr>
        <w:trPr/>
        <w:tc>
          <w:tcPr>
            <w:tcW w:w="75"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jc w:val="left"/>
              <w:rPr/>
            </w:pPr>
            <w:r>
              <w:rPr/>
              <w:t>a.</w:t>
            </w:r>
          </w:p>
        </w:tc>
        <w:tc>
          <w:tcPr>
            <w:tcW w:w="99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lump sum cash payment equal to one (1) (one and one-half (1.5) in the case of Mr. Massaro) multiplied by the sum of (1) his then current base salary and (2) his annual target bonus; </w:t>
            </w:r>
          </w:p>
        </w:tc>
      </w:tr>
    </w:tbl>
    <w:p>
      <w:pPr>
        <w:pStyle w:val="TextBody"/>
        <w:spacing w:before="0" w:after="0"/>
        <w:jc w:val="left"/>
        <w:rPr/>
      </w:pPr>
      <w:r>
        <w:rPr/>
        <w:t> </w:t>
      </w:r>
    </w:p>
    <w:tbl>
      <w:tblPr>
        <w:tblW w:w="9445" w:type="dxa"/>
        <w:jc w:val="left"/>
        <w:tblInd w:w="0" w:type="dxa"/>
        <w:tblCellMar>
          <w:top w:w="0" w:type="dxa"/>
          <w:left w:w="0" w:type="dxa"/>
          <w:bottom w:w="0" w:type="dxa"/>
          <w:right w:w="0" w:type="dxa"/>
        </w:tblCellMar>
      </w:tblPr>
      <w:tblGrid>
        <w:gridCol w:w="75"/>
        <w:gridCol w:w="200"/>
        <w:gridCol w:w="9170"/>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pPr>
            <w:r>
              <w:rPr/>
              <w:t>b.</w:t>
            </w:r>
          </w:p>
        </w:tc>
        <w:tc>
          <w:tcPr>
            <w:tcW w:w="91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payment of COBRA continuation premiums for up to 12 months (18 months in the case of Mr. Massaro);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85"/>
        <w:gridCol w:w="9945"/>
      </w:tblGrid>
      <w:tr>
        <w:trPr/>
        <w:tc>
          <w:tcPr>
            <w:tcW w:w="75"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jc w:val="left"/>
              <w:rPr/>
            </w:pPr>
            <w:r>
              <w:rPr/>
              <w:t>c.</w:t>
            </w:r>
          </w:p>
        </w:tc>
        <w:tc>
          <w:tcPr>
            <w:tcW w:w="99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any unvested option shares and equity awards that are subject to time-based vesting shall be vested in full and non-forfeitable; provided, that, with respect to Messrs. Massaro, Orgel and Ellis, in the event that, prior to such termination, any unvested options held by the executive were terminated without payment upon the closing of the change in control, then, in lieu of the acceleration of such vesting , the executive shall receive a cash payment equal in value to the difference between (i) the amount payable per share in the change in control, multiplied by the number of option shares that would have been accelerated and (ii) the aggregate exercise price of such shares. Solely with respect to Mr. Orgel’s stock options that were outstanding as of May 28, 2021, Mr. Orgel may exercise such vested options for up to 12 months following a termination without Cause or his Resignation for Good Reason in connection with a change in control provided that no such exercise period shall extend beyond the applicable extension date of such options.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7"/>
        <w:gridCol w:w="9948"/>
      </w:tblGrid>
      <w:tr>
        <w:trPr/>
        <w:tc>
          <w:tcPr>
            <w:tcW w:w="257" w:type="dxa"/>
            <w:tcBorders/>
            <w:shd w:fill="auto" w:val="clear"/>
            <w:vAlign w:val="center"/>
          </w:tcPr>
          <w:p>
            <w:pPr>
              <w:pStyle w:val="TableContents"/>
              <w:spacing w:before="0" w:after="283"/>
              <w:jc w:val="left"/>
              <w:rPr/>
            </w:pPr>
            <w:r>
              <w:rPr/>
              <w:t>(2)</w:t>
            </w:r>
          </w:p>
        </w:tc>
        <w:tc>
          <w:tcPr>
            <w:tcW w:w="994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Pursuant to their employment agreements, if we terminate the employment of any of our NEOs without Cause or if such executive Resigns for Good Reason outside of a Change in Control Window, then, subject to them executing and not revoking a release of claims against us, such NEO will be eligible to receive: </w:t>
            </w:r>
          </w:p>
        </w:tc>
      </w:tr>
    </w:tbl>
    <w:p>
      <w:pPr>
        <w:pStyle w:val="TextBody"/>
        <w:spacing w:before="0" w:after="0"/>
        <w:jc w:val="left"/>
        <w:rPr/>
      </w:pPr>
      <w:r>
        <w:rPr/>
        <w:t> </w:t>
      </w:r>
    </w:p>
    <w:tbl>
      <w:tblPr>
        <w:tblW w:w="9790" w:type="dxa"/>
        <w:jc w:val="left"/>
        <w:tblInd w:w="0" w:type="dxa"/>
        <w:tblCellMar>
          <w:top w:w="0" w:type="dxa"/>
          <w:left w:w="0" w:type="dxa"/>
          <w:bottom w:w="0" w:type="dxa"/>
          <w:right w:w="0" w:type="dxa"/>
        </w:tblCellMar>
      </w:tblPr>
      <w:tblGrid>
        <w:gridCol w:w="75"/>
        <w:gridCol w:w="185"/>
        <w:gridCol w:w="9530"/>
      </w:tblGrid>
      <w:tr>
        <w:trPr/>
        <w:tc>
          <w:tcPr>
            <w:tcW w:w="75"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jc w:val="left"/>
              <w:rPr/>
            </w:pPr>
            <w:r>
              <w:rPr/>
              <w:t>a.</w:t>
            </w:r>
          </w:p>
        </w:tc>
        <w:tc>
          <w:tcPr>
            <w:tcW w:w="95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salary continuation at his then current base salary for the applicable continuation period following such termination;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00"/>
        <w:gridCol w:w="9930"/>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pPr>
            <w:r>
              <w:rPr/>
              <w:t>b.</w:t>
            </w:r>
          </w:p>
        </w:tc>
        <w:tc>
          <w:tcPr>
            <w:tcW w:w="99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lump sum payment equal to his accrued and unpaid annual bonus if he or she is terminated after the end of a fiscal year, but prior to payment of such bonus;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85"/>
        <w:gridCol w:w="9945"/>
      </w:tblGrid>
      <w:tr>
        <w:trPr/>
        <w:tc>
          <w:tcPr>
            <w:tcW w:w="75"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jc w:val="left"/>
              <w:rPr/>
            </w:pPr>
            <w:r>
              <w:rPr/>
              <w:t>c.</w:t>
            </w:r>
          </w:p>
        </w:tc>
        <w:tc>
          <w:tcPr>
            <w:tcW w:w="99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 the case of Messrs. Massaro and Orgel, an additional six months of vesting with respect to any outstanding equity awards; and </w:t>
            </w:r>
          </w:p>
        </w:tc>
      </w:tr>
    </w:tbl>
    <w:p>
      <w:pPr>
        <w:pStyle w:val="TextBody"/>
        <w:spacing w:before="0" w:after="0"/>
        <w:jc w:val="left"/>
        <w:rPr/>
      </w:pPr>
      <w:r>
        <w:rPr/>
        <w:t> </w:t>
      </w:r>
    </w:p>
    <w:tbl>
      <w:tblPr>
        <w:tblW w:w="7405" w:type="dxa"/>
        <w:jc w:val="left"/>
        <w:tblInd w:w="0" w:type="dxa"/>
        <w:tblCellMar>
          <w:top w:w="0" w:type="dxa"/>
          <w:left w:w="0" w:type="dxa"/>
          <w:bottom w:w="0" w:type="dxa"/>
          <w:right w:w="0" w:type="dxa"/>
        </w:tblCellMar>
      </w:tblPr>
      <w:tblGrid>
        <w:gridCol w:w="75"/>
        <w:gridCol w:w="200"/>
        <w:gridCol w:w="7130"/>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pPr>
            <w:r>
              <w:rPr/>
              <w:t>d.</w:t>
            </w:r>
          </w:p>
        </w:tc>
        <w:tc>
          <w:tcPr>
            <w:tcW w:w="71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payment of COBRA continuation premiums for the applicable continuation period. </w:t>
            </w:r>
          </w:p>
        </w:tc>
      </w:tr>
    </w:tbl>
    <w:p>
      <w:pPr>
        <w:pStyle w:val="TextBody"/>
        <w:spacing w:before="120" w:after="0"/>
        <w:jc w:val="left"/>
        <w:rPr>
          <w:rFonts w:ascii="Times New Roman" w:hAnsi="Times New Roman"/>
          <w:sz w:val="20"/>
        </w:rPr>
      </w:pPr>
      <w:r>
        <w:rPr>
          <w:rFonts w:ascii="Times New Roman" w:hAnsi="Times New Roman"/>
          <w:sz w:val="20"/>
        </w:rPr>
        <w:t>The applicable continuation period is (i) six months for Ms. Butler and Mr. King, (ii) nine months for Messrs. Orgel and Ellis, and (iii) 12 months for Mr. Massaro.</w:t>
      </w:r>
    </w:p>
    <w:p>
      <w:pPr>
        <w:pStyle w:val="TextBody"/>
        <w:spacing w:before="240" w:after="0"/>
        <w:jc w:val="left"/>
        <w:rPr/>
      </w:pPr>
      <w:r>
        <w:rPr/>
        <w:t>“</w:t>
      </w:r>
      <w:r>
        <w:rPr>
          <w:rFonts w:ascii="Times New Roman" w:hAnsi="Times New Roman"/>
          <w:sz w:val="20"/>
        </w:rPr>
        <w:t>Cause” is defined in the employment agreements as (i) a material failure by the executive to comply with our written policies or rules after being provided written notice and failing to remedy such failure within 30 days after such notice; (ii) the executive’s conviction of, or plea of guilty or no contest to, a crime involving moral turpitude, deceit, dishonesty or fraud that has caused harm to us or any affiliate of ours; (iii) the executive’s willful and continued failure to substantially perform (other than by reason of disability) his duties and responsibilities assigned or delegated after receiving written notification of such failure from our board of directors and failing to remedy such failure within 30 days after such notice; (iv) any intentional act of dishonesty, deceit, fraud, moral turpitude, misconduct, breach of trust or acts intentionally against the financial or business interests of Flywire by the executive, or his use or possession of illegal drugs in the workplace; (v) the material breach by the executive of any of his obligations under any agreement between him and us after being provided written notice and failing to remedy such failure within 30 days after such notice; or (vi) the executive’s failure to cooperate in good faith with a governmental or internal investigation of Flywire or its directors, officers or employees, if we have requested his cooperation</w:t>
      </w:r>
      <w:r>
        <w:rPr>
          <w:rFonts w:ascii="Times New Roman" w:hAnsi="Times New Roman"/>
          <w:b/>
          <w:sz w:val="20"/>
        </w:rPr>
        <w:t>.</w:t>
      </w:r>
      <w:r>
        <w:rPr>
          <w:rFonts w:ascii="Times New Roman" w:hAnsi="Times New Roman"/>
          <w:sz w:val="20"/>
        </w:rPr>
        <w:t xml:space="preserve"> Notwithstanding the foregoing, no act, or failure to act, will be deemed willful or intentional if done or omitted to be done by the executive in good faith with a reasonable belief that his act, or failure to act, was in the best interest of Flywire.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pPr>
      <w:r>
        <w:rPr/>
        <w:t>“</w:t>
      </w:r>
      <w:r>
        <w:rPr>
          <w:rFonts w:ascii="Times New Roman" w:hAnsi="Times New Roman"/>
          <w:sz w:val="20"/>
        </w:rPr>
        <w:t xml:space="preserve">Resignation for Good Reason” is defined in the employment agreement as a separation as a result of the executive resigning within 12 months after one of the following conditions has come into existence without his written consent: (i) a material diminution in the executive’s compensation (except for across-the-board reductions affecting our similarly situated employees generally); (ii) a material diminution in the executive’s title, duties, authority and responsibilities within Flywire; (iii) the relocation of the executive’s principal workplace by more than 50 miles away from the location which he was working immediately prior to the required relocation without his prior consent; or (iv) a material breach of our obligation under any agreement between us and the executive. A Resignation for Good Reason shall not be deemed to have occurred unless the executive gives our written notice of the condition within 60 days after the condition comes into existence and we fail to remedy the condition within 30 days after receiving his written notice. </w:t>
      </w:r>
    </w:p>
    <w:p>
      <w:pPr>
        <w:pStyle w:val="TextBody"/>
        <w:spacing w:before="360" w:after="0"/>
        <w:jc w:val="left"/>
        <w:rPr>
          <w:rFonts w:ascii="Times New Roman" w:hAnsi="Times New Roman"/>
          <w:b/>
          <w:sz w:val="20"/>
        </w:rPr>
      </w:pPr>
      <w:r>
        <w:rPr>
          <w:rFonts w:ascii="Times New Roman" w:hAnsi="Times New Roman"/>
          <w:b/>
          <w:sz w:val="20"/>
        </w:rPr>
        <w:t xml:space="preserve">Pay Ratio Disclosure </w:t>
      </w:r>
    </w:p>
    <w:p>
      <w:pPr>
        <w:pStyle w:val="TextBody"/>
        <w:spacing w:before="120" w:after="0"/>
        <w:jc w:val="left"/>
        <w:rPr>
          <w:rFonts w:ascii="Times New Roman" w:hAnsi="Times New Roman"/>
          <w:sz w:val="20"/>
        </w:rPr>
      </w:pPr>
      <w:r>
        <w:rPr>
          <w:rFonts w:ascii="Times New Roman" w:hAnsi="Times New Roman"/>
          <w:sz w:val="20"/>
        </w:rPr>
        <w:t xml:space="preserve">As required by the Dodd-Frank Act and applicable SEC rules, we are providing the following information about the relationship of the annual total compensation of our employees and the annual total compensation of Michael Massaro, our Chief Executive Officer. </w:t>
      </w:r>
    </w:p>
    <w:p>
      <w:pPr>
        <w:pStyle w:val="TextBody"/>
        <w:spacing w:before="240" w:after="0"/>
        <w:jc w:val="left"/>
        <w:rPr>
          <w:rFonts w:ascii="Times New Roman" w:hAnsi="Times New Roman"/>
          <w:sz w:val="20"/>
        </w:rPr>
      </w:pPr>
      <w:r>
        <w:rPr>
          <w:rFonts w:ascii="Times New Roman" w:hAnsi="Times New Roman"/>
          <w:sz w:val="20"/>
        </w:rPr>
        <w:t xml:space="preserve">For our Fiscal 2022: </w:t>
      </w:r>
    </w:p>
    <w:p>
      <w:pPr>
        <w:pStyle w:val="TextBody"/>
        <w:spacing w:before="0" w:after="0"/>
        <w:jc w:val="left"/>
        <w:rPr/>
      </w:pPr>
      <w:r>
        <w:rPr/>
        <w:t> </w:t>
      </w:r>
    </w:p>
    <w:tbl>
      <w:tblPr>
        <w:tblW w:w="8695" w:type="dxa"/>
        <w:jc w:val="left"/>
        <w:tblInd w:w="0" w:type="dxa"/>
        <w:tblCellMar>
          <w:top w:w="0" w:type="dxa"/>
          <w:left w:w="0" w:type="dxa"/>
          <w:bottom w:w="0" w:type="dxa"/>
          <w:right w:w="0" w:type="dxa"/>
        </w:tblCellMar>
      </w:tblPr>
      <w:tblGrid>
        <w:gridCol w:w="75"/>
        <w:gridCol w:w="110"/>
        <w:gridCol w:w="60"/>
        <w:gridCol w:w="84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4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median of the annual total compensation of all employees (other than our CEO) was $176,256;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annual total compensation of our CEO, as reported in the 2022 Summary Compensation Table included elsewhere in this Proxy Statement, was $7,070,696. </w:t>
            </w:r>
          </w:p>
        </w:tc>
      </w:tr>
    </w:tbl>
    <w:p>
      <w:pPr>
        <w:pStyle w:val="TextBody"/>
        <w:spacing w:before="240" w:after="0"/>
        <w:jc w:val="left"/>
        <w:rPr>
          <w:rFonts w:ascii="Times New Roman" w:hAnsi="Times New Roman"/>
          <w:sz w:val="20"/>
        </w:rPr>
      </w:pPr>
      <w:r>
        <w:rPr>
          <w:rFonts w:ascii="Times New Roman" w:hAnsi="Times New Roman"/>
          <w:sz w:val="20"/>
        </w:rPr>
        <w:t xml:space="preserve">Based on this information the ratio of the annual total compensation of our CEO to the median of the annual total compensation of our employees was 40 to 1. </w:t>
      </w:r>
    </w:p>
    <w:p>
      <w:pPr>
        <w:pStyle w:val="TextBody"/>
        <w:spacing w:before="240" w:after="0"/>
        <w:jc w:val="left"/>
        <w:rPr>
          <w:rFonts w:ascii="Times New Roman" w:hAnsi="Times New Roman"/>
          <w:sz w:val="20"/>
        </w:rPr>
      </w:pPr>
      <w:r>
        <w:rPr>
          <w:rFonts w:ascii="Times New Roman" w:hAnsi="Times New Roman"/>
          <w:sz w:val="20"/>
        </w:rPr>
        <w:t xml:space="preserve">The above ratio is appropriately viewed as an estimate. To identify the median of the annual compensation of our employees, we reviewed the base salary, bonuses, incentives, other compensation and long-term incentive compensation grants of our U.S. and non-U.S. employees as of December 31, 2022. Out of our approximately 1,000 employees, approximately 526 of our employees are located outside of the U.S. Once we identified our median employee, using the methodology described above, we determined that employee’s annual total compensation in accordance with the requirements of Item 402(c)(2)(x) of Regulation S-K for purposes of calculating the required pay ratio.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Pay Versus Performance </w:t>
      </w:r>
    </w:p>
    <w:p>
      <w:pPr>
        <w:pStyle w:val="TextBody"/>
        <w:spacing w:before="120" w:after="0"/>
        <w:jc w:val="left"/>
        <w:rPr>
          <w:rFonts w:ascii="Times New Roman" w:hAnsi="Times New Roman"/>
          <w:sz w:val="20"/>
        </w:rPr>
      </w:pPr>
      <w:r>
        <w:rPr>
          <w:rFonts w:ascii="Times New Roman" w:hAnsi="Times New Roman"/>
          <w:sz w:val="20"/>
        </w:rPr>
        <w:t xml:space="preserve">As required by applicable SEC rules, we are providing the </w:t>
      </w:r>
    </w:p>
    <w:p>
      <w:pPr>
        <w:pStyle w:val="TextBody"/>
        <w:spacing w:before="120" w:after="0"/>
        <w:jc w:val="left"/>
        <w:rPr>
          <w:rFonts w:ascii="Times New Roman" w:hAnsi="Times New Roman"/>
          <w:sz w:val="20"/>
        </w:rPr>
      </w:pPr>
      <w:r>
        <w:rPr>
          <w:rFonts w:ascii="Times New Roman" w:hAnsi="Times New Roman"/>
          <w:sz w:val="20"/>
        </w:rPr>
        <w:t xml:space="preserve">following </w:t>
      </w:r>
    </w:p>
    <w:p>
      <w:pPr>
        <w:pStyle w:val="TextBody"/>
        <w:spacing w:before="120" w:after="0"/>
        <w:jc w:val="left"/>
        <w:rPr>
          <w:rFonts w:ascii="Times New Roman" w:hAnsi="Times New Roman"/>
          <w:sz w:val="20"/>
        </w:rPr>
      </w:pPr>
      <w:r>
        <w:rPr>
          <w:rFonts w:ascii="Times New Roman" w:hAnsi="Times New Roman"/>
          <w:sz w:val="20"/>
        </w:rPr>
        <w:t xml:space="preserve">information about the relationship of compensation actually paid to our principal executive officer (PEO) and other NEOs and our, and certain of our peers’, performance. For further information concerning our </w:t>
      </w:r>
    </w:p>
    <w:p>
      <w:pPr>
        <w:pStyle w:val="TextBody"/>
        <w:spacing w:before="120" w:after="0"/>
        <w:jc w:val="left"/>
        <w:rPr>
          <w:rFonts w:ascii="Times New Roman" w:hAnsi="Times New Roman"/>
          <w:spacing w:val="0"/>
          <w:sz w:val="20"/>
        </w:rPr>
      </w:pPr>
      <w:r>
        <w:rPr>
          <w:rFonts w:ascii="Times New Roman" w:hAnsi="Times New Roman"/>
          <w:spacing w:val="0"/>
          <w:sz w:val="20"/>
        </w:rPr>
        <w:t>pay-for-performance</w:t>
      </w:r>
    </w:p>
    <w:p>
      <w:pPr>
        <w:pStyle w:val="TextBody"/>
        <w:spacing w:before="120" w:after="0"/>
        <w:jc w:val="left"/>
        <w:rPr>
          <w:rFonts w:ascii="Times New Roman" w:hAnsi="Times New Roman"/>
          <w:sz w:val="20"/>
        </w:rPr>
      </w:pPr>
      <w:r>
        <w:rPr>
          <w:rFonts w:ascii="Times New Roman" w:hAnsi="Times New Roman"/>
          <w:sz w:val="20"/>
        </w:rPr>
        <w:t xml:space="preserve">philosophy and how our executive compensation aligns with our performance, refer to “Executive Compensation – Compensation Discussion and Analysis” above.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Pay Versus Performance Table </w:t>
      </w:r>
    </w:p>
    <w:p>
      <w:pPr>
        <w:pStyle w:val="TextBody"/>
        <w:spacing w:before="0" w:after="0"/>
        <w:jc w:val="left"/>
        <w:rPr/>
      </w:pPr>
      <w:r>
        <w:rPr/>
        <w:t> </w:t>
      </w:r>
    </w:p>
    <w:tbl>
      <w:tblPr>
        <w:tblW w:w="11968" w:type="dxa"/>
        <w:jc w:val="left"/>
        <w:tblInd w:w="0" w:type="dxa"/>
        <w:tblCellMar>
          <w:top w:w="0" w:type="dxa"/>
          <w:left w:w="0" w:type="dxa"/>
          <w:bottom w:w="0" w:type="dxa"/>
          <w:right w:w="0" w:type="dxa"/>
        </w:tblCellMar>
      </w:tblPr>
      <w:tblGrid>
        <w:gridCol w:w="455"/>
        <w:gridCol w:w="60"/>
        <w:gridCol w:w="186"/>
        <w:gridCol w:w="1304"/>
        <w:gridCol w:w="60"/>
        <w:gridCol w:w="60"/>
        <w:gridCol w:w="158"/>
        <w:gridCol w:w="1332"/>
        <w:gridCol w:w="155"/>
        <w:gridCol w:w="60"/>
        <w:gridCol w:w="186"/>
        <w:gridCol w:w="1304"/>
        <w:gridCol w:w="60"/>
        <w:gridCol w:w="60"/>
        <w:gridCol w:w="158"/>
        <w:gridCol w:w="1332"/>
        <w:gridCol w:w="155"/>
        <w:gridCol w:w="60"/>
        <w:gridCol w:w="344"/>
        <w:gridCol w:w="936"/>
        <w:gridCol w:w="139"/>
        <w:gridCol w:w="139"/>
        <w:gridCol w:w="343"/>
        <w:gridCol w:w="937"/>
        <w:gridCol w:w="60"/>
        <w:gridCol w:w="60"/>
        <w:gridCol w:w="211"/>
        <w:gridCol w:w="664"/>
        <w:gridCol w:w="155"/>
        <w:gridCol w:w="60"/>
        <w:gridCol w:w="140"/>
        <w:gridCol w:w="560"/>
        <w:gridCol w:w="75"/>
      </w:tblGrid>
      <w:tr>
        <w:trPr/>
        <w:tc>
          <w:tcPr>
            <w:tcW w:w="4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55" w:type="dxa"/>
            <w:vMerge w:val="restart"/>
            <w:tcBorders/>
            <w:shd w:fill="auto" w:val="clear"/>
            <w:vAlign w:val="center"/>
          </w:tcPr>
          <w:p>
            <w:pPr>
              <w:pStyle w:val="TableContents"/>
              <w:spacing w:before="0" w:after="20"/>
              <w:rPr>
                <w:rFonts w:ascii="Times New Roman" w:hAnsi="Times New Roman"/>
                <w:b/>
                <w:sz w:val="16"/>
              </w:rPr>
            </w:pPr>
            <w:r>
              <w:rPr>
                <w:rFonts w:ascii="Times New Roman" w:hAnsi="Times New Roman"/>
                <w:b/>
                <w:sz w:val="16"/>
              </w:rPr>
              <w:t>Year</w:t>
            </w:r>
          </w:p>
        </w:tc>
        <w:tc>
          <w:tcPr>
            <w:tcW w:w="60" w:type="dxa"/>
            <w:vMerge w:val="restart"/>
            <w:tcBorders/>
            <w:shd w:fill="auto" w:val="clear"/>
            <w:vAlign w:val="center"/>
          </w:tcPr>
          <w:p>
            <w:pPr>
              <w:pStyle w:val="TableContents"/>
              <w:spacing w:before="0" w:after="283"/>
              <w:rPr/>
            </w:pPr>
            <w:r>
              <w:rPr/>
              <w:t> </w:t>
            </w:r>
          </w:p>
        </w:tc>
        <w:tc>
          <w:tcPr>
            <w:tcW w:w="1490" w:type="dxa"/>
            <w:gridSpan w:val="2"/>
            <w:vMerge w:val="restart"/>
            <w:tcBorders/>
            <w:shd w:fill="auto" w:val="clear"/>
            <w:vAlign w:val="center"/>
          </w:tcPr>
          <w:p>
            <w:pPr>
              <w:pStyle w:val="TableContents"/>
              <w:spacing w:before="0" w:after="0"/>
              <w:jc w:val="center"/>
              <w:rPr>
                <w:b/>
                <w:spacing w:val="0"/>
              </w:rPr>
            </w:pPr>
            <w:r>
              <w:rPr>
                <w:b/>
                <w:spacing w:val="0"/>
              </w:rPr>
              <w:t>Summary</w:t>
              <w:br/>
              <w:t>Compensation</w:t>
              <w:br/>
              <w:t>Table Total</w:t>
              <w:br/>
              <w:t>for PEO</w:t>
            </w:r>
          </w:p>
          <w:p>
            <w:pPr>
              <w:pStyle w:val="TableContents"/>
              <w:spacing w:before="0" w:after="0"/>
              <w:jc w:val="center"/>
              <w:rPr>
                <w:b/>
                <w:spacing w:val="0"/>
                <w:sz w:val="9"/>
              </w:rPr>
            </w:pPr>
            <w:r>
              <w:rPr>
                <w:b/>
                <w:spacing w:val="0"/>
                <w:sz w:val="9"/>
              </w:rPr>
              <w:t>(1)</w:t>
            </w:r>
          </w:p>
        </w:tc>
        <w:tc>
          <w:tcPr>
            <w:tcW w:w="60" w:type="dxa"/>
            <w:vMerge w:val="restart"/>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1490" w:type="dxa"/>
            <w:gridSpan w:val="2"/>
            <w:vMerge w:val="restart"/>
            <w:tcBorders/>
            <w:shd w:fill="auto" w:val="clear"/>
            <w:vAlign w:val="center"/>
          </w:tcPr>
          <w:p>
            <w:pPr>
              <w:pStyle w:val="TableContents"/>
              <w:spacing w:before="0" w:after="0"/>
              <w:jc w:val="center"/>
              <w:rPr>
                <w:b/>
                <w:spacing w:val="0"/>
              </w:rPr>
            </w:pPr>
            <w:r>
              <w:rPr>
                <w:b/>
                <w:spacing w:val="0"/>
              </w:rPr>
              <w:t>Compensation</w:t>
              <w:br/>
              <w:t>Actually Paid</w:t>
              <w:br/>
              <w:t>to PEO</w:t>
            </w:r>
          </w:p>
          <w:p>
            <w:pPr>
              <w:pStyle w:val="TableContents"/>
              <w:spacing w:before="0" w:after="0"/>
              <w:jc w:val="center"/>
              <w:rPr>
                <w:b/>
                <w:spacing w:val="0"/>
                <w:sz w:val="9"/>
              </w:rPr>
            </w:pPr>
            <w:r>
              <w:rPr>
                <w:b/>
                <w:spacing w:val="0"/>
                <w:sz w:val="9"/>
              </w:rPr>
              <w:t>(2)</w:t>
            </w:r>
          </w:p>
        </w:tc>
        <w:tc>
          <w:tcPr>
            <w:tcW w:w="155" w:type="dxa"/>
            <w:vMerge w:val="restart"/>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1490" w:type="dxa"/>
            <w:gridSpan w:val="2"/>
            <w:vMerge w:val="restart"/>
            <w:tcBorders/>
            <w:shd w:fill="auto" w:val="clear"/>
            <w:vAlign w:val="center"/>
          </w:tcPr>
          <w:p>
            <w:pPr>
              <w:pStyle w:val="TableContents"/>
              <w:spacing w:before="0" w:after="0"/>
              <w:jc w:val="center"/>
              <w:rPr>
                <w:b/>
                <w:spacing w:val="0"/>
              </w:rPr>
            </w:pPr>
            <w:r>
              <w:rPr>
                <w:b/>
                <w:spacing w:val="0"/>
              </w:rPr>
              <w:t>Average</w:t>
              <w:br/>
              <w:t>Summary</w:t>
              <w:br/>
              <w:t>Compensation</w:t>
              <w:br/>
              <w:t>Table</w:t>
              <w:br/>
              <w:t>Total for</w:t>
            </w:r>
          </w:p>
          <w:p>
            <w:pPr>
              <w:pStyle w:val="TableContents"/>
              <w:spacing w:before="0" w:after="0"/>
              <w:jc w:val="center"/>
              <w:rPr>
                <w:b/>
                <w:spacing w:val="0"/>
              </w:rPr>
            </w:pPr>
            <w:r>
              <w:rPr>
                <w:b/>
                <w:spacing w:val="0"/>
              </w:rPr>
              <w:t>Non-PEO</w:t>
            </w:r>
          </w:p>
          <w:p>
            <w:pPr>
              <w:pStyle w:val="TableContents"/>
              <w:spacing w:before="0" w:after="0"/>
              <w:jc w:val="center"/>
              <w:rPr>
                <w:b/>
                <w:spacing w:val="0"/>
              </w:rPr>
            </w:pPr>
            <w:r>
              <w:rPr>
                <w:b/>
                <w:spacing w:val="0"/>
              </w:rPr>
              <w:br/>
              <w:t>NEOs</w:t>
            </w:r>
          </w:p>
          <w:p>
            <w:pPr>
              <w:pStyle w:val="TableContents"/>
              <w:spacing w:before="0" w:after="0"/>
              <w:jc w:val="center"/>
              <w:rPr>
                <w:b/>
                <w:spacing w:val="0"/>
                <w:sz w:val="9"/>
              </w:rPr>
            </w:pPr>
            <w:r>
              <w:rPr>
                <w:b/>
                <w:spacing w:val="0"/>
                <w:sz w:val="9"/>
              </w:rPr>
              <w:t>(3)</w:t>
            </w:r>
          </w:p>
        </w:tc>
        <w:tc>
          <w:tcPr>
            <w:tcW w:w="60" w:type="dxa"/>
            <w:vMerge w:val="restart"/>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1490" w:type="dxa"/>
            <w:gridSpan w:val="2"/>
            <w:vMerge w:val="restart"/>
            <w:tcBorders/>
            <w:shd w:fill="auto" w:val="clear"/>
            <w:vAlign w:val="center"/>
          </w:tcPr>
          <w:p>
            <w:pPr>
              <w:pStyle w:val="TableContents"/>
              <w:spacing w:before="0" w:after="0"/>
              <w:jc w:val="center"/>
              <w:rPr>
                <w:b/>
                <w:spacing w:val="0"/>
              </w:rPr>
            </w:pPr>
            <w:r>
              <w:rPr>
                <w:b/>
                <w:spacing w:val="0"/>
              </w:rPr>
              <w:t>Average</w:t>
              <w:br/>
              <w:t>Compensation</w:t>
              <w:br/>
              <w:t>Actually Paid</w:t>
            </w:r>
          </w:p>
          <w:p>
            <w:pPr>
              <w:pStyle w:val="TableContents"/>
              <w:spacing w:before="0" w:after="0"/>
              <w:jc w:val="center"/>
              <w:rPr>
                <w:b/>
                <w:spacing w:val="0"/>
              </w:rPr>
            </w:pPr>
            <w:r>
              <w:rPr>
                <w:b/>
                <w:spacing w:val="0"/>
              </w:rPr>
              <w:t>to Non-PEO</w:t>
            </w:r>
          </w:p>
          <w:p>
            <w:pPr>
              <w:pStyle w:val="TableContents"/>
              <w:spacing w:before="0" w:after="0"/>
              <w:jc w:val="center"/>
              <w:rPr>
                <w:b/>
                <w:spacing w:val="0"/>
              </w:rPr>
            </w:pPr>
            <w:r>
              <w:rPr>
                <w:b/>
                <w:spacing w:val="0"/>
              </w:rPr>
              <w:br/>
              <w:t>NEOs</w:t>
            </w:r>
          </w:p>
          <w:p>
            <w:pPr>
              <w:pStyle w:val="TableContents"/>
              <w:spacing w:before="0" w:after="0"/>
              <w:jc w:val="center"/>
              <w:rPr>
                <w:b/>
                <w:spacing w:val="0"/>
                <w:sz w:val="9"/>
              </w:rPr>
            </w:pPr>
            <w:r>
              <w:rPr>
                <w:b/>
                <w:spacing w:val="0"/>
                <w:sz w:val="9"/>
              </w:rPr>
              <w:t>(4)</w:t>
            </w:r>
          </w:p>
        </w:tc>
        <w:tc>
          <w:tcPr>
            <w:tcW w:w="155" w:type="dxa"/>
            <w:vMerge w:val="restart"/>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38" w:type="dxa"/>
            <w:gridSpan w:val="6"/>
            <w:tcBorders/>
            <w:shd w:fill="auto" w:val="clear"/>
            <w:vAlign w:val="center"/>
          </w:tcPr>
          <w:p>
            <w:pPr>
              <w:pStyle w:val="TableContents"/>
              <w:spacing w:before="0" w:after="0"/>
              <w:jc w:val="center"/>
              <w:rPr>
                <w:b/>
                <w:spacing w:val="0"/>
              </w:rPr>
            </w:pPr>
            <w:r>
              <w:rPr>
                <w:b/>
                <w:spacing w:val="0"/>
              </w:rPr>
              <w:t>Value of Initial Fixed $100</w:t>
              <w:br/>
              <w:t>Investment Based On:</w:t>
            </w:r>
          </w:p>
        </w:tc>
        <w:tc>
          <w:tcPr>
            <w:tcW w:w="60" w:type="dxa"/>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875" w:type="dxa"/>
            <w:gridSpan w:val="2"/>
            <w:vMerge w:val="restart"/>
            <w:tcBorders/>
            <w:shd w:fill="auto" w:val="clear"/>
            <w:vAlign w:val="center"/>
          </w:tcPr>
          <w:p>
            <w:pPr>
              <w:pStyle w:val="TableContents"/>
              <w:spacing w:before="0" w:after="0"/>
              <w:jc w:val="center"/>
              <w:rPr>
                <w:b/>
                <w:spacing w:val="0"/>
              </w:rPr>
            </w:pPr>
            <w:r>
              <w:rPr>
                <w:b/>
                <w:spacing w:val="0"/>
              </w:rPr>
              <w:t>Net</w:t>
              <w:br/>
              <w:t>Income</w:t>
              <w:br/>
              <w:t>(Loss)</w:t>
              <w:br/>
              <w:t>(millions)</w:t>
            </w:r>
          </w:p>
          <w:p>
            <w:pPr>
              <w:pStyle w:val="TableContents"/>
              <w:spacing w:before="0" w:after="0"/>
              <w:jc w:val="center"/>
              <w:rPr>
                <w:b/>
                <w:spacing w:val="0"/>
                <w:sz w:val="9"/>
              </w:rPr>
            </w:pPr>
            <w:r>
              <w:rPr>
                <w:b/>
                <w:spacing w:val="0"/>
                <w:sz w:val="9"/>
              </w:rPr>
              <w:t>(7)</w:t>
            </w:r>
          </w:p>
        </w:tc>
        <w:tc>
          <w:tcPr>
            <w:tcW w:w="155" w:type="dxa"/>
            <w:vMerge w:val="restart"/>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700" w:type="dxa"/>
            <w:gridSpan w:val="2"/>
            <w:vMerge w:val="restart"/>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Revenue</w:t>
              <w:br/>
              <w:t>Less</w:t>
              <w:br/>
              <w:t>Ancillary</w:t>
              <w:br/>
              <w:t>Services</w:t>
            </w:r>
          </w:p>
          <w:p>
            <w:pPr>
              <w:pStyle w:val="TableContents"/>
              <w:spacing w:before="0" w:after="20"/>
              <w:jc w:val="center"/>
              <w:rPr>
                <w:rFonts w:ascii="Times New Roman" w:hAnsi="Times New Roman"/>
                <w:b/>
                <w:sz w:val="16"/>
              </w:rPr>
            </w:pPr>
            <w:r>
              <w:rPr>
                <w:rFonts w:ascii="Times New Roman" w:hAnsi="Times New Roman"/>
                <w:b/>
                <w:sz w:val="16"/>
              </w:rPr>
              <w:t>(millions)</w:t>
            </w:r>
          </w:p>
          <w:p>
            <w:pPr>
              <w:pStyle w:val="TableContents"/>
              <w:spacing w:before="0" w:after="20"/>
              <w:jc w:val="center"/>
              <w:rPr>
                <w:rFonts w:ascii="Times New Roman" w:hAnsi="Times New Roman"/>
                <w:b/>
                <w:sz w:val="9"/>
              </w:rPr>
            </w:pPr>
            <w:r>
              <w:rPr>
                <w:rFonts w:ascii="Times New Roman" w:hAnsi="Times New Roman"/>
                <w:b/>
                <w:sz w:val="9"/>
              </w:rPr>
              <w:t>(8)</w:t>
            </w:r>
          </w:p>
        </w:tc>
        <w:tc>
          <w:tcPr>
            <w:tcW w:w="75" w:type="dxa"/>
            <w:vMerge w:val="restart"/>
            <w:tcBorders/>
            <w:shd w:fill="auto" w:val="clear"/>
            <w:vAlign w:val="center"/>
          </w:tcPr>
          <w:p>
            <w:pPr>
              <w:pStyle w:val="TableContents"/>
              <w:spacing w:before="0" w:after="283"/>
              <w:rPr/>
            </w:pPr>
            <w:r>
              <w:rPr/>
              <w:t> </w:t>
            </w:r>
          </w:p>
        </w:tc>
      </w:tr>
      <w:tr>
        <w:trPr/>
        <w:tc>
          <w:tcPr>
            <w:tcW w:w="45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490" w:type="dxa"/>
            <w:gridSpan w:val="2"/>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490" w:type="dxa"/>
            <w:gridSpan w:val="2"/>
            <w:vMerge w:val="continue"/>
            <w:tcBorders/>
            <w:shd w:fill="auto" w:val="clear"/>
            <w:vAlign w:val="center"/>
          </w:tcPr>
          <w:p>
            <w:pPr>
              <w:pStyle w:val="Normal"/>
              <w:rPr/>
            </w:pPr>
            <w:r>
              <w:rPr/>
            </w:r>
          </w:p>
        </w:tc>
        <w:tc>
          <w:tcPr>
            <w:tcW w:w="15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490" w:type="dxa"/>
            <w:gridSpan w:val="2"/>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490" w:type="dxa"/>
            <w:gridSpan w:val="2"/>
            <w:vMerge w:val="continue"/>
            <w:tcBorders/>
            <w:shd w:fill="auto" w:val="clear"/>
            <w:vAlign w:val="center"/>
          </w:tcPr>
          <w:p>
            <w:pPr>
              <w:pStyle w:val="Normal"/>
              <w:rPr/>
            </w:pPr>
            <w:r>
              <w:rPr/>
            </w:r>
          </w:p>
        </w:tc>
        <w:tc>
          <w:tcPr>
            <w:tcW w:w="155"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280" w:type="dxa"/>
            <w:gridSpan w:val="2"/>
            <w:tcBorders/>
            <w:shd w:fill="auto" w:val="clear"/>
            <w:vAlign w:val="center"/>
          </w:tcPr>
          <w:p>
            <w:pPr>
              <w:pStyle w:val="TableContents"/>
              <w:spacing w:before="0" w:after="0"/>
              <w:jc w:val="center"/>
              <w:rPr>
                <w:b/>
                <w:spacing w:val="0"/>
              </w:rPr>
            </w:pPr>
            <w:r>
              <w:rPr>
                <w:b/>
                <w:spacing w:val="0"/>
              </w:rPr>
              <w:t>Total</w:t>
              <w:br/>
              <w:t>Shareholder</w:t>
              <w:br/>
              <w:t>Return</w:t>
            </w:r>
          </w:p>
          <w:p>
            <w:pPr>
              <w:pStyle w:val="TableContents"/>
              <w:spacing w:before="0" w:after="0"/>
              <w:jc w:val="center"/>
              <w:rPr>
                <w:b/>
                <w:spacing w:val="0"/>
                <w:sz w:val="9"/>
              </w:rPr>
            </w:pPr>
            <w:r>
              <w:rPr>
                <w:b/>
                <w:spacing w:val="0"/>
                <w:sz w:val="9"/>
              </w:rPr>
              <w:t>(5)</w:t>
            </w:r>
          </w:p>
        </w:tc>
        <w:tc>
          <w:tcPr>
            <w:tcW w:w="139"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280" w:type="dxa"/>
            <w:gridSpan w:val="2"/>
            <w:tcBorders/>
            <w:shd w:fill="auto" w:val="clear"/>
            <w:vAlign w:val="center"/>
          </w:tcPr>
          <w:p>
            <w:pPr>
              <w:pStyle w:val="TableContents"/>
              <w:spacing w:before="0" w:after="0"/>
              <w:jc w:val="center"/>
              <w:rPr>
                <w:b/>
                <w:spacing w:val="0"/>
              </w:rPr>
            </w:pPr>
            <w:r>
              <w:rPr>
                <w:b/>
                <w:spacing w:val="0"/>
              </w:rPr>
              <w:t>Peer</w:t>
              <w:br/>
              <w:t>Group</w:t>
              <w:br/>
              <w:t>Total</w:t>
              <w:br/>
              <w:t>Shareholder</w:t>
              <w:br/>
              <w:t>Return</w:t>
            </w:r>
          </w:p>
          <w:p>
            <w:pPr>
              <w:pStyle w:val="TableContents"/>
              <w:spacing w:before="0" w:after="0"/>
              <w:jc w:val="center"/>
              <w:rPr>
                <w:b/>
                <w:spacing w:val="0"/>
                <w:sz w:val="9"/>
              </w:rPr>
            </w:pPr>
            <w:r>
              <w:rPr>
                <w:b/>
                <w:spacing w:val="0"/>
                <w:sz w:val="9"/>
              </w:rPr>
              <w:t>(6)</w:t>
            </w:r>
          </w:p>
        </w:tc>
        <w:tc>
          <w:tcPr>
            <w:tcW w:w="60" w:type="dxa"/>
            <w:tcBorders/>
            <w:shd w:fill="auto" w:val="clear"/>
            <w:vAlign w:val="center"/>
          </w:tcPr>
          <w:p>
            <w:pPr>
              <w:pStyle w:val="TableContents"/>
              <w:spacing w:before="0" w:after="283"/>
              <w:rPr/>
            </w:pPr>
            <w:r>
              <w:rPr/>
              <w:t> </w:t>
            </w:r>
          </w:p>
        </w:tc>
        <w:tc>
          <w:tcPr>
            <w:tcW w:w="60" w:type="dxa"/>
            <w:vMerge w:val="continue"/>
            <w:tcBorders/>
            <w:shd w:fill="auto" w:val="clear"/>
            <w:vAlign w:val="center"/>
          </w:tcPr>
          <w:p>
            <w:pPr>
              <w:pStyle w:val="Normal"/>
              <w:rPr/>
            </w:pPr>
            <w:r>
              <w:rPr/>
            </w:r>
          </w:p>
        </w:tc>
        <w:tc>
          <w:tcPr>
            <w:tcW w:w="875" w:type="dxa"/>
            <w:gridSpan w:val="2"/>
            <w:vMerge w:val="continue"/>
            <w:tcBorders/>
            <w:shd w:fill="auto" w:val="clear"/>
            <w:vAlign w:val="center"/>
          </w:tcPr>
          <w:p>
            <w:pPr>
              <w:pStyle w:val="Normal"/>
              <w:rPr/>
            </w:pPr>
            <w:r>
              <w:rPr/>
            </w:r>
          </w:p>
        </w:tc>
        <w:tc>
          <w:tcPr>
            <w:tcW w:w="15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700" w:type="dxa"/>
            <w:gridSpan w:val="2"/>
            <w:vMerge w:val="continue"/>
            <w:tcBorders/>
            <w:shd w:fill="auto" w:val="clear"/>
            <w:vAlign w:val="center"/>
          </w:tcPr>
          <w:p>
            <w:pPr>
              <w:pStyle w:val="Normal"/>
              <w:rPr/>
            </w:pPr>
            <w:r>
              <w:rPr/>
            </w:r>
          </w:p>
        </w:tc>
        <w:tc>
          <w:tcPr>
            <w:tcW w:w="75" w:type="dxa"/>
            <w:vMerge w:val="continue"/>
            <w:tcBorders/>
            <w:shd w:fill="auto" w:val="clear"/>
            <w:vAlign w:val="center"/>
          </w:tcPr>
          <w:p>
            <w:pPr>
              <w:pStyle w:val="Normal"/>
              <w:rPr/>
            </w:pPr>
            <w:r>
              <w:rPr/>
            </w:r>
          </w:p>
        </w:tc>
      </w:tr>
      <w:tr>
        <w:trPr/>
        <w:tc>
          <w:tcPr>
            <w:tcW w:w="455" w:type="dxa"/>
            <w:tcBorders/>
            <w:shd w:fill="auto" w:val="clear"/>
            <w:vAlign w:val="center"/>
          </w:tcPr>
          <w:p>
            <w:pPr>
              <w:pStyle w:val="TableContents"/>
              <w:spacing w:before="0" w:after="0"/>
              <w:rPr>
                <w:b/>
                <w:spacing w:val="0"/>
              </w:rPr>
            </w:pPr>
            <w:r>
              <w:rPr>
                <w:b/>
                <w:spacing w:val="0"/>
              </w:rPr>
              <w:t>(a)</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0"/>
              <w:jc w:val="center"/>
              <w:rPr>
                <w:b/>
                <w:spacing w:val="0"/>
              </w:rPr>
            </w:pPr>
            <w:r>
              <w:rPr>
                <w:b/>
                <w:spacing w:val="0"/>
              </w:rPr>
              <w:t>(b)</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0"/>
              <w:jc w:val="center"/>
              <w:rPr>
                <w:b/>
                <w:spacing w:val="0"/>
              </w:rPr>
            </w:pPr>
            <w:r>
              <w:rPr>
                <w:b/>
                <w:spacing w:val="0"/>
              </w:rPr>
              <w:t>(c)</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0"/>
              <w:jc w:val="center"/>
              <w:rPr>
                <w:b/>
                <w:spacing w:val="0"/>
              </w:rPr>
            </w:pPr>
            <w:r>
              <w:rPr>
                <w:b/>
                <w:spacing w:val="0"/>
              </w:rPr>
              <w:t>(d)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0"/>
              <w:jc w:val="center"/>
              <w:rPr>
                <w:b/>
                <w:spacing w:val="0"/>
              </w:rPr>
            </w:pPr>
            <w:r>
              <w:rPr>
                <w:b/>
                <w:spacing w:val="0"/>
              </w:rPr>
              <w:t>(e)</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0" w:type="dxa"/>
            <w:gridSpan w:val="2"/>
            <w:tcBorders/>
            <w:shd w:fill="auto" w:val="clear"/>
            <w:vAlign w:val="center"/>
          </w:tcPr>
          <w:p>
            <w:pPr>
              <w:pStyle w:val="TableContents"/>
              <w:spacing w:before="0" w:after="0"/>
              <w:jc w:val="center"/>
              <w:rPr>
                <w:b/>
                <w:spacing w:val="0"/>
              </w:rPr>
            </w:pPr>
            <w:r>
              <w:rPr>
                <w:b/>
                <w:spacing w:val="0"/>
              </w:rPr>
              <w:t>(f)</w:t>
            </w:r>
          </w:p>
        </w:tc>
        <w:tc>
          <w:tcPr>
            <w:tcW w:w="139"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280" w:type="dxa"/>
            <w:gridSpan w:val="2"/>
            <w:tcBorders/>
            <w:shd w:fill="auto" w:val="clear"/>
            <w:vAlign w:val="center"/>
          </w:tcPr>
          <w:p>
            <w:pPr>
              <w:pStyle w:val="TableContents"/>
              <w:spacing w:before="0" w:after="0"/>
              <w:jc w:val="center"/>
              <w:rPr>
                <w:b/>
                <w:spacing w:val="0"/>
              </w:rPr>
            </w:pPr>
            <w:r>
              <w:rPr>
                <w:b/>
                <w:spacing w:val="0"/>
              </w:rPr>
              <w:t>(g)</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gridSpan w:val="2"/>
            <w:tcBorders/>
            <w:shd w:fill="auto" w:val="clear"/>
            <w:vAlign w:val="center"/>
          </w:tcPr>
          <w:p>
            <w:pPr>
              <w:pStyle w:val="TableContents"/>
              <w:spacing w:before="0" w:after="0"/>
              <w:jc w:val="center"/>
              <w:rPr>
                <w:b/>
                <w:spacing w:val="0"/>
              </w:rPr>
            </w:pPr>
            <w:r>
              <w:rPr>
                <w:b/>
                <w:spacing w:val="0"/>
              </w:rPr>
              <w:t>(h)</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0" w:type="dxa"/>
            <w:gridSpan w:val="2"/>
            <w:tcBorders/>
            <w:shd w:fill="auto" w:val="clear"/>
            <w:vAlign w:val="center"/>
          </w:tcPr>
          <w:p>
            <w:pPr>
              <w:pStyle w:val="TableContents"/>
              <w:spacing w:before="0" w:after="0"/>
              <w:jc w:val="center"/>
              <w:rPr>
                <w:b/>
                <w:spacing w:val="0"/>
              </w:rPr>
            </w:pPr>
            <w:r>
              <w:rPr>
                <w:b/>
                <w:spacing w:val="0"/>
              </w:rPr>
              <w:t>(i)</w:t>
            </w:r>
          </w:p>
        </w:tc>
        <w:tc>
          <w:tcPr>
            <w:tcW w:w="75" w:type="dxa"/>
            <w:tcBorders/>
            <w:shd w:fill="auto" w:val="clear"/>
            <w:vAlign w:val="center"/>
          </w:tcPr>
          <w:p>
            <w:pPr>
              <w:pStyle w:val="TableContents"/>
              <w:spacing w:before="0" w:after="283"/>
              <w:rPr/>
            </w:pPr>
            <w:r>
              <w:rPr/>
              <w:t> </w:t>
            </w:r>
          </w:p>
        </w:tc>
      </w:tr>
      <w:tr>
        <w:trPr/>
        <w:tc>
          <w:tcPr>
            <w:tcW w:w="4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2022</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rPr/>
            </w:pPr>
            <w:r>
              <w:rPr/>
              <w:t>$</w:t>
            </w:r>
          </w:p>
        </w:tc>
        <w:tc>
          <w:tcPr>
            <w:tcW w:w="1304" w:type="dxa"/>
            <w:tcBorders/>
            <w:shd w:fill="CCEEFF" w:val="clear"/>
            <w:vAlign w:val="center"/>
          </w:tcPr>
          <w:p>
            <w:pPr>
              <w:pStyle w:val="TableContents"/>
              <w:spacing w:before="0" w:after="283"/>
              <w:jc w:val="right"/>
              <w:rPr/>
            </w:pPr>
            <w:r>
              <w:rPr/>
              <w:t>7,069,596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1332" w:type="dxa"/>
            <w:tcBorders/>
            <w:shd w:fill="CCEEFF" w:val="clear"/>
            <w:vAlign w:val="center"/>
          </w:tcPr>
          <w:p>
            <w:pPr>
              <w:pStyle w:val="TableContents"/>
              <w:spacing w:before="0" w:after="283"/>
              <w:jc w:val="right"/>
              <w:rPr/>
            </w:pPr>
            <w:r>
              <w:rPr/>
              <w:t>($4,645,074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rPr/>
            </w:pPr>
            <w:r>
              <w:rPr/>
              <w:t>$</w:t>
            </w:r>
          </w:p>
        </w:tc>
        <w:tc>
          <w:tcPr>
            <w:tcW w:w="1304" w:type="dxa"/>
            <w:tcBorders/>
            <w:shd w:fill="CCEEFF" w:val="clear"/>
            <w:vAlign w:val="center"/>
          </w:tcPr>
          <w:p>
            <w:pPr>
              <w:pStyle w:val="TableContents"/>
              <w:spacing w:before="0" w:after="283"/>
              <w:jc w:val="right"/>
              <w:rPr/>
            </w:pPr>
            <w:r>
              <w:rPr/>
              <w:t>3,131,699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1332" w:type="dxa"/>
            <w:tcBorders/>
            <w:shd w:fill="CCEEFF" w:val="clear"/>
            <w:vAlign w:val="center"/>
          </w:tcPr>
          <w:p>
            <w:pPr>
              <w:pStyle w:val="TableContents"/>
              <w:spacing w:before="0" w:after="283"/>
              <w:jc w:val="right"/>
              <w:rPr/>
            </w:pPr>
            <w:r>
              <w:rPr/>
              <w:t>($1,254,761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44" w:type="dxa"/>
            <w:tcBorders/>
            <w:shd w:fill="CCEEFF" w:val="clear"/>
            <w:vAlign w:val="center"/>
          </w:tcPr>
          <w:p>
            <w:pPr>
              <w:pStyle w:val="TableContents"/>
              <w:spacing w:before="0" w:after="283"/>
              <w:rPr/>
            </w:pPr>
            <w:r>
              <w:rPr/>
              <w:t>$</w:t>
            </w:r>
          </w:p>
        </w:tc>
        <w:tc>
          <w:tcPr>
            <w:tcW w:w="936" w:type="dxa"/>
            <w:tcBorders/>
            <w:shd w:fill="CCEEFF" w:val="clear"/>
            <w:vAlign w:val="center"/>
          </w:tcPr>
          <w:p>
            <w:pPr>
              <w:pStyle w:val="TableContents"/>
              <w:spacing w:before="0" w:after="283"/>
              <w:jc w:val="right"/>
              <w:rPr/>
            </w:pPr>
            <w:r>
              <w:rPr/>
              <w:t>102</w:t>
            </w:r>
          </w:p>
        </w:tc>
        <w:tc>
          <w:tcPr>
            <w:tcW w:w="139"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343" w:type="dxa"/>
            <w:tcBorders/>
            <w:shd w:fill="CCEEFF" w:val="clear"/>
            <w:vAlign w:val="center"/>
          </w:tcPr>
          <w:p>
            <w:pPr>
              <w:pStyle w:val="TableContents"/>
              <w:spacing w:before="0" w:after="283"/>
              <w:rPr/>
            </w:pPr>
            <w:r>
              <w:rPr/>
              <w:t>$</w:t>
            </w:r>
          </w:p>
        </w:tc>
        <w:tc>
          <w:tcPr>
            <w:tcW w:w="937" w:type="dxa"/>
            <w:tcBorders/>
            <w:shd w:fill="CCEEFF" w:val="clear"/>
            <w:vAlign w:val="center"/>
          </w:tcPr>
          <w:p>
            <w:pPr>
              <w:pStyle w:val="TableContents"/>
              <w:spacing w:before="0" w:after="283"/>
              <w:jc w:val="right"/>
              <w:rPr/>
            </w:pPr>
            <w:r>
              <w:rPr/>
              <w:t>89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rPr/>
            </w:pPr>
            <w:r>
              <w:rPr/>
              <w:t>($</w:t>
            </w:r>
          </w:p>
        </w:tc>
        <w:tc>
          <w:tcPr>
            <w:tcW w:w="664" w:type="dxa"/>
            <w:tcBorders/>
            <w:shd w:fill="CCEEFF" w:val="clear"/>
            <w:vAlign w:val="center"/>
          </w:tcPr>
          <w:p>
            <w:pPr>
              <w:pStyle w:val="TableContents"/>
              <w:spacing w:before="0" w:after="283"/>
              <w:jc w:val="right"/>
              <w:rPr/>
            </w:pPr>
            <w:r>
              <w:rPr/>
              <w:t>39.3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560" w:type="dxa"/>
            <w:tcBorders/>
            <w:shd w:fill="CCEEFF" w:val="clear"/>
            <w:vAlign w:val="center"/>
          </w:tcPr>
          <w:p>
            <w:pPr>
              <w:pStyle w:val="TableContents"/>
              <w:spacing w:before="0" w:after="283"/>
              <w:jc w:val="right"/>
              <w:rPr/>
            </w:pPr>
            <w:r>
              <w:rPr/>
              <w:t>257.1</w:t>
            </w:r>
          </w:p>
        </w:tc>
        <w:tc>
          <w:tcPr>
            <w:tcW w:w="75" w:type="dxa"/>
            <w:tcBorders/>
            <w:shd w:fill="CCEEFF" w:val="clear"/>
            <w:vAlign w:val="center"/>
          </w:tcPr>
          <w:p>
            <w:pPr>
              <w:pStyle w:val="TableContents"/>
              <w:spacing w:before="0" w:after="283"/>
              <w:rPr/>
            </w:pPr>
            <w:r>
              <w:rPr/>
              <w:t> </w:t>
            </w:r>
          </w:p>
        </w:tc>
      </w:tr>
      <w:tr>
        <w:trPr/>
        <w:tc>
          <w:tcPr>
            <w:tcW w:w="4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2021</w:t>
            </w:r>
          </w:p>
        </w:tc>
        <w:tc>
          <w:tcPr>
            <w:tcW w:w="60" w:type="dxa"/>
            <w:tcBorders/>
            <w:shd w:fill="auto" w:val="clear"/>
            <w:vAlign w:val="center"/>
          </w:tcPr>
          <w:p>
            <w:pPr>
              <w:pStyle w:val="TableContents"/>
              <w:spacing w:before="0" w:after="283"/>
              <w:rPr/>
            </w:pPr>
            <w:r>
              <w:rPr/>
              <w:t> </w:t>
            </w:r>
          </w:p>
        </w:tc>
        <w:tc>
          <w:tcPr>
            <w:tcW w:w="186" w:type="dxa"/>
            <w:tcBorders/>
            <w:shd w:fill="auto" w:val="clear"/>
            <w:vAlign w:val="center"/>
          </w:tcPr>
          <w:p>
            <w:pPr>
              <w:pStyle w:val="TableContents"/>
              <w:spacing w:before="0" w:after="283"/>
              <w:rPr/>
            </w:pPr>
            <w:r>
              <w:rPr/>
              <w:t>$</w:t>
            </w:r>
          </w:p>
        </w:tc>
        <w:tc>
          <w:tcPr>
            <w:tcW w:w="1304" w:type="dxa"/>
            <w:tcBorders/>
            <w:shd w:fill="auto" w:val="clear"/>
            <w:vAlign w:val="center"/>
          </w:tcPr>
          <w:p>
            <w:pPr>
              <w:pStyle w:val="TableContents"/>
              <w:spacing w:before="0" w:after="283"/>
              <w:jc w:val="right"/>
              <w:rPr/>
            </w:pPr>
            <w:r>
              <w:rPr/>
              <w:t>4,768,798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w:t>
            </w:r>
          </w:p>
        </w:tc>
        <w:tc>
          <w:tcPr>
            <w:tcW w:w="1332" w:type="dxa"/>
            <w:tcBorders/>
            <w:shd w:fill="auto" w:val="clear"/>
            <w:vAlign w:val="center"/>
          </w:tcPr>
          <w:p>
            <w:pPr>
              <w:pStyle w:val="TableContents"/>
              <w:spacing w:before="0" w:after="283"/>
              <w:jc w:val="right"/>
              <w:rPr/>
            </w:pPr>
            <w:r>
              <w:rPr/>
              <w:t>40,706,656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6" w:type="dxa"/>
            <w:tcBorders/>
            <w:shd w:fill="auto" w:val="clear"/>
            <w:vAlign w:val="center"/>
          </w:tcPr>
          <w:p>
            <w:pPr>
              <w:pStyle w:val="TableContents"/>
              <w:spacing w:before="0" w:after="283"/>
              <w:rPr/>
            </w:pPr>
            <w:r>
              <w:rPr/>
              <w:t>$</w:t>
            </w:r>
          </w:p>
        </w:tc>
        <w:tc>
          <w:tcPr>
            <w:tcW w:w="1304" w:type="dxa"/>
            <w:tcBorders/>
            <w:shd w:fill="auto" w:val="clear"/>
            <w:vAlign w:val="center"/>
          </w:tcPr>
          <w:p>
            <w:pPr>
              <w:pStyle w:val="TableContents"/>
              <w:spacing w:before="0" w:after="283"/>
              <w:jc w:val="right"/>
              <w:rPr/>
            </w:pPr>
            <w:r>
              <w:rPr/>
              <w:t>2,685,819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w:t>
            </w:r>
          </w:p>
        </w:tc>
        <w:tc>
          <w:tcPr>
            <w:tcW w:w="1332" w:type="dxa"/>
            <w:tcBorders/>
            <w:shd w:fill="auto" w:val="clear"/>
            <w:vAlign w:val="center"/>
          </w:tcPr>
          <w:p>
            <w:pPr>
              <w:pStyle w:val="TableContents"/>
              <w:spacing w:before="0" w:after="283"/>
              <w:jc w:val="right"/>
              <w:rPr/>
            </w:pPr>
            <w:r>
              <w:rPr/>
              <w:t>21,188,572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w:t>
            </w:r>
          </w:p>
        </w:tc>
        <w:tc>
          <w:tcPr>
            <w:tcW w:w="936" w:type="dxa"/>
            <w:tcBorders/>
            <w:shd w:fill="auto" w:val="clear"/>
            <w:vAlign w:val="center"/>
          </w:tcPr>
          <w:p>
            <w:pPr>
              <w:pStyle w:val="TableContents"/>
              <w:spacing w:before="0" w:after="283"/>
              <w:jc w:val="right"/>
              <w:rPr/>
            </w:pPr>
            <w:r>
              <w:rPr/>
              <w:t>159</w:t>
            </w:r>
          </w:p>
        </w:tc>
        <w:tc>
          <w:tcPr>
            <w:tcW w:w="139"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343" w:type="dxa"/>
            <w:tcBorders/>
            <w:shd w:fill="auto" w:val="clear"/>
            <w:vAlign w:val="center"/>
          </w:tcPr>
          <w:p>
            <w:pPr>
              <w:pStyle w:val="TableContents"/>
              <w:spacing w:before="0" w:after="283"/>
              <w:rPr/>
            </w:pPr>
            <w:r>
              <w:rPr/>
              <w:t>$</w:t>
            </w:r>
          </w:p>
        </w:tc>
        <w:tc>
          <w:tcPr>
            <w:tcW w:w="937" w:type="dxa"/>
            <w:tcBorders/>
            <w:shd w:fill="auto" w:val="clear"/>
            <w:vAlign w:val="center"/>
          </w:tcPr>
          <w:p>
            <w:pPr>
              <w:pStyle w:val="TableContents"/>
              <w:spacing w:before="0" w:after="283"/>
              <w:jc w:val="right"/>
              <w:rPr/>
            </w:pPr>
            <w:r>
              <w:rPr/>
              <w:t>126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w:t>
            </w:r>
          </w:p>
        </w:tc>
        <w:tc>
          <w:tcPr>
            <w:tcW w:w="664" w:type="dxa"/>
            <w:tcBorders/>
            <w:shd w:fill="auto" w:val="clear"/>
            <w:vAlign w:val="center"/>
          </w:tcPr>
          <w:p>
            <w:pPr>
              <w:pStyle w:val="TableContents"/>
              <w:spacing w:before="0" w:after="283"/>
              <w:jc w:val="right"/>
              <w:rPr/>
            </w:pPr>
            <w:r>
              <w:rPr/>
              <w:t>28.1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560" w:type="dxa"/>
            <w:tcBorders/>
            <w:shd w:fill="auto" w:val="clear"/>
            <w:vAlign w:val="center"/>
          </w:tcPr>
          <w:p>
            <w:pPr>
              <w:pStyle w:val="TableContents"/>
              <w:spacing w:before="0" w:after="283"/>
              <w:jc w:val="right"/>
              <w:rPr/>
            </w:pPr>
            <w:r>
              <w:rPr/>
              <w:t>181.1</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9"/>
        <w:gridCol w:w="9946"/>
      </w:tblGrid>
      <w:tr>
        <w:trPr/>
        <w:tc>
          <w:tcPr>
            <w:tcW w:w="259" w:type="dxa"/>
            <w:tcBorders/>
            <w:shd w:fill="auto" w:val="clear"/>
            <w:vAlign w:val="center"/>
          </w:tcPr>
          <w:p>
            <w:pPr>
              <w:pStyle w:val="TableContents"/>
              <w:spacing w:before="0" w:after="283"/>
              <w:jc w:val="left"/>
              <w:rPr/>
            </w:pPr>
            <w:r>
              <w:rPr/>
              <w:t>(1)</w:t>
            </w:r>
          </w:p>
        </w:tc>
        <w:tc>
          <w:tcPr>
            <w:tcW w:w="994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dollar amounts reported in column (b) are the amounts of total compensation reported for Mr. Massaro (our Chief Executive Officer) for each corresponding year in the Total column of the Summary Compensation Table. Refer to Executive Compensation – Summary Compensation Table. </w:t>
            </w:r>
          </w:p>
        </w:tc>
      </w:tr>
    </w:tbl>
    <w:tbl>
      <w:tblPr>
        <w:tblW w:w="10205" w:type="dxa"/>
        <w:jc w:val="left"/>
        <w:tblInd w:w="0" w:type="dxa"/>
        <w:tblCellMar>
          <w:top w:w="0" w:type="dxa"/>
          <w:left w:w="0" w:type="dxa"/>
          <w:bottom w:w="0" w:type="dxa"/>
          <w:right w:w="0" w:type="dxa"/>
        </w:tblCellMar>
      </w:tblPr>
      <w:tblGrid>
        <w:gridCol w:w="274"/>
        <w:gridCol w:w="9931"/>
      </w:tblGrid>
      <w:tr>
        <w:trPr/>
        <w:tc>
          <w:tcPr>
            <w:tcW w:w="274" w:type="dxa"/>
            <w:tcBorders/>
            <w:shd w:fill="auto" w:val="clear"/>
            <w:vAlign w:val="center"/>
          </w:tcPr>
          <w:p>
            <w:pPr>
              <w:pStyle w:val="TableContents"/>
              <w:spacing w:before="0" w:after="283"/>
              <w:jc w:val="left"/>
              <w:rPr/>
            </w:pPr>
            <w:r>
              <w:rPr/>
              <w:t>(2)</w:t>
            </w:r>
          </w:p>
        </w:tc>
        <w:tc>
          <w:tcPr>
            <w:tcW w:w="993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dollar amounts reported in column (c) represent the amount of compensation actually paid to Mr. Massaro, as computed in accordance with Item 402(v) of Regulation </w:t>
            </w:r>
          </w:p>
          <w:p>
            <w:pPr>
              <w:pStyle w:val="TableContents"/>
              <w:spacing w:before="0" w:after="0"/>
              <w:jc w:val="left"/>
              <w:rPr>
                <w:rFonts w:ascii="Times New Roman" w:hAnsi="Times New Roman"/>
                <w:spacing w:val="0"/>
                <w:sz w:val="20"/>
              </w:rPr>
            </w:pPr>
            <w:r>
              <w:rPr>
                <w:rFonts w:ascii="Times New Roman" w:hAnsi="Times New Roman"/>
                <w:spacing w:val="0"/>
                <w:sz w:val="20"/>
              </w:rPr>
              <w:t>S-K.</w:t>
            </w:r>
          </w:p>
          <w:p>
            <w:pPr>
              <w:pStyle w:val="TableContents"/>
              <w:spacing w:before="0" w:after="0"/>
              <w:jc w:val="left"/>
              <w:rPr>
                <w:rFonts w:ascii="Times New Roman" w:hAnsi="Times New Roman"/>
                <w:sz w:val="20"/>
              </w:rPr>
            </w:pPr>
            <w:r>
              <w:rPr>
                <w:rFonts w:ascii="Times New Roman" w:hAnsi="Times New Roman"/>
                <w:sz w:val="20"/>
              </w:rPr>
              <w:t xml:space="preserve">The dollar amounts do not reflect the actual amount of compensation earned by or paid to Mr. Massaro during the applicable year. In accordance with the requirements of Item 402(v) of Regulation </w:t>
            </w:r>
          </w:p>
          <w:p>
            <w:pPr>
              <w:pStyle w:val="TableContents"/>
              <w:spacing w:before="0" w:after="0"/>
              <w:jc w:val="left"/>
              <w:rPr>
                <w:rFonts w:ascii="Times New Roman" w:hAnsi="Times New Roman"/>
                <w:spacing w:val="0"/>
                <w:sz w:val="20"/>
              </w:rPr>
            </w:pPr>
            <w:r>
              <w:rPr>
                <w:rFonts w:ascii="Times New Roman" w:hAnsi="Times New Roman"/>
                <w:spacing w:val="0"/>
                <w:sz w:val="20"/>
              </w:rPr>
              <w:t>S-K,</w:t>
            </w:r>
          </w:p>
          <w:p>
            <w:pPr>
              <w:pStyle w:val="TableContents"/>
              <w:spacing w:before="0" w:after="0"/>
              <w:jc w:val="left"/>
              <w:rPr>
                <w:rFonts w:ascii="Times New Roman" w:hAnsi="Times New Roman"/>
                <w:sz w:val="20"/>
              </w:rPr>
            </w:pPr>
            <w:r>
              <w:rPr>
                <w:rFonts w:ascii="Times New Roman" w:hAnsi="Times New Roman"/>
                <w:sz w:val="20"/>
              </w:rPr>
              <w:t xml:space="preserve">the following adjustments were made to Mr. Massaro’s total compensation for each year to determine the compensation actually paid: </w:t>
            </w:r>
          </w:p>
        </w:tc>
      </w:tr>
    </w:tbl>
    <w:p>
      <w:pPr>
        <w:pStyle w:val="TextBody"/>
        <w:spacing w:before="0" w:after="0"/>
        <w:jc w:val="left"/>
        <w:rPr/>
      </w:pPr>
      <w:r>
        <w:rPr/>
        <w:t> </w:t>
      </w:r>
    </w:p>
    <w:tbl>
      <w:tblPr>
        <w:tblW w:w="7925" w:type="dxa"/>
        <w:jc w:val="left"/>
        <w:tblInd w:w="0" w:type="dxa"/>
        <w:tblCellMar>
          <w:top w:w="0" w:type="dxa"/>
          <w:left w:w="0" w:type="dxa"/>
          <w:bottom w:w="0" w:type="dxa"/>
          <w:right w:w="0" w:type="dxa"/>
        </w:tblCellMar>
      </w:tblPr>
      <w:tblGrid>
        <w:gridCol w:w="545"/>
        <w:gridCol w:w="120"/>
        <w:gridCol w:w="195"/>
        <w:gridCol w:w="1370"/>
        <w:gridCol w:w="60"/>
        <w:gridCol w:w="120"/>
        <w:gridCol w:w="215"/>
        <w:gridCol w:w="980"/>
        <w:gridCol w:w="155"/>
        <w:gridCol w:w="60"/>
        <w:gridCol w:w="140"/>
        <w:gridCol w:w="1175"/>
        <w:gridCol w:w="155"/>
        <w:gridCol w:w="60"/>
        <w:gridCol w:w="256"/>
        <w:gridCol w:w="2149"/>
        <w:gridCol w:w="170"/>
      </w:tblGrid>
      <w:tr>
        <w:trPr/>
        <w:tc>
          <w:tcPr>
            <w:tcW w:w="5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14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45" w:type="dxa"/>
            <w:tcBorders/>
            <w:shd w:fill="auto" w:val="clear"/>
            <w:vAlign w:val="center"/>
          </w:tcPr>
          <w:p>
            <w:pPr>
              <w:pStyle w:val="TableContents"/>
              <w:spacing w:before="0" w:after="0"/>
              <w:rPr>
                <w:b/>
                <w:spacing w:val="0"/>
              </w:rPr>
            </w:pPr>
            <w:r>
              <w:rPr>
                <w:b/>
                <w:spacing w:val="0"/>
              </w:rPr>
              <w:t>Year</w:t>
            </w:r>
          </w:p>
        </w:tc>
        <w:tc>
          <w:tcPr>
            <w:tcW w:w="120" w:type="dxa"/>
            <w:tcBorders/>
            <w:shd w:fill="auto" w:val="clear"/>
            <w:vAlign w:val="center"/>
          </w:tcPr>
          <w:p>
            <w:pPr>
              <w:pStyle w:val="TableContents"/>
              <w:spacing w:before="0" w:after="283"/>
              <w:rPr/>
            </w:pPr>
            <w:r>
              <w:rPr/>
              <w:t>  </w:t>
            </w:r>
          </w:p>
        </w:tc>
        <w:tc>
          <w:tcPr>
            <w:tcW w:w="1565" w:type="dxa"/>
            <w:gridSpan w:val="2"/>
            <w:tcBorders/>
            <w:shd w:fill="auto" w:val="clear"/>
            <w:vAlign w:val="center"/>
          </w:tcPr>
          <w:p>
            <w:pPr>
              <w:pStyle w:val="TableContents"/>
              <w:spacing w:before="0" w:after="0"/>
              <w:jc w:val="center"/>
              <w:rPr>
                <w:b/>
                <w:spacing w:val="0"/>
              </w:rPr>
            </w:pPr>
            <w:r>
              <w:rPr>
                <w:b/>
                <w:spacing w:val="0"/>
              </w:rPr>
              <w:t>Reported</w:t>
              <w:br/>
              <w:t>Summary</w:t>
              <w:br/>
              <w:t>Compensation</w:t>
              <w:br/>
              <w:t>Table Total for</w:t>
              <w:br/>
              <w:t>PEO</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5" w:type="dxa"/>
            <w:gridSpan w:val="2"/>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Reported</w:t>
              <w:br/>
              <w:t>Value of</w:t>
              <w:br/>
              <w:t>Equity</w:t>
            </w:r>
          </w:p>
          <w:p>
            <w:pPr>
              <w:pStyle w:val="TableContents"/>
              <w:spacing w:before="0" w:after="20"/>
              <w:jc w:val="center"/>
              <w:rPr>
                <w:rFonts w:ascii="Times New Roman" w:hAnsi="Times New Roman"/>
                <w:b/>
                <w:sz w:val="16"/>
              </w:rPr>
            </w:pPr>
            <w:r>
              <w:rPr>
                <w:rFonts w:ascii="Times New Roman" w:hAnsi="Times New Roman"/>
                <w:b/>
                <w:sz w:val="16"/>
              </w:rPr>
              <w:t>Awards</w:t>
            </w:r>
          </w:p>
          <w:p>
            <w:pPr>
              <w:pStyle w:val="TableContents"/>
              <w:spacing w:before="0" w:after="20"/>
              <w:jc w:val="center"/>
              <w:rPr>
                <w:rFonts w:ascii="Times New Roman" w:hAnsi="Times New Roman"/>
                <w:b/>
                <w:sz w:val="9"/>
              </w:rPr>
            </w:pPr>
            <w:r>
              <w:rPr>
                <w:rFonts w:ascii="Times New Roman" w:hAnsi="Times New Roman"/>
                <w:b/>
                <w:sz w:val="9"/>
              </w:rPr>
              <w:t>(a)</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15" w:type="dxa"/>
            <w:gridSpan w:val="2"/>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Equity</w:t>
              <w:br/>
              <w:t>Award</w:t>
            </w:r>
          </w:p>
          <w:p>
            <w:pPr>
              <w:pStyle w:val="TableContents"/>
              <w:spacing w:before="0" w:after="20"/>
              <w:jc w:val="center"/>
              <w:rPr>
                <w:rFonts w:ascii="Times New Roman" w:hAnsi="Times New Roman"/>
                <w:b/>
                <w:sz w:val="16"/>
              </w:rPr>
            </w:pPr>
            <w:r>
              <w:rPr>
                <w:rFonts w:ascii="Times New Roman" w:hAnsi="Times New Roman"/>
                <w:b/>
                <w:sz w:val="16"/>
              </w:rPr>
              <w:t>Adjustments</w:t>
            </w:r>
          </w:p>
          <w:p>
            <w:pPr>
              <w:pStyle w:val="TableContents"/>
              <w:spacing w:before="0" w:after="20"/>
              <w:jc w:val="center"/>
              <w:rPr>
                <w:rFonts w:ascii="Times New Roman" w:hAnsi="Times New Roman"/>
                <w:b/>
                <w:sz w:val="9"/>
              </w:rPr>
            </w:pPr>
            <w:r>
              <w:rPr>
                <w:rFonts w:ascii="Times New Roman" w:hAnsi="Times New Roman"/>
                <w:b/>
                <w:sz w:val="9"/>
              </w:rPr>
              <w:t>(b)</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05" w:type="dxa"/>
            <w:gridSpan w:val="2"/>
            <w:tcBorders/>
            <w:shd w:fill="auto" w:val="clear"/>
            <w:vAlign w:val="center"/>
          </w:tcPr>
          <w:p>
            <w:pPr>
              <w:pStyle w:val="TableContents"/>
              <w:spacing w:before="0" w:after="0"/>
              <w:jc w:val="center"/>
              <w:rPr>
                <w:b/>
                <w:spacing w:val="0"/>
              </w:rPr>
            </w:pPr>
            <w:r>
              <w:rPr>
                <w:b/>
                <w:spacing w:val="0"/>
              </w:rPr>
              <w:t>Compensation Actually</w:t>
              <w:br/>
              <w:t>Paid to PEO</w:t>
            </w:r>
          </w:p>
        </w:tc>
        <w:tc>
          <w:tcPr>
            <w:tcW w:w="170" w:type="dxa"/>
            <w:tcBorders/>
            <w:shd w:fill="auto" w:val="clear"/>
            <w:vAlign w:val="center"/>
          </w:tcPr>
          <w:p>
            <w:pPr>
              <w:pStyle w:val="TableContents"/>
              <w:spacing w:before="0" w:after="283"/>
              <w:rPr/>
            </w:pPr>
            <w:r>
              <w:rPr/>
              <w:t> </w:t>
            </w:r>
          </w:p>
        </w:tc>
      </w:tr>
      <w:tr>
        <w:trPr/>
        <w:tc>
          <w:tcPr>
            <w:tcW w:w="5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2022</w:t>
            </w:r>
          </w:p>
        </w:tc>
        <w:tc>
          <w:tcPr>
            <w:tcW w:w="12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w:t>
            </w:r>
          </w:p>
        </w:tc>
        <w:tc>
          <w:tcPr>
            <w:tcW w:w="1370" w:type="dxa"/>
            <w:tcBorders/>
            <w:shd w:fill="CCEEFF" w:val="clear"/>
            <w:vAlign w:val="center"/>
          </w:tcPr>
          <w:p>
            <w:pPr>
              <w:pStyle w:val="TableContents"/>
              <w:spacing w:before="0" w:after="283"/>
              <w:jc w:val="right"/>
              <w:rPr/>
            </w:pPr>
            <w:r>
              <w:rPr/>
              <w:t>7,069,596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6,384,148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75" w:type="dxa"/>
            <w:tcBorders/>
            <w:shd w:fill="CCEEFF" w:val="clear"/>
            <w:vAlign w:val="center"/>
          </w:tcPr>
          <w:p>
            <w:pPr>
              <w:pStyle w:val="TableContents"/>
              <w:spacing w:before="0" w:after="283"/>
              <w:jc w:val="right"/>
              <w:rPr/>
            </w:pPr>
            <w:r>
              <w:rPr/>
              <w:t>($5,330,522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56" w:type="dxa"/>
            <w:tcBorders/>
            <w:shd w:fill="CCEEFF" w:val="clear"/>
            <w:vAlign w:val="center"/>
          </w:tcPr>
          <w:p>
            <w:pPr>
              <w:pStyle w:val="TableContents"/>
              <w:spacing w:before="0" w:after="283"/>
              <w:rPr/>
            </w:pPr>
            <w:r>
              <w:rPr/>
              <w:t> </w:t>
            </w:r>
          </w:p>
        </w:tc>
        <w:tc>
          <w:tcPr>
            <w:tcW w:w="2149" w:type="dxa"/>
            <w:tcBorders/>
            <w:shd w:fill="CCEEFF" w:val="clear"/>
            <w:vAlign w:val="center"/>
          </w:tcPr>
          <w:p>
            <w:pPr>
              <w:pStyle w:val="TableContents"/>
              <w:spacing w:before="0" w:after="283"/>
              <w:jc w:val="right"/>
              <w:rPr/>
            </w:pPr>
            <w:r>
              <w:rPr/>
              <w:t>($4,645,074</w:t>
            </w:r>
          </w:p>
        </w:tc>
        <w:tc>
          <w:tcPr>
            <w:tcW w:w="170" w:type="dxa"/>
            <w:tcBorders/>
            <w:shd w:fill="CCEEFF" w:val="clear"/>
            <w:vAlign w:val="center"/>
          </w:tcPr>
          <w:p>
            <w:pPr>
              <w:pStyle w:val="TableContents"/>
              <w:spacing w:before="0" w:after="283"/>
              <w:rPr/>
            </w:pPr>
            <w:r>
              <w:rPr/>
              <w:t>) </w:t>
            </w:r>
          </w:p>
        </w:tc>
      </w:tr>
      <w:tr>
        <w:trPr/>
        <w:tc>
          <w:tcPr>
            <w:tcW w:w="5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2021</w:t>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w:t>
            </w:r>
          </w:p>
        </w:tc>
        <w:tc>
          <w:tcPr>
            <w:tcW w:w="1370" w:type="dxa"/>
            <w:tcBorders/>
            <w:shd w:fill="auto" w:val="clear"/>
            <w:vAlign w:val="center"/>
          </w:tcPr>
          <w:p>
            <w:pPr>
              <w:pStyle w:val="TableContents"/>
              <w:spacing w:before="0" w:after="283"/>
              <w:jc w:val="right"/>
              <w:rPr/>
            </w:pPr>
            <w:r>
              <w:rPr/>
              <w:t>4,768,798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4,052,400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75" w:type="dxa"/>
            <w:tcBorders/>
            <w:shd w:fill="auto" w:val="clear"/>
            <w:vAlign w:val="center"/>
          </w:tcPr>
          <w:p>
            <w:pPr>
              <w:pStyle w:val="TableContents"/>
              <w:spacing w:before="0" w:after="283"/>
              <w:jc w:val="right"/>
              <w:rPr/>
            </w:pPr>
            <w:r>
              <w:rPr/>
              <w:t>39,990,258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6" w:type="dxa"/>
            <w:tcBorders/>
            <w:shd w:fill="auto" w:val="clear"/>
            <w:vAlign w:val="center"/>
          </w:tcPr>
          <w:p>
            <w:pPr>
              <w:pStyle w:val="TableContents"/>
              <w:spacing w:before="0" w:after="283"/>
              <w:rPr/>
            </w:pPr>
            <w:r>
              <w:rPr/>
              <w:t>$</w:t>
            </w:r>
          </w:p>
        </w:tc>
        <w:tc>
          <w:tcPr>
            <w:tcW w:w="2149" w:type="dxa"/>
            <w:tcBorders/>
            <w:shd w:fill="auto" w:val="clear"/>
            <w:vAlign w:val="center"/>
          </w:tcPr>
          <w:p>
            <w:pPr>
              <w:pStyle w:val="TableContents"/>
              <w:spacing w:before="0" w:after="283"/>
              <w:jc w:val="right"/>
              <w:rPr/>
            </w:pPr>
            <w:r>
              <w:rPr/>
              <w:t>40,706,656</w:t>
            </w:r>
          </w:p>
        </w:tc>
        <w:tc>
          <w:tcPr>
            <w:tcW w:w="170"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9"/>
        <w:gridCol w:w="9946"/>
      </w:tblGrid>
      <w:tr>
        <w:trPr/>
        <w:tc>
          <w:tcPr>
            <w:tcW w:w="259" w:type="dxa"/>
            <w:tcBorders/>
            <w:shd w:fill="auto" w:val="clear"/>
            <w:vAlign w:val="center"/>
          </w:tcPr>
          <w:p>
            <w:pPr>
              <w:pStyle w:val="TableContents"/>
              <w:spacing w:before="0" w:after="283"/>
              <w:jc w:val="left"/>
              <w:rPr/>
            </w:pPr>
            <w:r>
              <w:rPr/>
              <w:t>(a)</w:t>
            </w:r>
          </w:p>
        </w:tc>
        <w:tc>
          <w:tcPr>
            <w:tcW w:w="994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grant date fair value of equity awards represents the total of the amounts reported in the Stock Awards and Option Awards columns in the Summary Compensation Table for the applicable year. </w:t>
            </w:r>
          </w:p>
        </w:tc>
      </w:tr>
    </w:tbl>
    <w:tbl>
      <w:tblPr>
        <w:tblW w:w="10205" w:type="dxa"/>
        <w:jc w:val="left"/>
        <w:tblInd w:w="0" w:type="dxa"/>
        <w:tblCellMar>
          <w:top w:w="0" w:type="dxa"/>
          <w:left w:w="0" w:type="dxa"/>
          <w:bottom w:w="0" w:type="dxa"/>
          <w:right w:w="0" w:type="dxa"/>
        </w:tblCellMar>
      </w:tblPr>
      <w:tblGrid>
        <w:gridCol w:w="236"/>
        <w:gridCol w:w="9969"/>
      </w:tblGrid>
      <w:tr>
        <w:trPr/>
        <w:tc>
          <w:tcPr>
            <w:tcW w:w="236" w:type="dxa"/>
            <w:tcBorders/>
            <w:shd w:fill="auto" w:val="clear"/>
            <w:vAlign w:val="center"/>
          </w:tcPr>
          <w:p>
            <w:pPr>
              <w:pStyle w:val="TableContents"/>
              <w:spacing w:before="0" w:after="283"/>
              <w:jc w:val="left"/>
              <w:rPr/>
            </w:pPr>
            <w:r>
              <w:rPr/>
              <w:t>(b)</w:t>
            </w:r>
          </w:p>
        </w:tc>
        <w:tc>
          <w:tcPr>
            <w:tcW w:w="9969"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equity award adjustments for each applicable year include the addition (or subtraction, as applicable) of the following: (i) the </w:t>
            </w:r>
          </w:p>
          <w:p>
            <w:pPr>
              <w:pStyle w:val="TableContents"/>
              <w:spacing w:before="0" w:after="0"/>
              <w:jc w:val="left"/>
              <w:rPr>
                <w:rFonts w:ascii="Times New Roman" w:hAnsi="Times New Roman"/>
                <w:spacing w:val="0"/>
                <w:sz w:val="20"/>
              </w:rPr>
            </w:pPr>
            <w:r>
              <w:rPr>
                <w:rFonts w:ascii="Times New Roman" w:hAnsi="Times New Roman"/>
                <w:spacing w:val="0"/>
                <w:sz w:val="20"/>
              </w:rPr>
              <w:t>year-end</w:t>
            </w:r>
          </w:p>
          <w:p>
            <w:pPr>
              <w:pStyle w:val="TableContents"/>
              <w:spacing w:before="0" w:after="0"/>
              <w:jc w:val="left"/>
              <w:rPr>
                <w:rFonts w:ascii="Times New Roman" w:hAnsi="Times New Roman"/>
                <w:sz w:val="20"/>
              </w:rPr>
            </w:pPr>
            <w:r>
              <w:rPr>
                <w:rFonts w:ascii="Times New Roman" w:hAnsi="Times New Roman"/>
                <w:sz w:val="20"/>
              </w:rPr>
              <w:t xml:space="preserve">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methodology used to calculate fair values did not materially differ from those disclosed at the time of grant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45</w:t>
      </w:r>
    </w:p>
    <w:p>
      <w:pPr>
        <w:pStyle w:val="HorizontalLine"/>
        <w:rPr/>
      </w:pPr>
      <w:r>
        <w:rPr/>
      </w:r>
    </w:p>
    <w:p>
      <w:pPr>
        <w:pStyle w:val="TextBody"/>
        <w:spacing w:before="0" w:after="0"/>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283"/>
              <w:jc w:val="left"/>
              <w:rPr/>
            </w:pPr>
            <w:r>
              <w:rPr/>
              <w:t xml:space="preserve">and include current economic assumptions as of the applicable valuation dates. The amounts deducted or added in calculating the equity award adjustments are as follows: </w:t>
            </w:r>
          </w:p>
        </w:tc>
      </w:tr>
    </w:tbl>
    <w:tbl>
      <w:tblPr>
        <w:tblW w:w="328" w:type="dxa"/>
        <w:jc w:val="left"/>
        <w:tblInd w:w="0" w:type="dxa"/>
        <w:tblCellMar>
          <w:top w:w="0" w:type="dxa"/>
          <w:left w:w="0" w:type="dxa"/>
          <w:bottom w:w="0" w:type="dxa"/>
          <w:right w:w="0" w:type="dxa"/>
        </w:tblCellMar>
      </w:tblPr>
      <w:tblGrid>
        <w:gridCol w:w="290"/>
        <w:gridCol w:w="38"/>
      </w:tblGrid>
      <w:tr>
        <w:trPr/>
        <w:tc>
          <w:tcPr>
            <w:tcW w:w="290" w:type="dxa"/>
            <w:tcBorders/>
            <w:shd w:fill="auto" w:val="clear"/>
            <w:vAlign w:val="center"/>
          </w:tcPr>
          <w:p>
            <w:pPr>
              <w:pStyle w:val="TableContents"/>
              <w:spacing w:before="0" w:after="283"/>
              <w:jc w:val="left"/>
              <w:rPr/>
            </w:pPr>
            <w:r>
              <w:rPr/>
              <w:t>(c)</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10710" w:type="dxa"/>
        <w:jc w:val="left"/>
        <w:tblInd w:w="0" w:type="dxa"/>
        <w:tblCellMar>
          <w:top w:w="0" w:type="dxa"/>
          <w:left w:w="0" w:type="dxa"/>
          <w:bottom w:w="0" w:type="dxa"/>
          <w:right w:w="0" w:type="dxa"/>
        </w:tblCellMar>
      </w:tblPr>
      <w:tblGrid>
        <w:gridCol w:w="545"/>
        <w:gridCol w:w="60"/>
        <w:gridCol w:w="140"/>
        <w:gridCol w:w="1100"/>
        <w:gridCol w:w="60"/>
        <w:gridCol w:w="60"/>
        <w:gridCol w:w="180"/>
        <w:gridCol w:w="1100"/>
        <w:gridCol w:w="155"/>
        <w:gridCol w:w="60"/>
        <w:gridCol w:w="140"/>
        <w:gridCol w:w="980"/>
        <w:gridCol w:w="60"/>
        <w:gridCol w:w="60"/>
        <w:gridCol w:w="140"/>
        <w:gridCol w:w="980"/>
        <w:gridCol w:w="155"/>
        <w:gridCol w:w="60"/>
        <w:gridCol w:w="730"/>
        <w:gridCol w:w="730"/>
        <w:gridCol w:w="60"/>
        <w:gridCol w:w="60"/>
        <w:gridCol w:w="745"/>
        <w:gridCol w:w="745"/>
        <w:gridCol w:w="60"/>
        <w:gridCol w:w="60"/>
        <w:gridCol w:w="140"/>
        <w:gridCol w:w="1175"/>
        <w:gridCol w:w="170"/>
      </w:tblGrid>
      <w:tr>
        <w:trPr/>
        <w:tc>
          <w:tcPr>
            <w:tcW w:w="5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45" w:type="dxa"/>
            <w:tcBorders/>
            <w:shd w:fill="auto" w:val="clear"/>
            <w:vAlign w:val="center"/>
          </w:tcPr>
          <w:p>
            <w:pPr>
              <w:pStyle w:val="TableContents"/>
              <w:spacing w:before="0" w:after="0"/>
              <w:rPr>
                <w:b/>
                <w:spacing w:val="0"/>
              </w:rPr>
            </w:pPr>
            <w:r>
              <w:rPr>
                <w:b/>
                <w:spacing w:val="0"/>
              </w:rPr>
              <w:t>Year</w:t>
            </w:r>
          </w:p>
        </w:tc>
        <w:tc>
          <w:tcPr>
            <w:tcW w:w="6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Year End</w:t>
              <w:br/>
              <w:t>Fair Value</w:t>
            </w:r>
          </w:p>
          <w:p>
            <w:pPr>
              <w:pStyle w:val="TableContents"/>
              <w:spacing w:before="0" w:after="20"/>
              <w:jc w:val="center"/>
              <w:rPr>
                <w:rFonts w:ascii="Times New Roman" w:hAnsi="Times New Roman"/>
                <w:b/>
                <w:sz w:val="16"/>
              </w:rPr>
            </w:pPr>
            <w:r>
              <w:rPr>
                <w:rFonts w:ascii="Times New Roman" w:hAnsi="Times New Roman"/>
                <w:b/>
                <w:sz w:val="16"/>
              </w:rPr>
              <w:t>of</w:t>
              <w:br/>
              <w:t>Unvested</w:t>
              <w:br/>
              <w:t>Equity</w:t>
              <w:br/>
              <w:t>Awards</w:t>
              <w:br/>
              <w:t>Granted in</w:t>
              <w:br/>
              <w:t>the Year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0" w:type="dxa"/>
            <w:gridSpan w:val="2"/>
            <w:tcBorders/>
            <w:shd w:fill="auto" w:val="clear"/>
            <w:vAlign w:val="center"/>
          </w:tcPr>
          <w:p>
            <w:pPr>
              <w:pStyle w:val="TableContents"/>
              <w:spacing w:before="0" w:after="0"/>
              <w:jc w:val="center"/>
              <w:rPr>
                <w:b/>
                <w:spacing w:val="0"/>
              </w:rPr>
            </w:pPr>
            <w:r>
              <w:rPr>
                <w:b/>
                <w:spacing w:val="0"/>
              </w:rPr>
              <w:t>Year over</w:t>
              <w:br/>
              <w:t>Year Change</w:t>
              <w:br/>
              <w:t>in Fair Value</w:t>
              <w:br/>
              <w:t>of Outstanding</w:t>
              <w:br/>
              <w:t>and Unvested</w:t>
              <w:br/>
              <w:t>Equity</w:t>
              <w:br/>
              <w:t>Awards</w:t>
              <w:br/>
              <w:t>Granted in</w:t>
              <w:br/>
              <w:t>Prior Years</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Fair Value</w:t>
              <w:br/>
              <w:t>as of</w:t>
              <w:br/>
              <w:t>Vesting</w:t>
              <w:br/>
              <w:t>Date of</w:t>
            </w:r>
          </w:p>
          <w:p>
            <w:pPr>
              <w:pStyle w:val="TableContents"/>
              <w:spacing w:before="0" w:after="20"/>
              <w:jc w:val="center"/>
              <w:rPr>
                <w:rFonts w:ascii="Times New Roman" w:hAnsi="Times New Roman"/>
                <w:b/>
                <w:sz w:val="16"/>
              </w:rPr>
            </w:pPr>
            <w:r>
              <w:rPr>
                <w:rFonts w:ascii="Times New Roman" w:hAnsi="Times New Roman"/>
                <w:b/>
                <w:sz w:val="16"/>
              </w:rPr>
              <w:t>Equity</w:t>
              <w:br/>
              <w:t>Awards</w:t>
              <w:br/>
              <w:t>Granted and</w:t>
              <w:br/>
              <w:t>Vested in</w:t>
              <w:br/>
              <w:t>the Year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shd w:fill="auto" w:val="clear"/>
            <w:vAlign w:val="center"/>
          </w:tcPr>
          <w:p>
            <w:pPr>
              <w:pStyle w:val="TableContents"/>
              <w:spacing w:before="0" w:after="0"/>
              <w:jc w:val="center"/>
              <w:rPr>
                <w:b/>
                <w:spacing w:val="0"/>
              </w:rPr>
            </w:pPr>
            <w:r>
              <w:rPr>
                <w:b/>
                <w:spacing w:val="0"/>
              </w:rPr>
              <w:t>Year over</w:t>
              <w:br/>
              <w:t>Year</w:t>
              <w:br/>
              <w:t>Change in</w:t>
              <w:br/>
              <w:t>Fair Value</w:t>
              <w:br/>
              <w:t>of Equity</w:t>
              <w:br/>
              <w:t>Awards</w:t>
              <w:br/>
              <w:t>Granted in</w:t>
              <w:br/>
              <w:t>Prior Years</w:t>
              <w:br/>
              <w:t>that Vested</w:t>
              <w:br/>
              <w:t>in the Year</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0" w:type="dxa"/>
            <w:gridSpan w:val="2"/>
            <w:tcBorders/>
            <w:shd w:fill="auto" w:val="clear"/>
            <w:vAlign w:val="center"/>
          </w:tcPr>
          <w:p>
            <w:pPr>
              <w:pStyle w:val="TableContents"/>
              <w:spacing w:before="0" w:after="0"/>
              <w:jc w:val="center"/>
              <w:rPr>
                <w:b/>
                <w:spacing w:val="0"/>
              </w:rPr>
            </w:pPr>
            <w:r>
              <w:rPr>
                <w:b/>
                <w:spacing w:val="0"/>
              </w:rPr>
              <w:t>Fair Value at</w:t>
              <w:br/>
              <w:t>the End of the</w:t>
              <w:br/>
              <w:t>Prior Year of</w:t>
              <w:br/>
              <w:t>Equity</w:t>
              <w:br/>
              <w:t>Awards that</w:t>
              <w:br/>
              <w:t>Failed to</w:t>
              <w:br/>
              <w:t>Meet Vesting</w:t>
              <w:br/>
              <w:t>Conditions in</w:t>
              <w:br/>
              <w:t>the Year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0"/>
              <w:jc w:val="center"/>
              <w:rPr>
                <w:b/>
                <w:spacing w:val="0"/>
              </w:rPr>
            </w:pPr>
            <w:r>
              <w:rPr>
                <w:b/>
                <w:spacing w:val="0"/>
              </w:rPr>
              <w:t>Value of</w:t>
              <w:br/>
              <w:t>Dividends or</w:t>
              <w:br/>
              <w:t>other</w:t>
              <w:br/>
              <w:t>Earnings Paid</w:t>
              <w:br/>
              <w:t>on Stock or</w:t>
              <w:br/>
              <w:t>Option</w:t>
              <w:br/>
              <w:t>Awards not</w:t>
              <w:br/>
              <w:t>Otherwise</w:t>
              <w:br/>
              <w:t>Reflected in</w:t>
              <w:br/>
              <w:t>Fair Value or</w:t>
              <w:br/>
              <w:t>Total</w:t>
              <w:br/>
              <w:t>Compensation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15" w:type="dxa"/>
            <w:gridSpan w:val="2"/>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Total Equity</w:t>
              <w:br/>
              <w:t>Award</w:t>
            </w:r>
          </w:p>
          <w:p>
            <w:pPr>
              <w:pStyle w:val="TableContents"/>
              <w:spacing w:before="0" w:after="20"/>
              <w:jc w:val="center"/>
              <w:rPr>
                <w:rFonts w:ascii="Times New Roman" w:hAnsi="Times New Roman"/>
                <w:b/>
                <w:sz w:val="16"/>
              </w:rPr>
            </w:pPr>
            <w:r>
              <w:rPr>
                <w:rFonts w:ascii="Times New Roman" w:hAnsi="Times New Roman"/>
                <w:b/>
                <w:sz w:val="16"/>
              </w:rPr>
              <w:t>Adjustments</w:t>
            </w:r>
          </w:p>
        </w:tc>
        <w:tc>
          <w:tcPr>
            <w:tcW w:w="170" w:type="dxa"/>
            <w:tcBorders/>
            <w:shd w:fill="auto" w:val="clear"/>
            <w:vAlign w:val="center"/>
          </w:tcPr>
          <w:p>
            <w:pPr>
              <w:pStyle w:val="TableContents"/>
              <w:spacing w:before="0" w:after="283"/>
              <w:rPr/>
            </w:pPr>
            <w:r>
              <w:rPr/>
              <w:t> </w:t>
            </w:r>
          </w:p>
        </w:tc>
      </w:tr>
      <w:tr>
        <w:trPr/>
        <w:tc>
          <w:tcPr>
            <w:tcW w:w="5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2022</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6,167,394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5,705,432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5,792,484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30" w:type="dxa"/>
            <w:tcBorders/>
            <w:shd w:fill="CCEEFF" w:val="clear"/>
            <w:vAlign w:val="center"/>
          </w:tcPr>
          <w:p>
            <w:pPr>
              <w:pStyle w:val="TableContents"/>
              <w:spacing w:before="0" w:after="283"/>
              <w:rPr/>
            </w:pPr>
            <w:r>
              <w:rPr/>
              <w:t>$</w:t>
            </w:r>
          </w:p>
        </w:tc>
        <w:tc>
          <w:tcPr>
            <w:tcW w:w="730"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45" w:type="dxa"/>
            <w:tcBorders/>
            <w:shd w:fill="CCEEFF" w:val="clear"/>
            <w:vAlign w:val="center"/>
          </w:tcPr>
          <w:p>
            <w:pPr>
              <w:pStyle w:val="TableContents"/>
              <w:spacing w:before="0" w:after="283"/>
              <w:rPr/>
            </w:pPr>
            <w:r>
              <w:rPr/>
              <w:t>$</w:t>
            </w:r>
          </w:p>
        </w:tc>
        <w:tc>
          <w:tcPr>
            <w:tcW w:w="745"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75" w:type="dxa"/>
            <w:tcBorders/>
            <w:shd w:fill="CCEEFF" w:val="clear"/>
            <w:vAlign w:val="center"/>
          </w:tcPr>
          <w:p>
            <w:pPr>
              <w:pStyle w:val="TableContents"/>
              <w:spacing w:before="0" w:after="283"/>
              <w:jc w:val="right"/>
              <w:rPr/>
            </w:pPr>
            <w:r>
              <w:rPr/>
              <w:t>($5,330,522</w:t>
            </w:r>
          </w:p>
        </w:tc>
        <w:tc>
          <w:tcPr>
            <w:tcW w:w="170" w:type="dxa"/>
            <w:tcBorders/>
            <w:shd w:fill="CCEEFF" w:val="clear"/>
            <w:vAlign w:val="center"/>
          </w:tcPr>
          <w:p>
            <w:pPr>
              <w:pStyle w:val="TableContents"/>
              <w:spacing w:before="0" w:after="283"/>
              <w:rPr/>
            </w:pPr>
            <w:r>
              <w:rPr/>
              <w:t>) </w:t>
            </w:r>
          </w:p>
        </w:tc>
      </w:tr>
      <w:tr>
        <w:trPr/>
        <w:tc>
          <w:tcPr>
            <w:tcW w:w="5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2021</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16,395,788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12,685,867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3,523,500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7,385,103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0" w:type="dxa"/>
            <w:tcBorders/>
            <w:shd w:fill="auto" w:val="clear"/>
            <w:vAlign w:val="center"/>
          </w:tcPr>
          <w:p>
            <w:pPr>
              <w:pStyle w:val="TableContents"/>
              <w:spacing w:before="0" w:after="283"/>
              <w:rPr/>
            </w:pPr>
            <w:r>
              <w:rPr/>
              <w:t>$</w:t>
            </w:r>
          </w:p>
        </w:tc>
        <w:tc>
          <w:tcPr>
            <w:tcW w:w="730"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45" w:type="dxa"/>
            <w:tcBorders/>
            <w:shd w:fill="auto" w:val="clear"/>
            <w:vAlign w:val="center"/>
          </w:tcPr>
          <w:p>
            <w:pPr>
              <w:pStyle w:val="TableContents"/>
              <w:spacing w:before="0" w:after="283"/>
              <w:rPr/>
            </w:pPr>
            <w:r>
              <w:rPr/>
              <w:t>$</w:t>
            </w:r>
          </w:p>
        </w:tc>
        <w:tc>
          <w:tcPr>
            <w:tcW w:w="745"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75" w:type="dxa"/>
            <w:tcBorders/>
            <w:shd w:fill="auto" w:val="clear"/>
            <w:vAlign w:val="center"/>
          </w:tcPr>
          <w:p>
            <w:pPr>
              <w:pStyle w:val="TableContents"/>
              <w:spacing w:before="0" w:after="283"/>
              <w:jc w:val="right"/>
              <w:rPr/>
            </w:pPr>
            <w:r>
              <w:rPr/>
              <w:t>39,990,258</w:t>
            </w:r>
          </w:p>
        </w:tc>
        <w:tc>
          <w:tcPr>
            <w:tcW w:w="170"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jc w:val="left"/>
              <w:rPr/>
            </w:pPr>
            <w:r>
              <w:rPr/>
              <w:t>(3)</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dollar amounts reported in column (d) represent the average of the amounts reported for our NEOs as a group (excluding Mr. Massaro, who has served as our CEO since 2013) in the Total column of the Summary Compensation Table in each applicable year. The names of each of the NEOs (excluding Mr. Massaro) included for purposes of calculating the average amounts in each applicable year are as follows: (i) for 2022, Robert Orgel, Michael Ellis, Sharon Butler and David King; and (ii) for 2021, Robert Orgel and Michael Ellis. </w:t>
            </w:r>
          </w:p>
        </w:tc>
      </w:tr>
    </w:tbl>
    <w:tbl>
      <w:tblPr>
        <w:tblW w:w="10205" w:type="dxa"/>
        <w:jc w:val="left"/>
        <w:tblInd w:w="0" w:type="dxa"/>
        <w:tblCellMar>
          <w:top w:w="0" w:type="dxa"/>
          <w:left w:w="0" w:type="dxa"/>
          <w:bottom w:w="0" w:type="dxa"/>
          <w:right w:w="0" w:type="dxa"/>
        </w:tblCellMar>
      </w:tblPr>
      <w:tblGrid>
        <w:gridCol w:w="264"/>
        <w:gridCol w:w="9941"/>
      </w:tblGrid>
      <w:tr>
        <w:trPr/>
        <w:tc>
          <w:tcPr>
            <w:tcW w:w="264" w:type="dxa"/>
            <w:tcBorders/>
            <w:shd w:fill="auto" w:val="clear"/>
            <w:vAlign w:val="center"/>
          </w:tcPr>
          <w:p>
            <w:pPr>
              <w:pStyle w:val="TableContents"/>
              <w:spacing w:before="0" w:after="283"/>
              <w:jc w:val="left"/>
              <w:rPr/>
            </w:pPr>
            <w:r>
              <w:rPr/>
              <w:t>(4)</w:t>
            </w:r>
          </w:p>
        </w:tc>
        <w:tc>
          <w:tcPr>
            <w:tcW w:w="994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dollar amounts reported in column (e) represent the average amount of compensation actually paid to the NEOs as a group (excluding Mr. Massaro), as computed in accordance with Item 402(v) of </w:t>
            </w:r>
          </w:p>
          <w:p>
            <w:pPr>
              <w:pStyle w:val="TableContents"/>
              <w:spacing w:before="0" w:after="0"/>
              <w:jc w:val="left"/>
              <w:rPr>
                <w:rFonts w:ascii="Times New Roman" w:hAnsi="Times New Roman"/>
                <w:spacing w:val="0"/>
                <w:sz w:val="20"/>
              </w:rPr>
            </w:pPr>
            <w:r>
              <w:rPr>
                <w:rFonts w:ascii="Times New Roman" w:hAnsi="Times New Roman"/>
                <w:spacing w:val="0"/>
                <w:sz w:val="20"/>
              </w:rPr>
              <w:t>Regulation S-K.</w:t>
            </w:r>
          </w:p>
          <w:p>
            <w:pPr>
              <w:pStyle w:val="TableContents"/>
              <w:spacing w:before="0" w:after="0"/>
              <w:jc w:val="left"/>
              <w:rPr>
                <w:rFonts w:ascii="Times New Roman" w:hAnsi="Times New Roman"/>
                <w:sz w:val="20"/>
              </w:rPr>
            </w:pPr>
            <w:r>
              <w:rPr>
                <w:rFonts w:ascii="Times New Roman" w:hAnsi="Times New Roman"/>
                <w:sz w:val="20"/>
              </w:rPr>
              <w:t xml:space="preserve">The dollar amounts do not reflect the actual average amount of compensation earned by or paid to the NEOs as a group (excluding Mr. Massaro) during the applicable year. In accordance with the requirements of Item 402(v) of Regulation </w:t>
            </w:r>
          </w:p>
          <w:p>
            <w:pPr>
              <w:pStyle w:val="TableContents"/>
              <w:spacing w:before="0" w:after="0"/>
              <w:jc w:val="left"/>
              <w:rPr>
                <w:rFonts w:ascii="Times New Roman" w:hAnsi="Times New Roman"/>
                <w:spacing w:val="0"/>
                <w:sz w:val="20"/>
              </w:rPr>
            </w:pPr>
            <w:r>
              <w:rPr>
                <w:rFonts w:ascii="Times New Roman" w:hAnsi="Times New Roman"/>
                <w:spacing w:val="0"/>
                <w:sz w:val="20"/>
              </w:rPr>
              <w:t>S-K,</w:t>
            </w:r>
          </w:p>
          <w:p>
            <w:pPr>
              <w:pStyle w:val="TableContents"/>
              <w:spacing w:before="0" w:after="0"/>
              <w:jc w:val="left"/>
              <w:rPr>
                <w:rFonts w:ascii="Times New Roman" w:hAnsi="Times New Roman"/>
                <w:sz w:val="20"/>
              </w:rPr>
            </w:pPr>
            <w:r>
              <w:rPr>
                <w:rFonts w:ascii="Times New Roman" w:hAnsi="Times New Roman"/>
                <w:sz w:val="20"/>
              </w:rPr>
              <w:t xml:space="preserve">the following adjustments were made to average total compensation for the NEOs as a group (excluding Mr. Massaro) for each year to determine the compensation actually paid, using the same methodology described above in Footnote (2) above: </w:t>
            </w:r>
          </w:p>
        </w:tc>
      </w:tr>
    </w:tbl>
    <w:p>
      <w:pPr>
        <w:pStyle w:val="TextBody"/>
        <w:spacing w:before="0" w:after="0"/>
        <w:jc w:val="left"/>
        <w:rPr/>
      </w:pPr>
      <w:r>
        <w:rPr/>
        <w:t> </w:t>
      </w:r>
    </w:p>
    <w:tbl>
      <w:tblPr>
        <w:tblW w:w="7109" w:type="dxa"/>
        <w:jc w:val="left"/>
        <w:tblInd w:w="0" w:type="dxa"/>
        <w:tblCellMar>
          <w:top w:w="0" w:type="dxa"/>
          <w:left w:w="0" w:type="dxa"/>
          <w:bottom w:w="0" w:type="dxa"/>
          <w:right w:w="0" w:type="dxa"/>
        </w:tblCellMar>
      </w:tblPr>
      <w:tblGrid>
        <w:gridCol w:w="545"/>
        <w:gridCol w:w="120"/>
        <w:gridCol w:w="186"/>
        <w:gridCol w:w="1304"/>
        <w:gridCol w:w="60"/>
        <w:gridCol w:w="120"/>
        <w:gridCol w:w="215"/>
        <w:gridCol w:w="980"/>
        <w:gridCol w:w="155"/>
        <w:gridCol w:w="60"/>
        <w:gridCol w:w="158"/>
        <w:gridCol w:w="1331"/>
        <w:gridCol w:w="155"/>
        <w:gridCol w:w="60"/>
        <w:gridCol w:w="158"/>
        <w:gridCol w:w="1332"/>
        <w:gridCol w:w="170"/>
      </w:tblGrid>
      <w:tr>
        <w:trPr/>
        <w:tc>
          <w:tcPr>
            <w:tcW w:w="5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33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45" w:type="dxa"/>
            <w:tcBorders/>
            <w:shd w:fill="auto" w:val="clear"/>
            <w:vAlign w:val="center"/>
          </w:tcPr>
          <w:p>
            <w:pPr>
              <w:pStyle w:val="TableContents"/>
              <w:spacing w:before="0" w:after="0"/>
              <w:rPr>
                <w:b/>
                <w:spacing w:val="0"/>
              </w:rPr>
            </w:pPr>
            <w:r>
              <w:rPr>
                <w:b/>
                <w:spacing w:val="0"/>
              </w:rPr>
              <w:t>Year</w:t>
            </w:r>
          </w:p>
        </w:tc>
        <w:tc>
          <w:tcPr>
            <w:tcW w:w="12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0"/>
              <w:jc w:val="center"/>
              <w:rPr>
                <w:b/>
                <w:spacing w:val="0"/>
              </w:rPr>
            </w:pPr>
            <w:r>
              <w:rPr>
                <w:b/>
                <w:spacing w:val="0"/>
              </w:rPr>
              <w:t>Average</w:t>
              <w:br/>
              <w:t>Reported</w:t>
              <w:br/>
              <w:t>Summary</w:t>
              <w:br/>
              <w:t>Compensation</w:t>
              <w:br/>
              <w:t>Table Total</w:t>
              <w:br/>
              <w:t xml:space="preserve">for </w:t>
            </w:r>
          </w:p>
          <w:p>
            <w:pPr>
              <w:pStyle w:val="TableContents"/>
              <w:spacing w:before="0" w:after="0"/>
              <w:jc w:val="center"/>
              <w:rPr>
                <w:b/>
                <w:spacing w:val="0"/>
              </w:rPr>
            </w:pPr>
            <w:r>
              <w:rPr>
                <w:b/>
                <w:spacing w:val="0"/>
              </w:rPr>
              <w:t>Non-PEO</w:t>
            </w:r>
          </w:p>
          <w:p>
            <w:pPr>
              <w:pStyle w:val="TableContents"/>
              <w:spacing w:before="0" w:after="0"/>
              <w:jc w:val="center"/>
              <w:rPr>
                <w:b/>
                <w:spacing w:val="0"/>
              </w:rPr>
            </w:pPr>
            <w:r>
              <w:rPr>
                <w:b/>
                <w:spacing w:val="0"/>
              </w:rPr>
              <w:br/>
              <w:t>NEOs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5" w:type="dxa"/>
            <w:gridSpan w:val="2"/>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Average</w:t>
              <w:br/>
              <w:t>Reported</w:t>
            </w:r>
          </w:p>
          <w:p>
            <w:pPr>
              <w:pStyle w:val="TableContents"/>
              <w:spacing w:before="0" w:after="20"/>
              <w:jc w:val="center"/>
              <w:rPr>
                <w:rFonts w:ascii="Times New Roman" w:hAnsi="Times New Roman"/>
                <w:b/>
                <w:sz w:val="16"/>
              </w:rPr>
            </w:pPr>
            <w:r>
              <w:rPr>
                <w:rFonts w:ascii="Times New Roman" w:hAnsi="Times New Roman"/>
                <w:b/>
                <w:sz w:val="16"/>
              </w:rPr>
              <w:t>Value of</w:t>
              <w:br/>
              <w:t>Equity</w:t>
              <w:br/>
              <w:t>Awards</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9" w:type="dxa"/>
            <w:gridSpan w:val="2"/>
            <w:tcBorders/>
            <w:shd w:fill="auto" w:val="clear"/>
            <w:vAlign w:val="center"/>
          </w:tcPr>
          <w:p>
            <w:pPr>
              <w:pStyle w:val="TableContents"/>
              <w:spacing w:before="0" w:after="0"/>
              <w:jc w:val="center"/>
              <w:rPr>
                <w:b/>
                <w:spacing w:val="0"/>
              </w:rPr>
            </w:pPr>
            <w:r>
              <w:rPr>
                <w:b/>
                <w:spacing w:val="0"/>
              </w:rPr>
              <w:t>Average</w:t>
              <w:br/>
              <w:t>Equity Award</w:t>
              <w:br/>
              <w:t>Adjustments</w:t>
            </w:r>
          </w:p>
          <w:p>
            <w:pPr>
              <w:pStyle w:val="TableContents"/>
              <w:spacing w:before="0" w:after="0"/>
              <w:jc w:val="center"/>
              <w:rPr>
                <w:b/>
                <w:spacing w:val="0"/>
                <w:sz w:val="9"/>
              </w:rPr>
            </w:pPr>
            <w:r>
              <w:rPr>
                <w:b/>
                <w:spacing w:val="0"/>
                <w:sz w:val="9"/>
              </w:rPr>
              <w:t>(a)</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0"/>
              <w:jc w:val="center"/>
              <w:rPr>
                <w:b/>
                <w:spacing w:val="0"/>
              </w:rPr>
            </w:pPr>
            <w:r>
              <w:rPr>
                <w:b/>
                <w:spacing w:val="0"/>
              </w:rPr>
              <w:t>Average</w:t>
              <w:br/>
              <w:t>Compensation</w:t>
              <w:br/>
              <w:t>Actually Paid</w:t>
              <w:br/>
              <w:t xml:space="preserve">to </w:t>
            </w:r>
          </w:p>
          <w:p>
            <w:pPr>
              <w:pStyle w:val="TableContents"/>
              <w:spacing w:before="0" w:after="0"/>
              <w:jc w:val="center"/>
              <w:rPr>
                <w:b/>
                <w:spacing w:val="0"/>
              </w:rPr>
            </w:pPr>
            <w:r>
              <w:rPr>
                <w:b/>
                <w:spacing w:val="0"/>
              </w:rPr>
              <w:t>Non-PEO</w:t>
            </w:r>
          </w:p>
          <w:p>
            <w:pPr>
              <w:pStyle w:val="TableContents"/>
              <w:spacing w:before="0" w:after="0"/>
              <w:jc w:val="center"/>
              <w:rPr>
                <w:b/>
                <w:spacing w:val="0"/>
              </w:rPr>
            </w:pPr>
            <w:r>
              <w:rPr>
                <w:b/>
                <w:spacing w:val="0"/>
              </w:rPr>
              <w:br/>
              <w:t>NEOs</w:t>
            </w:r>
          </w:p>
        </w:tc>
        <w:tc>
          <w:tcPr>
            <w:tcW w:w="170" w:type="dxa"/>
            <w:tcBorders/>
            <w:shd w:fill="auto" w:val="clear"/>
            <w:vAlign w:val="center"/>
          </w:tcPr>
          <w:p>
            <w:pPr>
              <w:pStyle w:val="TableContents"/>
              <w:spacing w:before="0" w:after="283"/>
              <w:rPr/>
            </w:pPr>
            <w:r>
              <w:rPr/>
              <w:t> </w:t>
            </w:r>
          </w:p>
        </w:tc>
      </w:tr>
      <w:tr>
        <w:trPr/>
        <w:tc>
          <w:tcPr>
            <w:tcW w:w="5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2022</w:t>
            </w:r>
          </w:p>
        </w:tc>
        <w:tc>
          <w:tcPr>
            <w:tcW w:w="12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rPr/>
            </w:pPr>
            <w:r>
              <w:rPr/>
              <w:t>$</w:t>
            </w:r>
          </w:p>
        </w:tc>
        <w:tc>
          <w:tcPr>
            <w:tcW w:w="1304" w:type="dxa"/>
            <w:tcBorders/>
            <w:shd w:fill="CCEEFF" w:val="clear"/>
            <w:vAlign w:val="center"/>
          </w:tcPr>
          <w:p>
            <w:pPr>
              <w:pStyle w:val="TableContents"/>
              <w:spacing w:before="0" w:after="283"/>
              <w:jc w:val="right"/>
              <w:rPr/>
            </w:pPr>
            <w:r>
              <w:rPr/>
              <w:t>3,131,699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2,622,054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1331" w:type="dxa"/>
            <w:tcBorders/>
            <w:shd w:fill="CCEEFF" w:val="clear"/>
            <w:vAlign w:val="center"/>
          </w:tcPr>
          <w:p>
            <w:pPr>
              <w:pStyle w:val="TableContents"/>
              <w:spacing w:before="0" w:after="283"/>
              <w:jc w:val="right"/>
              <w:rPr/>
            </w:pPr>
            <w:r>
              <w:rPr/>
              <w:t>($1,764,405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1332" w:type="dxa"/>
            <w:tcBorders/>
            <w:shd w:fill="CCEEFF" w:val="clear"/>
            <w:vAlign w:val="center"/>
          </w:tcPr>
          <w:p>
            <w:pPr>
              <w:pStyle w:val="TableContents"/>
              <w:spacing w:before="0" w:after="283"/>
              <w:jc w:val="right"/>
              <w:rPr/>
            </w:pPr>
            <w:r>
              <w:rPr/>
              <w:t>($1,254,761</w:t>
            </w:r>
          </w:p>
        </w:tc>
        <w:tc>
          <w:tcPr>
            <w:tcW w:w="170" w:type="dxa"/>
            <w:tcBorders/>
            <w:shd w:fill="CCEEFF" w:val="clear"/>
            <w:vAlign w:val="center"/>
          </w:tcPr>
          <w:p>
            <w:pPr>
              <w:pStyle w:val="TableContents"/>
              <w:spacing w:before="0" w:after="283"/>
              <w:rPr/>
            </w:pPr>
            <w:r>
              <w:rPr/>
              <w:t>) </w:t>
            </w:r>
          </w:p>
        </w:tc>
      </w:tr>
      <w:tr>
        <w:trPr/>
        <w:tc>
          <w:tcPr>
            <w:tcW w:w="5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2021</w:t>
            </w:r>
          </w:p>
        </w:tc>
        <w:tc>
          <w:tcPr>
            <w:tcW w:w="120" w:type="dxa"/>
            <w:tcBorders/>
            <w:shd w:fill="auto" w:val="clear"/>
            <w:vAlign w:val="center"/>
          </w:tcPr>
          <w:p>
            <w:pPr>
              <w:pStyle w:val="TableContents"/>
              <w:spacing w:before="0" w:after="283"/>
              <w:rPr/>
            </w:pPr>
            <w:r>
              <w:rPr/>
              <w:t>  </w:t>
            </w:r>
          </w:p>
        </w:tc>
        <w:tc>
          <w:tcPr>
            <w:tcW w:w="186" w:type="dxa"/>
            <w:tcBorders/>
            <w:shd w:fill="auto" w:val="clear"/>
            <w:vAlign w:val="center"/>
          </w:tcPr>
          <w:p>
            <w:pPr>
              <w:pStyle w:val="TableContents"/>
              <w:spacing w:before="0" w:after="283"/>
              <w:rPr/>
            </w:pPr>
            <w:r>
              <w:rPr/>
              <w:t>$</w:t>
            </w:r>
          </w:p>
        </w:tc>
        <w:tc>
          <w:tcPr>
            <w:tcW w:w="1304" w:type="dxa"/>
            <w:tcBorders/>
            <w:shd w:fill="auto" w:val="clear"/>
            <w:vAlign w:val="center"/>
          </w:tcPr>
          <w:p>
            <w:pPr>
              <w:pStyle w:val="TableContents"/>
              <w:spacing w:before="0" w:after="283"/>
              <w:jc w:val="right"/>
              <w:rPr/>
            </w:pPr>
            <w:r>
              <w:rPr/>
              <w:t>2,685,819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2,178,165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w:t>
            </w:r>
          </w:p>
        </w:tc>
        <w:tc>
          <w:tcPr>
            <w:tcW w:w="1331" w:type="dxa"/>
            <w:tcBorders/>
            <w:shd w:fill="auto" w:val="clear"/>
            <w:vAlign w:val="center"/>
          </w:tcPr>
          <w:p>
            <w:pPr>
              <w:pStyle w:val="TableContents"/>
              <w:spacing w:before="0" w:after="283"/>
              <w:jc w:val="right"/>
              <w:rPr/>
            </w:pPr>
            <w:r>
              <w:rPr/>
              <w:t>20,680,918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w:t>
            </w:r>
          </w:p>
        </w:tc>
        <w:tc>
          <w:tcPr>
            <w:tcW w:w="1332" w:type="dxa"/>
            <w:tcBorders/>
            <w:shd w:fill="auto" w:val="clear"/>
            <w:vAlign w:val="center"/>
          </w:tcPr>
          <w:p>
            <w:pPr>
              <w:pStyle w:val="TableContents"/>
              <w:spacing w:before="0" w:after="283"/>
              <w:jc w:val="right"/>
              <w:rPr/>
            </w:pPr>
            <w:r>
              <w:rPr/>
              <w:t>21,188,572</w:t>
            </w:r>
          </w:p>
        </w:tc>
        <w:tc>
          <w:tcPr>
            <w:tcW w:w="170"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8845" w:type="dxa"/>
        <w:jc w:val="left"/>
        <w:tblInd w:w="0" w:type="dxa"/>
        <w:tblCellMar>
          <w:top w:w="0" w:type="dxa"/>
          <w:left w:w="0" w:type="dxa"/>
          <w:bottom w:w="0" w:type="dxa"/>
          <w:right w:w="0" w:type="dxa"/>
        </w:tblCellMar>
      </w:tblPr>
      <w:tblGrid>
        <w:gridCol w:w="290"/>
        <w:gridCol w:w="8555"/>
      </w:tblGrid>
      <w:tr>
        <w:trPr/>
        <w:tc>
          <w:tcPr>
            <w:tcW w:w="290" w:type="dxa"/>
            <w:tcBorders/>
            <w:shd w:fill="auto" w:val="clear"/>
            <w:vAlign w:val="center"/>
          </w:tcPr>
          <w:p>
            <w:pPr>
              <w:pStyle w:val="TableContents"/>
              <w:spacing w:before="0" w:after="283"/>
              <w:jc w:val="left"/>
              <w:rPr/>
            </w:pPr>
            <w:r>
              <w:rPr/>
              <w:t>(a)</w:t>
            </w:r>
          </w:p>
        </w:tc>
        <w:tc>
          <w:tcPr>
            <w:tcW w:w="85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amounts deducted or added in calculating the total average equity award adjustments are as follows: </w:t>
            </w:r>
          </w:p>
        </w:tc>
      </w:tr>
    </w:tbl>
    <w:p>
      <w:pPr>
        <w:pStyle w:val="TextBody"/>
        <w:spacing w:before="0" w:after="0"/>
        <w:jc w:val="left"/>
        <w:rPr/>
      </w:pPr>
      <w:r>
        <w:rPr/>
        <w:t> </w:t>
      </w:r>
    </w:p>
    <w:tbl>
      <w:tblPr>
        <w:tblW w:w="12025" w:type="dxa"/>
        <w:jc w:val="left"/>
        <w:tblInd w:w="0" w:type="dxa"/>
        <w:tblCellMar>
          <w:top w:w="0" w:type="dxa"/>
          <w:left w:w="0" w:type="dxa"/>
          <w:bottom w:w="0" w:type="dxa"/>
          <w:right w:w="0" w:type="dxa"/>
        </w:tblCellMar>
      </w:tblPr>
      <w:tblGrid>
        <w:gridCol w:w="545"/>
        <w:gridCol w:w="60"/>
        <w:gridCol w:w="140"/>
        <w:gridCol w:w="1100"/>
        <w:gridCol w:w="60"/>
        <w:gridCol w:w="60"/>
        <w:gridCol w:w="216"/>
        <w:gridCol w:w="1514"/>
        <w:gridCol w:w="155"/>
        <w:gridCol w:w="60"/>
        <w:gridCol w:w="820"/>
        <w:gridCol w:w="820"/>
        <w:gridCol w:w="60"/>
        <w:gridCol w:w="60"/>
        <w:gridCol w:w="140"/>
        <w:gridCol w:w="980"/>
        <w:gridCol w:w="155"/>
        <w:gridCol w:w="60"/>
        <w:gridCol w:w="790"/>
        <w:gridCol w:w="790"/>
        <w:gridCol w:w="60"/>
        <w:gridCol w:w="60"/>
        <w:gridCol w:w="857"/>
        <w:gridCol w:w="858"/>
        <w:gridCol w:w="60"/>
        <w:gridCol w:w="60"/>
        <w:gridCol w:w="140"/>
        <w:gridCol w:w="1175"/>
        <w:gridCol w:w="170"/>
      </w:tblGrid>
      <w:tr>
        <w:trPr/>
        <w:tc>
          <w:tcPr>
            <w:tcW w:w="5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51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45" w:type="dxa"/>
            <w:tcBorders/>
            <w:shd w:fill="auto" w:val="clear"/>
            <w:vAlign w:val="center"/>
          </w:tcPr>
          <w:p>
            <w:pPr>
              <w:pStyle w:val="TableContents"/>
              <w:spacing w:before="0" w:after="0"/>
              <w:rPr>
                <w:b/>
                <w:spacing w:val="0"/>
              </w:rPr>
            </w:pPr>
            <w:r>
              <w:rPr>
                <w:b/>
                <w:spacing w:val="0"/>
              </w:rPr>
              <w:t>Year</w:t>
            </w:r>
          </w:p>
        </w:tc>
        <w:tc>
          <w:tcPr>
            <w:tcW w:w="6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0"/>
              <w:jc w:val="center"/>
              <w:rPr>
                <w:b/>
                <w:spacing w:val="0"/>
              </w:rPr>
            </w:pPr>
            <w:r>
              <w:rPr>
                <w:b/>
                <w:spacing w:val="0"/>
              </w:rPr>
              <w:t>Year End Fair</w:t>
              <w:br/>
              <w:t>Value of</w:t>
              <w:br/>
              <w:t>Unvested</w:t>
              <w:br/>
              <w:t>Equity</w:t>
              <w:br/>
              <w:t>Awards</w:t>
              <w:br/>
              <w:t>Granted in</w:t>
              <w:br/>
              <w:t>the Year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30" w:type="dxa"/>
            <w:gridSpan w:val="2"/>
            <w:tcBorders/>
            <w:shd w:fill="auto" w:val="clear"/>
            <w:vAlign w:val="center"/>
          </w:tcPr>
          <w:p>
            <w:pPr>
              <w:pStyle w:val="TableContents"/>
              <w:spacing w:before="0" w:after="0"/>
              <w:jc w:val="center"/>
              <w:rPr>
                <w:b/>
                <w:spacing w:val="0"/>
              </w:rPr>
            </w:pPr>
            <w:r>
              <w:rPr>
                <w:b/>
                <w:spacing w:val="0"/>
              </w:rPr>
              <w:t>Year over Year</w:t>
              <w:br/>
              <w:t>Change in Fair</w:t>
              <w:br/>
              <w:t>Value of</w:t>
              <w:br/>
              <w:t>Outstanding and</w:t>
              <w:br/>
              <w:t>Unvested Equity</w:t>
              <w:br/>
              <w:t>Awards</w:t>
              <w:br/>
              <w:t>Granted in</w:t>
              <w:br/>
              <w:t>Prior Years</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40" w:type="dxa"/>
            <w:gridSpan w:val="2"/>
            <w:tcBorders/>
            <w:shd w:fill="auto" w:val="clear"/>
            <w:vAlign w:val="center"/>
          </w:tcPr>
          <w:p>
            <w:pPr>
              <w:pStyle w:val="TableContents"/>
              <w:spacing w:before="0" w:after="0"/>
              <w:jc w:val="center"/>
              <w:rPr>
                <w:b/>
                <w:spacing w:val="0"/>
              </w:rPr>
            </w:pPr>
            <w:r>
              <w:rPr>
                <w:b/>
                <w:spacing w:val="0"/>
              </w:rPr>
              <w:t>Fair Value as of</w:t>
              <w:br/>
              <w:t>Vesting Date of</w:t>
              <w:br/>
              <w:t>Equity Awards</w:t>
              <w:br/>
              <w:t>Granted and</w:t>
              <w:br/>
              <w:t>Vested in the</w:t>
              <w:br/>
              <w:t>Year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shd w:fill="auto" w:val="clear"/>
            <w:vAlign w:val="center"/>
          </w:tcPr>
          <w:p>
            <w:pPr>
              <w:pStyle w:val="TableContents"/>
              <w:spacing w:before="0" w:after="0"/>
              <w:jc w:val="center"/>
              <w:rPr>
                <w:b/>
                <w:spacing w:val="0"/>
              </w:rPr>
            </w:pPr>
            <w:r>
              <w:rPr>
                <w:b/>
                <w:spacing w:val="0"/>
              </w:rPr>
              <w:t>Year over</w:t>
              <w:br/>
              <w:t>Year Change</w:t>
              <w:br/>
              <w:t>in Fair Value</w:t>
              <w:br/>
              <w:t>of Equity</w:t>
              <w:br/>
              <w:t>Awards</w:t>
              <w:br/>
              <w:t>Granted in</w:t>
              <w:br/>
              <w:t>Prior Years</w:t>
              <w:br/>
              <w:t>that Vested in</w:t>
              <w:br/>
              <w:t>the Year</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0" w:type="dxa"/>
            <w:gridSpan w:val="2"/>
            <w:tcBorders/>
            <w:shd w:fill="auto" w:val="clear"/>
            <w:vAlign w:val="center"/>
          </w:tcPr>
          <w:p>
            <w:pPr>
              <w:pStyle w:val="TableContents"/>
              <w:spacing w:before="0" w:after="0"/>
              <w:jc w:val="center"/>
              <w:rPr>
                <w:b/>
                <w:spacing w:val="0"/>
              </w:rPr>
            </w:pPr>
            <w:r>
              <w:rPr>
                <w:b/>
                <w:spacing w:val="0"/>
              </w:rPr>
              <w:t>Fair Value at</w:t>
              <w:br/>
              <w:t>the End of the</w:t>
              <w:br/>
              <w:t>Prior Year of</w:t>
              <w:br/>
              <w:t>Equity Awards</w:t>
              <w:br/>
              <w:t>that Failed to</w:t>
              <w:br/>
              <w:t>Meet Vesting</w:t>
              <w:br/>
              <w:t>Conditions in</w:t>
              <w:br/>
              <w:t>the Year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15" w:type="dxa"/>
            <w:gridSpan w:val="2"/>
            <w:tcBorders/>
            <w:shd w:fill="auto" w:val="clear"/>
            <w:vAlign w:val="center"/>
          </w:tcPr>
          <w:p>
            <w:pPr>
              <w:pStyle w:val="TableContents"/>
              <w:spacing w:before="0" w:after="0"/>
              <w:jc w:val="center"/>
              <w:rPr>
                <w:b/>
                <w:spacing w:val="0"/>
              </w:rPr>
            </w:pPr>
            <w:r>
              <w:rPr>
                <w:b/>
                <w:spacing w:val="0"/>
              </w:rPr>
              <w:t>Value of</w:t>
              <w:br/>
              <w:t>Dividends or</w:t>
              <w:br/>
              <w:t>other Earnings</w:t>
              <w:br/>
              <w:t>Paid on Stock or</w:t>
              <w:br/>
              <w:t>Option Awards</w:t>
              <w:br/>
              <w:t>not Otherwise</w:t>
              <w:br/>
              <w:t>Reflected in Fair</w:t>
              <w:br/>
              <w:t>Value or Total</w:t>
              <w:br/>
              <w:t>Compensation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15" w:type="dxa"/>
            <w:gridSpan w:val="2"/>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Total Equity</w:t>
              <w:br/>
              <w:t>Award</w:t>
            </w:r>
          </w:p>
          <w:p>
            <w:pPr>
              <w:pStyle w:val="TableContents"/>
              <w:spacing w:before="0" w:after="20"/>
              <w:jc w:val="center"/>
              <w:rPr>
                <w:rFonts w:ascii="Times New Roman" w:hAnsi="Times New Roman"/>
                <w:b/>
                <w:sz w:val="16"/>
              </w:rPr>
            </w:pPr>
            <w:r>
              <w:rPr>
                <w:rFonts w:ascii="Times New Roman" w:hAnsi="Times New Roman"/>
                <w:b/>
                <w:sz w:val="16"/>
              </w:rPr>
              <w:t>Adjustments</w:t>
            </w:r>
          </w:p>
        </w:tc>
        <w:tc>
          <w:tcPr>
            <w:tcW w:w="170" w:type="dxa"/>
            <w:tcBorders/>
            <w:shd w:fill="auto" w:val="clear"/>
            <w:vAlign w:val="center"/>
          </w:tcPr>
          <w:p>
            <w:pPr>
              <w:pStyle w:val="TableContents"/>
              <w:spacing w:before="0" w:after="283"/>
              <w:rPr/>
            </w:pPr>
            <w:r>
              <w:rPr/>
              <w:t> </w:t>
            </w:r>
          </w:p>
        </w:tc>
      </w:tr>
      <w:tr>
        <w:trPr/>
        <w:tc>
          <w:tcPr>
            <w:tcW w:w="5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2022</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2,533,030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rPr/>
            </w:pPr>
            <w:r>
              <w:rPr/>
              <w:t>($</w:t>
            </w:r>
          </w:p>
        </w:tc>
        <w:tc>
          <w:tcPr>
            <w:tcW w:w="1514" w:type="dxa"/>
            <w:tcBorders/>
            <w:shd w:fill="CCEEFF" w:val="clear"/>
            <w:vAlign w:val="center"/>
          </w:tcPr>
          <w:p>
            <w:pPr>
              <w:pStyle w:val="TableContents"/>
              <w:spacing w:before="0" w:after="283"/>
              <w:jc w:val="right"/>
              <w:rPr/>
            </w:pPr>
            <w:r>
              <w:rPr/>
              <w:t>2,094,399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20" w:type="dxa"/>
            <w:tcBorders/>
            <w:shd w:fill="CCEEFF" w:val="clear"/>
            <w:vAlign w:val="center"/>
          </w:tcPr>
          <w:p>
            <w:pPr>
              <w:pStyle w:val="TableContents"/>
              <w:spacing w:before="0" w:after="283"/>
              <w:rPr/>
            </w:pPr>
            <w:r>
              <w:rPr/>
              <w:t>$</w:t>
            </w:r>
          </w:p>
        </w:tc>
        <w:tc>
          <w:tcPr>
            <w:tcW w:w="820"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2,203,036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90" w:type="dxa"/>
            <w:tcBorders/>
            <w:shd w:fill="CCEEFF" w:val="clear"/>
            <w:vAlign w:val="center"/>
          </w:tcPr>
          <w:p>
            <w:pPr>
              <w:pStyle w:val="TableContents"/>
              <w:spacing w:before="0" w:after="283"/>
              <w:rPr/>
            </w:pPr>
            <w:r>
              <w:rPr/>
              <w:t>$</w:t>
            </w:r>
          </w:p>
        </w:tc>
        <w:tc>
          <w:tcPr>
            <w:tcW w:w="790"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57" w:type="dxa"/>
            <w:tcBorders/>
            <w:shd w:fill="CCEEFF" w:val="clear"/>
            <w:vAlign w:val="center"/>
          </w:tcPr>
          <w:p>
            <w:pPr>
              <w:pStyle w:val="TableContents"/>
              <w:spacing w:before="0" w:after="283"/>
              <w:rPr/>
            </w:pPr>
            <w:r>
              <w:rPr/>
              <w:t>$</w:t>
            </w:r>
          </w:p>
        </w:tc>
        <w:tc>
          <w:tcPr>
            <w:tcW w:w="858"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75" w:type="dxa"/>
            <w:tcBorders/>
            <w:shd w:fill="CCEEFF" w:val="clear"/>
            <w:vAlign w:val="center"/>
          </w:tcPr>
          <w:p>
            <w:pPr>
              <w:pStyle w:val="TableContents"/>
              <w:spacing w:before="0" w:after="283"/>
              <w:jc w:val="right"/>
              <w:rPr/>
            </w:pPr>
            <w:r>
              <w:rPr/>
              <w:t>($1,764,405</w:t>
            </w:r>
          </w:p>
        </w:tc>
        <w:tc>
          <w:tcPr>
            <w:tcW w:w="170" w:type="dxa"/>
            <w:tcBorders/>
            <w:shd w:fill="CCEEFF" w:val="clear"/>
            <w:vAlign w:val="center"/>
          </w:tcPr>
          <w:p>
            <w:pPr>
              <w:pStyle w:val="TableContents"/>
              <w:spacing w:before="0" w:after="283"/>
              <w:rPr/>
            </w:pPr>
            <w:r>
              <w:rPr/>
              <w:t>) </w:t>
            </w:r>
          </w:p>
        </w:tc>
      </w:tr>
      <w:tr>
        <w:trPr/>
        <w:tc>
          <w:tcPr>
            <w:tcW w:w="5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2021</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11,095,008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w:t>
            </w:r>
          </w:p>
        </w:tc>
        <w:tc>
          <w:tcPr>
            <w:tcW w:w="1514" w:type="dxa"/>
            <w:tcBorders/>
            <w:shd w:fill="auto" w:val="clear"/>
            <w:vAlign w:val="center"/>
          </w:tcPr>
          <w:p>
            <w:pPr>
              <w:pStyle w:val="TableContents"/>
              <w:spacing w:before="0" w:after="283"/>
              <w:jc w:val="right"/>
              <w:rPr/>
            </w:pPr>
            <w:r>
              <w:rPr/>
              <w:t>6,753,408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tcBorders/>
            <w:shd w:fill="auto" w:val="clear"/>
            <w:vAlign w:val="center"/>
          </w:tcPr>
          <w:p>
            <w:pPr>
              <w:pStyle w:val="TableContents"/>
              <w:spacing w:before="0" w:after="283"/>
              <w:rPr/>
            </w:pPr>
            <w:r>
              <w:rPr/>
              <w:t>$</w:t>
            </w:r>
          </w:p>
        </w:tc>
        <w:tc>
          <w:tcPr>
            <w:tcW w:w="820"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2,832,502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90" w:type="dxa"/>
            <w:tcBorders/>
            <w:shd w:fill="auto" w:val="clear"/>
            <w:vAlign w:val="center"/>
          </w:tcPr>
          <w:p>
            <w:pPr>
              <w:pStyle w:val="TableContents"/>
              <w:spacing w:before="0" w:after="283"/>
              <w:rPr/>
            </w:pPr>
            <w:r>
              <w:rPr/>
              <w:t>$</w:t>
            </w:r>
          </w:p>
        </w:tc>
        <w:tc>
          <w:tcPr>
            <w:tcW w:w="790"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7" w:type="dxa"/>
            <w:tcBorders/>
            <w:shd w:fill="auto" w:val="clear"/>
            <w:vAlign w:val="center"/>
          </w:tcPr>
          <w:p>
            <w:pPr>
              <w:pStyle w:val="TableContents"/>
              <w:spacing w:before="0" w:after="283"/>
              <w:rPr/>
            </w:pPr>
            <w:r>
              <w:rPr/>
              <w:t>$</w:t>
            </w:r>
          </w:p>
        </w:tc>
        <w:tc>
          <w:tcPr>
            <w:tcW w:w="858"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75" w:type="dxa"/>
            <w:tcBorders/>
            <w:shd w:fill="auto" w:val="clear"/>
            <w:vAlign w:val="center"/>
          </w:tcPr>
          <w:p>
            <w:pPr>
              <w:pStyle w:val="TableContents"/>
              <w:spacing w:before="0" w:after="283"/>
              <w:jc w:val="right"/>
              <w:rPr/>
            </w:pPr>
            <w:r>
              <w:rPr/>
              <w:t>20,680,918</w:t>
            </w:r>
          </w:p>
        </w:tc>
        <w:tc>
          <w:tcPr>
            <w:tcW w:w="170"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8"/>
        <w:gridCol w:w="9947"/>
      </w:tblGrid>
      <w:tr>
        <w:trPr/>
        <w:tc>
          <w:tcPr>
            <w:tcW w:w="258" w:type="dxa"/>
            <w:tcBorders/>
            <w:shd w:fill="auto" w:val="clear"/>
            <w:vAlign w:val="center"/>
          </w:tcPr>
          <w:p>
            <w:pPr>
              <w:pStyle w:val="TableContents"/>
              <w:spacing w:before="0" w:after="283"/>
              <w:jc w:val="left"/>
              <w:rPr/>
            </w:pPr>
            <w:r>
              <w:rPr/>
              <w:t>(5)</w:t>
            </w:r>
          </w:p>
        </w:tc>
        <w:tc>
          <w:tcPr>
            <w:tcW w:w="994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dollar amounts reported in column (f) represent our cumulative total shareholder return (TSR). Cumulative TSR is calculated by dividing the sum of the cumulative amount of dividends for the measurement period, assuming dividend reinvestment, and the difference between the price per share of our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46</w:t>
      </w:r>
    </w:p>
    <w:p>
      <w:pPr>
        <w:pStyle w:val="HorizontalLine"/>
        <w:rPr/>
      </w:pPr>
      <w:r>
        <w:rPr/>
      </w:r>
    </w:p>
    <w:p>
      <w:pPr>
        <w:pStyle w:val="TextBody"/>
        <w:spacing w:before="0" w:after="0"/>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283"/>
              <w:jc w:val="left"/>
              <w:rPr/>
            </w:pPr>
            <w:r>
              <w:rPr/>
              <w:t xml:space="preserve">common stock at the end and the beginning of the measurement period by the price per share of our common stock at the beginning of the measurement period. For this purpose, the measurement period begins at the initial public offering in May 2021. </w:t>
            </w:r>
          </w:p>
        </w:tc>
      </w:tr>
    </w:tbl>
    <w:tbl>
      <w:tblPr>
        <w:tblW w:w="8200" w:type="dxa"/>
        <w:jc w:val="left"/>
        <w:tblInd w:w="0" w:type="dxa"/>
        <w:tblCellMar>
          <w:top w:w="0" w:type="dxa"/>
          <w:left w:w="0" w:type="dxa"/>
          <w:bottom w:w="0" w:type="dxa"/>
          <w:right w:w="0" w:type="dxa"/>
        </w:tblCellMar>
      </w:tblPr>
      <w:tblGrid>
        <w:gridCol w:w="305"/>
        <w:gridCol w:w="7895"/>
      </w:tblGrid>
      <w:tr>
        <w:trPr/>
        <w:tc>
          <w:tcPr>
            <w:tcW w:w="305" w:type="dxa"/>
            <w:tcBorders/>
            <w:shd w:fill="auto" w:val="clear"/>
            <w:vAlign w:val="center"/>
          </w:tcPr>
          <w:p>
            <w:pPr>
              <w:pStyle w:val="TableContents"/>
              <w:spacing w:before="0" w:after="283"/>
              <w:jc w:val="left"/>
              <w:rPr/>
            </w:pPr>
            <w:r>
              <w:rPr/>
              <w:t>(6)</w:t>
            </w:r>
          </w:p>
        </w:tc>
        <w:tc>
          <w:tcPr>
            <w:tcW w:w="78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peer group used for purposes of column (g) is the S&amp;P 500 – Information Technology index. </w:t>
            </w:r>
          </w:p>
        </w:tc>
      </w:tr>
    </w:tbl>
    <w:tbl>
      <w:tblPr>
        <w:tblW w:w="10205" w:type="dxa"/>
        <w:jc w:val="left"/>
        <w:tblInd w:w="0" w:type="dxa"/>
        <w:tblCellMar>
          <w:top w:w="0" w:type="dxa"/>
          <w:left w:w="0" w:type="dxa"/>
          <w:bottom w:w="0" w:type="dxa"/>
          <w:right w:w="0" w:type="dxa"/>
        </w:tblCellMar>
      </w:tblPr>
      <w:tblGrid>
        <w:gridCol w:w="295"/>
        <w:gridCol w:w="9910"/>
      </w:tblGrid>
      <w:tr>
        <w:trPr/>
        <w:tc>
          <w:tcPr>
            <w:tcW w:w="295" w:type="dxa"/>
            <w:tcBorders/>
            <w:shd w:fill="auto" w:val="clear"/>
            <w:vAlign w:val="center"/>
          </w:tcPr>
          <w:p>
            <w:pPr>
              <w:pStyle w:val="TableContents"/>
              <w:spacing w:before="0" w:after="283"/>
              <w:jc w:val="left"/>
              <w:rPr/>
            </w:pPr>
            <w:r>
              <w:rPr/>
              <w:t>(7)</w:t>
            </w:r>
          </w:p>
        </w:tc>
        <w:tc>
          <w:tcPr>
            <w:tcW w:w="99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dollar amounts reported represent the amount of net income (loss) reflected in our audited financial statements for the applicable year. </w:t>
            </w:r>
          </w:p>
        </w:tc>
      </w:tr>
    </w:tbl>
    <w:tbl>
      <w:tblPr>
        <w:tblW w:w="10205" w:type="dxa"/>
        <w:jc w:val="left"/>
        <w:tblInd w:w="0" w:type="dxa"/>
        <w:tblCellMar>
          <w:top w:w="0" w:type="dxa"/>
          <w:left w:w="0" w:type="dxa"/>
          <w:bottom w:w="0" w:type="dxa"/>
          <w:right w:w="0" w:type="dxa"/>
        </w:tblCellMar>
      </w:tblPr>
      <w:tblGrid>
        <w:gridCol w:w="248"/>
        <w:gridCol w:w="9957"/>
      </w:tblGrid>
      <w:tr>
        <w:trPr/>
        <w:tc>
          <w:tcPr>
            <w:tcW w:w="248" w:type="dxa"/>
            <w:tcBorders/>
            <w:shd w:fill="auto" w:val="clear"/>
            <w:vAlign w:val="center"/>
          </w:tcPr>
          <w:p>
            <w:pPr>
              <w:pStyle w:val="TableContents"/>
              <w:spacing w:before="0" w:after="283"/>
              <w:jc w:val="left"/>
              <w:rPr/>
            </w:pPr>
            <w:r>
              <w:rPr/>
              <w:t>(8)</w:t>
            </w:r>
          </w:p>
        </w:tc>
        <w:tc>
          <w:tcPr>
            <w:tcW w:w="995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Compensation Committee exercised its discretion to modify our reported Revenue Less Ancillary Services for the year ended December 31, 2022 of $267.1 million to remove the $10.0 million of revenue attributable to CohortGo. While we use numerous financial and </w:t>
            </w:r>
          </w:p>
          <w:p>
            <w:pPr>
              <w:pStyle w:val="TableContents"/>
              <w:spacing w:before="0" w:after="0"/>
              <w:jc w:val="left"/>
              <w:rPr>
                <w:rFonts w:ascii="Times New Roman" w:hAnsi="Times New Roman"/>
                <w:spacing w:val="0"/>
                <w:sz w:val="20"/>
              </w:rPr>
            </w:pPr>
            <w:r>
              <w:rPr>
                <w:rFonts w:ascii="Times New Roman" w:hAnsi="Times New Roman"/>
                <w:spacing w:val="0"/>
                <w:sz w:val="20"/>
              </w:rPr>
              <w:t>non-financial</w:t>
            </w:r>
          </w:p>
          <w:p>
            <w:pPr>
              <w:pStyle w:val="TableContents"/>
              <w:spacing w:before="0" w:after="0"/>
              <w:jc w:val="left"/>
              <w:rPr>
                <w:rFonts w:ascii="Times New Roman" w:hAnsi="Times New Roman"/>
                <w:sz w:val="20"/>
              </w:rPr>
            </w:pPr>
            <w:r>
              <w:rPr>
                <w:rFonts w:ascii="Times New Roman" w:hAnsi="Times New Roman"/>
                <w:sz w:val="20"/>
              </w:rPr>
              <w:t xml:space="preserve">performance measures for the purpose of evaluating performance for our compensation programs, we have determined that Revenue Less Ancillary Services is the financial performance measure that, in our assessment, represents the most important performance measure (that is not otherwise required to be disclosed in the table) used by us to link compensation actually paid to the our NEOs, for the most recently completed fiscal year, to our performance. </w:t>
            </w:r>
          </w:p>
        </w:tc>
      </w:tr>
    </w:tbl>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Financial Performance Measures </w:t>
      </w:r>
    </w:p>
    <w:p>
      <w:pPr>
        <w:pStyle w:val="TextBody"/>
        <w:spacing w:before="120" w:after="0"/>
        <w:jc w:val="left"/>
        <w:rPr>
          <w:rFonts w:ascii="Times New Roman" w:hAnsi="Times New Roman"/>
          <w:sz w:val="20"/>
        </w:rPr>
      </w:pPr>
      <w:r>
        <w:rPr>
          <w:rFonts w:ascii="Times New Roman" w:hAnsi="Times New Roman"/>
          <w:sz w:val="20"/>
        </w:rPr>
        <w:t xml:space="preserve">As described in greater detail in the section “Executive </w:t>
      </w:r>
    </w:p>
    <w:p>
      <w:pPr>
        <w:pStyle w:val="TextBody"/>
        <w:spacing w:before="120" w:after="0"/>
        <w:jc w:val="left"/>
        <w:rPr>
          <w:rFonts w:ascii="Times New Roman" w:hAnsi="Times New Roman"/>
          <w:sz w:val="20"/>
        </w:rPr>
      </w:pPr>
      <w:r>
        <w:rPr>
          <w:rFonts w:ascii="Times New Roman" w:hAnsi="Times New Roman"/>
          <w:sz w:val="20"/>
        </w:rPr>
        <w:t xml:space="preserve">Compensation </w:t>
      </w:r>
    </w:p>
    <w:p>
      <w:pPr>
        <w:pStyle w:val="TextBody"/>
        <w:spacing w:before="120" w:after="0"/>
        <w:jc w:val="left"/>
        <w:rPr/>
      </w:pPr>
      <w:r>
        <w:rPr/>
        <w:t xml:space="preserve">– </w:t>
      </w:r>
      <w:r>
        <w:rPr>
          <w:rFonts w:ascii="Times New Roman" w:hAnsi="Times New Roman"/>
          <w:sz w:val="20"/>
        </w:rPr>
        <w:t xml:space="preserve">Compensation Discussion and Analysis” above, our executive compensation program reflects a </w:t>
      </w:r>
    </w:p>
    <w:p>
      <w:pPr>
        <w:pStyle w:val="TextBody"/>
        <w:spacing w:before="120" w:after="0"/>
        <w:jc w:val="left"/>
        <w:rPr>
          <w:rFonts w:ascii="Times New Roman" w:hAnsi="Times New Roman"/>
          <w:spacing w:val="0"/>
          <w:sz w:val="20"/>
        </w:rPr>
      </w:pPr>
      <w:r>
        <w:rPr>
          <w:rFonts w:ascii="Times New Roman" w:hAnsi="Times New Roman"/>
          <w:spacing w:val="0"/>
          <w:sz w:val="20"/>
        </w:rPr>
        <w:t>pay-for-performance</w:t>
      </w:r>
    </w:p>
    <w:p>
      <w:pPr>
        <w:pStyle w:val="TextBody"/>
        <w:spacing w:before="120" w:after="0"/>
        <w:jc w:val="left"/>
        <w:rPr>
          <w:rFonts w:ascii="Times New Roman" w:hAnsi="Times New Roman"/>
          <w:sz w:val="20"/>
        </w:rPr>
      </w:pPr>
      <w:r>
        <w:rPr>
          <w:rFonts w:ascii="Times New Roman" w:hAnsi="Times New Roman"/>
          <w:sz w:val="20"/>
        </w:rPr>
        <w:t xml:space="preserve">philosophy. Annual performance-based cash bonuses are tied primarily to achievement of corporate short-term financial goals and, for certain executives, individual performance. Long term incentive awards deliver value based on the performance of our common stock. The most important financial performance measures used by us to link executive compensation actually paid to our NEOs, for the most recently completed fiscal year, to our performance are as follows: </w:t>
      </w:r>
    </w:p>
    <w:p>
      <w:pPr>
        <w:pStyle w:val="TextBody"/>
        <w:spacing w:before="0" w:after="0"/>
        <w:jc w:val="left"/>
        <w:rPr/>
      </w:pPr>
      <w:r>
        <w:rPr/>
        <w:t> </w:t>
      </w:r>
    </w:p>
    <w:tbl>
      <w:tblPr>
        <w:tblW w:w="3385" w:type="dxa"/>
        <w:jc w:val="left"/>
        <w:tblInd w:w="0" w:type="dxa"/>
        <w:tblCellMar>
          <w:top w:w="0" w:type="dxa"/>
          <w:left w:w="0" w:type="dxa"/>
          <w:bottom w:w="0" w:type="dxa"/>
          <w:right w:w="0" w:type="dxa"/>
        </w:tblCellMar>
      </w:tblPr>
      <w:tblGrid>
        <w:gridCol w:w="75"/>
        <w:gridCol w:w="110"/>
        <w:gridCol w:w="60"/>
        <w:gridCol w:w="31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1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Revenue Less Ancillary Services; and </w:t>
            </w:r>
          </w:p>
        </w:tc>
      </w:tr>
    </w:tbl>
    <w:p>
      <w:pPr>
        <w:pStyle w:val="TextBody"/>
        <w:spacing w:before="0" w:after="0"/>
        <w:jc w:val="left"/>
        <w:rPr/>
      </w:pPr>
      <w:r>
        <w:rPr/>
        <w:t> </w:t>
      </w:r>
    </w:p>
    <w:tbl>
      <w:tblPr>
        <w:tblW w:w="1810" w:type="dxa"/>
        <w:jc w:val="left"/>
        <w:tblInd w:w="0" w:type="dxa"/>
        <w:tblCellMar>
          <w:top w:w="0" w:type="dxa"/>
          <w:left w:w="0" w:type="dxa"/>
          <w:bottom w:w="0" w:type="dxa"/>
          <w:right w:w="0" w:type="dxa"/>
        </w:tblCellMar>
      </w:tblPr>
      <w:tblGrid>
        <w:gridCol w:w="75"/>
        <w:gridCol w:w="110"/>
        <w:gridCol w:w="60"/>
        <w:gridCol w:w="15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5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Adjusted EBITDA </w:t>
            </w:r>
          </w:p>
        </w:tc>
      </w:tr>
    </w:tbl>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Analysis of the Information Presented in the Pay versus Performance Table </w:t>
      </w:r>
    </w:p>
    <w:p>
      <w:pPr>
        <w:pStyle w:val="TextBody"/>
        <w:spacing w:before="120" w:after="0"/>
        <w:jc w:val="left"/>
        <w:rPr>
          <w:rFonts w:ascii="Times New Roman" w:hAnsi="Times New Roman"/>
          <w:sz w:val="20"/>
        </w:rPr>
      </w:pPr>
      <w:r>
        <w:rPr>
          <w:rFonts w:ascii="Times New Roman" w:hAnsi="Times New Roman"/>
          <w:sz w:val="20"/>
        </w:rPr>
        <w:t xml:space="preserve">As described in more detail in the section “Executive Compensation – Compensation Discussion and Analysis” above, our executive compensation program reflects a </w:t>
      </w:r>
    </w:p>
    <w:p>
      <w:pPr>
        <w:pStyle w:val="TextBody"/>
        <w:spacing w:before="120" w:after="0"/>
        <w:jc w:val="left"/>
        <w:rPr>
          <w:rFonts w:ascii="Times New Roman" w:hAnsi="Times New Roman"/>
          <w:spacing w:val="0"/>
          <w:sz w:val="20"/>
        </w:rPr>
      </w:pPr>
      <w:r>
        <w:rPr>
          <w:rFonts w:ascii="Times New Roman" w:hAnsi="Times New Roman"/>
          <w:spacing w:val="0"/>
          <w:sz w:val="20"/>
        </w:rPr>
        <w:t>pay-for-performance</w:t>
      </w:r>
    </w:p>
    <w:p>
      <w:pPr>
        <w:pStyle w:val="TextBody"/>
        <w:spacing w:before="120" w:after="0"/>
        <w:jc w:val="left"/>
        <w:rPr>
          <w:rFonts w:ascii="Times New Roman" w:hAnsi="Times New Roman"/>
          <w:sz w:val="20"/>
        </w:rPr>
      </w:pPr>
      <w:r>
        <w:rPr>
          <w:rFonts w:ascii="Times New Roman" w:hAnsi="Times New Roman"/>
          <w:sz w:val="20"/>
        </w:rPr>
        <w:t xml:space="preserve">philosophy. While we utilize several performance measures to align executive compensation with our performance, all of those measures are not presented in the Pay versus Performance table. Moreover, we generally seek to incentivize long-term performance, and therefore do not specifically align our performance measures with compensation that is actually paid (as computed in accordance with Item 402(v) of Regulation </w:t>
      </w:r>
    </w:p>
    <w:p>
      <w:pPr>
        <w:pStyle w:val="TextBody"/>
        <w:spacing w:before="120" w:after="0"/>
        <w:jc w:val="left"/>
        <w:rPr>
          <w:rFonts w:ascii="Times New Roman" w:hAnsi="Times New Roman"/>
          <w:spacing w:val="0"/>
          <w:sz w:val="20"/>
        </w:rPr>
      </w:pPr>
      <w:r>
        <w:rPr>
          <w:rFonts w:ascii="Times New Roman" w:hAnsi="Times New Roman"/>
          <w:spacing w:val="0"/>
          <w:sz w:val="20"/>
        </w:rPr>
        <w:t>S-K)</w:t>
      </w:r>
    </w:p>
    <w:p>
      <w:pPr>
        <w:pStyle w:val="TextBody"/>
        <w:spacing w:before="120" w:after="0"/>
        <w:jc w:val="left"/>
        <w:rPr>
          <w:rFonts w:ascii="Times New Roman" w:hAnsi="Times New Roman"/>
          <w:sz w:val="20"/>
        </w:rPr>
      </w:pPr>
      <w:r>
        <w:rPr>
          <w:rFonts w:ascii="Times New Roman" w:hAnsi="Times New Roman"/>
          <w:sz w:val="20"/>
        </w:rPr>
        <w:t xml:space="preserve">for a particular year. In accordance with Item 402(v) of Regulation </w:t>
      </w:r>
    </w:p>
    <w:p>
      <w:pPr>
        <w:pStyle w:val="TextBody"/>
        <w:spacing w:before="120" w:after="0"/>
        <w:jc w:val="left"/>
        <w:rPr>
          <w:rFonts w:ascii="Times New Roman" w:hAnsi="Times New Roman"/>
          <w:spacing w:val="0"/>
          <w:sz w:val="20"/>
        </w:rPr>
      </w:pPr>
      <w:r>
        <w:rPr>
          <w:rFonts w:ascii="Times New Roman" w:hAnsi="Times New Roman"/>
          <w:spacing w:val="0"/>
          <w:sz w:val="20"/>
        </w:rPr>
        <w:t>S-K,</w:t>
      </w:r>
    </w:p>
    <w:p>
      <w:pPr>
        <w:pStyle w:val="TextBody"/>
        <w:spacing w:before="120" w:after="0"/>
        <w:jc w:val="left"/>
        <w:rPr>
          <w:rFonts w:ascii="Times New Roman" w:hAnsi="Times New Roman"/>
          <w:sz w:val="20"/>
        </w:rPr>
      </w:pPr>
      <w:r>
        <w:rPr>
          <w:rFonts w:ascii="Times New Roman" w:hAnsi="Times New Roman"/>
          <w:sz w:val="20"/>
        </w:rPr>
        <w:t xml:space="preserve">we are providing the following descriptions of the relationships between information presented in the Pay versus Performance table.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Compensation Actually Paid and Cumulative TSR </w:t>
      </w:r>
    </w:p>
    <w:p>
      <w:pPr>
        <w:pStyle w:val="TextBody"/>
        <w:spacing w:before="120" w:after="0"/>
        <w:jc w:val="left"/>
        <w:rPr>
          <w:rFonts w:ascii="Times New Roman" w:hAnsi="Times New Roman"/>
          <w:sz w:val="20"/>
        </w:rPr>
      </w:pPr>
      <w:r>
        <w:rPr>
          <w:rFonts w:ascii="Times New Roman" w:hAnsi="Times New Roman"/>
          <w:sz w:val="20"/>
        </w:rPr>
        <w:t xml:space="preserve">As demonstrated by the following graph, the amount of compensation actually paid (CAP) to Mr. Massaro and the average amount of compensation actually paid to our NEOs as a group (excluding Mr. Massaro) is aligned with our cumulative TSR over the two years presented in the table. The alignment of compensation actually paid with our cumulative TSR over the period presented is because a significant portion of the compensation actually paid to Mr. Massaro and to the other NEOs is comprised of equity awards. As described in more detail in the section “Executive Compensation – Compensation Discussion and Analysis” above, in Fiscal 2022, we granted an average of over 80% of our NEOs’ target direct compensation as equity-based compensation in the form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47</w:t>
      </w:r>
    </w:p>
    <w:p>
      <w:pPr>
        <w:pStyle w:val="HorizontalLine"/>
        <w:rPr/>
      </w:pPr>
      <w:r>
        <w:rPr/>
      </w:r>
    </w:p>
    <w:p>
      <w:pPr>
        <w:pStyle w:val="TextBody"/>
        <w:spacing w:before="0" w:after="0"/>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RSUs. In addition, we granted an additional exceptional RSU award to each of Ms. Butler and Mr. King based on their contributions to the company, importance of their respective roles and to further incentivize and retain them.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477520" cy="3232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77520" cy="323215"/>
                    </a:xfrm>
                    <a:prstGeom prst="rect">
                      <a:avLst/>
                    </a:prstGeom>
                  </pic:spPr>
                </pic:pic>
              </a:graphicData>
            </a:graphic>
          </wp:inline>
        </w:drawing>
      </w:r>
      <w:r>
        <w:rPr/>
        <w:t xml:space="preserve">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Compensation Actually Paid and Net Income (Loss) </w:t>
      </w:r>
    </w:p>
    <w:p>
      <w:pPr>
        <w:pStyle w:val="TextBody"/>
        <w:spacing w:before="120" w:after="0"/>
        <w:jc w:val="left"/>
        <w:rPr>
          <w:rFonts w:ascii="Times New Roman" w:hAnsi="Times New Roman"/>
          <w:sz w:val="20"/>
        </w:rPr>
      </w:pPr>
      <w:r>
        <w:rPr>
          <w:rFonts w:ascii="Times New Roman" w:hAnsi="Times New Roman"/>
          <w:sz w:val="20"/>
        </w:rPr>
        <w:t xml:space="preserve">As demonstrated by the following table, the amount of compensation actually paid (CAP) to Mr. Massaro and the average amount of compensation actually paid to our NEOs as a group (excluding Mr. Massaro) is generally aligned with our net income (loss) over the two years presented in the table. Due to the emphasis we place on equity compensation, stock return is the primary driver of CAP for the two years shown in the chart. Equity compensation is sensitive to stock prices.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477520" cy="3035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77520" cy="303530"/>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48 </w:t>
      </w:r>
    </w:p>
    <w:p>
      <w:pPr>
        <w:pStyle w:val="HorizontalLine"/>
        <w:rPr/>
      </w:pPr>
      <w:r>
        <w:rPr/>
      </w:r>
    </w:p>
    <w:p>
      <w:pPr>
        <w:pStyle w:val="TextBody"/>
        <w:spacing w:before="0" w:after="0"/>
        <w:rPr/>
      </w:pPr>
      <w:hyperlink w:anchor="toc">
        <w:r>
          <w:rPr>
            <w:rStyle w:val="InternetLink"/>
          </w:rPr>
          <w:t>Table of Contents</w:t>
        </w:r>
      </w:hyperlink>
    </w:p>
    <w:p>
      <w:pPr>
        <w:pStyle w:val="TextBody"/>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Compensation Actually Paid and Revenue Less Ancillary Services </w:t>
      </w:r>
    </w:p>
    <w:p>
      <w:pPr>
        <w:pStyle w:val="TextBody"/>
        <w:spacing w:before="120" w:after="0"/>
        <w:jc w:val="left"/>
        <w:rPr>
          <w:rFonts w:ascii="Times New Roman" w:hAnsi="Times New Roman"/>
          <w:sz w:val="20"/>
        </w:rPr>
      </w:pPr>
      <w:r>
        <w:rPr>
          <w:rFonts w:ascii="Times New Roman" w:hAnsi="Times New Roman"/>
          <w:sz w:val="20"/>
        </w:rPr>
        <w:t xml:space="preserve">As demonstrated by the following graph, the amount of compensation actually paid to Mr. Massaro and the average amount of compensation actually paid to our NEOs as a group (excluding Mr. Massaro) is not aligned with our Revenue Less Ancillary Services, as modified by our Compensation Committee, over the two years presented in the table. This is largely due to the emphasis we place on equity compensation, which is sensitive to stock price changes.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477520" cy="32321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77520" cy="32321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49 </w:t>
      </w:r>
    </w:p>
    <w:p>
      <w:pPr>
        <w:pStyle w:val="HorizontalLine"/>
        <w:rPr/>
      </w:pPr>
      <w:r>
        <w:rPr/>
      </w:r>
    </w:p>
    <w:p>
      <w:pPr>
        <w:pStyle w:val="TextBody"/>
        <w:spacing w:before="0" w:after="0"/>
        <w:rPr/>
      </w:pPr>
      <w:hyperlink w:anchor="toc">
        <w:r>
          <w:rPr>
            <w:rStyle w:val="InternetLink"/>
          </w:rPr>
          <w:t>Table of Contents</w:t>
        </w:r>
      </w:hyperlink>
    </w:p>
    <w:p>
      <w:pPr>
        <w:pStyle w:val="TextBody"/>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Our Cumulative TSR and Cumulative TSR of the Peer </w:t>
      </w:r>
    </w:p>
    <w:p>
      <w:pPr>
        <w:pStyle w:val="TextBody"/>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Group</w:t>
      </w:r>
    </w:p>
    <w:p>
      <w:pPr>
        <w:pStyle w:val="TextBody"/>
        <w:spacing w:before="120" w:after="0"/>
        <w:jc w:val="left"/>
        <w:rPr>
          <w:rFonts w:ascii="Times New Roman" w:hAnsi="Times New Roman"/>
          <w:sz w:val="20"/>
        </w:rPr>
      </w:pPr>
      <w:r>
        <w:rPr>
          <w:rFonts w:ascii="Times New Roman" w:hAnsi="Times New Roman"/>
          <w:sz w:val="20"/>
        </w:rPr>
        <w:t xml:space="preserve">As demonstrated by the following graph, our cumulative TSR over the </w:t>
      </w:r>
    </w:p>
    <w:p>
      <w:pPr>
        <w:pStyle w:val="TextBody"/>
        <w:spacing w:before="120" w:after="0"/>
        <w:jc w:val="left"/>
        <w:rPr>
          <w:rFonts w:ascii="Times New Roman" w:hAnsi="Times New Roman"/>
          <w:spacing w:val="0"/>
          <w:sz w:val="20"/>
        </w:rPr>
      </w:pPr>
      <w:r>
        <w:rPr>
          <w:rFonts w:ascii="Times New Roman" w:hAnsi="Times New Roman"/>
          <w:spacing w:val="0"/>
          <w:sz w:val="20"/>
        </w:rPr>
        <w:t>two-year</w:t>
      </w:r>
    </w:p>
    <w:p>
      <w:pPr>
        <w:pStyle w:val="TextBody"/>
        <w:spacing w:before="120" w:after="0"/>
        <w:jc w:val="left"/>
        <w:rPr>
          <w:rFonts w:ascii="Times New Roman" w:hAnsi="Times New Roman"/>
          <w:sz w:val="20"/>
        </w:rPr>
      </w:pPr>
      <w:r>
        <w:rPr>
          <w:rFonts w:ascii="Times New Roman" w:hAnsi="Times New Roman"/>
          <w:sz w:val="20"/>
        </w:rPr>
        <w:t xml:space="preserve">period presented in the table was 2%, while the cumulative TSR of the peer group presented for this purpose, S&amp;P 500 – Information Technology Sector, was </w:t>
      </w:r>
    </w:p>
    <w:p>
      <w:pPr>
        <w:pStyle w:val="TextBody"/>
        <w:spacing w:before="120" w:after="0"/>
        <w:jc w:val="left"/>
        <w:rPr>
          <w:rFonts w:ascii="Times New Roman" w:hAnsi="Times New Roman"/>
          <w:spacing w:val="0"/>
          <w:sz w:val="20"/>
        </w:rPr>
      </w:pPr>
      <w:r>
        <w:rPr>
          <w:rFonts w:ascii="Times New Roman" w:hAnsi="Times New Roman"/>
          <w:spacing w:val="0"/>
          <w:sz w:val="20"/>
        </w:rPr>
        <w:t>-11%</w:t>
      </w:r>
    </w:p>
    <w:p>
      <w:pPr>
        <w:pStyle w:val="TextBody"/>
        <w:spacing w:before="120" w:after="0"/>
        <w:jc w:val="left"/>
        <w:rPr>
          <w:rFonts w:ascii="Times New Roman" w:hAnsi="Times New Roman"/>
          <w:sz w:val="20"/>
        </w:rPr>
      </w:pPr>
      <w:r>
        <w:rPr>
          <w:rFonts w:ascii="Times New Roman" w:hAnsi="Times New Roman"/>
          <w:sz w:val="20"/>
        </w:rPr>
        <w:t xml:space="preserve">over the two years presented in the table. Our cumulative TSR consistently outperformed the S&amp;P 500 – Information Technology Sector during the two years presented in the table, representing our superior financial performance as compared to the companies comprising the S&amp;P 500 – Information Technology Sector. For more information regarding our performance and the peer group of companies that our Compensation Committee considers when determining compensation, refer to Executive Compensation – Compensation Discussion and Analysis.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477520" cy="30353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77520" cy="303530"/>
                    </a:xfrm>
                    <a:prstGeom prst="rect">
                      <a:avLst/>
                    </a:prstGeom>
                  </pic:spPr>
                </pic:pic>
              </a:graphicData>
            </a:graphic>
          </wp:inline>
        </w:drawing>
      </w:r>
      <w:r>
        <w:rPr/>
        <w:t xml:space="preserve"> </w:t>
      </w:r>
    </w:p>
    <w:p>
      <w:pPr>
        <w:pStyle w:val="TextBody"/>
        <w:spacing w:before="0" w:after="0"/>
        <w:jc w:val="left"/>
        <w:rPr/>
      </w:pPr>
      <w:r>
        <w:rPr/>
        <w:t> </w:t>
      </w:r>
    </w:p>
    <w:p>
      <w:pPr>
        <w:pStyle w:val="TextBody"/>
        <w:jc w:val="center"/>
        <w:rPr>
          <w:rFonts w:ascii="Times New Roman" w:hAnsi="Times New Roman"/>
          <w:sz w:val="20"/>
        </w:rPr>
      </w:pPr>
      <w:r>
        <w:rPr>
          <w:rFonts w:ascii="Times New Roman" w:hAnsi="Times New Roman"/>
          <w:sz w:val="20"/>
        </w:rPr>
        <w:t xml:space="preserve">50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7" w:name="toc359255_37"/>
      <w:bookmarkEnd w:id="37"/>
      <w:r>
        <w:rPr>
          <w:rFonts w:ascii="Times New Roman" w:hAnsi="Times New Roman"/>
          <w:b/>
          <w:sz w:val="20"/>
        </w:rPr>
        <w:t xml:space="preserve">SECURITY OWNERSHIP OF CERTAIN BENEFICIAL OWNERS AND MANAGEMENT </w:t>
      </w:r>
    </w:p>
    <w:p>
      <w:pPr>
        <w:pStyle w:val="TextBody"/>
        <w:spacing w:before="240" w:after="0"/>
        <w:jc w:val="left"/>
        <w:rPr>
          <w:rFonts w:ascii="Times New Roman" w:hAnsi="Times New Roman"/>
          <w:sz w:val="20"/>
        </w:rPr>
      </w:pPr>
      <w:r>
        <w:rPr>
          <w:rFonts w:ascii="Times New Roman" w:hAnsi="Times New Roman"/>
          <w:sz w:val="20"/>
        </w:rPr>
        <w:t xml:space="preserve">The following table sets forth certain information with respect to the beneficial ownership of our common stock as of April 10, 2023 for: </w:t>
      </w:r>
    </w:p>
    <w:p>
      <w:pPr>
        <w:pStyle w:val="TextBody"/>
        <w:spacing w:before="0" w:after="0"/>
        <w:jc w:val="left"/>
        <w:rPr/>
      </w:pPr>
      <w:r>
        <w:rPr/>
        <w:t> </w:t>
      </w:r>
    </w:p>
    <w:tbl>
      <w:tblPr>
        <w:tblW w:w="3355" w:type="dxa"/>
        <w:jc w:val="left"/>
        <w:tblInd w:w="0" w:type="dxa"/>
        <w:tblCellMar>
          <w:top w:w="0" w:type="dxa"/>
          <w:left w:w="0" w:type="dxa"/>
          <w:bottom w:w="0" w:type="dxa"/>
          <w:right w:w="0" w:type="dxa"/>
        </w:tblCellMar>
      </w:tblPr>
      <w:tblGrid>
        <w:gridCol w:w="75"/>
        <w:gridCol w:w="110"/>
        <w:gridCol w:w="60"/>
        <w:gridCol w:w="31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1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each of our named executive officers; </w:t>
            </w:r>
          </w:p>
        </w:tc>
      </w:tr>
    </w:tbl>
    <w:p>
      <w:pPr>
        <w:pStyle w:val="TextBody"/>
        <w:spacing w:before="0" w:after="0"/>
        <w:jc w:val="left"/>
        <w:rPr/>
      </w:pPr>
      <w:r>
        <w:rPr/>
        <w:t> </w:t>
      </w:r>
    </w:p>
    <w:tbl>
      <w:tblPr>
        <w:tblW w:w="2650" w:type="dxa"/>
        <w:jc w:val="left"/>
        <w:tblInd w:w="0" w:type="dxa"/>
        <w:tblCellMar>
          <w:top w:w="0" w:type="dxa"/>
          <w:left w:w="0" w:type="dxa"/>
          <w:bottom w:w="0" w:type="dxa"/>
          <w:right w:w="0" w:type="dxa"/>
        </w:tblCellMar>
      </w:tblPr>
      <w:tblGrid>
        <w:gridCol w:w="75"/>
        <w:gridCol w:w="110"/>
        <w:gridCol w:w="60"/>
        <w:gridCol w:w="24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4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each of our current directors; </w:t>
            </w:r>
          </w:p>
        </w:tc>
      </w:tr>
    </w:tbl>
    <w:p>
      <w:pPr>
        <w:pStyle w:val="TextBody"/>
        <w:spacing w:before="0" w:after="0"/>
        <w:jc w:val="left"/>
        <w:rPr/>
      </w:pPr>
      <w:r>
        <w:rPr/>
        <w:t> </w:t>
      </w:r>
    </w:p>
    <w:tbl>
      <w:tblPr>
        <w:tblW w:w="5530" w:type="dxa"/>
        <w:jc w:val="left"/>
        <w:tblInd w:w="0" w:type="dxa"/>
        <w:tblCellMar>
          <w:top w:w="0" w:type="dxa"/>
          <w:left w:w="0" w:type="dxa"/>
          <w:bottom w:w="0" w:type="dxa"/>
          <w:right w:w="0" w:type="dxa"/>
        </w:tblCellMar>
      </w:tblPr>
      <w:tblGrid>
        <w:gridCol w:w="75"/>
        <w:gridCol w:w="110"/>
        <w:gridCol w:w="60"/>
        <w:gridCol w:w="52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2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all of our current executive officers and directors as a group; and </w:t>
            </w:r>
          </w:p>
        </w:tc>
      </w:tr>
    </w:tbl>
    <w:p>
      <w:pPr>
        <w:pStyle w:val="TextBody"/>
        <w:spacing w:before="0" w:after="0"/>
        <w:jc w:val="left"/>
        <w:rPr/>
      </w:pPr>
      <w:r>
        <w:rPr/>
        <w:t> </w:t>
      </w:r>
    </w:p>
    <w:tbl>
      <w:tblPr>
        <w:tblW w:w="9880" w:type="dxa"/>
        <w:jc w:val="left"/>
        <w:tblInd w:w="0" w:type="dxa"/>
        <w:tblCellMar>
          <w:top w:w="0" w:type="dxa"/>
          <w:left w:w="0" w:type="dxa"/>
          <w:bottom w:w="0" w:type="dxa"/>
          <w:right w:w="0" w:type="dxa"/>
        </w:tblCellMar>
      </w:tblPr>
      <w:tblGrid>
        <w:gridCol w:w="75"/>
        <w:gridCol w:w="110"/>
        <w:gridCol w:w="60"/>
        <w:gridCol w:w="96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6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each stockholder known by us to be the beneficial owner of more than 5% of our outstanding shares of common stock. </w:t>
            </w:r>
          </w:p>
        </w:tc>
      </w:tr>
    </w:tbl>
    <w:p>
      <w:pPr>
        <w:pStyle w:val="TextBody"/>
        <w:spacing w:before="240" w:after="0"/>
        <w:jc w:val="left"/>
        <w:rPr>
          <w:rFonts w:ascii="Times New Roman" w:hAnsi="Times New Roman"/>
          <w:sz w:val="20"/>
        </w:rPr>
      </w:pPr>
      <w:r>
        <w:rPr>
          <w:rFonts w:ascii="Times New Roman" w:hAnsi="Times New Roman"/>
          <w:sz w:val="20"/>
        </w:rPr>
        <w:t xml:space="preserve">The table below is based upon information supplied by officers, directors and principal stockholders and Schedule 13Gs and 13Ds filed with the SEC through April 10, 2023. </w:t>
      </w:r>
    </w:p>
    <w:p>
      <w:pPr>
        <w:pStyle w:val="TextBody"/>
        <w:spacing w:before="240" w:after="0"/>
        <w:jc w:val="left"/>
        <w:rPr>
          <w:rFonts w:ascii="Times New Roman" w:hAnsi="Times New Roman"/>
          <w:sz w:val="20"/>
        </w:rPr>
      </w:pPr>
      <w:r>
        <w:rPr>
          <w:rFonts w:ascii="Times New Roman" w:hAnsi="Times New Roman"/>
          <w:sz w:val="20"/>
        </w:rPr>
        <w:t xml:space="preserve">The percentage ownership is based upon 108,736,781 shares of voting common stock outstanding as of April 10, 2023. For purposes of the table below, we deem shares of common stock subject to options that are currently exercisable or exercisable within sixty (60) days of April 10, 2023 and common stock subject to restricted stock unit awards that will vest within sixty (60) days of April 10, 2023 to be outstanding and to be beneficially owned by the person holding the options or restricted stock unit award for the purpose of computing the percentage ownership of that person, but we do not treat them as outstanding for the purpose of computing the percentage ownership of any other person. Except as otherwise noted, the persons or entities in this table have sole voting and investing power with respect to all of the shares of common stock beneficially owned by them, subject to community property laws, where applicable. Certain stockholders listed in the table also hold non-voting common stock, which are not entitled to vote at the Annual Meeting, as described in the relevant footnotes to the table below. Unless otherwise indicated, the address of each beneficial owner listed in the table below is c/o Flywire Corporation, 141 Tremont St., 10th Floor, Boston, Massachusetts 02111. </w:t>
      </w:r>
    </w:p>
    <w:p>
      <w:pPr>
        <w:pStyle w:val="TextBody"/>
        <w:spacing w:before="360" w:after="0"/>
        <w:jc w:val="left"/>
        <w:rPr>
          <w:rFonts w:ascii="Times New Roman" w:hAnsi="Times New Roman"/>
          <w:b/>
          <w:sz w:val="20"/>
        </w:rPr>
      </w:pPr>
      <w:r>
        <w:rPr>
          <w:rFonts w:ascii="Times New Roman" w:hAnsi="Times New Roman"/>
          <w:b/>
          <w:sz w:val="20"/>
        </w:rPr>
        <w:t xml:space="preserve">Common Stock </w:t>
      </w:r>
    </w:p>
    <w:p>
      <w:pPr>
        <w:pStyle w:val="TextBody"/>
        <w:spacing w:before="0" w:after="0"/>
        <w:jc w:val="left"/>
        <w:rPr/>
      </w:pPr>
      <w:r>
        <w:rPr/>
        <w:t> </w:t>
      </w:r>
    </w:p>
    <w:tbl>
      <w:tblPr>
        <w:tblW w:w="8850" w:type="dxa"/>
        <w:jc w:val="left"/>
        <w:tblInd w:w="0" w:type="dxa"/>
        <w:tblCellMar>
          <w:top w:w="0" w:type="dxa"/>
          <w:left w:w="0" w:type="dxa"/>
          <w:bottom w:w="0" w:type="dxa"/>
          <w:right w:w="0" w:type="dxa"/>
        </w:tblCellMar>
      </w:tblPr>
      <w:tblGrid>
        <w:gridCol w:w="5285"/>
        <w:gridCol w:w="120"/>
        <w:gridCol w:w="60"/>
        <w:gridCol w:w="335"/>
        <w:gridCol w:w="155"/>
        <w:gridCol w:w="120"/>
        <w:gridCol w:w="60"/>
        <w:gridCol w:w="1100"/>
        <w:gridCol w:w="60"/>
        <w:gridCol w:w="120"/>
        <w:gridCol w:w="137"/>
        <w:gridCol w:w="1008"/>
        <w:gridCol w:w="290"/>
      </w:tblGrid>
      <w:tr>
        <w:trPr/>
        <w:tc>
          <w:tcPr>
            <w:tcW w:w="52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5285" w:type="dxa"/>
            <w:tcBorders/>
            <w:shd w:fill="auto" w:val="clear"/>
            <w:vAlign w:val="center"/>
          </w:tcPr>
          <w:p>
            <w:pPr>
              <w:pStyle w:val="TableContents"/>
              <w:spacing w:before="0" w:after="283"/>
              <w:rPr>
                <w:b/>
              </w:rPr>
            </w:pPr>
            <w:r>
              <w:rPr>
                <w:b/>
              </w:rPr>
              <w:t>Name of Beneficial Owner</w:t>
            </w:r>
          </w:p>
        </w:tc>
        <w:tc>
          <w:tcPr>
            <w:tcW w:w="120" w:type="dxa"/>
            <w:tcBorders/>
            <w:shd w:fill="auto" w:val="clear"/>
            <w:vAlign w:val="center"/>
          </w:tcPr>
          <w:p>
            <w:pPr>
              <w:pStyle w:val="TableContents"/>
              <w:spacing w:before="0" w:after="283"/>
              <w:rPr/>
            </w:pPr>
            <w:r>
              <w:rPr/>
              <w:t>  </w:t>
            </w:r>
          </w:p>
        </w:tc>
        <w:tc>
          <w:tcPr>
            <w:tcW w:w="395" w:type="dxa"/>
            <w:gridSpan w:val="2"/>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60" w:type="dxa"/>
            <w:gridSpan w:val="2"/>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Number</w:t>
            </w:r>
          </w:p>
          <w:p>
            <w:pPr>
              <w:pStyle w:val="TableContents"/>
              <w:spacing w:before="0" w:after="20"/>
              <w:jc w:val="center"/>
              <w:rPr>
                <w:rFonts w:ascii="Times New Roman" w:hAnsi="Times New Roman"/>
                <w:b/>
                <w:sz w:val="16"/>
              </w:rPr>
            </w:pPr>
            <w:r>
              <w:rPr>
                <w:rFonts w:ascii="Times New Roman" w:hAnsi="Times New Roman"/>
                <w:b/>
                <w:sz w:val="16"/>
              </w:rPr>
              <w:t>of Shares</w:t>
              <w:br/>
              <w:t>of Common</w:t>
              <w:br/>
              <w:t>Stock</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45" w:type="dxa"/>
            <w:gridSpan w:val="2"/>
            <w:tcBorders/>
            <w:shd w:fill="auto" w:val="clear"/>
            <w:vAlign w:val="center"/>
          </w:tcPr>
          <w:p>
            <w:pPr>
              <w:pStyle w:val="TableContents"/>
              <w:spacing w:before="0" w:after="283"/>
              <w:jc w:val="center"/>
              <w:rPr>
                <w:b/>
              </w:rPr>
            </w:pPr>
            <w:r>
              <w:rPr>
                <w:b/>
              </w:rPr>
              <w:t>Percentage</w:t>
              <w:br/>
              <w:t>of Class</w:t>
            </w:r>
          </w:p>
        </w:tc>
        <w:tc>
          <w:tcPr>
            <w:tcW w:w="290" w:type="dxa"/>
            <w:tcBorders/>
            <w:shd w:fill="auto" w:val="clear"/>
            <w:vAlign w:val="center"/>
          </w:tcPr>
          <w:p>
            <w:pPr>
              <w:pStyle w:val="TableContents"/>
              <w:spacing w:before="0" w:after="283"/>
              <w:rPr/>
            </w:pPr>
            <w:r>
              <w:rPr/>
              <w:t> </w:t>
            </w:r>
          </w:p>
        </w:tc>
      </w:tr>
      <w:tr>
        <w:trPr/>
        <w:tc>
          <w:tcPr>
            <w:tcW w:w="5285" w:type="dxa"/>
            <w:tcBorders/>
            <w:shd w:fill="CCEEFF" w:val="clear"/>
            <w:vAlign w:val="center"/>
          </w:tcPr>
          <w:p>
            <w:pPr>
              <w:pStyle w:val="TableContents"/>
              <w:spacing w:before="0" w:after="0"/>
              <w:rPr>
                <w:rFonts w:ascii="Times New Roman" w:hAnsi="Times New Roman"/>
                <w:b/>
                <w:i/>
                <w:sz w:val="20"/>
              </w:rPr>
            </w:pPr>
            <w:r>
              <w:rPr>
                <w:rFonts w:ascii="Times New Roman" w:hAnsi="Times New Roman"/>
                <w:b/>
                <w:i/>
                <w:sz w:val="20"/>
              </w:rPr>
              <w:t>5% or Greater Stockholders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335"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110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sz w:val="4"/>
                <w:szCs w:val="4"/>
              </w:rPr>
            </w:pPr>
            <w:r>
              <w:rPr>
                <w:sz w:val="4"/>
                <w:szCs w:val="4"/>
              </w:rPr>
            </w:r>
          </w:p>
        </w:tc>
        <w:tc>
          <w:tcPr>
            <w:tcW w:w="1008"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r>
      <w:tr>
        <w:trPr/>
        <w:tc>
          <w:tcPr>
            <w:tcW w:w="5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Entities affiliated with Bain Capital Venture Investors, LLC</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right"/>
              <w:rPr/>
            </w:pPr>
            <w:r>
              <w:rPr/>
              <w:t>(1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11,645,388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1008" w:type="dxa"/>
            <w:tcBorders/>
            <w:shd w:fill="auto" w:val="clear"/>
            <w:vAlign w:val="center"/>
          </w:tcPr>
          <w:p>
            <w:pPr>
              <w:pStyle w:val="TableContents"/>
              <w:spacing w:before="0" w:after="283"/>
              <w:jc w:val="right"/>
              <w:rPr/>
            </w:pPr>
            <w:r>
              <w:rPr/>
              <w:t>10.7</w:t>
            </w:r>
          </w:p>
        </w:tc>
        <w:tc>
          <w:tcPr>
            <w:tcW w:w="290" w:type="dxa"/>
            <w:tcBorders/>
            <w:shd w:fill="auto" w:val="clear"/>
            <w:vAlign w:val="center"/>
          </w:tcPr>
          <w:p>
            <w:pPr>
              <w:pStyle w:val="TableContents"/>
              <w:spacing w:before="0" w:after="283"/>
              <w:rPr/>
            </w:pPr>
            <w:r>
              <w:rPr/>
              <w:t>% </w:t>
            </w:r>
          </w:p>
        </w:tc>
      </w:tr>
      <w:tr>
        <w:trPr/>
        <w:tc>
          <w:tcPr>
            <w:tcW w:w="5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Ossa Investments Pte. Ltd</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35" w:type="dxa"/>
            <w:tcBorders/>
            <w:shd w:fill="CCEEFF" w:val="clear"/>
            <w:vAlign w:val="center"/>
          </w:tcPr>
          <w:p>
            <w:pPr>
              <w:pStyle w:val="TableContents"/>
              <w:spacing w:before="0" w:after="283"/>
              <w:jc w:val="right"/>
              <w:rPr/>
            </w:pPr>
            <w:r>
              <w:rPr/>
              <w:t>(2</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10,635,573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pPr>
            <w:r>
              <w:rPr/>
              <w:t> </w:t>
            </w:r>
          </w:p>
        </w:tc>
        <w:tc>
          <w:tcPr>
            <w:tcW w:w="1008" w:type="dxa"/>
            <w:tcBorders/>
            <w:shd w:fill="CCEEFF" w:val="clear"/>
            <w:vAlign w:val="center"/>
          </w:tcPr>
          <w:p>
            <w:pPr>
              <w:pStyle w:val="TableContents"/>
              <w:spacing w:before="0" w:after="283"/>
              <w:jc w:val="right"/>
              <w:rPr/>
            </w:pPr>
            <w:r>
              <w:rPr/>
              <w:t>9.8</w:t>
            </w:r>
          </w:p>
        </w:tc>
        <w:tc>
          <w:tcPr>
            <w:tcW w:w="290" w:type="dxa"/>
            <w:tcBorders/>
            <w:shd w:fill="CCEEFF" w:val="clear"/>
            <w:vAlign w:val="center"/>
          </w:tcPr>
          <w:p>
            <w:pPr>
              <w:pStyle w:val="TableContents"/>
              <w:spacing w:before="0" w:after="283"/>
              <w:rPr/>
            </w:pPr>
            <w:r>
              <w:rPr/>
              <w:t>% </w:t>
            </w:r>
          </w:p>
        </w:tc>
      </w:tr>
      <w:tr>
        <w:trPr/>
        <w:tc>
          <w:tcPr>
            <w:tcW w:w="5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The Vanguard Group, Inc.</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right"/>
              <w:rPr/>
            </w:pPr>
            <w:r>
              <w:rPr/>
              <w:t>(3</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7,966,559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1008" w:type="dxa"/>
            <w:tcBorders/>
            <w:shd w:fill="auto" w:val="clear"/>
            <w:vAlign w:val="center"/>
          </w:tcPr>
          <w:p>
            <w:pPr>
              <w:pStyle w:val="TableContents"/>
              <w:spacing w:before="0" w:after="283"/>
              <w:jc w:val="right"/>
              <w:rPr/>
            </w:pPr>
            <w:r>
              <w:rPr/>
              <w:t>7.3</w:t>
            </w:r>
          </w:p>
        </w:tc>
        <w:tc>
          <w:tcPr>
            <w:tcW w:w="290" w:type="dxa"/>
            <w:tcBorders/>
            <w:shd w:fill="auto" w:val="clear"/>
            <w:vAlign w:val="center"/>
          </w:tcPr>
          <w:p>
            <w:pPr>
              <w:pStyle w:val="TableContents"/>
              <w:spacing w:before="0" w:after="283"/>
              <w:rPr/>
            </w:pPr>
            <w:r>
              <w:rPr/>
              <w:t>% </w:t>
            </w:r>
          </w:p>
        </w:tc>
      </w:tr>
      <w:tr>
        <w:trPr/>
        <w:tc>
          <w:tcPr>
            <w:tcW w:w="5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AllianceBernstein L.P.</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35" w:type="dxa"/>
            <w:tcBorders/>
            <w:shd w:fill="CCEEFF" w:val="clear"/>
            <w:vAlign w:val="center"/>
          </w:tcPr>
          <w:p>
            <w:pPr>
              <w:pStyle w:val="TableContents"/>
              <w:spacing w:before="0" w:after="283"/>
              <w:jc w:val="right"/>
              <w:rPr/>
            </w:pPr>
            <w:r>
              <w:rPr/>
              <w:t>(4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5,709,945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pPr>
            <w:r>
              <w:rPr/>
              <w:t> </w:t>
            </w:r>
          </w:p>
        </w:tc>
        <w:tc>
          <w:tcPr>
            <w:tcW w:w="1008" w:type="dxa"/>
            <w:tcBorders/>
            <w:shd w:fill="CCEEFF" w:val="clear"/>
            <w:vAlign w:val="center"/>
          </w:tcPr>
          <w:p>
            <w:pPr>
              <w:pStyle w:val="TableContents"/>
              <w:spacing w:before="0" w:after="283"/>
              <w:jc w:val="right"/>
              <w:rPr/>
            </w:pPr>
            <w:r>
              <w:rPr/>
              <w:t>5.3</w:t>
            </w:r>
          </w:p>
        </w:tc>
        <w:tc>
          <w:tcPr>
            <w:tcW w:w="290" w:type="dxa"/>
            <w:tcBorders/>
            <w:shd w:fill="CCEEFF" w:val="clear"/>
            <w:vAlign w:val="center"/>
          </w:tcPr>
          <w:p>
            <w:pPr>
              <w:pStyle w:val="TableContents"/>
              <w:spacing w:before="0" w:after="283"/>
              <w:rPr/>
            </w:pPr>
            <w:r>
              <w:rPr/>
              <w:t>% </w:t>
            </w:r>
          </w:p>
        </w:tc>
      </w:tr>
      <w:tr>
        <w:trPr/>
        <w:tc>
          <w:tcPr>
            <w:tcW w:w="5285" w:type="dxa"/>
            <w:tcBorders/>
            <w:shd w:fill="auto" w:val="clear"/>
            <w:vAlign w:val="center"/>
          </w:tcPr>
          <w:p>
            <w:pPr>
              <w:pStyle w:val="TableContents"/>
              <w:spacing w:before="0" w:after="0"/>
              <w:rPr>
                <w:rFonts w:ascii="Times New Roman" w:hAnsi="Times New Roman"/>
                <w:b/>
                <w:i/>
                <w:sz w:val="20"/>
              </w:rPr>
            </w:pPr>
            <w:r>
              <w:rPr>
                <w:rFonts w:ascii="Times New Roman" w:hAnsi="Times New Roman"/>
                <w:b/>
                <w:i/>
                <w:sz w:val="20"/>
              </w:rPr>
              <w:t>Named Executive Officers and Directors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5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Michael Massaro</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35" w:type="dxa"/>
            <w:tcBorders/>
            <w:shd w:fill="CCEEFF" w:val="clear"/>
            <w:vAlign w:val="center"/>
          </w:tcPr>
          <w:p>
            <w:pPr>
              <w:pStyle w:val="TableContents"/>
              <w:spacing w:before="0" w:after="283"/>
              <w:jc w:val="right"/>
              <w:rPr/>
            </w:pPr>
            <w:r>
              <w:rPr/>
              <w:t>(5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2,928,266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pPr>
            <w:r>
              <w:rPr/>
              <w:t> </w:t>
            </w:r>
          </w:p>
        </w:tc>
        <w:tc>
          <w:tcPr>
            <w:tcW w:w="1008" w:type="dxa"/>
            <w:tcBorders/>
            <w:shd w:fill="CCEEFF" w:val="clear"/>
            <w:vAlign w:val="center"/>
          </w:tcPr>
          <w:p>
            <w:pPr>
              <w:pStyle w:val="TableContents"/>
              <w:spacing w:before="0" w:after="283"/>
              <w:jc w:val="right"/>
              <w:rPr/>
            </w:pPr>
            <w:r>
              <w:rPr/>
              <w:t>2.6</w:t>
            </w:r>
          </w:p>
        </w:tc>
        <w:tc>
          <w:tcPr>
            <w:tcW w:w="290" w:type="dxa"/>
            <w:tcBorders/>
            <w:shd w:fill="CCEEFF" w:val="clear"/>
            <w:vAlign w:val="center"/>
          </w:tcPr>
          <w:p>
            <w:pPr>
              <w:pStyle w:val="TableContents"/>
              <w:spacing w:before="0" w:after="283"/>
              <w:rPr/>
            </w:pPr>
            <w:r>
              <w:rPr/>
              <w:t>% </w:t>
            </w:r>
          </w:p>
        </w:tc>
      </w:tr>
      <w:tr>
        <w:trPr/>
        <w:tc>
          <w:tcPr>
            <w:tcW w:w="5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Robert Orgel</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right"/>
              <w:rPr/>
            </w:pPr>
            <w:r>
              <w:rPr/>
              <w:t>(6</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566,584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1008" w:type="dxa"/>
            <w:tcBorders/>
            <w:shd w:fill="auto" w:val="clear"/>
            <w:vAlign w:val="center"/>
          </w:tcPr>
          <w:p>
            <w:pPr>
              <w:pStyle w:val="TableContents"/>
              <w:spacing w:before="0" w:after="283"/>
              <w:jc w:val="right"/>
              <w:rPr/>
            </w:pPr>
            <w:r>
              <w:rPr/>
              <w:t>*</w:t>
            </w:r>
          </w:p>
        </w:tc>
        <w:tc>
          <w:tcPr>
            <w:tcW w:w="290" w:type="dxa"/>
            <w:tcBorders/>
            <w:shd w:fill="auto" w:val="clear"/>
            <w:vAlign w:val="center"/>
          </w:tcPr>
          <w:p>
            <w:pPr>
              <w:pStyle w:val="TableContents"/>
              <w:spacing w:before="0" w:after="283"/>
              <w:rPr/>
            </w:pPr>
            <w:r>
              <w:rPr/>
              <w:t> </w:t>
            </w:r>
          </w:p>
        </w:tc>
      </w:tr>
      <w:tr>
        <w:trPr/>
        <w:tc>
          <w:tcPr>
            <w:tcW w:w="5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Michael Ellis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35" w:type="dxa"/>
            <w:tcBorders/>
            <w:shd w:fill="CCEEFF" w:val="clear"/>
            <w:vAlign w:val="center"/>
          </w:tcPr>
          <w:p>
            <w:pPr>
              <w:pStyle w:val="TableContents"/>
              <w:spacing w:before="0" w:after="283"/>
              <w:jc w:val="right"/>
              <w:rPr/>
            </w:pPr>
            <w:r>
              <w:rPr/>
              <w:t>(7</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488,411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pPr>
            <w:r>
              <w:rPr/>
              <w:t> </w:t>
            </w:r>
          </w:p>
        </w:tc>
        <w:tc>
          <w:tcPr>
            <w:tcW w:w="1008" w:type="dxa"/>
            <w:tcBorders/>
            <w:shd w:fill="CCEEFF" w:val="clear"/>
            <w:vAlign w:val="center"/>
          </w:tcPr>
          <w:p>
            <w:pPr>
              <w:pStyle w:val="TableContents"/>
              <w:spacing w:before="0" w:after="283"/>
              <w:jc w:val="right"/>
              <w:rPr/>
            </w:pPr>
            <w:r>
              <w:rPr/>
              <w:t>*</w:t>
            </w:r>
          </w:p>
        </w:tc>
        <w:tc>
          <w:tcPr>
            <w:tcW w:w="290" w:type="dxa"/>
            <w:tcBorders/>
            <w:shd w:fill="CCEEFF" w:val="clear"/>
            <w:vAlign w:val="center"/>
          </w:tcPr>
          <w:p>
            <w:pPr>
              <w:pStyle w:val="TableContents"/>
              <w:spacing w:before="0" w:after="283"/>
              <w:rPr/>
            </w:pPr>
            <w:r>
              <w:rPr/>
              <w:t> </w:t>
            </w:r>
          </w:p>
        </w:tc>
      </w:tr>
      <w:tr>
        <w:trPr/>
        <w:tc>
          <w:tcPr>
            <w:tcW w:w="5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David King</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right"/>
              <w:rPr/>
            </w:pPr>
            <w:r>
              <w:rPr/>
              <w:t>(8</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745,019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1008" w:type="dxa"/>
            <w:tcBorders/>
            <w:shd w:fill="auto" w:val="clear"/>
            <w:vAlign w:val="center"/>
          </w:tcPr>
          <w:p>
            <w:pPr>
              <w:pStyle w:val="TableContents"/>
              <w:spacing w:before="0" w:after="283"/>
              <w:jc w:val="right"/>
              <w:rPr/>
            </w:pPr>
            <w:r>
              <w:rPr/>
              <w:t>*</w:t>
            </w:r>
          </w:p>
        </w:tc>
        <w:tc>
          <w:tcPr>
            <w:tcW w:w="290" w:type="dxa"/>
            <w:tcBorders/>
            <w:shd w:fill="auto" w:val="clear"/>
            <w:vAlign w:val="center"/>
          </w:tcPr>
          <w:p>
            <w:pPr>
              <w:pStyle w:val="TableContents"/>
              <w:spacing w:before="0" w:after="283"/>
              <w:rPr/>
            </w:pPr>
            <w:r>
              <w:rPr/>
              <w:t> </w:t>
            </w:r>
          </w:p>
        </w:tc>
      </w:tr>
      <w:tr>
        <w:trPr/>
        <w:tc>
          <w:tcPr>
            <w:tcW w:w="5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Sharon Butler</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35" w:type="dxa"/>
            <w:tcBorders/>
            <w:shd w:fill="CCEEFF" w:val="clear"/>
            <w:vAlign w:val="center"/>
          </w:tcPr>
          <w:p>
            <w:pPr>
              <w:pStyle w:val="TableContents"/>
              <w:spacing w:before="0" w:after="283"/>
              <w:jc w:val="right"/>
              <w:rPr/>
            </w:pPr>
            <w:r>
              <w:rPr/>
              <w:t>(9</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515,908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pPr>
            <w:r>
              <w:rPr/>
              <w:t> </w:t>
            </w:r>
          </w:p>
        </w:tc>
        <w:tc>
          <w:tcPr>
            <w:tcW w:w="1008" w:type="dxa"/>
            <w:tcBorders/>
            <w:shd w:fill="CCEEFF" w:val="clear"/>
            <w:vAlign w:val="center"/>
          </w:tcPr>
          <w:p>
            <w:pPr>
              <w:pStyle w:val="TableContents"/>
              <w:spacing w:before="0" w:after="283"/>
              <w:jc w:val="right"/>
              <w:rPr/>
            </w:pPr>
            <w:r>
              <w:rPr/>
              <w:t>*</w:t>
            </w:r>
          </w:p>
        </w:tc>
        <w:tc>
          <w:tcPr>
            <w:tcW w:w="290" w:type="dxa"/>
            <w:tcBorders/>
            <w:shd w:fill="CCEEFF" w:val="clear"/>
            <w:vAlign w:val="center"/>
          </w:tcPr>
          <w:p>
            <w:pPr>
              <w:pStyle w:val="TableContents"/>
              <w:spacing w:before="0" w:after="283"/>
              <w:rPr/>
            </w:pPr>
            <w:r>
              <w:rPr/>
              <w:t> </w:t>
            </w:r>
          </w:p>
        </w:tc>
      </w:tr>
      <w:tr>
        <w:trPr/>
        <w:tc>
          <w:tcPr>
            <w:tcW w:w="5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Matthew Harris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right"/>
              <w:rPr/>
            </w:pPr>
            <w:r>
              <w:rPr/>
              <w:t>(10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19,224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1008" w:type="dxa"/>
            <w:tcBorders/>
            <w:shd w:fill="auto" w:val="clear"/>
            <w:vAlign w:val="center"/>
          </w:tcPr>
          <w:p>
            <w:pPr>
              <w:pStyle w:val="TableContents"/>
              <w:spacing w:before="0" w:after="283"/>
              <w:jc w:val="right"/>
              <w:rPr/>
            </w:pPr>
            <w:r>
              <w:rPr/>
              <w:t>*</w:t>
            </w:r>
          </w:p>
        </w:tc>
        <w:tc>
          <w:tcPr>
            <w:tcW w:w="290" w:type="dxa"/>
            <w:tcBorders/>
            <w:shd w:fill="auto" w:val="clear"/>
            <w:vAlign w:val="center"/>
          </w:tcPr>
          <w:p>
            <w:pPr>
              <w:pStyle w:val="TableContents"/>
              <w:spacing w:before="0" w:after="283"/>
              <w:rPr/>
            </w:pPr>
            <w:r>
              <w:rPr/>
              <w:t> </w:t>
            </w:r>
          </w:p>
        </w:tc>
      </w:tr>
      <w:tr>
        <w:trPr/>
        <w:tc>
          <w:tcPr>
            <w:tcW w:w="5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Alex Finkelstein</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35" w:type="dxa"/>
            <w:tcBorders/>
            <w:shd w:fill="CCEEFF" w:val="clear"/>
            <w:vAlign w:val="center"/>
          </w:tcPr>
          <w:p>
            <w:pPr>
              <w:pStyle w:val="TableContents"/>
              <w:spacing w:before="0" w:after="283"/>
              <w:jc w:val="right"/>
              <w:rPr/>
            </w:pPr>
            <w:r>
              <w:rPr/>
              <w:t>(11</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287,599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pPr>
            <w:r>
              <w:rPr/>
              <w:t> </w:t>
            </w:r>
          </w:p>
        </w:tc>
        <w:tc>
          <w:tcPr>
            <w:tcW w:w="1008" w:type="dxa"/>
            <w:tcBorders/>
            <w:shd w:fill="CCEEFF" w:val="clear"/>
            <w:vAlign w:val="center"/>
          </w:tcPr>
          <w:p>
            <w:pPr>
              <w:pStyle w:val="TableContents"/>
              <w:spacing w:before="0" w:after="283"/>
              <w:jc w:val="right"/>
              <w:rPr/>
            </w:pPr>
            <w:r>
              <w:rPr/>
              <w:t>*</w:t>
            </w:r>
          </w:p>
        </w:tc>
        <w:tc>
          <w:tcPr>
            <w:tcW w:w="290" w:type="dxa"/>
            <w:tcBorders/>
            <w:shd w:fill="CCEEFF" w:val="clear"/>
            <w:vAlign w:val="center"/>
          </w:tcPr>
          <w:p>
            <w:pPr>
              <w:pStyle w:val="TableContents"/>
              <w:spacing w:before="0" w:after="283"/>
              <w:rPr/>
            </w:pPr>
            <w:r>
              <w:rPr/>
              <w:t> </w:t>
            </w:r>
          </w:p>
        </w:tc>
      </w:tr>
      <w:tr>
        <w:trPr/>
        <w:tc>
          <w:tcPr>
            <w:tcW w:w="5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Phillip Riese</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right"/>
              <w:rPr/>
            </w:pPr>
            <w:r>
              <w:rPr/>
              <w:t>(12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503,825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1008" w:type="dxa"/>
            <w:tcBorders/>
            <w:shd w:fill="auto" w:val="clear"/>
            <w:vAlign w:val="center"/>
          </w:tcPr>
          <w:p>
            <w:pPr>
              <w:pStyle w:val="TableContents"/>
              <w:spacing w:before="0" w:after="283"/>
              <w:jc w:val="right"/>
              <w:rPr/>
            </w:pPr>
            <w:r>
              <w:rPr/>
              <w:t>*</w:t>
            </w:r>
          </w:p>
        </w:tc>
        <w:tc>
          <w:tcPr>
            <w:tcW w:w="290" w:type="dxa"/>
            <w:tcBorders/>
            <w:shd w:fill="auto" w:val="clear"/>
            <w:vAlign w:val="center"/>
          </w:tcPr>
          <w:p>
            <w:pPr>
              <w:pStyle w:val="TableContents"/>
              <w:spacing w:before="0" w:after="283"/>
              <w:rPr/>
            </w:pPr>
            <w:r>
              <w:rPr/>
              <w:t> </w:t>
            </w:r>
          </w:p>
        </w:tc>
      </w:tr>
      <w:tr>
        <w:trPr/>
        <w:tc>
          <w:tcPr>
            <w:tcW w:w="5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Edwin Santos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35" w:type="dxa"/>
            <w:tcBorders/>
            <w:shd w:fill="CCEEFF" w:val="clear"/>
            <w:vAlign w:val="center"/>
          </w:tcPr>
          <w:p>
            <w:pPr>
              <w:pStyle w:val="TableContents"/>
              <w:spacing w:before="0" w:after="283"/>
              <w:jc w:val="right"/>
              <w:rPr/>
            </w:pPr>
            <w:r>
              <w:rPr/>
              <w:t>(13</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13,923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pPr>
            <w:r>
              <w:rPr/>
              <w:t> </w:t>
            </w:r>
          </w:p>
        </w:tc>
        <w:tc>
          <w:tcPr>
            <w:tcW w:w="1008" w:type="dxa"/>
            <w:tcBorders/>
            <w:shd w:fill="CCEEFF" w:val="clear"/>
            <w:vAlign w:val="center"/>
          </w:tcPr>
          <w:p>
            <w:pPr>
              <w:pStyle w:val="TableContents"/>
              <w:spacing w:before="0" w:after="283"/>
              <w:jc w:val="right"/>
              <w:rPr/>
            </w:pPr>
            <w:r>
              <w:rPr/>
              <w:t>*</w:t>
            </w:r>
          </w:p>
        </w:tc>
        <w:tc>
          <w:tcPr>
            <w:tcW w:w="290" w:type="dxa"/>
            <w:tcBorders/>
            <w:shd w:fill="CCEEFF" w:val="clear"/>
            <w:vAlign w:val="center"/>
          </w:tcPr>
          <w:p>
            <w:pPr>
              <w:pStyle w:val="TableContents"/>
              <w:spacing w:before="0" w:after="283"/>
              <w:rPr/>
            </w:pPr>
            <w:r>
              <w:rPr/>
              <w:t> </w:t>
            </w:r>
          </w:p>
        </w:tc>
      </w:tr>
      <w:tr>
        <w:trPr/>
        <w:tc>
          <w:tcPr>
            <w:tcW w:w="5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Diane Offereins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1008" w:type="dxa"/>
            <w:tcBorders/>
            <w:shd w:fill="auto" w:val="clear"/>
            <w:vAlign w:val="center"/>
          </w:tcPr>
          <w:p>
            <w:pPr>
              <w:pStyle w:val="TableContents"/>
              <w:spacing w:before="0" w:after="283"/>
              <w:jc w:val="right"/>
              <w:rPr/>
            </w:pPr>
            <w:r>
              <w:rPr/>
              <w:t>*</w:t>
            </w:r>
          </w:p>
        </w:tc>
        <w:tc>
          <w:tcPr>
            <w:tcW w:w="290" w:type="dxa"/>
            <w:tcBorders/>
            <w:shd w:fill="auto" w:val="clear"/>
            <w:vAlign w:val="center"/>
          </w:tcPr>
          <w:p>
            <w:pPr>
              <w:pStyle w:val="TableContents"/>
              <w:spacing w:before="0" w:after="283"/>
              <w:rPr/>
            </w:pPr>
            <w:r>
              <w:rPr/>
              <w:t> </w:t>
            </w:r>
          </w:p>
        </w:tc>
      </w:tr>
      <w:tr>
        <w:trPr/>
        <w:tc>
          <w:tcPr>
            <w:tcW w:w="5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All current executive officers and directors as a group (9 persons)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35" w:type="dxa"/>
            <w:tcBorders/>
            <w:shd w:fill="CCEEFF" w:val="clear"/>
            <w:vAlign w:val="center"/>
          </w:tcPr>
          <w:p>
            <w:pPr>
              <w:pStyle w:val="TableContents"/>
              <w:spacing w:before="0" w:after="283"/>
              <w:jc w:val="right"/>
              <w:rPr/>
            </w:pPr>
            <w:r>
              <w:rPr/>
              <w:t>(14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5,552,851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pPr>
            <w:r>
              <w:rPr/>
              <w:t> </w:t>
            </w:r>
          </w:p>
        </w:tc>
        <w:tc>
          <w:tcPr>
            <w:tcW w:w="1008" w:type="dxa"/>
            <w:tcBorders/>
            <w:shd w:fill="CCEEFF" w:val="clear"/>
            <w:vAlign w:val="center"/>
          </w:tcPr>
          <w:p>
            <w:pPr>
              <w:pStyle w:val="TableContents"/>
              <w:spacing w:before="0" w:after="283"/>
              <w:jc w:val="right"/>
              <w:rPr/>
            </w:pPr>
            <w:r>
              <w:rPr/>
              <w:t>5.0</w:t>
            </w:r>
          </w:p>
        </w:tc>
        <w:tc>
          <w:tcPr>
            <w:tcW w:w="290" w:type="dxa"/>
            <w:tcBorders/>
            <w:shd w:fill="CCEEFF" w:val="clear"/>
            <w:vAlign w:val="center"/>
          </w:tcPr>
          <w:p>
            <w:pPr>
              <w:pStyle w:val="TableContents"/>
              <w:spacing w:before="0" w:after="283"/>
              <w:rPr/>
            </w:pPr>
            <w:r>
              <w:rPr/>
              <w:t>% </w:t>
            </w:r>
          </w:p>
        </w:tc>
      </w:tr>
    </w:tbl>
    <w:p>
      <w:pPr>
        <w:pStyle w:val="TextBody"/>
        <w:spacing w:before="0" w:after="0"/>
        <w:jc w:val="left"/>
        <w:rPr/>
      </w:pPr>
      <w:r>
        <w:rPr/>
        <w:t> </w:t>
      </w:r>
    </w:p>
    <w:tbl>
      <w:tblPr>
        <w:tblW w:w="4870" w:type="dxa"/>
        <w:jc w:val="left"/>
        <w:tblInd w:w="0" w:type="dxa"/>
        <w:tblCellMar>
          <w:top w:w="0" w:type="dxa"/>
          <w:left w:w="0" w:type="dxa"/>
          <w:bottom w:w="0" w:type="dxa"/>
          <w:right w:w="0" w:type="dxa"/>
        </w:tblCellMar>
      </w:tblPr>
      <w:tblGrid>
        <w:gridCol w:w="155"/>
        <w:gridCol w:w="4715"/>
      </w:tblGrid>
      <w:tr>
        <w:trPr/>
        <w:tc>
          <w:tcPr>
            <w:tcW w:w="155" w:type="dxa"/>
            <w:tcBorders/>
            <w:shd w:fill="auto" w:val="clear"/>
            <w:vAlign w:val="center"/>
          </w:tcPr>
          <w:p>
            <w:pPr>
              <w:pStyle w:val="TableContents"/>
              <w:spacing w:before="0" w:after="283"/>
              <w:jc w:val="left"/>
              <w:rPr/>
            </w:pPr>
            <w:r>
              <w:rPr/>
              <w:t>*</w:t>
            </w:r>
          </w:p>
        </w:tc>
        <w:tc>
          <w:tcPr>
            <w:tcW w:w="47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Less than 1% of the outstanding shares of common stock.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234"/>
        <w:gridCol w:w="9971"/>
      </w:tblGrid>
      <w:tr>
        <w:trPr/>
        <w:tc>
          <w:tcPr>
            <w:tcW w:w="234" w:type="dxa"/>
            <w:tcBorders/>
            <w:shd w:fill="auto" w:val="clear"/>
            <w:vAlign w:val="center"/>
          </w:tcPr>
          <w:p>
            <w:pPr>
              <w:pStyle w:val="TableContents"/>
              <w:spacing w:before="0" w:after="283"/>
              <w:jc w:val="left"/>
              <w:rPr/>
            </w:pPr>
            <w:r>
              <w:rPr/>
              <w:t>(1)</w:t>
            </w:r>
          </w:p>
        </w:tc>
        <w:tc>
          <w:tcPr>
            <w:tcW w:w="997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shares of our common stock held by (i) Bain Capital Venture Coinvestment Fund II, L.P. (BCV Coinvest Fund II), (ii) BCV 2019-MD Coinvestment II, L.P. (BCV 2019-MD Coinvest II), (iii) Bain Capital Venture Fund 2014, L.P. (BCV Fund 2014), (iv) Bain Capital Venture Fund 2016, L.P. (BCV Fund 2016), (v) BCIP Venture Associates (BCIP Venture), (vi) BCIP Venture Associates-B (BCIP Venture-B), (vii) BCIP Venture Associates II, LP (BCIP Venture II) and (viii) BCIP Venture Associates II-B, LP (BCIP Venture II-B and, together with BCV Fund 2014, BCV Fund 2016, BCV Coinvest Fund II, BCV 2019-MD Coinvest II, BCIP Venture, BCIP Venture-B and BCIP Venture II, the Bain Capital Venture Entities). Bain Capital Venture Investors, LLC (BCVI), the Executive Committee of which consists of Enrique Salem and Ajay Agarwal, is the (i) ultimate general partner of BCV Fund 2014, (ii) the ultimate general partner of BCV Fund 2016 and (iii) manager of Bain Capital Venture Coinvestment II Investors, LLC, which is the general partner of each of BCV Coinvest Fund II and BCV 2019-MD Coinvest II, and governs the investment strategy and decision-making process with respect to investments held by BCIP Venture, BCIP Venture-B, BCIP Venture II and BCIP Venture II-B. By virtue of the relationships described in this footnote, each of BCVI, and Messrs. Salem and Agarwal may be deemed to share voting and dispositive power over the shares held by the Bain Capital Venture Entities. The business address of the Bain Capital Venture Entities is 200 Clarendon Street, Boston, MA 02116. The foregoing information in this footnote is based on a Schedule 13G filed by the Bain Capital Venture Entities on February 14, 2023. </w:t>
            </w:r>
          </w:p>
        </w:tc>
      </w:tr>
    </w:tbl>
    <w:tbl>
      <w:tblPr>
        <w:tblW w:w="10205" w:type="dxa"/>
        <w:jc w:val="left"/>
        <w:tblInd w:w="0" w:type="dxa"/>
        <w:tblCellMar>
          <w:top w:w="0" w:type="dxa"/>
          <w:left w:w="0" w:type="dxa"/>
          <w:bottom w:w="0" w:type="dxa"/>
          <w:right w:w="0" w:type="dxa"/>
        </w:tblCellMar>
      </w:tblPr>
      <w:tblGrid>
        <w:gridCol w:w="238"/>
        <w:gridCol w:w="9967"/>
      </w:tblGrid>
      <w:tr>
        <w:trPr/>
        <w:tc>
          <w:tcPr>
            <w:tcW w:w="238" w:type="dxa"/>
            <w:tcBorders/>
            <w:shd w:fill="auto" w:val="clear"/>
            <w:vAlign w:val="center"/>
          </w:tcPr>
          <w:p>
            <w:pPr>
              <w:pStyle w:val="TableContents"/>
              <w:spacing w:before="0" w:after="283"/>
              <w:jc w:val="left"/>
              <w:rPr/>
            </w:pPr>
            <w:r>
              <w:rPr/>
              <w:t>(2)</w:t>
            </w:r>
          </w:p>
        </w:tc>
        <w:tc>
          <w:tcPr>
            <w:tcW w:w="996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These securities are held by Ossa Investments Pte. Ltd. Ossa Investments Pte. Ltd. is a direct wholly-owned subsidiary of Hotham Investments Pte Ltd (Hotham), which in turn is a direct wholly-owned subsidiary of Fullerton Management Pte Ltd (Fullerton), which in turn is a direct wholly-owned subsidiary of Temasek Holdings (Private) Limited (Temasek). In such capacities, each of Hotham, Fullerton and Temasek may be deemed to have voting and dispositive power over the shares held by Ossa Investments Pte. Ltd. Ossa Investments Pte. Ltd. also owns 1,873,320 shares of our non-voting common stock. The address for Ossa Investments Pte. Ltd., Fullerton and Temasek is 60B Orchard Road #06-18 Tower 2, The Atrium@Orchard, Singapore 238891. The foregoing information in this footnote is based on a Schedule 13G filed by Ossa Investments Pte. Ltd, Temasek Holdings (Private) Limited, Hotham Investments Pte Ltd and Fullerton Management Pte Ltd, on February 14, 2022. </w:t>
            </w:r>
          </w:p>
        </w:tc>
      </w:tr>
    </w:tbl>
    <w:tbl>
      <w:tblPr>
        <w:tblW w:w="10205" w:type="dxa"/>
        <w:jc w:val="left"/>
        <w:tblInd w:w="0" w:type="dxa"/>
        <w:tblCellMar>
          <w:top w:w="0" w:type="dxa"/>
          <w:left w:w="0" w:type="dxa"/>
          <w:bottom w:w="0" w:type="dxa"/>
          <w:right w:w="0" w:type="dxa"/>
        </w:tblCellMar>
      </w:tblPr>
      <w:tblGrid>
        <w:gridCol w:w="243"/>
        <w:gridCol w:w="9962"/>
      </w:tblGrid>
      <w:tr>
        <w:trPr/>
        <w:tc>
          <w:tcPr>
            <w:tcW w:w="243" w:type="dxa"/>
            <w:tcBorders/>
            <w:shd w:fill="auto" w:val="clear"/>
            <w:vAlign w:val="center"/>
          </w:tcPr>
          <w:p>
            <w:pPr>
              <w:pStyle w:val="TableContents"/>
              <w:spacing w:before="0" w:after="283"/>
              <w:jc w:val="left"/>
              <w:rPr/>
            </w:pPr>
            <w:r>
              <w:rPr/>
              <w:t>(3)</w:t>
            </w:r>
          </w:p>
        </w:tc>
        <w:tc>
          <w:tcPr>
            <w:tcW w:w="996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shares of our common stock held by The Vanguard Group, Inc. The Vanguard Group, Inc. has shared power to vote or direct the vote with respect to 91,531 shares of our common stock, sole power to dispose or to direct the disposition of 7,828,199 shares of our common stock, and shared power to dispose or to direct the disposition of 138,360 shares of our common stock. The business address of The Vanguard Group, Inc. is 100 Vanguard Blvd., Malvern, PA 19355. The foregoing information in this footnote is based on a Schedule 13G filed by The Vanguard Group, Inc. on February 9, 2023. </w:t>
            </w:r>
          </w:p>
        </w:tc>
      </w:tr>
    </w:tbl>
    <w:tbl>
      <w:tblPr>
        <w:tblW w:w="10205" w:type="dxa"/>
        <w:jc w:val="left"/>
        <w:tblInd w:w="0" w:type="dxa"/>
        <w:tblCellMar>
          <w:top w:w="0" w:type="dxa"/>
          <w:left w:w="0" w:type="dxa"/>
          <w:bottom w:w="0" w:type="dxa"/>
          <w:right w:w="0" w:type="dxa"/>
        </w:tblCellMar>
      </w:tblPr>
      <w:tblGrid>
        <w:gridCol w:w="243"/>
        <w:gridCol w:w="9962"/>
      </w:tblGrid>
      <w:tr>
        <w:trPr/>
        <w:tc>
          <w:tcPr>
            <w:tcW w:w="243" w:type="dxa"/>
            <w:tcBorders/>
            <w:shd w:fill="auto" w:val="clear"/>
            <w:vAlign w:val="center"/>
          </w:tcPr>
          <w:p>
            <w:pPr>
              <w:pStyle w:val="TableContents"/>
              <w:spacing w:before="0" w:after="283"/>
              <w:jc w:val="left"/>
              <w:rPr/>
            </w:pPr>
            <w:r>
              <w:rPr/>
              <w:t>(4)</w:t>
            </w:r>
          </w:p>
        </w:tc>
        <w:tc>
          <w:tcPr>
            <w:tcW w:w="996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shares of our common stock held by AllianceBernstein L.P. AllianceBernstein L.P. has sole power to vote or direct the vote with respect to 5,271,864 shares of our common stock, sole power to dispose or to direct the disposition of 5,672,843 shares of our common stock, and shared power to dispose or to direct the disposition of 37,102 shares of our common stock. The business address of AllianceBernstein L.P. is 1345 Avenue of the Americas, New York, NY 10105. The foregoing information in this footnote is based on a Schedule 13G filed by AllianceBernstein L.P. on February 14, 2023. </w:t>
            </w:r>
          </w:p>
        </w:tc>
      </w:tr>
    </w:tbl>
    <w:tbl>
      <w:tblPr>
        <w:tblW w:w="10205" w:type="dxa"/>
        <w:jc w:val="left"/>
        <w:tblInd w:w="0" w:type="dxa"/>
        <w:tblCellMar>
          <w:top w:w="0" w:type="dxa"/>
          <w:left w:w="0" w:type="dxa"/>
          <w:bottom w:w="0" w:type="dxa"/>
          <w:right w:w="0" w:type="dxa"/>
        </w:tblCellMar>
      </w:tblPr>
      <w:tblGrid>
        <w:gridCol w:w="267"/>
        <w:gridCol w:w="9938"/>
      </w:tblGrid>
      <w:tr>
        <w:trPr/>
        <w:tc>
          <w:tcPr>
            <w:tcW w:w="267" w:type="dxa"/>
            <w:tcBorders/>
            <w:shd w:fill="auto" w:val="clear"/>
            <w:vAlign w:val="center"/>
          </w:tcPr>
          <w:p>
            <w:pPr>
              <w:pStyle w:val="TableContents"/>
              <w:spacing w:before="0" w:after="283"/>
              <w:jc w:val="left"/>
              <w:rPr/>
            </w:pPr>
            <w:r>
              <w:rPr/>
              <w:t>(5)</w:t>
            </w:r>
          </w:p>
        </w:tc>
        <w:tc>
          <w:tcPr>
            <w:tcW w:w="993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Includes options to purchase 1,802,818 shares of common stock that may be exercised within 60 days of the Record Date and 15,752 shares underlying restricted stock unit awards which may vest within 60 days of the Record Date. </w:t>
            </w:r>
          </w:p>
        </w:tc>
      </w:tr>
    </w:tbl>
    <w:tbl>
      <w:tblPr>
        <w:tblW w:w="10205" w:type="dxa"/>
        <w:jc w:val="left"/>
        <w:tblInd w:w="0" w:type="dxa"/>
        <w:tblCellMar>
          <w:top w:w="0" w:type="dxa"/>
          <w:left w:w="0" w:type="dxa"/>
          <w:bottom w:w="0" w:type="dxa"/>
          <w:right w:w="0" w:type="dxa"/>
        </w:tblCellMar>
      </w:tblPr>
      <w:tblGrid>
        <w:gridCol w:w="268"/>
        <w:gridCol w:w="9937"/>
      </w:tblGrid>
      <w:tr>
        <w:trPr/>
        <w:tc>
          <w:tcPr>
            <w:tcW w:w="268" w:type="dxa"/>
            <w:tcBorders/>
            <w:shd w:fill="auto" w:val="clear"/>
            <w:vAlign w:val="center"/>
          </w:tcPr>
          <w:p>
            <w:pPr>
              <w:pStyle w:val="TableContents"/>
              <w:spacing w:before="0" w:after="283"/>
              <w:jc w:val="left"/>
              <w:rPr/>
            </w:pPr>
            <w:r>
              <w:rPr/>
              <w:t>(6)</w:t>
            </w:r>
          </w:p>
        </w:tc>
        <w:tc>
          <w:tcPr>
            <w:tcW w:w="993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Includes options to purchase 542,536 shares of common stock that may be exercised within 60 days of the Record Date and 7,876 shares underlying restricted stock unit awards which may vest within 60 days of the Record Date. </w:t>
            </w:r>
          </w:p>
        </w:tc>
      </w:tr>
    </w:tbl>
    <w:tbl>
      <w:tblPr>
        <w:tblW w:w="10205" w:type="dxa"/>
        <w:jc w:val="left"/>
        <w:tblInd w:w="0" w:type="dxa"/>
        <w:tblCellMar>
          <w:top w:w="0" w:type="dxa"/>
          <w:left w:w="0" w:type="dxa"/>
          <w:bottom w:w="0" w:type="dxa"/>
          <w:right w:w="0" w:type="dxa"/>
        </w:tblCellMar>
      </w:tblPr>
      <w:tblGrid>
        <w:gridCol w:w="268"/>
        <w:gridCol w:w="9937"/>
      </w:tblGrid>
      <w:tr>
        <w:trPr/>
        <w:tc>
          <w:tcPr>
            <w:tcW w:w="268" w:type="dxa"/>
            <w:tcBorders/>
            <w:shd w:fill="auto" w:val="clear"/>
            <w:vAlign w:val="center"/>
          </w:tcPr>
          <w:p>
            <w:pPr>
              <w:pStyle w:val="TableContents"/>
              <w:spacing w:before="0" w:after="283"/>
              <w:jc w:val="left"/>
              <w:rPr/>
            </w:pPr>
            <w:r>
              <w:rPr/>
              <w:t>(7)</w:t>
            </w:r>
          </w:p>
        </w:tc>
        <w:tc>
          <w:tcPr>
            <w:tcW w:w="993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Includes options to purchase 414,629 shares of common stock that may be exercised within 60 days of the Record Date and 5,625 shares underlying restricted stock unit awards which may vest within 60 days of the Record Date. </w:t>
            </w:r>
          </w:p>
        </w:tc>
      </w:tr>
    </w:tbl>
    <w:tbl>
      <w:tblPr>
        <w:tblW w:w="10205" w:type="dxa"/>
        <w:jc w:val="left"/>
        <w:tblInd w:w="0" w:type="dxa"/>
        <w:tblCellMar>
          <w:top w:w="0" w:type="dxa"/>
          <w:left w:w="0" w:type="dxa"/>
          <w:bottom w:w="0" w:type="dxa"/>
          <w:right w:w="0" w:type="dxa"/>
        </w:tblCellMar>
      </w:tblPr>
      <w:tblGrid>
        <w:gridCol w:w="268"/>
        <w:gridCol w:w="9937"/>
      </w:tblGrid>
      <w:tr>
        <w:trPr/>
        <w:tc>
          <w:tcPr>
            <w:tcW w:w="268" w:type="dxa"/>
            <w:tcBorders/>
            <w:shd w:fill="auto" w:val="clear"/>
            <w:vAlign w:val="center"/>
          </w:tcPr>
          <w:p>
            <w:pPr>
              <w:pStyle w:val="TableContents"/>
              <w:spacing w:before="0" w:after="283"/>
              <w:jc w:val="left"/>
              <w:rPr/>
            </w:pPr>
            <w:r>
              <w:rPr/>
              <w:t>(8)</w:t>
            </w:r>
          </w:p>
        </w:tc>
        <w:tc>
          <w:tcPr>
            <w:tcW w:w="993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Includes options to purchase 52,500 shares of common stock that may be exercised within 60 days of the Record Date and 7,875 shares underlying restricted stock unit awards which may vest within 60 days of the Record Date.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268"/>
        <w:gridCol w:w="9937"/>
      </w:tblGrid>
      <w:tr>
        <w:trPr/>
        <w:tc>
          <w:tcPr>
            <w:tcW w:w="268" w:type="dxa"/>
            <w:tcBorders/>
            <w:shd w:fill="auto" w:val="clear"/>
            <w:vAlign w:val="center"/>
          </w:tcPr>
          <w:p>
            <w:pPr>
              <w:pStyle w:val="TableContents"/>
              <w:spacing w:before="0" w:after="283"/>
              <w:jc w:val="left"/>
              <w:rPr/>
            </w:pPr>
            <w:r>
              <w:rPr/>
              <w:t>(9)</w:t>
            </w:r>
          </w:p>
        </w:tc>
        <w:tc>
          <w:tcPr>
            <w:tcW w:w="993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Includes options to purchase 177,500 shares of common stock that may be exercised within 60 days of the Record Date and 4,499 shares underlying restricted stock unit awards which may vest within 60 days of the Record Date. </w:t>
            </w:r>
          </w:p>
        </w:tc>
      </w:tr>
    </w:tbl>
    <w:tbl>
      <w:tblPr>
        <w:tblW w:w="10205" w:type="dxa"/>
        <w:jc w:val="left"/>
        <w:tblInd w:w="0" w:type="dxa"/>
        <w:tblCellMar>
          <w:top w:w="0" w:type="dxa"/>
          <w:left w:w="0" w:type="dxa"/>
          <w:bottom w:w="0" w:type="dxa"/>
          <w:right w:w="0" w:type="dxa"/>
        </w:tblCellMar>
      </w:tblPr>
      <w:tblGrid>
        <w:gridCol w:w="372"/>
        <w:gridCol w:w="9833"/>
      </w:tblGrid>
      <w:tr>
        <w:trPr/>
        <w:tc>
          <w:tcPr>
            <w:tcW w:w="372" w:type="dxa"/>
            <w:tcBorders/>
            <w:shd w:fill="auto" w:val="clear"/>
            <w:vAlign w:val="center"/>
          </w:tcPr>
          <w:p>
            <w:pPr>
              <w:pStyle w:val="TableContents"/>
              <w:spacing w:before="0" w:after="283"/>
              <w:jc w:val="left"/>
              <w:rPr/>
            </w:pPr>
            <w:r>
              <w:rPr/>
              <w:t>(10)</w:t>
            </w:r>
          </w:p>
        </w:tc>
        <w:tc>
          <w:tcPr>
            <w:tcW w:w="983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19,224 shares of common stock held directly by Mr. Harris. Does not include the 11,645,388 shares of common stock held by the Bain Capital Venture Entities referenced in footnote (1). Mr. Harris is a Partner of BCVI. As a result, Mr. Harris may be deemed to share beneficial ownership of the shares of common stock held by the Bain Capital Venture Entities. </w:t>
            </w:r>
          </w:p>
        </w:tc>
      </w:tr>
    </w:tbl>
    <w:tbl>
      <w:tblPr>
        <w:tblW w:w="10205" w:type="dxa"/>
        <w:jc w:val="left"/>
        <w:tblInd w:w="0" w:type="dxa"/>
        <w:tblCellMar>
          <w:top w:w="0" w:type="dxa"/>
          <w:left w:w="0" w:type="dxa"/>
          <w:bottom w:w="0" w:type="dxa"/>
          <w:right w:w="0" w:type="dxa"/>
        </w:tblCellMar>
      </w:tblPr>
      <w:tblGrid>
        <w:gridCol w:w="378"/>
        <w:gridCol w:w="9827"/>
      </w:tblGrid>
      <w:tr>
        <w:trPr/>
        <w:tc>
          <w:tcPr>
            <w:tcW w:w="378" w:type="dxa"/>
            <w:tcBorders/>
            <w:shd w:fill="auto" w:val="clear"/>
            <w:vAlign w:val="center"/>
          </w:tcPr>
          <w:p>
            <w:pPr>
              <w:pStyle w:val="TableContents"/>
              <w:spacing w:before="0" w:after="283"/>
              <w:jc w:val="left"/>
              <w:rPr/>
            </w:pPr>
            <w:r>
              <w:rPr/>
              <w:t>(11)</w:t>
            </w:r>
          </w:p>
        </w:tc>
        <w:tc>
          <w:tcPr>
            <w:tcW w:w="982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Includes 260,290 shares of common stock held directly by Mr. Finkelstein and 27,309 shares held by Spark Capital Partners, LLC. Mr. Finkelstein is a managing member of Spark Capital Partners, LLC and may be deemed to share investment, voting and dispositive power over these shares. </w:t>
            </w:r>
          </w:p>
        </w:tc>
      </w:tr>
    </w:tbl>
    <w:tbl>
      <w:tblPr>
        <w:tblW w:w="10205" w:type="dxa"/>
        <w:jc w:val="left"/>
        <w:tblInd w:w="0" w:type="dxa"/>
        <w:tblCellMar>
          <w:top w:w="0" w:type="dxa"/>
          <w:left w:w="0" w:type="dxa"/>
          <w:bottom w:w="0" w:type="dxa"/>
          <w:right w:w="0" w:type="dxa"/>
        </w:tblCellMar>
      </w:tblPr>
      <w:tblGrid>
        <w:gridCol w:w="388"/>
        <w:gridCol w:w="9817"/>
      </w:tblGrid>
      <w:tr>
        <w:trPr/>
        <w:tc>
          <w:tcPr>
            <w:tcW w:w="388" w:type="dxa"/>
            <w:tcBorders/>
            <w:shd w:fill="auto" w:val="clear"/>
            <w:vAlign w:val="center"/>
          </w:tcPr>
          <w:p>
            <w:pPr>
              <w:pStyle w:val="TableContents"/>
              <w:spacing w:before="0" w:after="283"/>
              <w:jc w:val="left"/>
              <w:rPr/>
            </w:pPr>
            <w:r>
              <w:rPr/>
              <w:t>(12)</w:t>
            </w:r>
          </w:p>
        </w:tc>
        <w:tc>
          <w:tcPr>
            <w:tcW w:w="981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Includes options to purchase 487,471 shares of common stock that may be exercised within 60 days of the Record Date and 9,062 shares underlying restricted stock unit awards which may vest within 60 days of the Record Date. </w:t>
            </w:r>
          </w:p>
        </w:tc>
      </w:tr>
    </w:tbl>
    <w:tbl>
      <w:tblPr>
        <w:tblW w:w="9700" w:type="dxa"/>
        <w:jc w:val="left"/>
        <w:tblInd w:w="0" w:type="dxa"/>
        <w:tblCellMar>
          <w:top w:w="0" w:type="dxa"/>
          <w:left w:w="0" w:type="dxa"/>
          <w:bottom w:w="0" w:type="dxa"/>
          <w:right w:w="0" w:type="dxa"/>
        </w:tblCellMar>
      </w:tblPr>
      <w:tblGrid>
        <w:gridCol w:w="425"/>
        <w:gridCol w:w="9275"/>
      </w:tblGrid>
      <w:tr>
        <w:trPr/>
        <w:tc>
          <w:tcPr>
            <w:tcW w:w="425" w:type="dxa"/>
            <w:tcBorders/>
            <w:shd w:fill="auto" w:val="clear"/>
            <w:vAlign w:val="center"/>
          </w:tcPr>
          <w:p>
            <w:pPr>
              <w:pStyle w:val="TableContents"/>
              <w:spacing w:before="0" w:after="283"/>
              <w:jc w:val="left"/>
              <w:rPr/>
            </w:pPr>
            <w:r>
              <w:rPr/>
              <w:t>(13)</w:t>
            </w:r>
          </w:p>
        </w:tc>
        <w:tc>
          <w:tcPr>
            <w:tcW w:w="92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Includes 13,923 shares underlying restricted stock unit awards which may vest within 60 days of the Record Date. </w:t>
            </w:r>
          </w:p>
        </w:tc>
      </w:tr>
    </w:tbl>
    <w:tbl>
      <w:tblPr>
        <w:tblW w:w="10205" w:type="dxa"/>
        <w:jc w:val="left"/>
        <w:tblInd w:w="0" w:type="dxa"/>
        <w:tblCellMar>
          <w:top w:w="0" w:type="dxa"/>
          <w:left w:w="0" w:type="dxa"/>
          <w:bottom w:w="0" w:type="dxa"/>
          <w:right w:w="0" w:type="dxa"/>
        </w:tblCellMar>
      </w:tblPr>
      <w:tblGrid>
        <w:gridCol w:w="387"/>
        <w:gridCol w:w="9818"/>
      </w:tblGrid>
      <w:tr>
        <w:trPr/>
        <w:tc>
          <w:tcPr>
            <w:tcW w:w="387" w:type="dxa"/>
            <w:tcBorders/>
            <w:shd w:fill="auto" w:val="clear"/>
            <w:vAlign w:val="center"/>
          </w:tcPr>
          <w:p>
            <w:pPr>
              <w:pStyle w:val="TableContents"/>
              <w:spacing w:before="0" w:after="283"/>
              <w:jc w:val="left"/>
              <w:rPr/>
            </w:pPr>
            <w:r>
              <w:rPr/>
              <w:t>(14)</w:t>
            </w:r>
          </w:p>
        </w:tc>
        <w:tc>
          <w:tcPr>
            <w:tcW w:w="981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Includes options to purchase 3,303,304 shares of common stock that may be exercised within 60 days of the Record Date and 208,633 shares underlying restricted stock unit awards which may vest within 60 days of the Record Date.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8" w:name="toc359255_38"/>
      <w:bookmarkEnd w:id="38"/>
      <w:r>
        <w:rPr>
          <w:rFonts w:ascii="Times New Roman" w:hAnsi="Times New Roman"/>
          <w:b/>
          <w:sz w:val="20"/>
        </w:rPr>
        <w:t xml:space="preserve">CERTAIN RELATIONSHIPS AND RELATED PARTY TRANSACTIONS </w:t>
      </w:r>
    </w:p>
    <w:p>
      <w:pPr>
        <w:pStyle w:val="TextBody"/>
        <w:spacing w:before="240" w:after="0"/>
        <w:jc w:val="left"/>
        <w:rPr>
          <w:rFonts w:ascii="Times New Roman" w:hAnsi="Times New Roman"/>
          <w:sz w:val="20"/>
        </w:rPr>
      </w:pPr>
      <w:r>
        <w:rPr>
          <w:rFonts w:ascii="Times New Roman" w:hAnsi="Times New Roman"/>
          <w:sz w:val="20"/>
        </w:rPr>
        <w:t xml:space="preserve">In addition to the compensation arrangements with our directors and executive officers described elsewhere in this proxy statement, the following is a description of each transaction since January 1, 2022 and each currently proposed transaction in which: </w:t>
      </w:r>
    </w:p>
    <w:p>
      <w:pPr>
        <w:pStyle w:val="TextBody"/>
        <w:spacing w:before="0" w:after="0"/>
        <w:jc w:val="left"/>
        <w:rPr/>
      </w:pPr>
      <w:r>
        <w:rPr/>
        <w:t> </w:t>
      </w:r>
    </w:p>
    <w:tbl>
      <w:tblPr>
        <w:tblW w:w="3490" w:type="dxa"/>
        <w:jc w:val="left"/>
        <w:tblInd w:w="0" w:type="dxa"/>
        <w:tblCellMar>
          <w:top w:w="0" w:type="dxa"/>
          <w:left w:w="0" w:type="dxa"/>
          <w:bottom w:w="0" w:type="dxa"/>
          <w:right w:w="0" w:type="dxa"/>
        </w:tblCellMar>
      </w:tblPr>
      <w:tblGrid>
        <w:gridCol w:w="75"/>
        <w:gridCol w:w="110"/>
        <w:gridCol w:w="60"/>
        <w:gridCol w:w="32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2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we have been or are to be a participant; </w:t>
            </w:r>
          </w:p>
        </w:tc>
      </w:tr>
    </w:tbl>
    <w:p>
      <w:pPr>
        <w:pStyle w:val="TextBody"/>
        <w:spacing w:before="0" w:after="0"/>
        <w:jc w:val="left"/>
        <w:rPr/>
      </w:pPr>
      <w:r>
        <w:rPr/>
        <w:t> </w:t>
      </w:r>
    </w:p>
    <w:tbl>
      <w:tblPr>
        <w:tblW w:w="4945" w:type="dxa"/>
        <w:jc w:val="left"/>
        <w:tblInd w:w="0" w:type="dxa"/>
        <w:tblCellMar>
          <w:top w:w="0" w:type="dxa"/>
          <w:left w:w="0" w:type="dxa"/>
          <w:bottom w:w="0" w:type="dxa"/>
          <w:right w:w="0" w:type="dxa"/>
        </w:tblCellMar>
      </w:tblPr>
      <w:tblGrid>
        <w:gridCol w:w="75"/>
        <w:gridCol w:w="110"/>
        <w:gridCol w:w="60"/>
        <w:gridCol w:w="47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7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amount involved exceeds the lesser of $120,000;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any of our directors, executive officers or holders of more than 5% of our capital stock, or any immediate family member of or person sharing the household with any of these individuals (other than tenants or employees), had or will have a direct or indirect material interest. </w:t>
            </w:r>
          </w:p>
        </w:tc>
      </w:tr>
    </w:tbl>
    <w:p>
      <w:pPr>
        <w:pStyle w:val="TextBody"/>
        <w:spacing w:before="360" w:after="0"/>
        <w:jc w:val="left"/>
        <w:rPr>
          <w:rFonts w:ascii="Times New Roman" w:hAnsi="Times New Roman"/>
          <w:b/>
          <w:sz w:val="20"/>
        </w:rPr>
      </w:pPr>
      <w:r>
        <w:rPr>
          <w:rFonts w:ascii="Times New Roman" w:hAnsi="Times New Roman"/>
          <w:b/>
          <w:sz w:val="20"/>
        </w:rPr>
        <w:t xml:space="preserve">Indemnification Agreements </w:t>
      </w:r>
    </w:p>
    <w:p>
      <w:pPr>
        <w:pStyle w:val="TextBody"/>
        <w:spacing w:before="120" w:after="0"/>
        <w:jc w:val="left"/>
        <w:rPr>
          <w:rFonts w:ascii="Times New Roman" w:hAnsi="Times New Roman"/>
          <w:sz w:val="20"/>
        </w:rPr>
      </w:pPr>
      <w:r>
        <w:rPr>
          <w:rFonts w:ascii="Times New Roman" w:hAnsi="Times New Roman"/>
          <w:sz w:val="20"/>
        </w:rPr>
        <w:t xml:space="preserve">We have entered into separate indemnification agreements with our directors and executive officers, in addition to indemnification provided for in our amended and restated certificate of incorporation and amended and restated bylaws. These agreements, among other things, provide for indemnification of our directors and executive officers for certain expenses, judgments, fines and settlement amounts, among others, incurred by this person in any action or proceeding arising out of this person’s services as a director or executive officer in any capacity with respect to any employee benefit plan or as a director, partner, trustee or agent of another entity at our request. We believe that these provisions in our amended and restated certificate of incorporation and amended and restated bylaws and indemnification agreements are necessary to attract and retain qualified persons as directors and executive officers. </w:t>
      </w:r>
    </w:p>
    <w:p>
      <w:pPr>
        <w:pStyle w:val="TextBody"/>
        <w:spacing w:before="360" w:after="0"/>
        <w:jc w:val="left"/>
        <w:rPr>
          <w:rFonts w:ascii="Times New Roman" w:hAnsi="Times New Roman"/>
          <w:b/>
          <w:sz w:val="20"/>
        </w:rPr>
      </w:pPr>
      <w:r>
        <w:rPr>
          <w:rFonts w:ascii="Times New Roman" w:hAnsi="Times New Roman"/>
          <w:b/>
          <w:sz w:val="20"/>
        </w:rPr>
        <w:t xml:space="preserve">Policies and Procedures for Related Party Transactions </w:t>
      </w:r>
    </w:p>
    <w:p>
      <w:pPr>
        <w:pStyle w:val="TextBody"/>
        <w:spacing w:before="120" w:after="0"/>
        <w:jc w:val="left"/>
        <w:rPr>
          <w:rFonts w:ascii="Times New Roman" w:hAnsi="Times New Roman"/>
          <w:sz w:val="20"/>
        </w:rPr>
      </w:pPr>
      <w:r>
        <w:rPr>
          <w:rFonts w:ascii="Times New Roman" w:hAnsi="Times New Roman"/>
          <w:sz w:val="20"/>
        </w:rPr>
        <w:t xml:space="preserve">Pursuant to our code of conduct and audit committee charter, any related party transaction or series of transactions with an executive officer, director, or any of such persons’ immediate family members or affiliates, in which the amount, either individually or in the aggregate, involved exceeds $120,000 must be presented to our audit committee for review, consideration and approval. All of our directors and executive officers are required to report to our audit committee any such related party transaction. In approving or rejecting the proposed transactions, our audit committee shall consider the relevant facts and circumstances available and deemed relevant to the audit committee, including, but not limited to the risks, costs and benefits to us, the terms of the transaction, the availability of other sources for comparable services or products and, if applicable, the impact on a director’s independence. Our audit committee shall approve only those transactions that, in light of known circumstances, are not inconsistent with Flywire’s best interests, as our audit committee determines in the good faith exercise of its discretion.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9" w:name="toc359255_39"/>
      <w:bookmarkEnd w:id="39"/>
      <w:r>
        <w:rPr>
          <w:rFonts w:ascii="Times New Roman" w:hAnsi="Times New Roman"/>
          <w:b/>
          <w:sz w:val="20"/>
        </w:rPr>
        <w:t xml:space="preserve">AUDIT COMMITTEE REPORT </w:t>
      </w:r>
    </w:p>
    <w:p>
      <w:pPr>
        <w:pStyle w:val="TextBody"/>
        <w:spacing w:before="240" w:after="0"/>
        <w:jc w:val="left"/>
        <w:rPr>
          <w:rFonts w:ascii="Times New Roman" w:hAnsi="Times New Roman"/>
          <w:i/>
          <w:sz w:val="20"/>
        </w:rPr>
      </w:pPr>
      <w:r>
        <w:rPr>
          <w:rFonts w:ascii="Times New Roman" w:hAnsi="Times New Roman"/>
          <w:i/>
          <w:sz w:val="20"/>
        </w:rPr>
        <w:t xml:space="preserve">The information contained in the following report of Flywire’s audit committee is not considered to be “soliciting material,” “filed” or incorporated by reference in any past or future filing by us under the Securities Exchange Act of 1934 or the Securities Act of 1933 unless and only to the extent that Flywire specifically incorporates it by reference. </w:t>
      </w:r>
    </w:p>
    <w:p>
      <w:pPr>
        <w:pStyle w:val="TextBody"/>
        <w:spacing w:before="360" w:after="0"/>
        <w:jc w:val="left"/>
        <w:rPr>
          <w:rFonts w:ascii="Times New Roman" w:hAnsi="Times New Roman"/>
          <w:b/>
          <w:sz w:val="20"/>
        </w:rPr>
      </w:pPr>
      <w:r>
        <w:rPr>
          <w:rFonts w:ascii="Times New Roman" w:hAnsi="Times New Roman"/>
          <w:b/>
          <w:sz w:val="20"/>
        </w:rPr>
        <w:t xml:space="preserve">Review of Audited Financial Statements for the Year Ended December 31, 2022 </w:t>
      </w:r>
    </w:p>
    <w:p>
      <w:pPr>
        <w:pStyle w:val="TextBody"/>
        <w:spacing w:before="120" w:after="0"/>
        <w:jc w:val="left"/>
        <w:rPr>
          <w:rFonts w:ascii="Times New Roman" w:hAnsi="Times New Roman"/>
          <w:sz w:val="20"/>
        </w:rPr>
      </w:pPr>
      <w:r>
        <w:rPr>
          <w:rFonts w:ascii="Times New Roman" w:hAnsi="Times New Roman"/>
          <w:sz w:val="20"/>
        </w:rPr>
        <w:t xml:space="preserve">The audit committee has reviewed and discussed with Flywire’s management and PricewaterhouseCoopers LLP the audited financial statements of Flywire for the year ended December 31, 2022. The audit committee has also discussed with PricewaterhouseCoopers LLP the applicable requirements of the Public Company Accounting Oversight Board (PCAOB) and the SEC. </w:t>
      </w:r>
    </w:p>
    <w:p>
      <w:pPr>
        <w:pStyle w:val="TextBody"/>
        <w:spacing w:before="240" w:after="0"/>
        <w:jc w:val="left"/>
        <w:rPr>
          <w:rFonts w:ascii="Times New Roman" w:hAnsi="Times New Roman"/>
          <w:sz w:val="20"/>
        </w:rPr>
      </w:pPr>
      <w:r>
        <w:rPr>
          <w:rFonts w:ascii="Times New Roman" w:hAnsi="Times New Roman"/>
          <w:sz w:val="20"/>
        </w:rPr>
        <w:t xml:space="preserve">The audit committee has received and reviewed the written disclosures and the letter from PricewaterhouseCoopers LLP required by applicable requirements of the PCAOB and the SEC regarding the independent registered public accounting firm’s communications with the audit committee concerning independence, and has discussed with PricewaterhouseCoopers LLP its independence from us. </w:t>
      </w:r>
    </w:p>
    <w:p>
      <w:pPr>
        <w:pStyle w:val="TextBody"/>
        <w:spacing w:before="240" w:after="0"/>
        <w:jc w:val="left"/>
        <w:rPr>
          <w:rFonts w:ascii="Times New Roman" w:hAnsi="Times New Roman"/>
          <w:sz w:val="20"/>
        </w:rPr>
      </w:pPr>
      <w:r>
        <w:rPr>
          <w:rFonts w:ascii="Times New Roman" w:hAnsi="Times New Roman"/>
          <w:sz w:val="20"/>
        </w:rPr>
        <w:t xml:space="preserve">Based on the review and discussions referred to above, the audit committee recommended to the Board of Directors that the audited financial statements be included in the 2022 Annual Report for filing with the SEC. </w:t>
      </w:r>
    </w:p>
    <w:p>
      <w:pPr>
        <w:pStyle w:val="TextBody"/>
        <w:spacing w:before="240" w:after="0"/>
        <w:jc w:val="left"/>
        <w:rPr>
          <w:rFonts w:ascii="Times New Roman" w:hAnsi="Times New Roman"/>
          <w:sz w:val="20"/>
        </w:rPr>
      </w:pPr>
      <w:r>
        <w:rPr>
          <w:rFonts w:ascii="Times New Roman" w:hAnsi="Times New Roman"/>
          <w:sz w:val="20"/>
        </w:rPr>
        <w:t xml:space="preserve">Submitted by the audit committee of the Board of Directors: </w:t>
      </w:r>
    </w:p>
    <w:p>
      <w:pPr>
        <w:pStyle w:val="TextBody"/>
        <w:spacing w:before="120" w:after="0"/>
        <w:jc w:val="left"/>
        <w:rPr>
          <w:rFonts w:ascii="Times New Roman" w:hAnsi="Times New Roman"/>
          <w:sz w:val="20"/>
        </w:rPr>
      </w:pPr>
      <w:r>
        <w:rPr>
          <w:rFonts w:ascii="Times New Roman" w:hAnsi="Times New Roman"/>
          <w:sz w:val="20"/>
        </w:rPr>
        <w:t xml:space="preserve">Edwin Santos (Chair) </w:t>
      </w:r>
    </w:p>
    <w:p>
      <w:pPr>
        <w:pStyle w:val="TextBody"/>
        <w:spacing w:before="0" w:after="0"/>
        <w:jc w:val="left"/>
        <w:rPr>
          <w:rFonts w:ascii="Times New Roman" w:hAnsi="Times New Roman"/>
          <w:sz w:val="20"/>
        </w:rPr>
      </w:pPr>
      <w:r>
        <w:rPr>
          <w:rFonts w:ascii="Times New Roman" w:hAnsi="Times New Roman"/>
          <w:sz w:val="20"/>
        </w:rPr>
        <w:t xml:space="preserve">Phillip Riese </w:t>
      </w:r>
    </w:p>
    <w:p>
      <w:pPr>
        <w:pStyle w:val="TextBody"/>
        <w:spacing w:before="0" w:after="0"/>
        <w:jc w:val="left"/>
        <w:rPr>
          <w:rFonts w:ascii="Times New Roman" w:hAnsi="Times New Roman"/>
          <w:sz w:val="20"/>
        </w:rPr>
      </w:pPr>
      <w:r>
        <w:rPr>
          <w:rFonts w:ascii="Times New Roman" w:hAnsi="Times New Roman"/>
          <w:sz w:val="20"/>
        </w:rPr>
        <w:t xml:space="preserve">Alex Finkelstein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DELINQUENT SECTION 16(a) REPORTS </w:t>
      </w:r>
    </w:p>
    <w:p>
      <w:pPr>
        <w:pStyle w:val="TextBody"/>
        <w:spacing w:before="240" w:after="0"/>
        <w:jc w:val="left"/>
        <w:rPr>
          <w:rFonts w:ascii="Times New Roman" w:hAnsi="Times New Roman"/>
          <w:sz w:val="20"/>
        </w:rPr>
      </w:pPr>
      <w:r>
        <w:rPr>
          <w:rFonts w:ascii="Times New Roman" w:hAnsi="Times New Roman"/>
          <w:sz w:val="20"/>
        </w:rPr>
        <w:t xml:space="preserve">Section 16(a) of the Exchange Act requires our directors and certain of our officers and any person who beneficially owns more than 10% of our common stock to file with the SEC initial reports of beneficial ownership and reports of subsequent changes in their beneficial ownership of our common stock. Such directors, executive officers and stockholders are required by SEC regulation to furnish us with copies of all Section 16(a) forms they file. The SEC has designated specific due dates for these reports and we must identify in this proxy statement those filings that were not filed when due. </w:t>
      </w:r>
    </w:p>
    <w:p>
      <w:pPr>
        <w:pStyle w:val="TextBody"/>
        <w:spacing w:before="240" w:after="0"/>
        <w:jc w:val="left"/>
        <w:rPr>
          <w:rFonts w:ascii="Times New Roman" w:hAnsi="Times New Roman"/>
          <w:sz w:val="20"/>
        </w:rPr>
      </w:pPr>
      <w:r>
        <w:rPr>
          <w:rFonts w:ascii="Times New Roman" w:hAnsi="Times New Roman"/>
          <w:sz w:val="20"/>
        </w:rPr>
        <w:t xml:space="preserve">To our knowledge, based solely on our review of copies of the reports filed with the SEC pursuant to Section 16(a) of the Exchange Act and the written representations of the reporting persons, we believe that all reporting requirements under Section 16(a) of the Exchange Act during 2022 were complied with by each of our directors and officers and each person who beneficially owned more than 10% of our common stock, except for the following: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Form 4 for Mr. Massaro was filed one business day late on February 23, 2022, due to an administrative error, to report sales of shares sold by Mr. Massaro pursuant to a 10b5-1 trading plan on February 17, 2022;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Form 4 for Mr. Ellis was filed one business day late on October 17, 2022, due to an administrative error, to report sales of shares sold by Mr. Ellis pursuant to a 10b5-1 trading plan on October 12, 2022.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40" w:name="toc359255_40"/>
      <w:bookmarkEnd w:id="40"/>
      <w:r>
        <w:rPr>
          <w:rFonts w:ascii="Times New Roman" w:hAnsi="Times New Roman"/>
          <w:b/>
          <w:sz w:val="20"/>
        </w:rPr>
        <w:t xml:space="preserve">OTHER MATTERS </w:t>
      </w:r>
    </w:p>
    <w:p>
      <w:pPr>
        <w:pStyle w:val="TextBody"/>
        <w:spacing w:before="240" w:after="0"/>
        <w:jc w:val="left"/>
        <w:rPr>
          <w:rFonts w:ascii="Times New Roman" w:hAnsi="Times New Roman"/>
          <w:sz w:val="20"/>
        </w:rPr>
      </w:pPr>
      <w:r>
        <w:rPr>
          <w:rFonts w:ascii="Times New Roman" w:hAnsi="Times New Roman"/>
          <w:sz w:val="20"/>
        </w:rPr>
        <w:t xml:space="preserve">We know of no other matters to be submitted at the Annual Meeting. If any other matters properly come before the Annual Meeting, it is the intention of the persons named in the proxy card to vote the shares they represent as Flywire may recommend. </w:t>
      </w:r>
    </w:p>
    <w:p>
      <w:pPr>
        <w:pStyle w:val="TextBody"/>
        <w:spacing w:before="240" w:after="0"/>
        <w:jc w:val="left"/>
        <w:rPr>
          <w:rFonts w:ascii="Times New Roman" w:hAnsi="Times New Roman"/>
          <w:sz w:val="20"/>
        </w:rPr>
      </w:pPr>
      <w:r>
        <w:rPr>
          <w:rFonts w:ascii="Times New Roman" w:hAnsi="Times New Roman"/>
          <w:sz w:val="20"/>
        </w:rPr>
        <w:t xml:space="preserve">It is important that your shares be represented at the Annual Meeting, regardless of the number of shares that you hold. You are, therefore, urged to vote at your earliest convenience on the internet or by telephone as instructed, or by executing and returning a proxy card, if you have requested one, in the envelope provided. </w:t>
      </w:r>
    </w:p>
    <w:p>
      <w:pPr>
        <w:pStyle w:val="TextBody"/>
        <w:spacing w:before="240" w:after="0"/>
        <w:jc w:val="left"/>
        <w:rPr>
          <w:rFonts w:ascii="Times New Roman" w:hAnsi="Times New Roman"/>
          <w:sz w:val="20"/>
        </w:rPr>
      </w:pPr>
      <w:r>
        <w:rPr>
          <w:rFonts w:ascii="Times New Roman" w:hAnsi="Times New Roman"/>
          <w:sz w:val="20"/>
        </w:rPr>
        <w:t xml:space="preserve">THE BOARD OF DIRECTORS </w:t>
      </w:r>
    </w:p>
    <w:p>
      <w:pPr>
        <w:pStyle w:val="TextBody"/>
        <w:spacing w:before="0" w:after="0"/>
        <w:jc w:val="left"/>
        <w:rPr>
          <w:rFonts w:ascii="Times New Roman" w:hAnsi="Times New Roman"/>
          <w:sz w:val="20"/>
        </w:rPr>
      </w:pPr>
      <w:r>
        <w:rPr>
          <w:rFonts w:ascii="Times New Roman" w:hAnsi="Times New Roman"/>
          <w:sz w:val="20"/>
        </w:rPr>
        <w:t xml:space="preserve">Boston, Massachusetts </w:t>
      </w:r>
    </w:p>
    <w:p>
      <w:pPr>
        <w:pStyle w:val="TextBody"/>
        <w:spacing w:before="0" w:after="0"/>
        <w:jc w:val="left"/>
        <w:rPr>
          <w:rFonts w:ascii="Times New Roman" w:hAnsi="Times New Roman"/>
          <w:sz w:val="20"/>
        </w:rPr>
      </w:pPr>
      <w:r>
        <w:rPr>
          <w:rFonts w:ascii="Times New Roman" w:hAnsi="Times New Roman"/>
          <w:sz w:val="20"/>
        </w:rPr>
        <w:t xml:space="preserve">April 25, 2023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pPr>
      <w:r>
        <w:rPr/>
        <w:drawing>
          <wp:inline distT="0" distB="0" distL="0" distR="0">
            <wp:extent cx="7067550" cy="9144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067550" cy="9144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FLYWIRE CORPORATION 141 TREMONT ST, 10TH FLOOR BOSTON, MA 02111 VOTE BY INTERNET—www.proxyvote.com or scan the QR Barcode above Use the Internet to transmit your voting instructions and for electronic delivery of information. Vote by 11:59 P.M. ET on 06/05/2023. Have your proxy card in hand when you access the web site and follow the instructions to obtain your records and to create an electronic voting instruction form. VOTE BY PHONE—1-800-690-6903 Use any touch-tone telephone to transmit your voting instructions. Vote by 11:59 P.M. ET on 06/05/2023.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KEEP THIS PORTION FOR YOUR RECORDS DETACH AND RETURN THIS PORTION ONLY THIS PROXY CARD IS VALID ONLY WHEN SIGNED AND DATED. The Board of Directors recommends you vote FOR the following: 1. Election of two Class II Directors Nominees 01 Alex Finkelstein 02 Matthew Harris The Board of Directors recommends you vote FOR proposals 2 and 3. 2 To ratify the appointment of PricewaterhouseCoopers LLP as our independent registered public accounting firm for the year ending December 31, 2023. 3 The advisory approval of the compensation of our named executive officers. The Board of Directors recommends you vote 1 YEAR on the following proposal: 4 To recommend, by non-binding vote, the frequency of executive compensation votes. NOTE: Such other business as may properly come before the meeting or any adjournment thereof. For Withhold For All All All Except To withhold authority to vote for any individual nominee(s), mark “For All Except” and write the number(s) of the nominee(s) on the line below.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pPr>
      <w:r>
        <w:rPr/>
        <w:drawing>
          <wp:inline distT="0" distB="0" distL="0" distR="0">
            <wp:extent cx="7067550" cy="9144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067550" cy="9144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Important Notice Regarding the Availability of Proxy Materials for the Annual Meeting: The Annual Report and, Proxy Statement are available at www.proxyvote.com FLYWIRE CORPORATION Annual Meeting of Stockholders June 6, 2023 11:00 A.M. This proxy is solicited by the Board of Directors The undersigned hereby appoints Michael Massaro and Michael Ellis, or either of them, as proxies, each with the power to appoint his substitute, and hereby authorizes them to represent and to vote, as designated on the reverse side of this ballot, all of the shares of Common Stock of Flywire Corporation that the undersigned is entitled to vote at the Annual Meeting of Stockholders to be held at 11:00 A.M., EDT on June 6, 2023, via internet, www.virtualshareholdermeeting.com/FLYW2023 and any adjournment or postponement thereof. This proxy, when properly executed, will be voted in the manner directed herein. If no such direction is made, this proxy will be voted in accordance with the Board of Directors’ recommendations. Continued and to be signed on reverse side </w:t>
      </w:r>
    </w:p>
    <w:p>
      <w:pPr>
        <w:pStyle w:val="TextBody"/>
        <w:spacing w:before="0" w:after="0"/>
        <w:jc w:val="left"/>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58</Pages>
  <Words>27993</Words>
  <CharactersWithSpaces>181277</CharactersWithSpaces>
  <Paragraphs>4477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