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Finkelstein Alex</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620"/>
        <w:spacing w:after="0" w:line="344"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05/28/2021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700" w:type="dxa"/>
            <w:vAlign w:val="bottom"/>
            <w:gridSpan w:val="5"/>
          </w:tcPr>
          <w:p>
            <w:pPr>
              <w:jc w:val="center"/>
              <w:ind w:right="161"/>
              <w:spacing w:after="0" w:line="95" w:lineRule="exact"/>
              <w:rPr>
                <w:sz w:val="20"/>
                <w:szCs w:val="20"/>
                <w:color w:val="auto"/>
              </w:rPr>
            </w:pPr>
            <w:r>
              <w:rPr>
                <w:rFonts w:ascii="Arial" w:cs="Arial" w:eastAsia="Arial" w:hAnsi="Arial"/>
                <w:sz w:val="10"/>
                <w:szCs w:val="10"/>
                <w:color w:val="auto"/>
              </w:rPr>
              <w:t>4. If Amendment, Date of Original Filed (Month/Day/Year)</w:t>
            </w:r>
          </w:p>
        </w:tc>
        <w:tc>
          <w:tcPr>
            <w:tcW w:w="3520" w:type="dxa"/>
            <w:vAlign w:val="bottom"/>
            <w:gridSpan w:val="5"/>
          </w:tcPr>
          <w:p>
            <w:pPr>
              <w:ind w:left="260"/>
              <w:spacing w:after="0" w:line="95" w:lineRule="exact"/>
              <w:rPr>
                <w:sz w:val="20"/>
                <w:szCs w:val="20"/>
                <w:color w:val="auto"/>
              </w:rPr>
            </w:pPr>
            <w:r>
              <w:rPr>
                <w:rFonts w:ascii="Arial" w:cs="Arial" w:eastAsia="Arial" w:hAnsi="Arial"/>
                <w:sz w:val="10"/>
                <w:szCs w:val="10"/>
                <w:color w:val="auto"/>
              </w:rPr>
              <w:t>6. Individual or Joint/Group Filing (Check Applicable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520" w:type="dxa"/>
            <w:vAlign w:val="bottom"/>
            <w:gridSpan w:val="5"/>
            <w:vMerge w:val="restart"/>
          </w:tcPr>
          <w:p>
            <w:pPr>
              <w:ind w:left="4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6"/>
                <w:szCs w:val="16"/>
                <w:color w:val="0000FF"/>
              </w:rPr>
              <w:t>BOSTON</w:t>
            </w:r>
          </w:p>
        </w:tc>
        <w:tc>
          <w:tcPr>
            <w:tcW w:w="1020" w:type="dxa"/>
            <w:vAlign w:val="bottom"/>
            <w:vMerge w:val="restart"/>
          </w:tcPr>
          <w:p>
            <w:pPr>
              <w:ind w:left="300"/>
              <w:spacing w:after="0"/>
              <w:rPr>
                <w:sz w:val="20"/>
                <w:szCs w:val="20"/>
                <w:color w:val="auto"/>
              </w:rPr>
            </w:pPr>
            <w:r>
              <w:rPr>
                <w:rFonts w:ascii="Arial" w:cs="Arial" w:eastAsia="Arial" w:hAnsi="Arial"/>
                <w:sz w:val="16"/>
                <w:szCs w:val="16"/>
                <w:color w:val="0000FF"/>
              </w:rPr>
              <w:t>MA</w:t>
            </w:r>
          </w:p>
        </w:tc>
        <w:tc>
          <w:tcPr>
            <w:tcW w:w="1700" w:type="dxa"/>
            <w:vAlign w:val="bottom"/>
            <w:vMerge w:val="restart"/>
          </w:tcPr>
          <w:p>
            <w:pPr>
              <w:ind w:left="500"/>
              <w:spacing w:after="0"/>
              <w:rPr>
                <w:sz w:val="20"/>
                <w:szCs w:val="20"/>
                <w:color w:val="auto"/>
              </w:rPr>
            </w:pPr>
            <w:r>
              <w:rPr>
                <w:rFonts w:ascii="Arial" w:cs="Arial" w:eastAsia="Arial" w:hAnsi="Arial"/>
                <w:sz w:val="16"/>
                <w:szCs w:val="16"/>
                <w:color w:val="0000FF"/>
              </w:rPr>
              <w:t>02111</w:t>
            </w: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w w:val="99"/>
              </w:rPr>
              <w:t>Form filed by More than One Reporting Person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170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300"/>
              <w:spacing w:after="0"/>
              <w:rPr>
                <w:sz w:val="20"/>
                <w:szCs w:val="20"/>
                <w:color w:val="auto"/>
              </w:rPr>
            </w:pPr>
            <w:r>
              <w:rPr>
                <w:rFonts w:ascii="Arial" w:cs="Arial" w:eastAsia="Arial" w:hAnsi="Arial"/>
                <w:sz w:val="13"/>
                <w:szCs w:val="13"/>
                <w:color w:val="auto"/>
              </w:rPr>
              <w:t>(State)</w:t>
            </w:r>
          </w:p>
        </w:tc>
        <w:tc>
          <w:tcPr>
            <w:tcW w:w="22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4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8"/>
          </w:tcPr>
          <w:p>
            <w:pPr>
              <w:jc w:val="center"/>
              <w:ind w:right="206"/>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60" w:type="dxa"/>
            <w:vAlign w:val="bottom"/>
            <w:gridSpan w:val="2"/>
          </w:tcPr>
          <w:p>
            <w:pPr>
              <w:ind w:left="126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60" w:type="dxa"/>
            <w:vAlign w:val="bottom"/>
            <w:gridSpan w:val="2"/>
          </w:tcPr>
          <w:p>
            <w:pPr>
              <w:jc w:val="center"/>
              <w:ind w:left="1102"/>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53,250</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53,877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8,139,309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8,235,213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7,359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61,236</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1,125,039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9,360,252</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15,945</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77,181</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2,437,785</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11,798,037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19,983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97,164</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3,054,843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14,852,880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97,473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3,534</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10,257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357,141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47,301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97,473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10,257</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97,473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97,473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10,257</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10,257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2260" w:type="dxa"/>
            <w:vAlign w:val="bottom"/>
            <w:gridSpan w:val="2"/>
            <w:vMerge w:val="restart"/>
          </w:tcPr>
          <w:p>
            <w:pPr>
              <w:jc w:val="center"/>
              <w:ind w:left="112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9"/>
              </w:rPr>
              <w:t>footnote</w:t>
            </w:r>
            <w:r>
              <w:rPr>
                <w:rFonts w:ascii="Arial" w:cs="Arial" w:eastAsia="Arial" w:hAnsi="Arial"/>
                <w:sz w:val="20"/>
                <w:szCs w:val="20"/>
                <w:color w:val="008000"/>
                <w:w w:val="99"/>
                <w:vertAlign w:val="superscript"/>
              </w:rPr>
              <w:t>(5)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1700" w:type="dxa"/>
            <w:vAlign w:val="bottom"/>
            <w:shd w:val="clear" w:color="auto" w:fill="808080"/>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04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1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21907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538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538861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53,250</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3"/>
                <w:szCs w:val="13"/>
                <w:color w:val="0000FF"/>
                <w:w w:val="85"/>
              </w:rPr>
              <w:t>53,250</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8,139,309</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line="96" w:lineRule="exact"/>
              <w:rPr>
                <w:sz w:val="20"/>
                <w:szCs w:val="20"/>
                <w:color w:val="auto"/>
              </w:rPr>
            </w:pPr>
            <w:r>
              <w:rPr>
                <w:rFonts w:ascii="Arial" w:cs="Arial" w:eastAsia="Arial" w:hAnsi="Arial"/>
                <w:sz w:val="11"/>
                <w:szCs w:val="11"/>
                <w:color w:val="0000FF"/>
              </w:rPr>
              <w:t>05/28/2021</w:t>
            </w:r>
          </w:p>
        </w:tc>
        <w:tc>
          <w:tcPr>
            <w:tcW w:w="1260" w:type="dxa"/>
            <w:vAlign w:val="bottom"/>
            <w:vMerge w:val="restart"/>
          </w:tcPr>
          <w:p>
            <w:pPr>
              <w:ind w:left="720"/>
              <w:spacing w:after="0" w:line="96" w:lineRule="exact"/>
              <w:rPr>
                <w:sz w:val="20"/>
                <w:szCs w:val="20"/>
                <w:color w:val="auto"/>
              </w:rPr>
            </w:pPr>
            <w:r>
              <w:rPr>
                <w:rFonts w:ascii="Arial" w:cs="Arial" w:eastAsia="Arial" w:hAnsi="Arial"/>
                <w:sz w:val="11"/>
                <w:szCs w:val="11"/>
                <w:color w:val="0000FF"/>
              </w:rPr>
              <w:t>C</w:t>
            </w:r>
          </w:p>
        </w:tc>
        <w:tc>
          <w:tcPr>
            <w:tcW w:w="1120" w:type="dxa"/>
            <w:vAlign w:val="bottom"/>
            <w:vMerge w:val="restart"/>
          </w:tcPr>
          <w:p>
            <w:pPr>
              <w:jc w:val="center"/>
              <w:ind w:left="199"/>
              <w:spacing w:after="0" w:line="96" w:lineRule="exact"/>
              <w:rPr>
                <w:sz w:val="20"/>
                <w:szCs w:val="20"/>
                <w:color w:val="auto"/>
              </w:rPr>
            </w:pPr>
            <w:r>
              <w:rPr>
                <w:rFonts w:ascii="Arial" w:cs="Arial" w:eastAsia="Arial" w:hAnsi="Arial"/>
                <w:sz w:val="11"/>
                <w:szCs w:val="11"/>
                <w:color w:val="0000FF"/>
              </w:rPr>
              <w:t>8,139,309</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line="96" w:lineRule="exact"/>
              <w:rPr>
                <w:sz w:val="20"/>
                <w:szCs w:val="20"/>
                <w:color w:val="auto"/>
              </w:rPr>
            </w:pPr>
            <w:r>
              <w:rPr>
                <w:rFonts w:ascii="Arial" w:cs="Arial" w:eastAsia="Arial" w:hAnsi="Arial"/>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line="96" w:lineRule="exact"/>
              <w:rPr>
                <w:sz w:val="20"/>
                <w:szCs w:val="20"/>
                <w:color w:val="auto"/>
              </w:rPr>
            </w:pPr>
            <w:r>
              <w:rPr>
                <w:rFonts w:ascii="Arial" w:cs="Arial" w:eastAsia="Arial" w:hAnsi="Arial"/>
                <w:sz w:val="11"/>
                <w:szCs w:val="11"/>
                <w:color w:val="0000FF"/>
              </w:rPr>
              <w:t>0</w:t>
            </w:r>
          </w:p>
        </w:tc>
        <w:tc>
          <w:tcPr>
            <w:tcW w:w="62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7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92"/>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B-1</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7,359</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7,359</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B-1</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1,125,039</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line="96" w:lineRule="exact"/>
              <w:rPr>
                <w:sz w:val="20"/>
                <w:szCs w:val="20"/>
                <w:color w:val="auto"/>
              </w:rPr>
            </w:pPr>
            <w:r>
              <w:rPr>
                <w:rFonts w:ascii="Arial" w:cs="Arial" w:eastAsia="Arial" w:hAnsi="Arial"/>
                <w:sz w:val="11"/>
                <w:szCs w:val="11"/>
                <w:color w:val="0000FF"/>
              </w:rPr>
              <w:t>05/28/2021</w:t>
            </w:r>
          </w:p>
        </w:tc>
        <w:tc>
          <w:tcPr>
            <w:tcW w:w="1260" w:type="dxa"/>
            <w:vAlign w:val="bottom"/>
            <w:vMerge w:val="restart"/>
          </w:tcPr>
          <w:p>
            <w:pPr>
              <w:ind w:left="720"/>
              <w:spacing w:after="0" w:line="96" w:lineRule="exact"/>
              <w:rPr>
                <w:sz w:val="20"/>
                <w:szCs w:val="20"/>
                <w:color w:val="auto"/>
              </w:rPr>
            </w:pPr>
            <w:r>
              <w:rPr>
                <w:rFonts w:ascii="Arial" w:cs="Arial" w:eastAsia="Arial" w:hAnsi="Arial"/>
                <w:sz w:val="11"/>
                <w:szCs w:val="11"/>
                <w:color w:val="0000FF"/>
              </w:rPr>
              <w:t>C</w:t>
            </w:r>
          </w:p>
        </w:tc>
        <w:tc>
          <w:tcPr>
            <w:tcW w:w="1120" w:type="dxa"/>
            <w:vAlign w:val="bottom"/>
            <w:vMerge w:val="restart"/>
          </w:tcPr>
          <w:p>
            <w:pPr>
              <w:jc w:val="center"/>
              <w:ind w:left="199"/>
              <w:spacing w:after="0" w:line="96" w:lineRule="exact"/>
              <w:rPr>
                <w:sz w:val="20"/>
                <w:szCs w:val="20"/>
                <w:color w:val="auto"/>
              </w:rPr>
            </w:pPr>
            <w:r>
              <w:rPr>
                <w:rFonts w:ascii="Arial" w:cs="Arial" w:eastAsia="Arial" w:hAnsi="Arial"/>
                <w:sz w:val="11"/>
                <w:szCs w:val="11"/>
                <w:color w:val="0000FF"/>
              </w:rPr>
              <w:t>1,125,039</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line="96" w:lineRule="exact"/>
              <w:rPr>
                <w:sz w:val="20"/>
                <w:szCs w:val="20"/>
                <w:color w:val="auto"/>
              </w:rPr>
            </w:pPr>
            <w:r>
              <w:rPr>
                <w:rFonts w:ascii="Arial" w:cs="Arial" w:eastAsia="Arial" w:hAnsi="Arial"/>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line="96" w:lineRule="exact"/>
              <w:rPr>
                <w:sz w:val="20"/>
                <w:szCs w:val="20"/>
                <w:color w:val="auto"/>
              </w:rPr>
            </w:pPr>
            <w:r>
              <w:rPr>
                <w:rFonts w:ascii="Arial" w:cs="Arial" w:eastAsia="Arial" w:hAnsi="Arial"/>
                <w:sz w:val="11"/>
                <w:szCs w:val="11"/>
                <w:color w:val="0000FF"/>
              </w:rPr>
              <w:t>0</w:t>
            </w:r>
          </w:p>
        </w:tc>
        <w:tc>
          <w:tcPr>
            <w:tcW w:w="62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7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92"/>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15,945</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3"/>
                <w:szCs w:val="13"/>
                <w:color w:val="0000FF"/>
                <w:w w:val="85"/>
              </w:rPr>
              <w:t>15,945</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2,437,785</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line="96" w:lineRule="exact"/>
              <w:rPr>
                <w:sz w:val="20"/>
                <w:szCs w:val="20"/>
                <w:color w:val="auto"/>
              </w:rPr>
            </w:pPr>
            <w:r>
              <w:rPr>
                <w:rFonts w:ascii="Arial" w:cs="Arial" w:eastAsia="Arial" w:hAnsi="Arial"/>
                <w:sz w:val="11"/>
                <w:szCs w:val="11"/>
                <w:color w:val="0000FF"/>
              </w:rPr>
              <w:t>05/28/2021</w:t>
            </w:r>
          </w:p>
        </w:tc>
        <w:tc>
          <w:tcPr>
            <w:tcW w:w="1260" w:type="dxa"/>
            <w:vAlign w:val="bottom"/>
            <w:vMerge w:val="restart"/>
          </w:tcPr>
          <w:p>
            <w:pPr>
              <w:ind w:left="720"/>
              <w:spacing w:after="0" w:line="96" w:lineRule="exact"/>
              <w:rPr>
                <w:sz w:val="20"/>
                <w:szCs w:val="20"/>
                <w:color w:val="auto"/>
              </w:rPr>
            </w:pPr>
            <w:r>
              <w:rPr>
                <w:rFonts w:ascii="Arial" w:cs="Arial" w:eastAsia="Arial" w:hAnsi="Arial"/>
                <w:sz w:val="11"/>
                <w:szCs w:val="11"/>
                <w:color w:val="0000FF"/>
              </w:rPr>
              <w:t>C</w:t>
            </w:r>
          </w:p>
        </w:tc>
        <w:tc>
          <w:tcPr>
            <w:tcW w:w="1120" w:type="dxa"/>
            <w:vAlign w:val="bottom"/>
            <w:vMerge w:val="restart"/>
          </w:tcPr>
          <w:p>
            <w:pPr>
              <w:jc w:val="center"/>
              <w:ind w:left="199"/>
              <w:spacing w:after="0" w:line="96" w:lineRule="exact"/>
              <w:rPr>
                <w:sz w:val="20"/>
                <w:szCs w:val="20"/>
                <w:color w:val="auto"/>
              </w:rPr>
            </w:pPr>
            <w:r>
              <w:rPr>
                <w:rFonts w:ascii="Arial" w:cs="Arial" w:eastAsia="Arial" w:hAnsi="Arial"/>
                <w:sz w:val="11"/>
                <w:szCs w:val="11"/>
                <w:color w:val="0000FF"/>
              </w:rPr>
              <w:t>2,437,785</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line="96" w:lineRule="exact"/>
              <w:rPr>
                <w:sz w:val="20"/>
                <w:szCs w:val="20"/>
                <w:color w:val="auto"/>
              </w:rPr>
            </w:pPr>
            <w:r>
              <w:rPr>
                <w:rFonts w:ascii="Arial" w:cs="Arial" w:eastAsia="Arial" w:hAnsi="Arial"/>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line="96" w:lineRule="exact"/>
              <w:rPr>
                <w:sz w:val="20"/>
                <w:szCs w:val="20"/>
                <w:color w:val="auto"/>
              </w:rPr>
            </w:pPr>
            <w:r>
              <w:rPr>
                <w:rFonts w:ascii="Arial" w:cs="Arial" w:eastAsia="Arial" w:hAnsi="Arial"/>
                <w:sz w:val="11"/>
                <w:szCs w:val="11"/>
                <w:color w:val="0000FF"/>
              </w:rPr>
              <w:t>0</w:t>
            </w:r>
          </w:p>
        </w:tc>
        <w:tc>
          <w:tcPr>
            <w:tcW w:w="62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7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92"/>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19,983</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3"/>
                <w:szCs w:val="13"/>
                <w:color w:val="0000FF"/>
                <w:w w:val="85"/>
              </w:rPr>
              <w:t>19,983</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3,054,843</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line="96" w:lineRule="exact"/>
              <w:rPr>
                <w:sz w:val="20"/>
                <w:szCs w:val="20"/>
                <w:color w:val="auto"/>
              </w:rPr>
            </w:pPr>
            <w:r>
              <w:rPr>
                <w:rFonts w:ascii="Arial" w:cs="Arial" w:eastAsia="Arial" w:hAnsi="Arial"/>
                <w:sz w:val="11"/>
                <w:szCs w:val="11"/>
                <w:color w:val="0000FF"/>
              </w:rPr>
              <w:t>05/28/2021</w:t>
            </w:r>
          </w:p>
        </w:tc>
        <w:tc>
          <w:tcPr>
            <w:tcW w:w="1260" w:type="dxa"/>
            <w:vAlign w:val="bottom"/>
            <w:vMerge w:val="restart"/>
          </w:tcPr>
          <w:p>
            <w:pPr>
              <w:ind w:left="720"/>
              <w:spacing w:after="0" w:line="96" w:lineRule="exact"/>
              <w:rPr>
                <w:sz w:val="20"/>
                <w:szCs w:val="20"/>
                <w:color w:val="auto"/>
              </w:rPr>
            </w:pPr>
            <w:r>
              <w:rPr>
                <w:rFonts w:ascii="Arial" w:cs="Arial" w:eastAsia="Arial" w:hAnsi="Arial"/>
                <w:sz w:val="11"/>
                <w:szCs w:val="11"/>
                <w:color w:val="0000FF"/>
              </w:rPr>
              <w:t>C</w:t>
            </w:r>
          </w:p>
        </w:tc>
        <w:tc>
          <w:tcPr>
            <w:tcW w:w="1120" w:type="dxa"/>
            <w:vAlign w:val="bottom"/>
            <w:vMerge w:val="restart"/>
          </w:tcPr>
          <w:p>
            <w:pPr>
              <w:jc w:val="center"/>
              <w:ind w:left="199"/>
              <w:spacing w:after="0" w:line="96" w:lineRule="exact"/>
              <w:rPr>
                <w:sz w:val="20"/>
                <w:szCs w:val="20"/>
                <w:color w:val="auto"/>
              </w:rPr>
            </w:pPr>
            <w:r>
              <w:rPr>
                <w:rFonts w:ascii="Arial" w:cs="Arial" w:eastAsia="Arial" w:hAnsi="Arial"/>
                <w:sz w:val="11"/>
                <w:szCs w:val="11"/>
                <w:color w:val="0000FF"/>
              </w:rPr>
              <w:t>3,054,843</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line="96" w:lineRule="exact"/>
              <w:rPr>
                <w:sz w:val="20"/>
                <w:szCs w:val="20"/>
                <w:color w:val="auto"/>
              </w:rPr>
            </w:pPr>
            <w:r>
              <w:rPr>
                <w:rFonts w:ascii="Arial" w:cs="Arial" w:eastAsia="Arial" w:hAnsi="Arial"/>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line="96" w:lineRule="exact"/>
              <w:rPr>
                <w:sz w:val="20"/>
                <w:szCs w:val="20"/>
                <w:color w:val="auto"/>
              </w:rPr>
            </w:pPr>
            <w:r>
              <w:rPr>
                <w:rFonts w:ascii="Arial" w:cs="Arial" w:eastAsia="Arial" w:hAnsi="Arial"/>
                <w:sz w:val="11"/>
                <w:szCs w:val="11"/>
                <w:color w:val="0000FF"/>
              </w:rPr>
              <w:t>0</w:t>
            </w:r>
          </w:p>
        </w:tc>
        <w:tc>
          <w:tcPr>
            <w:tcW w:w="62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7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ind w:left="20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92"/>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F-1</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309</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3"/>
                <w:szCs w:val="13"/>
                <w:color w:val="0000FF"/>
                <w:w w:val="82"/>
              </w:rPr>
              <w:t>309</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F-1</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3,534</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3"/>
                <w:szCs w:val="13"/>
                <w:color w:val="0000FF"/>
                <w:w w:val="85"/>
              </w:rPr>
              <w:t>3,534</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F-1</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357,141</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3"/>
                <w:szCs w:val="13"/>
                <w:color w:val="0000FF"/>
                <w:w w:val="89"/>
              </w:rPr>
              <w:t>357,141</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(4)</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8"/>
              <w:spacing w:after="0" w:line="138" w:lineRule="exact"/>
              <w:rPr>
                <w:sz w:val="20"/>
                <w:szCs w:val="20"/>
                <w:color w:val="auto"/>
              </w:rPr>
            </w:pPr>
            <w:r>
              <w:rPr>
                <w:rFonts w:ascii="Arial" w:cs="Arial" w:eastAsia="Arial" w:hAnsi="Arial"/>
                <w:sz w:val="13"/>
                <w:szCs w:val="13"/>
                <w:color w:val="0000FF"/>
                <w:w w:val="92"/>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Arial" w:cs="Arial" w:eastAsia="Arial" w:hAnsi="Arial"/>
                <w:sz w:val="13"/>
                <w:szCs w:val="13"/>
                <w:color w:val="0000FF"/>
              </w:rPr>
              <w:t>Series F-1</w:t>
            </w:r>
          </w:p>
        </w:tc>
        <w:tc>
          <w:tcPr>
            <w:tcW w:w="600" w:type="dxa"/>
            <w:vAlign w:val="bottom"/>
            <w:vMerge w:val="restart"/>
          </w:tcPr>
          <w:p>
            <w:pPr>
              <w:jc w:val="right"/>
              <w:ind w:right="228"/>
              <w:spacing w:after="0"/>
              <w:rPr>
                <w:sz w:val="20"/>
                <w:szCs w:val="20"/>
                <w:color w:val="auto"/>
              </w:rPr>
            </w:pPr>
            <w:r>
              <w:rPr>
                <w:rFonts w:ascii="Arial" w:cs="Arial" w:eastAsia="Arial" w:hAnsi="Arial"/>
                <w:sz w:val="10"/>
                <w:szCs w:val="10"/>
                <w:color w:val="008000"/>
              </w:rPr>
              <w:t>(1)</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(1)</w:t>
            </w: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84"/>
              </w:rPr>
              <w:t>Class A</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47,301</w:t>
            </w:r>
          </w:p>
        </w:tc>
        <w:tc>
          <w:tcPr>
            <w:tcW w:w="640" w:type="dxa"/>
            <w:vAlign w:val="bottom"/>
            <w:vMerge w:val="restart"/>
          </w:tcPr>
          <w:p>
            <w:pPr>
              <w:jc w:val="right"/>
              <w:ind w:right="308"/>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600" w:type="dxa"/>
            <w:vAlign w:val="bottom"/>
            <w:vMerge w:val="continue"/>
          </w:tcPr>
          <w:p>
            <w:pPr>
              <w:spacing w:after="0"/>
              <w:rPr>
                <w:sz w:val="3"/>
                <w:szCs w:val="3"/>
                <w:color w:val="auto"/>
              </w:rPr>
            </w:pPr>
          </w:p>
        </w:tc>
        <w:tc>
          <w:tcPr>
            <w:tcW w:w="1580" w:type="dxa"/>
            <w:vAlign w:val="bottom"/>
            <w:vMerge w:val="restart"/>
          </w:tcPr>
          <w:p>
            <w:pPr>
              <w:jc w:val="right"/>
              <w:ind w:right="679"/>
              <w:spacing w:after="0"/>
              <w:rPr>
                <w:sz w:val="20"/>
                <w:szCs w:val="20"/>
                <w:color w:val="auto"/>
              </w:rPr>
            </w:pPr>
            <w:r>
              <w:rPr>
                <w:rFonts w:ascii="Arial" w:cs="Arial" w:eastAsia="Arial" w:hAnsi="Arial"/>
                <w:sz w:val="13"/>
                <w:szCs w:val="13"/>
                <w:color w:val="0000FF"/>
              </w:rPr>
              <w:t>05/28/2021</w:t>
            </w:r>
          </w:p>
        </w:tc>
        <w:tc>
          <w:tcPr>
            <w:tcW w:w="1260" w:type="dxa"/>
            <w:vAlign w:val="bottom"/>
            <w:vMerge w:val="restart"/>
          </w:tcPr>
          <w:p>
            <w:pPr>
              <w:ind w:left="720"/>
              <w:spacing w:after="0"/>
              <w:rPr>
                <w:sz w:val="20"/>
                <w:szCs w:val="20"/>
                <w:color w:val="auto"/>
              </w:rPr>
            </w:pPr>
            <w:r>
              <w:rPr>
                <w:rFonts w:ascii="Arial" w:cs="Arial" w:eastAsia="Arial" w:hAnsi="Arial"/>
                <w:sz w:val="13"/>
                <w:szCs w:val="13"/>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3"/>
                <w:szCs w:val="13"/>
                <w:color w:val="0000FF"/>
                <w:w w:val="85"/>
              </w:rPr>
              <w:t>47,301</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8"/>
              <w:spacing w:after="0"/>
              <w:rPr>
                <w:sz w:val="20"/>
                <w:szCs w:val="20"/>
                <w:color w:val="auto"/>
              </w:rPr>
            </w:pPr>
            <w:r>
              <w:rPr>
                <w:rFonts w:ascii="Arial" w:cs="Arial" w:eastAsia="Arial" w:hAnsi="Arial"/>
                <w:sz w:val="13"/>
                <w:szCs w:val="13"/>
                <w:color w:val="0000FF"/>
                <w:w w:val="87"/>
              </w:rPr>
              <w:t>Common</w:t>
            </w:r>
          </w:p>
        </w:tc>
        <w:tc>
          <w:tcPr>
            <w:tcW w:w="9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restart"/>
          </w:tcPr>
          <w:p>
            <w:pPr>
              <w:ind w:left="20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jc w:val="center"/>
              <w:ind w:left="58"/>
              <w:spacing w:after="0"/>
              <w:rPr>
                <w:sz w:val="20"/>
                <w:szCs w:val="20"/>
                <w:color w:val="auto"/>
              </w:rPr>
            </w:pPr>
            <w:r>
              <w:rPr>
                <w:rFonts w:ascii="Arial" w:cs="Arial" w:eastAsia="Arial" w:hAnsi="Arial"/>
                <w:sz w:val="13"/>
                <w:szCs w:val="13"/>
                <w:color w:val="0000FF"/>
                <w:w w:val="92"/>
              </w:rPr>
              <w:t>Stock</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34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the Issuer's preferred stock automatically converted on a one for one basis into Class A Common Stock immediately prior to the closing of the Issuer's initial public offering (the "Conversion"). The shares have no expiration date.</w:t>
      </w:r>
    </w:p>
    <w:p>
      <w:pPr>
        <w:spacing w:after="0" w:line="31" w:lineRule="exact"/>
        <w:rPr>
          <w:rFonts w:ascii="Arial" w:cs="Arial" w:eastAsia="Arial" w:hAnsi="Arial"/>
          <w:sz w:val="13"/>
          <w:szCs w:val="13"/>
          <w:color w:val="008000"/>
        </w:rPr>
      </w:pPr>
    </w:p>
    <w:p>
      <w:pPr>
        <w:jc w:val="both"/>
        <w:ind w:left="20" w:right="240" w:hanging="2"/>
        <w:spacing w:after="0" w:line="28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are held of record by Spark Capital Founders' Fund II, L.P. ("Spark Capital FF II"). Spark Management Partners II, LLC ("SMP II") is the general partner of Spark Capital FF II. Paul Conway, Bijan Sabet, Santo Politi, and the Reporting Person, a member of the Issuer's board of directors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0" w:lineRule="exact"/>
        <w:rPr>
          <w:rFonts w:ascii="Arial" w:cs="Arial" w:eastAsia="Arial" w:hAnsi="Arial"/>
          <w:sz w:val="11"/>
          <w:szCs w:val="11"/>
          <w:color w:val="008000"/>
        </w:rPr>
      </w:pPr>
    </w:p>
    <w:p>
      <w:pPr>
        <w:ind w:left="20" w:right="220" w:hanging="2"/>
        <w:spacing w:after="0" w:line="228"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Founders' Fund, L.P. ("Spark Capital Growth FF"). Spark Growth Management Partners, LLC ("SGMP") is the general partner of Spark Capital Growth FF.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32" w:lineRule="exact"/>
        <w:rPr>
          <w:rFonts w:ascii="Arial" w:cs="Arial" w:eastAsia="Arial" w:hAnsi="Arial"/>
          <w:sz w:val="13"/>
          <w:szCs w:val="13"/>
          <w:color w:val="008000"/>
        </w:rPr>
      </w:pPr>
    </w:p>
    <w:p>
      <w:pPr>
        <w:jc w:val="both"/>
        <w:ind w:left="20" w:right="220" w:hanging="2"/>
        <w:spacing w:after="0" w:line="228"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Fund, L.P. ("Spark Capital Growth"). SGMP is the general partner of Spark Capital Growth.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32" w:lineRule="exact"/>
        <w:rPr>
          <w:rFonts w:ascii="Arial" w:cs="Arial" w:eastAsia="Arial" w:hAnsi="Arial"/>
          <w:sz w:val="13"/>
          <w:szCs w:val="13"/>
          <w:color w:val="008000"/>
        </w:rPr>
      </w:pPr>
    </w:p>
    <w:p>
      <w:pPr>
        <w:ind w:left="20" w:right="220" w:hanging="2"/>
        <w:spacing w:after="0" w:line="29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are held of record by Spark Capital II, L.P. ("Spark Capital II"). SMP II is the general partner of Spark Capital II.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4" w:lineRule="exact"/>
        <w:rPr>
          <w:rFonts w:ascii="Arial" w:cs="Arial" w:eastAsia="Arial" w:hAnsi="Arial"/>
          <w:sz w:val="11"/>
          <w:szCs w:val="11"/>
          <w:color w:val="008000"/>
        </w:rPr>
      </w:pPr>
    </w:p>
    <w:p>
      <w:pPr>
        <w:ind w:left="20" w:right="48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 reclassification exempt under Rule 16b-7, each share of the Issuer's Class A Common Stock was automatically reclassified into one share of Voting Common Stock following the Conversion, and immediately prior to the closing of the Issuer's initial public offering.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Alex Finkelstein</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05/28/2021</w:t>
            </w:r>
          </w:p>
        </w:tc>
      </w:tr>
      <w:tr>
        <w:trPr>
          <w:trHeight w:val="20"/>
        </w:trPr>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80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2021-05-28T22:09:51Z</dcterms:created>
  <dcterms:modified xsi:type="dcterms:W3CDTF">2021-05-28T22:09:51Z</dcterms:modified>
</cp:coreProperties>
</file>