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6994525" cy="6555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55105"/>
                    </a:xfrm>
                    <a:prstGeom prst="rect">
                      <a:avLst/>
                    </a:prstGeom>
                    <a:noFill/>
                  </pic:spPr>
                </pic:pic>
              </a:graphicData>
            </a:graphic>
          </wp:anchor>
        </w:drawing>
      </w:r>
    </w:p>
    <w:p>
      <w:pPr>
        <w:spacing w:after="0" w:line="91" w:lineRule="exact"/>
        <w:rPr>
          <w:sz w:val="24"/>
          <w:szCs w:val="24"/>
          <w:color w:val="auto"/>
        </w:rPr>
      </w:pPr>
    </w:p>
    <w:p>
      <w:pPr>
        <w:sectPr>
          <w:pgSz w:w="11900" w:h="16853" w:orient="portrait"/>
          <w:cols w:equalWidth="0" w:num="2">
            <w:col w:w="2240" w:space="32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Natauri Jo</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860"/>
        <w:spacing w:after="0" w:line="335" w:lineRule="auto"/>
        <w:rPr>
          <w:sz w:val="20"/>
          <w:szCs w:val="20"/>
          <w:color w:val="auto"/>
        </w:rPr>
      </w:pPr>
      <w:r>
        <w:rPr>
          <w:rFonts w:ascii="Arial" w:cs="Arial" w:eastAsia="Arial" w:hAnsi="Arial"/>
          <w:sz w:val="17"/>
          <w:szCs w:val="17"/>
          <w:color w:val="0000FF"/>
        </w:rPr>
        <w:t>C/O GOLDMAN SACHS GROUP INC., 200 WEST STREET</w:t>
      </w:r>
    </w:p>
    <w:p>
      <w:pPr>
        <w:spacing w:after="0" w:line="19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160" w:type="dxa"/>
            <w:vAlign w:val="bottom"/>
            <w:gridSpan w:val="3"/>
          </w:tcPr>
          <w:p>
            <w:pPr>
              <w:ind w:left="60"/>
              <w:spacing w:after="0"/>
              <w:rPr>
                <w:sz w:val="20"/>
                <w:szCs w:val="20"/>
                <w:color w:val="auto"/>
              </w:rPr>
            </w:pPr>
            <w:r>
              <w:rPr>
                <w:rFonts w:ascii="Arial" w:cs="Arial" w:eastAsia="Arial" w:hAnsi="Arial"/>
                <w:sz w:val="17"/>
                <w:szCs w:val="17"/>
                <w:color w:val="0000FF"/>
              </w:rPr>
              <w:t>12/02/2022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53" w:orient="portrait"/>
          <w:cols w:equalWidth="0" w:num="2">
            <w:col w:w="3740" w:space="10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660"/>
              <w:spacing w:after="0" w:line="125"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Arial" w:cs="Arial" w:eastAsia="Arial" w:hAnsi="Arial"/>
                <w:sz w:val="17"/>
                <w:szCs w:val="17"/>
                <w:color w:val="0000FF"/>
                <w:w w:val="89"/>
              </w:rPr>
              <w:t>12/02/2022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70,938</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220" w:type="dxa"/>
            <w:vAlign w:val="bottom"/>
            <w:gridSpan w:val="3"/>
            <w:vMerge w:val="restart"/>
          </w:tcPr>
          <w:p>
            <w:pPr>
              <w:jc w:val="right"/>
              <w:ind w:right="261"/>
              <w:spacing w:after="0"/>
              <w:rPr>
                <w:sz w:val="20"/>
                <w:szCs w:val="20"/>
                <w:color w:val="auto"/>
              </w:rPr>
            </w:pPr>
            <w:r>
              <w:rPr>
                <w:rFonts w:ascii="Arial" w:cs="Arial" w:eastAsia="Arial" w:hAnsi="Arial"/>
                <w:sz w:val="17"/>
                <w:szCs w:val="17"/>
                <w:color w:val="0000FF"/>
              </w:rPr>
              <w:t>495,690</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7"/>
              </w:rPr>
              <w:t>footnote</w:t>
            </w:r>
            <w:r>
              <w:rPr>
                <w:rFonts w:ascii="Arial" w:cs="Arial" w:eastAsia="Arial" w:hAnsi="Arial"/>
                <w:sz w:val="21"/>
                <w:szCs w:val="21"/>
                <w:color w:val="008000"/>
                <w:w w:val="8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Arial" w:cs="Arial" w:eastAsia="Arial" w:hAnsi="Arial"/>
                <w:sz w:val="17"/>
                <w:szCs w:val="17"/>
                <w:color w:val="0000FF"/>
                <w:w w:val="89"/>
              </w:rPr>
              <w:t>12/02/2022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70,938</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21.83</w:t>
            </w:r>
          </w:p>
        </w:tc>
        <w:tc>
          <w:tcPr>
            <w:tcW w:w="1220" w:type="dxa"/>
            <w:vAlign w:val="bottom"/>
            <w:gridSpan w:val="3"/>
            <w:vMerge w:val="restart"/>
          </w:tcPr>
          <w:p>
            <w:pPr>
              <w:jc w:val="right"/>
              <w:ind w:right="261"/>
              <w:spacing w:after="0"/>
              <w:rPr>
                <w:sz w:val="20"/>
                <w:szCs w:val="20"/>
                <w:color w:val="auto"/>
              </w:rPr>
            </w:pPr>
            <w:r>
              <w:rPr>
                <w:rFonts w:ascii="Arial" w:cs="Arial" w:eastAsia="Arial" w:hAnsi="Arial"/>
                <w:sz w:val="17"/>
                <w:szCs w:val="17"/>
                <w:color w:val="0000FF"/>
              </w:rPr>
              <w:t>424,752</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7"/>
              </w:rPr>
              <w:t>footnote</w:t>
            </w:r>
            <w:r>
              <w:rPr>
                <w:rFonts w:ascii="Arial" w:cs="Arial" w:eastAsia="Arial" w:hAnsi="Arial"/>
                <w:sz w:val="21"/>
                <w:szCs w:val="21"/>
                <w:color w:val="008000"/>
                <w:w w:val="8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Arial" w:cs="Arial" w:eastAsia="Arial" w:hAnsi="Arial"/>
                <w:sz w:val="17"/>
                <w:szCs w:val="17"/>
                <w:color w:val="0000FF"/>
                <w:w w:val="89"/>
              </w:rPr>
              <w:t>12/05/2022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83,628</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220" w:type="dxa"/>
            <w:vAlign w:val="bottom"/>
            <w:gridSpan w:val="3"/>
            <w:vMerge w:val="restart"/>
          </w:tcPr>
          <w:p>
            <w:pPr>
              <w:jc w:val="right"/>
              <w:ind w:right="261"/>
              <w:spacing w:after="0"/>
              <w:rPr>
                <w:sz w:val="20"/>
                <w:szCs w:val="20"/>
                <w:color w:val="auto"/>
              </w:rPr>
            </w:pPr>
            <w:r>
              <w:rPr>
                <w:rFonts w:ascii="Arial" w:cs="Arial" w:eastAsia="Arial" w:hAnsi="Arial"/>
                <w:sz w:val="17"/>
                <w:szCs w:val="17"/>
                <w:color w:val="0000FF"/>
              </w:rPr>
              <w:t>587,899</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7"/>
              </w:rPr>
              <w:t>footnote</w:t>
            </w:r>
            <w:r>
              <w:rPr>
                <w:rFonts w:ascii="Arial" w:cs="Arial" w:eastAsia="Arial" w:hAnsi="Arial"/>
                <w:sz w:val="21"/>
                <w:szCs w:val="21"/>
                <w:color w:val="008000"/>
                <w:w w:val="8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Arial" w:cs="Arial" w:eastAsia="Arial" w:hAnsi="Arial"/>
                <w:sz w:val="17"/>
                <w:szCs w:val="17"/>
                <w:color w:val="0000FF"/>
                <w:w w:val="89"/>
              </w:rPr>
              <w:t>12/05/2022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83,628</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21.91</w:t>
            </w:r>
          </w:p>
        </w:tc>
        <w:tc>
          <w:tcPr>
            <w:tcW w:w="1220" w:type="dxa"/>
            <w:vAlign w:val="bottom"/>
            <w:gridSpan w:val="3"/>
            <w:vMerge w:val="restart"/>
          </w:tcPr>
          <w:p>
            <w:pPr>
              <w:jc w:val="right"/>
              <w:ind w:right="261"/>
              <w:spacing w:after="0"/>
              <w:rPr>
                <w:sz w:val="20"/>
                <w:szCs w:val="20"/>
                <w:color w:val="auto"/>
              </w:rPr>
            </w:pPr>
            <w:r>
              <w:rPr>
                <w:rFonts w:ascii="Arial" w:cs="Arial" w:eastAsia="Arial" w:hAnsi="Arial"/>
                <w:sz w:val="17"/>
                <w:szCs w:val="17"/>
                <w:color w:val="0000FF"/>
              </w:rPr>
              <w:t>504,271</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8"/>
              </w:rPr>
              <w:t>footnote</w:t>
            </w:r>
            <w:r>
              <w:rPr>
                <w:rFonts w:ascii="Arial" w:cs="Arial" w:eastAsia="Arial" w:hAnsi="Arial"/>
                <w:sz w:val="21"/>
                <w:szCs w:val="21"/>
                <w:color w:val="008000"/>
                <w:w w:val="98"/>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Arial" w:cs="Arial" w:eastAsia="Arial" w:hAnsi="Arial"/>
                <w:sz w:val="13"/>
                <w:szCs w:val="13"/>
                <w:color w:val="0000FF"/>
                <w:w w:val="92"/>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Arial" w:cs="Arial" w:eastAsia="Arial" w:hAnsi="Arial"/>
                <w:sz w:val="13"/>
                <w:szCs w:val="13"/>
                <w:color w:val="0000FF"/>
              </w:rPr>
              <w:t>Voting</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70,938</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12/02/2022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70,938</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1,132,398</w:t>
            </w:r>
          </w:p>
        </w:tc>
        <w:tc>
          <w:tcPr>
            <w:tcW w:w="50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Arial" w:cs="Arial" w:eastAsia="Arial" w:hAnsi="Arial"/>
                <w:sz w:val="13"/>
                <w:szCs w:val="13"/>
                <w:color w:val="0000FF"/>
                <w:w w:val="92"/>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Arial" w:cs="Arial" w:eastAsia="Arial" w:hAnsi="Arial"/>
                <w:sz w:val="13"/>
                <w:szCs w:val="13"/>
                <w:color w:val="0000FF"/>
              </w:rPr>
              <w:t>Voting</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83,628</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12/05/2022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83,628</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1,048,770</w:t>
            </w:r>
          </w:p>
        </w:tc>
        <w:tc>
          <w:tcPr>
            <w:tcW w:w="50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-2560320</wp:posOffset>
            </wp:positionV>
            <wp:extent cx="29210" cy="256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654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jc w:val="both"/>
        <w:ind w:left="40" w:right="30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31" w:lineRule="exact"/>
        <w:rPr>
          <w:rFonts w:ascii="Arial" w:cs="Arial" w:eastAsia="Arial" w:hAnsi="Arial"/>
          <w:sz w:val="13"/>
          <w:szCs w:val="13"/>
          <w:color w:val="008000"/>
        </w:rPr>
      </w:pPr>
    </w:p>
    <w:p>
      <w:pPr>
        <w:ind w:left="40" w:right="16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December 2, 2022, the reporting person consummated the sale of all 70,938 shares of Non-Voting Common Stock, resulting in the automatic conversion of such shares into Voting Common Stock upon the execution of the sale of such shares as reported in Table I.</w:t>
      </w:r>
    </w:p>
    <w:p>
      <w:pPr>
        <w:spacing w:after="0" w:line="31" w:lineRule="exact"/>
        <w:rPr>
          <w:rFonts w:ascii="Arial" w:cs="Arial" w:eastAsia="Arial" w:hAnsi="Arial"/>
          <w:sz w:val="13"/>
          <w:szCs w:val="13"/>
          <w:color w:val="008000"/>
        </w:rPr>
      </w:pPr>
    </w:p>
    <w:p>
      <w:pPr>
        <w:ind w:left="40" w:right="140" w:firstLine="1"/>
        <w:spacing w:after="0" w:line="23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32" w:lineRule="exact"/>
        <w:rPr>
          <w:rFonts w:ascii="Arial" w:cs="Arial" w:eastAsia="Arial" w:hAnsi="Arial"/>
          <w:sz w:val="13"/>
          <w:szCs w:val="13"/>
          <w:color w:val="008000"/>
        </w:rPr>
      </w:pPr>
    </w:p>
    <w:p>
      <w:pPr>
        <w:jc w:val="both"/>
        <w:ind w:left="40" w:right="44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31" w:lineRule="exact"/>
        <w:rPr>
          <w:rFonts w:ascii="Arial" w:cs="Arial" w:eastAsia="Arial" w:hAnsi="Arial"/>
          <w:sz w:val="13"/>
          <w:szCs w:val="13"/>
          <w:color w:val="008000"/>
        </w:rPr>
      </w:pPr>
    </w:p>
    <w:p>
      <w:pPr>
        <w:ind w:left="40" w:right="16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December 5, 2022, the reporting person consummated the sale of all 83,628 shares of Non-Voting Common Stock, resulting in the automatic conversion of such shares into Voting Common Stock upon the execution of the sale of such shares as reported in Table I.</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Arial" w:cs="Arial" w:eastAsia="Arial" w:hAnsi="Arial"/>
                <w:sz w:val="17"/>
                <w:szCs w:val="17"/>
                <w:color w:val="0000FF"/>
                <w:w w:val="91"/>
              </w:rPr>
              <w:t>/s/ Jamison Yardley, Attorney-</w:t>
            </w: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12/06/2022</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20" w:type="dxa"/>
            <w:vAlign w:val="bottom"/>
            <w:tcBorders>
              <w:top w:val="single" w:sz="8" w:color="auto"/>
            </w:tcBorders>
            <w:gridSpan w:val="2"/>
            <w:vMerge w:val="restart"/>
          </w:tcPr>
          <w:p>
            <w:pPr>
              <w:spacing w:after="0" w:line="185" w:lineRule="exact"/>
              <w:rPr>
                <w:sz w:val="20"/>
                <w:szCs w:val="20"/>
                <w:color w:val="auto"/>
              </w:rPr>
            </w:pPr>
            <w:r>
              <w:rPr>
                <w:rFonts w:ascii="Arial" w:cs="Arial" w:eastAsia="Arial" w:hAnsi="Arial"/>
                <w:sz w:val="17"/>
                <w:szCs w:val="17"/>
                <w:color w:val="0000FF"/>
              </w:rPr>
              <w:t>in-fact</w:t>
            </w:r>
          </w:p>
        </w:tc>
        <w:tc>
          <w:tcPr>
            <w:tcW w:w="8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20" w:type="dxa"/>
            <w:vAlign w:val="bottom"/>
            <w:tcBorders>
              <w:top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3"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2022-12-06T15:32:48Z</dcterms:created>
  <dcterms:modified xsi:type="dcterms:W3CDTF">2022-12-06T15:32:48Z</dcterms:modified>
</cp:coreProperties>
</file>