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0001859012</w:t>
            </w:r>
          </w:p>
        </w:tc>
        <w:tc>
          <w:tcPr>
            <w:tcW w:w="35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00" w:type="dxa"/>
            <w:vAlign w:val="bottom"/>
          </w:tcPr>
          <w:p>
            <w:pPr>
              <w:ind w:left="48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00" w:type="dxa"/>
            <w:vAlign w:val="bottom"/>
          </w:tcPr>
          <w:p>
            <w:pPr>
              <w:ind w:left="48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00" w:type="dxa"/>
            <w:vAlign w:val="bottom"/>
          </w:tcPr>
          <w:p>
            <w:pPr>
              <w:ind w:left="4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00" w:type="dxa"/>
            <w:vAlign w:val="bottom"/>
          </w:tcPr>
          <w:p>
            <w:pPr>
              <w:ind w:left="480"/>
              <w:spacing w:after="0"/>
              <w:rPr>
                <w:sz w:val="20"/>
                <w:szCs w:val="20"/>
                <w:color w:val="auto"/>
              </w:rPr>
            </w:pPr>
            <w:r>
              <w:rPr>
                <w:rFonts w:ascii="Arial" w:cs="Arial" w:eastAsia="Arial" w:hAnsi="Arial"/>
                <w:sz w:val="22"/>
                <w:szCs w:val="22"/>
                <w:color w:val="auto"/>
              </w:rPr>
              <w:t>617-329-4524</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00" w:type="dxa"/>
            <w:vAlign w:val="bottom"/>
          </w:tcPr>
          <w:p>
            <w:pPr>
              <w:ind w:left="480"/>
              <w:spacing w:after="0"/>
              <w:rPr>
                <w:sz w:val="20"/>
                <w:szCs w:val="20"/>
                <w:color w:val="auto"/>
              </w:rPr>
            </w:pPr>
            <w:r>
              <w:rPr>
                <w:rFonts w:ascii="Arial" w:cs="Arial" w:eastAsia="Arial" w:hAnsi="Arial"/>
                <w:sz w:val="22"/>
                <w:szCs w:val="22"/>
                <w:color w:val="auto"/>
                <w:w w:val="88"/>
              </w:rPr>
              <w:t>BCIP Venture Associates II-B,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1070</w:t>
            </w:r>
          </w:p>
        </w:tc>
        <w:tc>
          <w:tcPr>
            <w:tcW w:w="1280" w:type="dxa"/>
            <w:vAlign w:val="bottom"/>
          </w:tcPr>
          <w:p>
            <w:pPr>
              <w:jc w:val="right"/>
              <w:ind w:right="572"/>
              <w:spacing w:after="0"/>
              <w:rPr>
                <w:sz w:val="20"/>
                <w:szCs w:val="20"/>
                <w:color w:val="auto"/>
              </w:rPr>
            </w:pPr>
            <w:r>
              <w:rPr>
                <w:rFonts w:ascii="Arial" w:cs="Arial" w:eastAsia="Arial" w:hAnsi="Arial"/>
                <w:sz w:val="22"/>
                <w:szCs w:val="22"/>
                <w:color w:val="auto"/>
                <w:w w:val="94"/>
              </w:rPr>
              <w:t>32902</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4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94"/>
              </w:rPr>
              <w:t>Date you</w:t>
            </w:r>
          </w:p>
        </w:tc>
        <w:tc>
          <w:tcPr>
            <w:tcW w:w="166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6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04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66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Arial" w:cs="Arial" w:eastAsia="Arial" w:hAnsi="Arial"/>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rPr>
              <w:t>preferred stock</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purchased prior to</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the IPO into Class</w:t>
            </w:r>
          </w:p>
        </w:tc>
        <w:tc>
          <w:tcPr>
            <w:tcW w:w="0" w:type="dxa"/>
            <w:vAlign w:val="bottom"/>
          </w:tcPr>
          <w:p>
            <w:pPr>
              <w:spacing w:after="0"/>
              <w:rPr>
                <w:sz w:val="1"/>
                <w:szCs w:val="1"/>
                <w:color w:val="auto"/>
              </w:rPr>
            </w:pPr>
          </w:p>
        </w:tc>
      </w:tr>
      <w:tr>
        <w:trPr>
          <w:trHeight w:val="210"/>
        </w:trPr>
        <w:tc>
          <w:tcPr>
            <w:tcW w:w="1420" w:type="dxa"/>
            <w:vAlign w:val="bottom"/>
          </w:tcPr>
          <w:p>
            <w:pPr>
              <w:spacing w:after="0" w:line="210" w:lineRule="exact"/>
              <w:rPr>
                <w:sz w:val="20"/>
                <w:szCs w:val="20"/>
                <w:color w:val="auto"/>
              </w:rPr>
            </w:pPr>
            <w:r>
              <w:rPr>
                <w:rFonts w:ascii="Arial" w:cs="Arial" w:eastAsia="Arial" w:hAnsi="Arial"/>
                <w:sz w:val="22"/>
                <w:szCs w:val="22"/>
                <w:color w:val="auto"/>
              </w:rPr>
              <w:t>Voting</w:t>
            </w:r>
          </w:p>
        </w:tc>
        <w:tc>
          <w:tcPr>
            <w:tcW w:w="1040" w:type="dxa"/>
            <w:vAlign w:val="bottom"/>
          </w:tcPr>
          <w:p>
            <w:pPr>
              <w:spacing w:after="0"/>
              <w:rPr>
                <w:sz w:val="18"/>
                <w:szCs w:val="18"/>
                <w:color w:val="auto"/>
              </w:rPr>
            </w:pPr>
          </w:p>
        </w:tc>
        <w:tc>
          <w:tcPr>
            <w:tcW w:w="1660" w:type="dxa"/>
            <w:vAlign w:val="bottom"/>
          </w:tcPr>
          <w:p>
            <w:pPr>
              <w:ind w:left="60"/>
              <w:spacing w:after="0" w:line="210" w:lineRule="exact"/>
              <w:rPr>
                <w:sz w:val="20"/>
                <w:szCs w:val="20"/>
                <w:color w:val="auto"/>
              </w:rPr>
            </w:pPr>
            <w:r>
              <w:rPr>
                <w:rFonts w:ascii="Arial" w:cs="Arial" w:eastAsia="Arial" w:hAnsi="Arial"/>
                <w:sz w:val="22"/>
                <w:szCs w:val="22"/>
                <w:color w:val="auto"/>
                <w:w w:val="89"/>
              </w:rPr>
              <w:t>A Common Stock,</w:t>
            </w:r>
          </w:p>
        </w:tc>
        <w:tc>
          <w:tcPr>
            <w:tcW w:w="0" w:type="dxa"/>
            <w:vAlign w:val="bottom"/>
          </w:tcPr>
          <w:p>
            <w:pPr>
              <w:spacing w:after="0"/>
              <w:rPr>
                <w:sz w:val="1"/>
                <w:szCs w:val="1"/>
                <w:color w:val="auto"/>
              </w:rPr>
            </w:pPr>
          </w:p>
        </w:tc>
      </w:tr>
      <w:tr>
        <w:trPr>
          <w:trHeight w:val="294"/>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00" w:type="dxa"/>
            <w:vAlign w:val="bottom"/>
            <w:gridSpan w:val="2"/>
          </w:tcPr>
          <w:p>
            <w:pPr>
              <w:ind w:left="60"/>
              <w:spacing w:after="0" w:line="294" w:lineRule="exact"/>
              <w:rPr>
                <w:sz w:val="20"/>
                <w:szCs w:val="20"/>
                <w:color w:val="auto"/>
              </w:rPr>
            </w:pPr>
            <w:r>
              <w:rPr>
                <w:rFonts w:ascii="Arial" w:cs="Arial" w:eastAsia="Arial" w:hAnsi="Arial"/>
                <w:sz w:val="34"/>
                <w:szCs w:val="34"/>
                <w:color w:val="auto"/>
                <w:vertAlign w:val="superscript"/>
              </w:rPr>
              <w:t>05/28/2021</w:t>
            </w:r>
            <w:r>
              <w:rPr>
                <w:rFonts w:ascii="Arial" w:cs="Arial" w:eastAsia="Arial" w:hAnsi="Arial"/>
                <w:sz w:val="18"/>
                <w:szCs w:val="18"/>
                <w:color w:val="auto"/>
              </w:rPr>
              <w:t xml:space="preserve"> reclassification of</w:t>
            </w:r>
          </w:p>
        </w:tc>
        <w:tc>
          <w:tcPr>
            <w:tcW w:w="0" w:type="dxa"/>
            <w:vAlign w:val="bottom"/>
          </w:tcPr>
          <w:p>
            <w:pPr>
              <w:spacing w:after="0"/>
              <w:rPr>
                <w:sz w:val="1"/>
                <w:szCs w:val="1"/>
                <w:color w:val="auto"/>
              </w:rPr>
            </w:pPr>
          </w:p>
        </w:tc>
      </w:tr>
    </w:tbl>
    <w:p>
      <w:pPr>
        <w:ind w:left="2560"/>
        <w:spacing w:after="0" w:line="230" w:lineRule="auto"/>
        <w:rPr>
          <w:sz w:val="20"/>
          <w:szCs w:val="20"/>
          <w:color w:val="auto"/>
        </w:rPr>
      </w:pPr>
      <w:r>
        <w:rPr>
          <w:rFonts w:ascii="Arial" w:cs="Arial" w:eastAsia="Arial" w:hAnsi="Arial"/>
          <w:sz w:val="22"/>
          <w:szCs w:val="22"/>
          <w:color w:val="auto"/>
        </w:rPr>
        <w:t>the Class A</w:t>
      </w:r>
    </w:p>
    <w:p>
      <w:pPr>
        <w:ind w:left="2560"/>
        <w:spacing w:after="0" w:line="231" w:lineRule="auto"/>
        <w:rPr>
          <w:sz w:val="20"/>
          <w:szCs w:val="20"/>
          <w:color w:val="auto"/>
        </w:rPr>
      </w:pPr>
      <w:r>
        <w:rPr>
          <w:rFonts w:ascii="Arial" w:cs="Arial" w:eastAsia="Arial" w:hAnsi="Arial"/>
          <w:sz w:val="22"/>
          <w:szCs w:val="22"/>
          <w:color w:val="auto"/>
        </w:rPr>
        <w:t>Common Stock</w:t>
      </w:r>
    </w:p>
    <w:p>
      <w:pPr>
        <w:ind w:left="2560"/>
        <w:spacing w:after="0" w:line="230" w:lineRule="auto"/>
        <w:rPr>
          <w:sz w:val="20"/>
          <w:szCs w:val="20"/>
          <w:color w:val="auto"/>
        </w:rPr>
      </w:pPr>
      <w:r>
        <w:rPr>
          <w:rFonts w:ascii="Arial" w:cs="Arial" w:eastAsia="Arial" w:hAnsi="Arial"/>
          <w:sz w:val="22"/>
          <w:szCs w:val="22"/>
          <w:color w:val="auto"/>
        </w:rPr>
        <w:t>into Voting</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-129540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136" w:lineRule="exact"/>
        <w:rPr>
          <w:sz w:val="20"/>
          <w:szCs w:val="20"/>
          <w:color w:val="auto"/>
        </w:rPr>
      </w:pPr>
    </w:p>
    <w:p>
      <w:pPr>
        <w:sectPr>
          <w:pgSz w:w="11900" w:h="16838" w:orient="portrait"/>
          <w:cols w:equalWidth="0" w:num="3">
            <w:col w:w="4160" w:space="140"/>
            <w:col w:w="4040" w:space="180"/>
            <w:col w:w="2720"/>
          </w:cols>
          <w:pgMar w:left="320" w:top="143" w:right="339" w:bottom="4"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740" w:space="720"/>
            <w:col w:w="3780"/>
          </w:cols>
          <w:pgMar w:left="320" w:top="143" w:right="339" w:bottom="4"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1400"/>
        <w:spacing w:after="0" w:line="287"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1024</w:t>
            </w:r>
          </w:p>
        </w:tc>
        <w:tc>
          <w:tcPr>
            <w:tcW w:w="1160" w:type="dxa"/>
            <w:vAlign w:val="bottom"/>
          </w:tcPr>
          <w:p>
            <w:pPr>
              <w:ind w:left="280"/>
              <w:spacing w:after="0"/>
              <w:rPr>
                <w:sz w:val="20"/>
                <w:szCs w:val="20"/>
                <w:color w:val="auto"/>
              </w:rPr>
            </w:pPr>
            <w:r>
              <w:rPr>
                <w:rFonts w:ascii="Arial" w:cs="Arial" w:eastAsia="Arial" w:hAnsi="Arial"/>
                <w:sz w:val="22"/>
                <w:szCs w:val="22"/>
                <w:color w:val="auto"/>
              </w:rPr>
              <w:t>31334</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2920</w:t>
            </w:r>
          </w:p>
        </w:tc>
        <w:tc>
          <w:tcPr>
            <w:tcW w:w="1160" w:type="dxa"/>
            <w:vAlign w:val="bottom"/>
          </w:tcPr>
          <w:p>
            <w:pPr>
              <w:ind w:left="280"/>
              <w:spacing w:after="0"/>
              <w:rPr>
                <w:sz w:val="20"/>
                <w:szCs w:val="20"/>
                <w:color w:val="auto"/>
              </w:rPr>
            </w:pPr>
            <w:r>
              <w:rPr>
                <w:rFonts w:ascii="Arial" w:cs="Arial" w:eastAsia="Arial" w:hAnsi="Arial"/>
                <w:sz w:val="22"/>
                <w:szCs w:val="22"/>
                <w:color w:val="auto"/>
              </w:rPr>
              <w:t>86169</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83662</w:t>
            </w:r>
          </w:p>
        </w:tc>
        <w:tc>
          <w:tcPr>
            <w:tcW w:w="1160" w:type="dxa"/>
            <w:vAlign w:val="bottom"/>
          </w:tcPr>
          <w:p>
            <w:pPr>
              <w:ind w:left="280"/>
              <w:spacing w:after="0"/>
              <w:rPr>
                <w:sz w:val="20"/>
                <w:szCs w:val="20"/>
                <w:color w:val="auto"/>
              </w:rPr>
            </w:pPr>
            <w:r>
              <w:rPr>
                <w:rFonts w:ascii="Arial" w:cs="Arial" w:eastAsia="Arial" w:hAnsi="Arial"/>
                <w:sz w:val="22"/>
                <w:szCs w:val="22"/>
                <w:color w:val="auto"/>
              </w:rPr>
              <w:t>2560057</w:t>
            </w:r>
          </w:p>
        </w:tc>
      </w:tr>
    </w:tbl>
    <w:p>
      <w:pPr>
        <w:sectPr>
          <w:pgSz w:w="11900" w:h="16838" w:orient="portrait"/>
          <w:cols w:equalWidth="0" w:num="3">
            <w:col w:w="3600" w:space="80"/>
            <w:col w:w="2900" w:space="720"/>
            <w:col w:w="3940"/>
          </w:cols>
          <w:pgMar w:left="320" w:top="143" w:right="339" w:bottom="4" w:gutter="0" w:footer="0" w:header="0"/>
          <w:type w:val="continuous"/>
        </w:sectPr>
      </w:pPr>
    </w:p>
    <w:bookmarkStart w:id="2" w:name="page3"/>
    <w:bookmarkEnd w:id="2"/>
    <w:p>
      <w:pPr>
        <w:ind w:left="40" w:right="86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90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bl>
    <w:p>
      <w:pPr>
        <w:spacing w:after="0" w:line="441" w:lineRule="exact"/>
        <w:rPr>
          <w:sz w:val="20"/>
          <w:szCs w:val="20"/>
          <w:color w:val="auto"/>
        </w:rPr>
      </w:pPr>
    </w:p>
    <w:p>
      <w:pPr>
        <w:sectPr>
          <w:pgSz w:w="11900" w:h="16838" w:orient="portrait"/>
          <w:cols w:equalWidth="0" w:num="2">
            <w:col w:w="3060" w:space="620"/>
            <w:col w:w="7520"/>
          </w:cols>
          <w:pgMar w:left="320" w:top="132" w:right="37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6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05/26/2023</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Authorized Signatory of Boylston Coinvestors, LLC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2023-05-26T17:11:40Z</dcterms:created>
  <dcterms:modified xsi:type="dcterms:W3CDTF">2023-05-26T17:11:40Z</dcterms:modified>
</cp:coreProperties>
</file>