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00" w:type="dxa"/>
            <w:vAlign w:val="bottom"/>
          </w:tcPr>
          <w:p>
            <w:pPr>
              <w:ind w:left="40"/>
              <w:spacing w:after="0"/>
              <w:rPr>
                <w:sz w:val="20"/>
                <w:szCs w:val="20"/>
                <w:color w:val="auto"/>
              </w:rPr>
            </w:pPr>
            <w:r>
              <w:rPr>
                <w:rFonts w:ascii="Arial" w:cs="Arial" w:eastAsia="Arial" w:hAnsi="Arial"/>
                <w:sz w:val="22"/>
                <w:szCs w:val="22"/>
                <w:color w:val="auto"/>
              </w:rPr>
              <w:t>0001408649</w:t>
            </w:r>
          </w:p>
        </w:tc>
        <w:tc>
          <w:tcPr>
            <w:tcW w:w="304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00" w:type="dxa"/>
            <w:vAlign w:val="bottom"/>
          </w:tcPr>
          <w:p>
            <w:pPr>
              <w:ind w:left="40"/>
              <w:spacing w:after="0"/>
              <w:rPr>
                <w:sz w:val="20"/>
                <w:szCs w:val="20"/>
                <w:color w:val="auto"/>
              </w:rPr>
            </w:pPr>
            <w:r>
              <w:rPr>
                <w:rFonts w:ascii="Arial" w:cs="Arial" w:eastAsia="Arial" w:hAnsi="Arial"/>
                <w:sz w:val="22"/>
                <w:szCs w:val="22"/>
                <w:color w:val="auto"/>
              </w:rPr>
              <w:t>XXXXXXXX</w:t>
            </w:r>
          </w:p>
        </w:tc>
        <w:tc>
          <w:tcPr>
            <w:tcW w:w="30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0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0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0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0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0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0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849"/>
        </w:trPr>
        <w:tc>
          <w:tcPr>
            <w:tcW w:w="650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04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00" w:type="dxa"/>
            <w:vAlign w:val="bottom"/>
          </w:tcPr>
          <w:p>
            <w:pPr>
              <w:spacing w:after="0"/>
              <w:rPr>
                <w:sz w:val="24"/>
                <w:szCs w:val="24"/>
                <w:color w:val="auto"/>
              </w:rPr>
            </w:pPr>
          </w:p>
        </w:tc>
        <w:tc>
          <w:tcPr>
            <w:tcW w:w="3040" w:type="dxa"/>
            <w:vAlign w:val="bottom"/>
          </w:tcPr>
          <w:p>
            <w:pPr>
              <w:ind w:left="780"/>
              <w:spacing w:after="0"/>
              <w:rPr>
                <w:sz w:val="20"/>
                <w:szCs w:val="20"/>
                <w:color w:val="auto"/>
              </w:rPr>
            </w:pPr>
            <w:r>
              <w:rPr>
                <w:rFonts w:ascii="Arial" w:cs="Arial" w:eastAsia="Arial" w:hAnsi="Arial"/>
                <w:sz w:val="22"/>
                <w:szCs w:val="22"/>
                <w:color w:val="auto"/>
              </w:rPr>
              <w:t>Flywire Corp</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00" w:type="dxa"/>
            <w:vAlign w:val="bottom"/>
          </w:tcPr>
          <w:p>
            <w:pPr>
              <w:spacing w:after="0"/>
              <w:rPr>
                <w:sz w:val="24"/>
                <w:szCs w:val="24"/>
                <w:color w:val="auto"/>
              </w:rPr>
            </w:pPr>
          </w:p>
        </w:tc>
        <w:tc>
          <w:tcPr>
            <w:tcW w:w="3040" w:type="dxa"/>
            <w:vAlign w:val="bottom"/>
          </w:tcPr>
          <w:p>
            <w:pPr>
              <w:ind w:left="780"/>
              <w:spacing w:after="0"/>
              <w:rPr>
                <w:sz w:val="20"/>
                <w:szCs w:val="20"/>
                <w:color w:val="auto"/>
              </w:rPr>
            </w:pPr>
            <w:r>
              <w:rPr>
                <w:rFonts w:ascii="Arial" w:cs="Arial" w:eastAsia="Arial" w:hAnsi="Arial"/>
                <w:sz w:val="22"/>
                <w:szCs w:val="22"/>
                <w:color w:val="auto"/>
              </w:rPr>
              <w:t>001-40430</w:t>
            </w:r>
          </w:p>
        </w:tc>
      </w:tr>
      <w:tr>
        <w:trPr>
          <w:trHeight w:val="266"/>
        </w:trPr>
        <w:tc>
          <w:tcPr>
            <w:tcW w:w="300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3040" w:type="dxa"/>
            <w:vAlign w:val="bottom"/>
          </w:tcPr>
          <w:p>
            <w:pPr>
              <w:ind w:left="780"/>
              <w:spacing w:after="0"/>
              <w:rPr>
                <w:sz w:val="20"/>
                <w:szCs w:val="20"/>
                <w:color w:val="auto"/>
              </w:rPr>
            </w:pPr>
            <w:r>
              <w:rPr>
                <w:rFonts w:ascii="Arial" w:cs="Arial" w:eastAsia="Arial" w:hAnsi="Arial"/>
                <w:sz w:val="22"/>
                <w:szCs w:val="22"/>
                <w:color w:val="auto"/>
                <w:w w:val="91"/>
              </w:rPr>
              <w:t>141 TREMONT STREET</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040" w:type="dxa"/>
            <w:vAlign w:val="bottom"/>
          </w:tcPr>
          <w:p>
            <w:pPr>
              <w:ind w:left="780"/>
              <w:spacing w:after="0" w:line="243" w:lineRule="exact"/>
              <w:rPr>
                <w:sz w:val="20"/>
                <w:szCs w:val="20"/>
                <w:color w:val="auto"/>
              </w:rPr>
            </w:pPr>
            <w:r>
              <w:rPr>
                <w:rFonts w:ascii="Arial" w:cs="Arial" w:eastAsia="Arial" w:hAnsi="Arial"/>
                <w:sz w:val="22"/>
                <w:szCs w:val="22"/>
                <w:color w:val="auto"/>
              </w:rPr>
              <w:t>Suite 10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00" w:type="dxa"/>
            <w:vAlign w:val="bottom"/>
          </w:tcPr>
          <w:p>
            <w:pPr>
              <w:spacing w:after="0"/>
              <w:rPr>
                <w:sz w:val="21"/>
                <w:szCs w:val="21"/>
                <w:color w:val="auto"/>
              </w:rPr>
            </w:pPr>
          </w:p>
        </w:tc>
        <w:tc>
          <w:tcPr>
            <w:tcW w:w="3040" w:type="dxa"/>
            <w:vAlign w:val="bottom"/>
          </w:tcPr>
          <w:p>
            <w:pPr>
              <w:ind w:left="780"/>
              <w:spacing w:after="0" w:line="243" w:lineRule="exact"/>
              <w:rPr>
                <w:sz w:val="20"/>
                <w:szCs w:val="20"/>
                <w:color w:val="auto"/>
              </w:rPr>
            </w:pPr>
            <w:r>
              <w:rPr>
                <w:rFonts w:ascii="Arial" w:cs="Arial" w:eastAsia="Arial" w:hAnsi="Arial"/>
                <w:sz w:val="22"/>
                <w:szCs w:val="22"/>
                <w:color w:val="auto"/>
              </w:rPr>
              <w:t>Boston</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040" w:type="dxa"/>
            <w:vAlign w:val="bottom"/>
          </w:tcPr>
          <w:p>
            <w:pPr>
              <w:ind w:left="780"/>
              <w:spacing w:after="0" w:line="243" w:lineRule="exact"/>
              <w:rPr>
                <w:sz w:val="20"/>
                <w:szCs w:val="20"/>
                <w:color w:val="auto"/>
              </w:rPr>
            </w:pPr>
            <w:r>
              <w:rPr>
                <w:rFonts w:ascii="Arial" w:cs="Arial" w:eastAsia="Arial" w:hAnsi="Arial"/>
                <w:sz w:val="22"/>
                <w:szCs w:val="22"/>
                <w:color w:val="auto"/>
              </w:rPr>
              <w:t>MASSACHUSETTS</w:t>
            </w:r>
          </w:p>
        </w:tc>
      </w:tr>
      <w:tr>
        <w:trPr>
          <w:trHeight w:val="274"/>
        </w:trPr>
        <w:tc>
          <w:tcPr>
            <w:tcW w:w="300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3040" w:type="dxa"/>
            <w:vAlign w:val="bottom"/>
          </w:tcPr>
          <w:p>
            <w:pPr>
              <w:ind w:left="780"/>
              <w:spacing w:after="0"/>
              <w:rPr>
                <w:sz w:val="20"/>
                <w:szCs w:val="20"/>
                <w:color w:val="auto"/>
              </w:rPr>
            </w:pPr>
            <w:r>
              <w:rPr>
                <w:rFonts w:ascii="Arial" w:cs="Arial" w:eastAsia="Arial" w:hAnsi="Arial"/>
                <w:sz w:val="22"/>
                <w:szCs w:val="22"/>
                <w:color w:val="auto"/>
              </w:rPr>
              <w:t>02111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00" w:type="dxa"/>
            <w:vAlign w:val="bottom"/>
          </w:tcPr>
          <w:p>
            <w:pPr>
              <w:spacing w:after="0"/>
              <w:rPr>
                <w:sz w:val="24"/>
                <w:szCs w:val="24"/>
                <w:color w:val="auto"/>
              </w:rPr>
            </w:pPr>
          </w:p>
        </w:tc>
        <w:tc>
          <w:tcPr>
            <w:tcW w:w="3040" w:type="dxa"/>
            <w:vAlign w:val="bottom"/>
          </w:tcPr>
          <w:p>
            <w:pPr>
              <w:ind w:left="780"/>
              <w:spacing w:after="0"/>
              <w:rPr>
                <w:sz w:val="20"/>
                <w:szCs w:val="20"/>
                <w:color w:val="auto"/>
              </w:rPr>
            </w:pPr>
            <w:r>
              <w:rPr>
                <w:rFonts w:ascii="Arial" w:cs="Arial" w:eastAsia="Arial" w:hAnsi="Arial"/>
                <w:sz w:val="22"/>
                <w:szCs w:val="22"/>
                <w:color w:val="auto"/>
              </w:rPr>
              <w:t>617-329-4524</w:t>
            </w:r>
          </w:p>
        </w:tc>
      </w:tr>
      <w:tr>
        <w:trPr>
          <w:trHeight w:val="297"/>
        </w:trPr>
        <w:tc>
          <w:tcPr>
            <w:tcW w:w="650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040" w:type="dxa"/>
            <w:vAlign w:val="bottom"/>
          </w:tcPr>
          <w:p>
            <w:pPr>
              <w:ind w:left="780"/>
              <w:spacing w:after="0"/>
              <w:rPr>
                <w:sz w:val="20"/>
                <w:szCs w:val="20"/>
                <w:color w:val="auto"/>
              </w:rPr>
            </w:pPr>
            <w:r>
              <w:rPr>
                <w:rFonts w:ascii="Arial" w:cs="Arial" w:eastAsia="Arial" w:hAnsi="Arial"/>
                <w:sz w:val="22"/>
                <w:szCs w:val="22"/>
                <w:color w:val="auto"/>
                <w:w w:val="90"/>
              </w:rPr>
              <w:t>BCIP Venture Associates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Affiliate</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5"/>
              </w:rPr>
              <w:t>J.P. Morgan Securities</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Voting Common Stock</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383 Madison Avenue</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10179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89"/>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4"/>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83662</w:t>
            </w:r>
          </w:p>
        </w:tc>
        <w:tc>
          <w:tcPr>
            <w:tcW w:w="1280" w:type="dxa"/>
            <w:vAlign w:val="bottom"/>
          </w:tcPr>
          <w:p>
            <w:pPr>
              <w:jc w:val="right"/>
              <w:ind w:right="72"/>
              <w:spacing w:after="0"/>
              <w:rPr>
                <w:sz w:val="20"/>
                <w:szCs w:val="20"/>
                <w:color w:val="auto"/>
              </w:rPr>
            </w:pPr>
            <w:r>
              <w:rPr>
                <w:rFonts w:ascii="Arial" w:cs="Arial" w:eastAsia="Arial" w:hAnsi="Arial"/>
                <w:sz w:val="22"/>
                <w:szCs w:val="22"/>
                <w:color w:val="auto"/>
                <w:w w:val="92"/>
              </w:rPr>
              <w:t>2609417.00</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108883194</w:t>
            </w:r>
          </w:p>
        </w:tc>
        <w:tc>
          <w:tcPr>
            <w:tcW w:w="1280" w:type="dxa"/>
            <w:vAlign w:val="bottom"/>
          </w:tcPr>
          <w:p>
            <w:pPr>
              <w:ind w:left="40"/>
              <w:spacing w:after="0"/>
              <w:rPr>
                <w:sz w:val="20"/>
                <w:szCs w:val="20"/>
                <w:color w:val="auto"/>
              </w:rPr>
            </w:pPr>
            <w:r>
              <w:rPr>
                <w:rFonts w:ascii="Arial" w:cs="Arial" w:eastAsia="Arial" w:hAnsi="Arial"/>
                <w:sz w:val="22"/>
                <w:szCs w:val="22"/>
                <w:color w:val="auto"/>
              </w:rPr>
              <w:t>05/18/2023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60" w:val="left"/>
          <w:tab w:leader="none" w:pos="4420" w:val="left"/>
          <w:tab w:leader="none" w:pos="5820" w:val="left"/>
          <w:tab w:leader="none" w:pos="6420" w:val="left"/>
          <w:tab w:leader="none" w:pos="7380" w:val="left"/>
          <w:tab w:leader="none" w:pos="858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1"/>
                <w:szCs w:val="21"/>
                <w:color w:val="auto"/>
              </w:rPr>
            </w:pPr>
          </w:p>
        </w:tc>
        <w:tc>
          <w:tcPr>
            <w:tcW w:w="2800" w:type="dxa"/>
            <w:vAlign w:val="bottom"/>
          </w:tcPr>
          <w:p>
            <w:pPr>
              <w:ind w:left="1400"/>
              <w:spacing w:after="0"/>
              <w:rPr>
                <w:sz w:val="20"/>
                <w:szCs w:val="20"/>
                <w:color w:val="auto"/>
              </w:rPr>
            </w:pPr>
            <w:r>
              <w:rPr>
                <w:rFonts w:ascii="Arial" w:cs="Arial" w:eastAsia="Arial" w:hAnsi="Arial"/>
                <w:sz w:val="22"/>
                <w:szCs w:val="22"/>
                <w:b w:val="1"/>
                <w:bCs w:val="1"/>
                <w:color w:val="auto"/>
              </w:rPr>
              <w:t>Transaction</w:t>
            </w:r>
          </w:p>
        </w:tc>
        <w:tc>
          <w:tcPr>
            <w:tcW w:w="1340" w:type="dxa"/>
            <w:vAlign w:val="bottom"/>
          </w:tcPr>
          <w:p>
            <w:pPr>
              <w:jc w:val="center"/>
              <w:ind w:left="52"/>
              <w:spacing w:after="0"/>
              <w:rPr>
                <w:sz w:val="20"/>
                <w:szCs w:val="20"/>
                <w:color w:val="auto"/>
              </w:rPr>
            </w:pPr>
            <w:r>
              <w:rPr>
                <w:rFonts w:ascii="Arial" w:cs="Arial" w:eastAsia="Arial" w:hAnsi="Arial"/>
                <w:sz w:val="22"/>
                <w:szCs w:val="22"/>
                <w:b w:val="1"/>
                <w:bCs w:val="1"/>
                <w:color w:val="auto"/>
                <w:w w:val="92"/>
              </w:rPr>
              <w:t>Whom</w:t>
            </w:r>
          </w:p>
        </w:tc>
        <w:tc>
          <w:tcPr>
            <w:tcW w:w="280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4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340" w:type="dxa"/>
            <w:vAlign w:val="bottom"/>
          </w:tcPr>
          <w:p>
            <w:pPr>
              <w:jc w:val="center"/>
              <w:ind w:left="5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jc w:val="right"/>
              <w:ind w:right="2032"/>
              <w:spacing w:after="0"/>
              <w:rPr>
                <w:sz w:val="20"/>
                <w:szCs w:val="20"/>
                <w:color w:val="auto"/>
              </w:rPr>
            </w:pPr>
            <w:r>
              <w:rPr>
                <w:rFonts w:ascii="Arial" w:cs="Arial" w:eastAsia="Arial" w:hAnsi="Arial"/>
                <w:sz w:val="22"/>
                <w:szCs w:val="22"/>
                <w:b w:val="1"/>
                <w:bCs w:val="1"/>
                <w:color w:val="auto"/>
              </w:rPr>
              <w:t>Gift?</w:t>
            </w: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420" w:type="dxa"/>
            <w:vAlign w:val="bottom"/>
          </w:tcPr>
          <w:p>
            <w:pPr>
              <w:spacing w:after="0"/>
              <w:rPr>
                <w:sz w:val="23"/>
                <w:szCs w:val="23"/>
                <w:color w:val="auto"/>
              </w:rPr>
            </w:pPr>
          </w:p>
        </w:tc>
        <w:tc>
          <w:tcPr>
            <w:tcW w:w="2800" w:type="dxa"/>
            <w:vAlign w:val="bottom"/>
          </w:tcPr>
          <w:p>
            <w:pPr>
              <w:ind w:left="1100"/>
              <w:spacing w:after="0"/>
              <w:rPr>
                <w:sz w:val="20"/>
                <w:szCs w:val="20"/>
                <w:color w:val="auto"/>
              </w:rPr>
            </w:pPr>
            <w:r>
              <w:rPr>
                <w:rFonts w:ascii="Arial" w:cs="Arial" w:eastAsia="Arial" w:hAnsi="Arial"/>
                <w:sz w:val="22"/>
                <w:szCs w:val="22"/>
                <w:color w:val="auto"/>
              </w:rPr>
              <w:t>Automatic</w:t>
            </w:r>
          </w:p>
        </w:tc>
        <w:tc>
          <w:tcPr>
            <w:tcW w:w="13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rPr>
              <w:t>conversion of</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rPr>
              <w:t>preferred stock</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w w:val="94"/>
              </w:rPr>
              <w:t>purchased prior to</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rPr>
              <w:t>the Issuer's IPO</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w w:val="99"/>
              </w:rPr>
              <w:t>into shares of the</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vMerge w:val="restart"/>
          </w:tcPr>
          <w:p>
            <w:pPr>
              <w:spacing w:after="0"/>
              <w:rPr>
                <w:sz w:val="20"/>
                <w:szCs w:val="20"/>
                <w:color w:val="auto"/>
              </w:rPr>
            </w:pPr>
            <w:r>
              <w:rPr>
                <w:rFonts w:ascii="Arial" w:cs="Arial" w:eastAsia="Arial" w:hAnsi="Arial"/>
                <w:sz w:val="22"/>
                <w:szCs w:val="22"/>
                <w:color w:val="auto"/>
              </w:rPr>
              <w:t>Voting</w:t>
            </w:r>
          </w:p>
        </w:tc>
        <w:tc>
          <w:tcPr>
            <w:tcW w:w="2800" w:type="dxa"/>
            <w:vAlign w:val="bottom"/>
          </w:tcPr>
          <w:p>
            <w:pPr>
              <w:ind w:left="1100"/>
              <w:spacing w:after="0"/>
              <w:rPr>
                <w:sz w:val="20"/>
                <w:szCs w:val="20"/>
                <w:color w:val="auto"/>
              </w:rPr>
            </w:pPr>
            <w:r>
              <w:rPr>
                <w:rFonts w:ascii="Arial" w:cs="Arial" w:eastAsia="Arial" w:hAnsi="Arial"/>
                <w:sz w:val="22"/>
                <w:szCs w:val="22"/>
                <w:color w:val="auto"/>
              </w:rPr>
              <w:t>Isser's Class A</w:t>
            </w:r>
          </w:p>
        </w:tc>
        <w:tc>
          <w:tcPr>
            <w:tcW w:w="13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60" w:type="dxa"/>
            <w:vAlign w:val="bottom"/>
            <w:vMerge w:val="restart"/>
          </w:tcPr>
          <w:p>
            <w:pPr>
              <w:ind w:left="1160"/>
              <w:spacing w:after="0"/>
              <w:rPr>
                <w:sz w:val="20"/>
                <w:szCs w:val="20"/>
                <w:color w:val="auto"/>
              </w:rPr>
            </w:pPr>
            <w:r>
              <w:rPr>
                <w:rFonts w:ascii="Arial" w:cs="Arial" w:eastAsia="Arial" w:hAnsi="Arial"/>
                <w:sz w:val="22"/>
                <w:szCs w:val="22"/>
                <w:color w:val="auto"/>
                <w:w w:val="94"/>
              </w:rPr>
              <w:t>Conversion of</w:t>
            </w:r>
          </w:p>
        </w:tc>
        <w:tc>
          <w:tcPr>
            <w:tcW w:w="0" w:type="dxa"/>
            <w:vAlign w:val="bottom"/>
          </w:tcPr>
          <w:p>
            <w:pPr>
              <w:spacing w:after="0"/>
              <w:rPr>
                <w:sz w:val="1"/>
                <w:szCs w:val="1"/>
                <w:color w:val="auto"/>
              </w:rPr>
            </w:pPr>
          </w:p>
        </w:tc>
      </w:tr>
      <w:tr>
        <w:trPr>
          <w:trHeight w:val="58"/>
        </w:trPr>
        <w:tc>
          <w:tcPr>
            <w:tcW w:w="1420" w:type="dxa"/>
            <w:vAlign w:val="bottom"/>
            <w:vMerge w:val="continue"/>
          </w:tcPr>
          <w:p>
            <w:pPr>
              <w:spacing w:after="0"/>
              <w:rPr>
                <w:sz w:val="5"/>
                <w:szCs w:val="5"/>
                <w:color w:val="auto"/>
              </w:rPr>
            </w:pPr>
          </w:p>
        </w:tc>
        <w:tc>
          <w:tcPr>
            <w:tcW w:w="28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w w:val="93"/>
              </w:rPr>
              <w:t>Common Stock</w:t>
            </w:r>
          </w:p>
        </w:tc>
        <w:tc>
          <w:tcPr>
            <w:tcW w:w="2800" w:type="dxa"/>
            <w:vAlign w:val="bottom"/>
          </w:tcPr>
          <w:p>
            <w:pPr>
              <w:ind w:left="60"/>
              <w:spacing w:after="0" w:line="243" w:lineRule="exact"/>
              <w:rPr>
                <w:sz w:val="20"/>
                <w:szCs w:val="20"/>
                <w:color w:val="auto"/>
              </w:rPr>
            </w:pPr>
            <w:r>
              <w:rPr>
                <w:rFonts w:ascii="Arial" w:cs="Arial" w:eastAsia="Arial" w:hAnsi="Arial"/>
                <w:sz w:val="22"/>
                <w:szCs w:val="22"/>
                <w:color w:val="auto"/>
              </w:rPr>
              <w:t>05/28/2021 Common Stock</w:t>
            </w:r>
          </w:p>
        </w:tc>
        <w:tc>
          <w:tcPr>
            <w:tcW w:w="1340" w:type="dxa"/>
            <w:vAlign w:val="bottom"/>
          </w:tcPr>
          <w:p>
            <w:pPr>
              <w:ind w:left="40"/>
              <w:spacing w:after="0" w:line="243" w:lineRule="exact"/>
              <w:rPr>
                <w:sz w:val="20"/>
                <w:szCs w:val="20"/>
                <w:color w:val="auto"/>
              </w:rPr>
            </w:pPr>
            <w:r>
              <w:rPr>
                <w:rFonts w:ascii="Arial" w:cs="Arial" w:eastAsia="Arial" w:hAnsi="Arial"/>
                <w:sz w:val="22"/>
                <w:szCs w:val="22"/>
                <w:color w:val="auto"/>
              </w:rPr>
              <w:t>Issuer</w:t>
            </w:r>
          </w:p>
        </w:tc>
        <w:tc>
          <w:tcPr>
            <w:tcW w:w="2800" w:type="dxa"/>
            <w:vAlign w:val="bottom"/>
          </w:tcPr>
          <w:p>
            <w:pPr>
              <w:jc w:val="right"/>
              <w:ind w:right="532"/>
              <w:spacing w:after="0" w:line="243" w:lineRule="exact"/>
              <w:rPr>
                <w:sz w:val="20"/>
                <w:szCs w:val="20"/>
                <w:color w:val="auto"/>
              </w:rPr>
            </w:pPr>
            <w:r>
              <w:rPr>
                <w:rFonts w:ascii="Arial" w:cs="Arial" w:eastAsia="Arial" w:hAnsi="Arial"/>
                <w:sz w:val="22"/>
                <w:szCs w:val="22"/>
                <w:color w:val="auto"/>
              </w:rPr>
              <w:t>83662</w:t>
            </w:r>
          </w:p>
        </w:tc>
        <w:tc>
          <w:tcPr>
            <w:tcW w:w="2460" w:type="dxa"/>
            <w:vAlign w:val="bottom"/>
          </w:tcPr>
          <w:p>
            <w:pPr>
              <w:ind w:left="120"/>
              <w:spacing w:after="0" w:line="243" w:lineRule="exact"/>
              <w:rPr>
                <w:sz w:val="20"/>
                <w:szCs w:val="20"/>
                <w:color w:val="auto"/>
              </w:rPr>
            </w:pPr>
            <w:r>
              <w:rPr>
                <w:rFonts w:ascii="Arial" w:cs="Arial" w:eastAsia="Arial" w:hAnsi="Arial"/>
                <w:sz w:val="28"/>
                <w:szCs w:val="28"/>
                <w:color w:val="auto"/>
                <w:vertAlign w:val="superscript"/>
              </w:rPr>
              <w:t>05/28/2021</w:t>
            </w:r>
            <w:r>
              <w:rPr>
                <w:rFonts w:ascii="Arial" w:cs="Arial" w:eastAsia="Arial" w:hAnsi="Arial"/>
                <w:sz w:val="16"/>
                <w:szCs w:val="16"/>
                <w:color w:val="auto"/>
              </w:rPr>
              <w:t xml:space="preserve"> preferred stock</w:t>
            </w:r>
          </w:p>
        </w:tc>
        <w:tc>
          <w:tcPr>
            <w:tcW w:w="0" w:type="dxa"/>
            <w:vAlign w:val="bottom"/>
          </w:tcPr>
          <w:p>
            <w:pPr>
              <w:spacing w:after="0"/>
              <w:rPr>
                <w:sz w:val="1"/>
                <w:szCs w:val="1"/>
                <w:color w:val="auto"/>
              </w:rPr>
            </w:pPr>
          </w:p>
        </w:tc>
      </w:tr>
      <w:tr>
        <w:trPr>
          <w:trHeight w:val="154"/>
        </w:trPr>
        <w:tc>
          <w:tcPr>
            <w:tcW w:w="1420" w:type="dxa"/>
            <w:vAlign w:val="bottom"/>
          </w:tcPr>
          <w:p>
            <w:pPr>
              <w:spacing w:after="0"/>
              <w:rPr>
                <w:sz w:val="13"/>
                <w:szCs w:val="13"/>
                <w:color w:val="auto"/>
              </w:rPr>
            </w:pPr>
          </w:p>
        </w:tc>
        <w:tc>
          <w:tcPr>
            <w:tcW w:w="2800" w:type="dxa"/>
            <w:vAlign w:val="bottom"/>
          </w:tcPr>
          <w:p>
            <w:pPr>
              <w:ind w:left="1100"/>
              <w:spacing w:after="0" w:line="154" w:lineRule="exact"/>
              <w:rPr>
                <w:sz w:val="20"/>
                <w:szCs w:val="20"/>
                <w:color w:val="auto"/>
              </w:rPr>
            </w:pPr>
            <w:r>
              <w:rPr>
                <w:rFonts w:ascii="Arial" w:cs="Arial" w:eastAsia="Arial" w:hAnsi="Arial"/>
                <w:sz w:val="17"/>
                <w:szCs w:val="17"/>
                <w:color w:val="auto"/>
              </w:rPr>
              <w:t>and subsequent</w:t>
            </w:r>
          </w:p>
        </w:tc>
        <w:tc>
          <w:tcPr>
            <w:tcW w:w="13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w w:val="99"/>
              </w:rPr>
              <w:t>reclassification of</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w w:val="86"/>
              </w:rPr>
              <w:t>the Issuer's Class A</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rPr>
              <w:t>Common Stock</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rPr>
              <w:t>into the Issuer's</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rPr>
              <w:t>Voting Common</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3"/>
                <w:szCs w:val="23"/>
                <w:color w:val="auto"/>
              </w:rPr>
            </w:pPr>
          </w:p>
        </w:tc>
        <w:tc>
          <w:tcPr>
            <w:tcW w:w="2800" w:type="dxa"/>
            <w:vAlign w:val="bottom"/>
          </w:tcPr>
          <w:p>
            <w:pPr>
              <w:ind w:left="1100"/>
              <w:spacing w:after="0"/>
              <w:rPr>
                <w:sz w:val="20"/>
                <w:szCs w:val="20"/>
                <w:color w:val="auto"/>
              </w:rPr>
            </w:pPr>
            <w:r>
              <w:rPr>
                <w:rFonts w:ascii="Arial" w:cs="Arial" w:eastAsia="Arial" w:hAnsi="Arial"/>
                <w:sz w:val="22"/>
                <w:szCs w:val="22"/>
                <w:color w:val="auto"/>
              </w:rPr>
              <w:t>Stock</w:t>
            </w:r>
          </w:p>
        </w:tc>
        <w:tc>
          <w:tcPr>
            <w:tcW w:w="13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-1223010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0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Name and Address of Seller</w:t>
      </w:r>
    </w:p>
    <w:p>
      <w:pPr>
        <w:spacing w:after="0" w:line="328" w:lineRule="exact"/>
        <w:rPr>
          <w:sz w:val="20"/>
          <w:szCs w:val="20"/>
          <w:color w:val="auto"/>
        </w:rPr>
      </w:pPr>
    </w:p>
    <w:p>
      <w:pPr>
        <w:ind w:left="40" w:right="520"/>
        <w:spacing w:after="0" w:line="252" w:lineRule="auto"/>
        <w:rPr>
          <w:sz w:val="20"/>
          <w:szCs w:val="20"/>
          <w:color w:val="auto"/>
        </w:rPr>
      </w:pPr>
      <w:r>
        <w:rPr>
          <w:rFonts w:ascii="Arial" w:cs="Arial" w:eastAsia="Arial" w:hAnsi="Arial"/>
          <w:sz w:val="21"/>
          <w:szCs w:val="21"/>
          <w:color w:val="auto"/>
        </w:rPr>
        <w:t>BCIP Venture Associates JOHN HANCOCK TOWER 200 CLARENDON STREET Boston MA 02116</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20" w:type="dxa"/>
            <w:vAlign w:val="bottom"/>
            <w:vMerge w:val="restart"/>
          </w:tcPr>
          <w:p>
            <w:pPr>
              <w:ind w:left="7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6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1"/>
              </w:rPr>
              <w:t>Gross Proceeds</w:t>
            </w:r>
          </w:p>
        </w:tc>
        <w:tc>
          <w:tcPr>
            <w:tcW w:w="0" w:type="dxa"/>
            <w:vAlign w:val="bottom"/>
          </w:tcPr>
          <w:p>
            <w:pPr>
              <w:spacing w:after="0"/>
              <w:rPr>
                <w:sz w:val="1"/>
                <w:szCs w:val="1"/>
                <w:color w:val="auto"/>
              </w:rPr>
            </w:pPr>
          </w:p>
        </w:tc>
      </w:tr>
      <w:tr>
        <w:trPr>
          <w:trHeight w:val="121"/>
        </w:trPr>
        <w:tc>
          <w:tcPr>
            <w:tcW w:w="322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20" w:type="dxa"/>
            <w:vAlign w:val="bottom"/>
          </w:tcPr>
          <w:p>
            <w:pPr>
              <w:spacing w:after="0"/>
              <w:rPr>
                <w:sz w:val="20"/>
                <w:szCs w:val="20"/>
                <w:color w:val="auto"/>
              </w:rPr>
            </w:pPr>
            <w:r>
              <w:rPr>
                <w:rFonts w:ascii="Arial" w:cs="Arial" w:eastAsia="Arial" w:hAnsi="Arial"/>
                <w:sz w:val="22"/>
                <w:szCs w:val="22"/>
                <w:color w:val="auto"/>
              </w:rPr>
              <w:t>Voting Common Stock</w:t>
            </w:r>
          </w:p>
        </w:tc>
        <w:tc>
          <w:tcPr>
            <w:tcW w:w="2680" w:type="dxa"/>
            <w:vAlign w:val="bottom"/>
            <w:gridSpan w:val="2"/>
          </w:tcPr>
          <w:p>
            <w:pPr>
              <w:jc w:val="right"/>
              <w:ind w:right="492"/>
              <w:spacing w:after="0"/>
              <w:rPr>
                <w:sz w:val="20"/>
                <w:szCs w:val="20"/>
                <w:color w:val="auto"/>
              </w:rPr>
            </w:pPr>
            <w:r>
              <w:rPr>
                <w:rFonts w:ascii="Arial" w:cs="Arial" w:eastAsia="Arial" w:hAnsi="Arial"/>
                <w:sz w:val="22"/>
                <w:szCs w:val="22"/>
                <w:color w:val="auto"/>
              </w:rPr>
              <w:t>05/11/2023 238436</w:t>
            </w:r>
          </w:p>
        </w:tc>
        <w:tc>
          <w:tcPr>
            <w:tcW w:w="1560" w:type="dxa"/>
            <w:vAlign w:val="bottom"/>
          </w:tcPr>
          <w:p>
            <w:pPr>
              <w:jc w:val="right"/>
              <w:ind w:right="312"/>
              <w:spacing w:after="0"/>
              <w:rPr>
                <w:sz w:val="20"/>
                <w:szCs w:val="20"/>
                <w:color w:val="auto"/>
              </w:rPr>
            </w:pPr>
            <w:r>
              <w:rPr>
                <w:rFonts w:ascii="Arial" w:cs="Arial" w:eastAsia="Arial" w:hAnsi="Arial"/>
                <w:sz w:val="22"/>
                <w:szCs w:val="22"/>
                <w:color w:val="auto"/>
                <w:w w:val="96"/>
              </w:rPr>
              <w:t>7036246.00</w:t>
            </w:r>
          </w:p>
        </w:tc>
        <w:tc>
          <w:tcPr>
            <w:tcW w:w="0" w:type="dxa"/>
            <w:vAlign w:val="bottom"/>
          </w:tcPr>
          <w:p>
            <w:pPr>
              <w:spacing w:after="0"/>
              <w:rPr>
                <w:sz w:val="1"/>
                <w:szCs w:val="1"/>
                <w:color w:val="auto"/>
              </w:rPr>
            </w:pPr>
          </w:p>
        </w:tc>
      </w:tr>
    </w:tbl>
    <w:p>
      <w:pPr>
        <w:spacing w:after="0" w:line="575" w:lineRule="exact"/>
        <w:rPr>
          <w:sz w:val="20"/>
          <w:szCs w:val="20"/>
          <w:color w:val="auto"/>
        </w:rPr>
      </w:pPr>
    </w:p>
    <w:p>
      <w:pPr>
        <w:sectPr>
          <w:pgSz w:w="11900" w:h="16838" w:orient="portrait"/>
          <w:cols w:equalWidth="0" w:num="2">
            <w:col w:w="3120" w:space="560"/>
            <w:col w:w="7560"/>
          </w:cols>
          <w:pgMar w:left="320" w:top="102" w:right="33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780" w:type="dxa"/>
            <w:vAlign w:val="bottom"/>
          </w:tcPr>
          <w:p>
            <w:pPr>
              <w:spacing w:after="0"/>
              <w:rPr>
                <w:sz w:val="20"/>
                <w:szCs w:val="20"/>
                <w:color w:val="auto"/>
              </w:rPr>
            </w:pPr>
            <w:r>
              <w:rPr>
                <w:rFonts w:ascii="Arial" w:cs="Arial" w:eastAsia="Arial" w:hAnsi="Arial"/>
                <w:sz w:val="22"/>
                <w:szCs w:val="22"/>
                <w:color w:val="auto"/>
              </w:rPr>
              <w:t>Remarks</w:t>
            </w:r>
          </w:p>
        </w:tc>
        <w:tc>
          <w:tcPr>
            <w:tcW w:w="1480" w:type="dxa"/>
            <w:vAlign w:val="bottom"/>
          </w:tcPr>
          <w:p>
            <w:pPr>
              <w:spacing w:after="0"/>
              <w:rPr>
                <w:sz w:val="23"/>
                <w:szCs w:val="23"/>
                <w:color w:val="auto"/>
              </w:rPr>
            </w:pPr>
          </w:p>
        </w:tc>
      </w:tr>
      <w:tr>
        <w:trPr>
          <w:trHeight w:val="297"/>
        </w:trPr>
        <w:tc>
          <w:tcPr>
            <w:tcW w:w="1780" w:type="dxa"/>
            <w:vAlign w:val="bottom"/>
          </w:tcPr>
          <w:p>
            <w:pPr>
              <w:spacing w:after="0"/>
              <w:rPr>
                <w:sz w:val="20"/>
                <w:szCs w:val="20"/>
                <w:color w:val="auto"/>
              </w:rPr>
            </w:pPr>
            <w:r>
              <w:rPr>
                <w:rFonts w:ascii="Arial" w:cs="Arial" w:eastAsia="Arial" w:hAnsi="Arial"/>
                <w:sz w:val="22"/>
                <w:szCs w:val="22"/>
                <w:color w:val="auto"/>
              </w:rPr>
              <w:t>Date of Notice</w:t>
            </w:r>
          </w:p>
        </w:tc>
        <w:tc>
          <w:tcPr>
            <w:tcW w:w="1480" w:type="dxa"/>
            <w:vAlign w:val="bottom"/>
          </w:tcPr>
          <w:p>
            <w:pPr>
              <w:jc w:val="right"/>
              <w:spacing w:after="0"/>
              <w:rPr>
                <w:sz w:val="20"/>
                <w:szCs w:val="20"/>
                <w:color w:val="auto"/>
              </w:rPr>
            </w:pPr>
            <w:r>
              <w:rPr>
                <w:rFonts w:ascii="Arial" w:cs="Arial" w:eastAsia="Arial" w:hAnsi="Arial"/>
                <w:sz w:val="22"/>
                <w:szCs w:val="22"/>
                <w:color w:val="auto"/>
              </w:rPr>
              <w:t>05/18/2023</w:t>
            </w:r>
          </w:p>
        </w:tc>
      </w:tr>
      <w:tr>
        <w:trPr>
          <w:trHeight w:val="297"/>
        </w:trPr>
        <w:tc>
          <w:tcPr>
            <w:tcW w:w="17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4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Matthew C. Harris, as Authorized Signatory of Boylston Coinvestors, LLC</w:t>
      </w:r>
    </w:p>
    <w:p>
      <w:pPr>
        <w:sectPr>
          <w:pgSz w:w="11900" w:h="16838" w:orient="portrait"/>
          <w:cols w:equalWidth="0" w:num="1">
            <w:col w:w="11240"/>
          </w:cols>
          <w:pgMar w:left="320" w:top="102" w:right="339" w:bottom="1440"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2023-05-18T20:20:26Z</dcterms:created>
  <dcterms:modified xsi:type="dcterms:W3CDTF">2023-05-18T20:20:26Z</dcterms:modified>
</cp:coreProperties>
</file>