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-232410</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-608965</wp:posOffset>
            </wp:positionV>
            <wp:extent cx="57150" cy="622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065" cy="9427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942784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00" w:space="440"/>
            <w:col w:w="844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GOLDMAN SACHS GROUP INC</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Flywire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09/02/2022</w:t>
      </w:r>
    </w:p>
    <w:p>
      <w:pPr>
        <w:spacing w:after="0" w:line="20" w:lineRule="exact"/>
        <w:rPr>
          <w:sz w:val="24"/>
          <w:szCs w:val="24"/>
          <w:color w:val="auto"/>
        </w:rPr>
      </w:pPr>
      <w:r>
        <w:rPr>
          <w:sz w:val="24"/>
          <w:szCs w:val="24"/>
          <w:color w:val="auto"/>
        </w:rPr>
        <w:br w:type="column"/>
      </w:r>
    </w:p>
    <w:p>
      <w:pPr>
        <w:ind w:left="-1" w:right="720" w:firstLine="1"/>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1"/>
          <w:szCs w:val="11"/>
          <w:color w:val="auto"/>
        </w:rPr>
        <w:t>10% Owner</w:t>
      </w:r>
    </w:p>
    <w:p>
      <w:pPr>
        <w:spacing w:after="0" w:line="86"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3" w:lineRule="exact"/>
        <w:rPr>
          <w:sz w:val="24"/>
          <w:szCs w:val="24"/>
          <w:color w:val="auto"/>
        </w:rPr>
      </w:pPr>
    </w:p>
    <w:p>
      <w:pPr>
        <w:sectPr>
          <w:pgSz w:w="11900" w:h="16838" w:orient="portrait"/>
          <w:cols w:equalWidth="0" w:num="3">
            <w:col w:w="3180" w:space="720"/>
            <w:col w:w="3101" w:space="720"/>
            <w:col w:w="3359"/>
          </w:cols>
          <w:pgMar w:left="460" w:top="215" w:right="359" w:bottom="0" w:gutter="0" w:footer="0" w:header="0"/>
          <w:type w:val="continuous"/>
        </w:sectPr>
      </w:pPr>
    </w:p>
    <w:p>
      <w:pPr>
        <w:spacing w:after="0" w:line="130"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1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20" w:lineRule="exact"/>
        <w:rPr>
          <w:sz w:val="24"/>
          <w:szCs w:val="24"/>
          <w:color w:val="auto"/>
        </w:rPr>
      </w:pPr>
    </w:p>
    <w:p>
      <w:pPr>
        <w:jc w:val="both"/>
        <w:ind w:left="4020"/>
        <w:spacing w:after="0"/>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460" w:lineRule="exact"/>
        <w:rPr>
          <w:sz w:val="24"/>
          <w:szCs w:val="24"/>
          <w:color w:val="auto"/>
        </w:rPr>
      </w:pPr>
    </w:p>
    <w:p>
      <w:pPr>
        <w:sectPr>
          <w:pgSz w:w="11900" w:h="16838" w:orient="portrait"/>
          <w:cols w:equalWidth="0" w:num="2">
            <w:col w:w="3740" w:space="16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7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 Direct</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or Indirect</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4)</w:t>
            </w:r>
          </w:p>
        </w:tc>
        <w:tc>
          <w:tcPr>
            <w:tcW w:w="0" w:type="dxa"/>
            <w:vAlign w:val="bottom"/>
          </w:tcPr>
          <w:p>
            <w:pPr>
              <w:spacing w:after="0"/>
              <w:rPr>
                <w:sz w:val="1"/>
                <w:szCs w:val="1"/>
                <w:color w:val="auto"/>
              </w:rPr>
            </w:pPr>
          </w:p>
        </w:tc>
      </w:tr>
      <w:tr>
        <w:trPr>
          <w:trHeight w:val="67"/>
        </w:trPr>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tcPr>
          <w:p>
            <w:pPr>
              <w:jc w:val="right"/>
              <w:ind w:right="322"/>
              <w:spacing w:after="0"/>
              <w:rPr>
                <w:sz w:val="20"/>
                <w:szCs w:val="20"/>
                <w:color w:val="auto"/>
              </w:rPr>
            </w:pPr>
            <w:r>
              <w:rPr>
                <w:rFonts w:ascii="Times New Roman" w:cs="Times New Roman" w:eastAsia="Times New Roman" w:hAnsi="Times New Roman"/>
                <w:sz w:val="16"/>
                <w:szCs w:val="16"/>
                <w:color w:val="0000FF"/>
              </w:rPr>
              <w:t>09/02/2022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61,542</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right"/>
              <w:ind w:right="175"/>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9"/>
                <w:szCs w:val="19"/>
                <w:color w:val="auto"/>
              </w:rPr>
            </w:pPr>
          </w:p>
        </w:tc>
        <w:tc>
          <w:tcPr>
            <w:tcW w:w="1480" w:type="dxa"/>
            <w:vAlign w:val="bottom"/>
            <w:gridSpan w:val="2"/>
          </w:tcPr>
          <w:p>
            <w:pPr>
              <w:jc w:val="right"/>
              <w:ind w:right="642"/>
              <w:spacing w:after="0"/>
              <w:rPr>
                <w:sz w:val="20"/>
                <w:szCs w:val="20"/>
                <w:color w:val="auto"/>
              </w:rPr>
            </w:pPr>
            <w:r>
              <w:rPr>
                <w:rFonts w:ascii="Times New Roman" w:cs="Times New Roman" w:eastAsia="Times New Roman" w:hAnsi="Times New Roman"/>
                <w:sz w:val="16"/>
                <w:szCs w:val="16"/>
                <w:color w:val="0000FF"/>
              </w:rPr>
              <w:t>480,703</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vMerge w:val="restart"/>
          </w:tcPr>
          <w:p>
            <w:pPr>
              <w:jc w:val="right"/>
              <w:ind w:right="322"/>
              <w:spacing w:after="0"/>
              <w:rPr>
                <w:sz w:val="20"/>
                <w:szCs w:val="20"/>
                <w:color w:val="auto"/>
              </w:rPr>
            </w:pPr>
            <w:r>
              <w:rPr>
                <w:rFonts w:ascii="Times New Roman" w:cs="Times New Roman" w:eastAsia="Times New Roman" w:hAnsi="Times New Roman"/>
                <w:sz w:val="16"/>
                <w:szCs w:val="16"/>
                <w:color w:val="0000FF"/>
              </w:rPr>
              <w:t>09/02/2022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61,542</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right"/>
              <w:ind w:right="15"/>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23.49</w:t>
            </w:r>
          </w:p>
        </w:tc>
        <w:tc>
          <w:tcPr>
            <w:tcW w:w="60" w:type="dxa"/>
            <w:vAlign w:val="bottom"/>
          </w:tcPr>
          <w:p>
            <w:pPr>
              <w:spacing w:after="0"/>
              <w:rPr>
                <w:sz w:val="20"/>
                <w:szCs w:val="20"/>
                <w:color w:val="auto"/>
              </w:rPr>
            </w:pPr>
          </w:p>
        </w:tc>
        <w:tc>
          <w:tcPr>
            <w:tcW w:w="1480" w:type="dxa"/>
            <w:vAlign w:val="bottom"/>
            <w:gridSpan w:val="2"/>
            <w:vMerge w:val="restart"/>
          </w:tcPr>
          <w:p>
            <w:pPr>
              <w:jc w:val="right"/>
              <w:ind w:right="642"/>
              <w:spacing w:after="0"/>
              <w:rPr>
                <w:sz w:val="20"/>
                <w:szCs w:val="20"/>
                <w:color w:val="auto"/>
              </w:rPr>
            </w:pPr>
            <w:r>
              <w:rPr>
                <w:rFonts w:ascii="Times New Roman" w:cs="Times New Roman" w:eastAsia="Times New Roman" w:hAnsi="Times New Roman"/>
                <w:sz w:val="16"/>
                <w:szCs w:val="16"/>
                <w:color w:val="0000FF"/>
              </w:rPr>
              <w:t>419,161</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tcPr>
          <w:p>
            <w:pPr>
              <w:jc w:val="right"/>
              <w:ind w:right="322"/>
              <w:spacing w:after="0"/>
              <w:rPr>
                <w:sz w:val="20"/>
                <w:szCs w:val="20"/>
                <w:color w:val="auto"/>
              </w:rPr>
            </w:pPr>
            <w:r>
              <w:rPr>
                <w:rFonts w:ascii="Times New Roman" w:cs="Times New Roman" w:eastAsia="Times New Roman" w:hAnsi="Times New Roman"/>
                <w:sz w:val="16"/>
                <w:szCs w:val="16"/>
                <w:color w:val="0000FF"/>
              </w:rPr>
              <w:t>09/06/2022</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86,318</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right"/>
              <w:ind w:right="175"/>
              <w:spacing w:after="0"/>
              <w:rPr>
                <w:sz w:val="20"/>
                <w:szCs w:val="20"/>
                <w:color w:val="auto"/>
              </w:rPr>
            </w:pPr>
            <w:r>
              <w:rPr>
                <w:rFonts w:ascii="Times New Roman" w:cs="Times New Roman" w:eastAsia="Times New Roman" w:hAnsi="Times New Roman"/>
                <w:sz w:val="10"/>
                <w:szCs w:val="10"/>
                <w:color w:val="008000"/>
              </w:rPr>
              <w:t>(6)</w:t>
            </w:r>
          </w:p>
        </w:tc>
        <w:tc>
          <w:tcPr>
            <w:tcW w:w="60" w:type="dxa"/>
            <w:vAlign w:val="bottom"/>
          </w:tcPr>
          <w:p>
            <w:pPr>
              <w:spacing w:after="0"/>
              <w:rPr>
                <w:sz w:val="22"/>
                <w:szCs w:val="22"/>
                <w:color w:val="auto"/>
              </w:rPr>
            </w:pPr>
          </w:p>
        </w:tc>
        <w:tc>
          <w:tcPr>
            <w:tcW w:w="1480" w:type="dxa"/>
            <w:vAlign w:val="bottom"/>
            <w:gridSpan w:val="2"/>
          </w:tcPr>
          <w:p>
            <w:pPr>
              <w:jc w:val="right"/>
              <w:ind w:right="642"/>
              <w:spacing w:after="0"/>
              <w:rPr>
                <w:sz w:val="20"/>
                <w:szCs w:val="20"/>
                <w:color w:val="auto"/>
              </w:rPr>
            </w:pPr>
            <w:r>
              <w:rPr>
                <w:rFonts w:ascii="Times New Roman" w:cs="Times New Roman" w:eastAsia="Times New Roman" w:hAnsi="Times New Roman"/>
                <w:sz w:val="16"/>
                <w:szCs w:val="16"/>
                <w:color w:val="0000FF"/>
              </w:rPr>
              <w:t>598,753</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vMerge w:val="restart"/>
          </w:tcPr>
          <w:p>
            <w:pPr>
              <w:jc w:val="right"/>
              <w:ind w:right="322"/>
              <w:spacing w:after="0"/>
              <w:rPr>
                <w:sz w:val="20"/>
                <w:szCs w:val="20"/>
                <w:color w:val="auto"/>
              </w:rPr>
            </w:pPr>
            <w:r>
              <w:rPr>
                <w:rFonts w:ascii="Times New Roman" w:cs="Times New Roman" w:eastAsia="Times New Roman" w:hAnsi="Times New Roman"/>
                <w:sz w:val="16"/>
                <w:szCs w:val="16"/>
                <w:color w:val="0000FF"/>
              </w:rPr>
              <w:t>09/06/2022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86,318</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right"/>
              <w:ind w:right="15"/>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24.12</w:t>
            </w:r>
          </w:p>
        </w:tc>
        <w:tc>
          <w:tcPr>
            <w:tcW w:w="60" w:type="dxa"/>
            <w:vAlign w:val="bottom"/>
          </w:tcPr>
          <w:p>
            <w:pPr>
              <w:spacing w:after="0"/>
              <w:rPr>
                <w:sz w:val="20"/>
                <w:szCs w:val="20"/>
                <w:color w:val="auto"/>
              </w:rPr>
            </w:pPr>
          </w:p>
        </w:tc>
        <w:tc>
          <w:tcPr>
            <w:tcW w:w="1480" w:type="dxa"/>
            <w:vAlign w:val="bottom"/>
            <w:gridSpan w:val="2"/>
            <w:vMerge w:val="restart"/>
          </w:tcPr>
          <w:p>
            <w:pPr>
              <w:jc w:val="right"/>
              <w:ind w:right="642"/>
              <w:spacing w:after="0"/>
              <w:rPr>
                <w:sz w:val="20"/>
                <w:szCs w:val="20"/>
                <w:color w:val="auto"/>
              </w:rPr>
            </w:pPr>
            <w:r>
              <w:rPr>
                <w:rFonts w:ascii="Times New Roman" w:cs="Times New Roman" w:eastAsia="Times New Roman" w:hAnsi="Times New Roman"/>
                <w:sz w:val="16"/>
                <w:szCs w:val="16"/>
                <w:color w:val="0000FF"/>
              </w:rPr>
              <w:t>512,435</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36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59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40" w:type="dxa"/>
            <w:vAlign w:val="bottom"/>
            <w:gridSpan w:val="9"/>
          </w:tcPr>
          <w:p>
            <w:pPr>
              <w:jc w:val="center"/>
              <w:ind w:left="239"/>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10.</w:t>
            </w: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7"/>
              </w:rPr>
              <w:t>Underlying</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Form:</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Direct (D)</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or Indirect</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8"/>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vMerge w:val="restart"/>
          </w:tcPr>
          <w:p>
            <w:pPr>
              <w:ind w:left="70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Voting</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continue"/>
          </w:tcPr>
          <w:p>
            <w:pPr>
              <w:spacing w:after="0"/>
              <w:rPr>
                <w:sz w:val="5"/>
                <w:szCs w:val="5"/>
                <w:color w:val="auto"/>
              </w:rPr>
            </w:pPr>
          </w:p>
        </w:tc>
        <w:tc>
          <w:tcPr>
            <w:tcW w:w="540" w:type="dxa"/>
            <w:vAlign w:val="bottom"/>
            <w:vMerge w:val="restart"/>
          </w:tcPr>
          <w:p>
            <w:pPr>
              <w:jc w:val="right"/>
              <w:ind w:right="15"/>
              <w:spacing w:after="0"/>
              <w:rPr>
                <w:sz w:val="20"/>
                <w:szCs w:val="20"/>
                <w:color w:val="auto"/>
              </w:rPr>
            </w:pPr>
            <w:r>
              <w:rPr>
                <w:rFonts w:ascii="Times New Roman" w:cs="Times New Roman" w:eastAsia="Times New Roman" w:hAnsi="Times New Roman"/>
                <w:sz w:val="16"/>
                <w:szCs w:val="16"/>
                <w:color w:val="0000FF"/>
                <w:w w:val="99"/>
              </w:rPr>
              <w:t>61,542</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20" w:type="dxa"/>
            <w:vAlign w:val="bottom"/>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09/02/2022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ind w:left="320"/>
              <w:spacing w:after="0" w:line="126" w:lineRule="exact"/>
              <w:rPr>
                <w:sz w:val="20"/>
                <w:szCs w:val="20"/>
                <w:color w:val="auto"/>
              </w:rPr>
            </w:pPr>
            <w:r>
              <w:rPr>
                <w:rFonts w:ascii="Times New Roman" w:cs="Times New Roman" w:eastAsia="Times New Roman" w:hAnsi="Times New Roman"/>
                <w:sz w:val="13"/>
                <w:szCs w:val="13"/>
                <w:color w:val="0000FF"/>
              </w:rPr>
              <w:t>61,542</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8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vMerge w:val="restart"/>
          </w:tcPr>
          <w:p>
            <w:pPr>
              <w:ind w:left="140"/>
              <w:spacing w:after="0" w:line="126" w:lineRule="exact"/>
              <w:rPr>
                <w:sz w:val="20"/>
                <w:szCs w:val="20"/>
                <w:color w:val="auto"/>
              </w:rPr>
            </w:pPr>
            <w:r>
              <w:rPr>
                <w:rFonts w:ascii="Times New Roman" w:cs="Times New Roman" w:eastAsia="Times New Roman" w:hAnsi="Times New Roman"/>
                <w:sz w:val="13"/>
                <w:szCs w:val="13"/>
                <w:color w:val="0000FF"/>
              </w:rPr>
              <w:t>3,316,566</w:t>
            </w:r>
          </w:p>
        </w:tc>
        <w:tc>
          <w:tcPr>
            <w:tcW w:w="100" w:type="dxa"/>
            <w:vAlign w:val="bottom"/>
          </w:tcPr>
          <w:p>
            <w:pPr>
              <w:spacing w:after="0"/>
              <w:rPr>
                <w:sz w:val="5"/>
                <w:szCs w:val="5"/>
                <w:color w:val="auto"/>
              </w:rPr>
            </w:pPr>
          </w:p>
        </w:tc>
        <w:tc>
          <w:tcPr>
            <w:tcW w:w="640" w:type="dxa"/>
            <w:vAlign w:val="bottom"/>
            <w:vMerge w:val="restart"/>
          </w:tcPr>
          <w:p>
            <w:pPr>
              <w:ind w:left="260"/>
              <w:spacing w:after="0" w:line="126"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6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See footnote</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8"/>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vMerge w:val="restart"/>
          </w:tcPr>
          <w:p>
            <w:pPr>
              <w:ind w:left="70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Voting</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vMerge w:val="continue"/>
          </w:tcPr>
          <w:p>
            <w:pPr>
              <w:spacing w:after="0"/>
              <w:rPr>
                <w:sz w:val="5"/>
                <w:szCs w:val="5"/>
                <w:color w:val="auto"/>
              </w:rPr>
            </w:pPr>
          </w:p>
        </w:tc>
        <w:tc>
          <w:tcPr>
            <w:tcW w:w="540" w:type="dxa"/>
            <w:vAlign w:val="bottom"/>
            <w:vMerge w:val="restart"/>
          </w:tcPr>
          <w:p>
            <w:pPr>
              <w:jc w:val="right"/>
              <w:ind w:right="15"/>
              <w:spacing w:after="0"/>
              <w:rPr>
                <w:sz w:val="20"/>
                <w:szCs w:val="20"/>
                <w:color w:val="auto"/>
              </w:rPr>
            </w:pPr>
            <w:r>
              <w:rPr>
                <w:rFonts w:ascii="Times New Roman" w:cs="Times New Roman" w:eastAsia="Times New Roman" w:hAnsi="Times New Roman"/>
                <w:sz w:val="16"/>
                <w:szCs w:val="16"/>
                <w:color w:val="0000FF"/>
                <w:w w:val="99"/>
              </w:rPr>
              <w:t>86,318</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20" w:type="dxa"/>
            <w:vAlign w:val="bottom"/>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09/06/2022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ind w:left="320"/>
              <w:spacing w:after="0" w:line="126" w:lineRule="exact"/>
              <w:rPr>
                <w:sz w:val="20"/>
                <w:szCs w:val="20"/>
                <w:color w:val="auto"/>
              </w:rPr>
            </w:pPr>
            <w:r>
              <w:rPr>
                <w:rFonts w:ascii="Times New Roman" w:cs="Times New Roman" w:eastAsia="Times New Roman" w:hAnsi="Times New Roman"/>
                <w:sz w:val="13"/>
                <w:szCs w:val="13"/>
                <w:color w:val="0000FF"/>
              </w:rPr>
              <w:t>86,318</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8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vMerge w:val="restart"/>
          </w:tcPr>
          <w:p>
            <w:pPr>
              <w:ind w:left="140"/>
              <w:spacing w:after="0" w:line="126" w:lineRule="exact"/>
              <w:rPr>
                <w:sz w:val="20"/>
                <w:szCs w:val="20"/>
                <w:color w:val="auto"/>
              </w:rPr>
            </w:pPr>
            <w:r>
              <w:rPr>
                <w:rFonts w:ascii="Times New Roman" w:cs="Times New Roman" w:eastAsia="Times New Roman" w:hAnsi="Times New Roman"/>
                <w:sz w:val="13"/>
                <w:szCs w:val="13"/>
                <w:color w:val="0000FF"/>
              </w:rPr>
              <w:t>3,230,248</w:t>
            </w:r>
          </w:p>
        </w:tc>
        <w:tc>
          <w:tcPr>
            <w:tcW w:w="100" w:type="dxa"/>
            <w:vAlign w:val="bottom"/>
          </w:tcPr>
          <w:p>
            <w:pPr>
              <w:spacing w:after="0"/>
              <w:rPr>
                <w:sz w:val="5"/>
                <w:szCs w:val="5"/>
                <w:color w:val="auto"/>
              </w:rPr>
            </w:pPr>
          </w:p>
        </w:tc>
        <w:tc>
          <w:tcPr>
            <w:tcW w:w="640" w:type="dxa"/>
            <w:vAlign w:val="bottom"/>
            <w:vMerge w:val="restart"/>
          </w:tcPr>
          <w:p>
            <w:pPr>
              <w:ind w:left="260"/>
              <w:spacing w:after="0" w:line="126"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6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See footnote</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7"/>
          </w:tcPr>
          <w:p>
            <w:pPr>
              <w:ind w:left="20"/>
              <w:spacing w:after="0" w:line="213"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GOLDMAN SACHS GROUP INC</w:t>
              </w:r>
            </w:hyperlink>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10282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7"/>
          </w:tcPr>
          <w:p>
            <w:pPr>
              <w:ind w:left="20"/>
              <w:spacing w:after="0" w:line="21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GOLDMAN SACHS &amp; CO. LLC</w:t>
              </w:r>
            </w:hyperlink>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10282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-5528945</wp:posOffset>
            </wp:positionV>
            <wp:extent cx="28575" cy="2476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476500"/>
                    </a:xfrm>
                    <a:prstGeom prst="rect">
                      <a:avLst/>
                    </a:prstGeom>
                    <a:noFill/>
                  </pic:spPr>
                </pic:pic>
              </a:graphicData>
            </a:graphic>
          </wp:anchor>
        </w:drawing>
      </w:r>
    </w:p>
    <w:p>
      <w:pPr>
        <w:spacing w:after="0" w:line="12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Goldman Sachs PSI Global Holdings,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-128905</wp:posOffset>
            </wp:positionV>
            <wp:extent cx="2811145" cy="6053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1145" cy="605345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10282</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8"/>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600" w:type="dxa"/>
            <w:vAlign w:val="bottom"/>
            <w:gridSpan w:val="4"/>
          </w:tcPr>
          <w:p>
            <w:pPr>
              <w:ind w:left="20"/>
              <w:spacing w:after="0" w:line="213"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StoneBridge 2020, L.P.</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10282-2198</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Stonebridge 2020 Offshore Holdings II, L.P.</w:t>
        </w:r>
      </w:hyperlink>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9"/>
        </w:trPr>
        <w:tc>
          <w:tcPr>
            <w:tcW w:w="2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3"/>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Bridge Street Opportunity Advisors, L.L.C.</w:t>
        </w:r>
      </w:hyperlink>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9"/>
        </w:trPr>
        <w:tc>
          <w:tcPr>
            <w:tcW w:w="2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3"/>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jc w:val="both"/>
        <w:ind w:left="20" w:right="160" w:hanging="2"/>
        <w:spacing w:after="0" w:line="235"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September 2, 2022, the reporting person consummated the sale of all 61,542 shares of Non-Voting Common Stock, resulting in the automatic conversion of such shares into Voting Common Stock upon the execution of the sale of such shares as reported in Table I.</w:t>
      </w:r>
    </w:p>
    <w:p>
      <w:pPr>
        <w:spacing w:after="0" w:line="24" w:lineRule="exact"/>
        <w:rPr>
          <w:rFonts w:ascii="Times New Roman" w:cs="Times New Roman" w:eastAsia="Times New Roman" w:hAnsi="Times New Roman"/>
          <w:sz w:val="13"/>
          <w:szCs w:val="13"/>
          <w:color w:val="008000"/>
        </w:rPr>
      </w:pPr>
    </w:p>
    <w:p>
      <w:pPr>
        <w:ind w:left="20" w:right="40" w:hanging="2"/>
        <w:spacing w:after="0" w:line="229"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3 below)</w:t>
      </w:r>
    </w:p>
    <w:p>
      <w:pPr>
        <w:spacing w:after="0" w:line="26" w:lineRule="exact"/>
        <w:rPr>
          <w:rFonts w:ascii="Times New Roman" w:cs="Times New Roman" w:eastAsia="Times New Roman" w:hAnsi="Times New Roman"/>
          <w:sz w:val="13"/>
          <w:szCs w:val="13"/>
          <w:color w:val="008000"/>
        </w:rPr>
      </w:pPr>
    </w:p>
    <w:p>
      <w:pPr>
        <w:ind w:left="20" w:right="32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above). This report shall not be deemed an admission that any of the Reporting Persons are a member of a group or the beneficial owner of any securities not directly owned by the Reporting Person.</w:t>
      </w:r>
    </w:p>
    <w:p>
      <w:pPr>
        <w:spacing w:after="0" w:line="21" w:lineRule="exact"/>
        <w:rPr>
          <w:rFonts w:ascii="Times New Roman" w:cs="Times New Roman" w:eastAsia="Times New Roman" w:hAnsi="Times New Roman"/>
          <w:sz w:val="13"/>
          <w:szCs w:val="13"/>
          <w:color w:val="008000"/>
        </w:rPr>
      </w:pPr>
    </w:p>
    <w:p>
      <w:pPr>
        <w:ind w:left="20" w:right="4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is a subsidiary of GS Group. Goldman Sachs is the investment manager of the SB Funds, and Bridge Street is the general partner of the SB Funds. Each of Bridge Street and GSPSI is wholly owned by GS Group.</w:t>
      </w:r>
    </w:p>
    <w:p>
      <w:pPr>
        <w:spacing w:after="0" w:line="21" w:lineRule="exact"/>
        <w:rPr>
          <w:rFonts w:ascii="Times New Roman" w:cs="Times New Roman" w:eastAsia="Times New Roman" w:hAnsi="Times New Roman"/>
          <w:sz w:val="13"/>
          <w:szCs w:val="13"/>
          <w:color w:val="008000"/>
        </w:rPr>
      </w:pPr>
    </w:p>
    <w:p>
      <w:pPr>
        <w:ind w:left="2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Because of the relationships among GS Group, Goldman Sachs, Bridge Street, the SB Funds and GSPSI, each of GS Group and Goldman Sachs may be deemed a beneficial owner of any shares of the Issuer held by GSPSI and the SB Funds, and Bridge Street may be deemed a beneficial owner of any shares of the Issuer held by the SB Funds.</w:t>
      </w:r>
    </w:p>
    <w:p>
      <w:pPr>
        <w:spacing w:after="0" w:line="21" w:lineRule="exact"/>
        <w:rPr>
          <w:rFonts w:ascii="Times New Roman" w:cs="Times New Roman" w:eastAsia="Times New Roman" w:hAnsi="Times New Roman"/>
          <w:sz w:val="13"/>
          <w:szCs w:val="13"/>
          <w:color w:val="008000"/>
        </w:rPr>
      </w:pPr>
    </w:p>
    <w:p>
      <w:pPr>
        <w:jc w:val="both"/>
        <w:ind w:left="20" w:right="160" w:hanging="2"/>
        <w:spacing w:after="0" w:line="235"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September 6, 2022, the reporting person consummated the sale of all 86,318 shares of Non-Voting Common Stock, resulting in the automatic conversion of such shares into Voting Common Stock upon the execution of the sale of such shares as reported in Table I.</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1"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09/07/2022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09/07/2022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09/07/2022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09/07/2022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09/07/2022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Crystal Orgill,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09/07/2022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56" w:lineRule="auto"/>
        <w:tabs>
          <w:tab w:leader="none" w:pos="15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480" w:top="114" w:right="519"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6" Type="http://schemas.openxmlformats.org/officeDocument/2006/relationships/hyperlink" Target="http://www.sec.gov/cgi-bin/browse-edgar?action=getcompany&amp;CIK=0001865223" TargetMode="External"/><Relationship Id="rId18"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2022-09-07T18:07:53Z</dcterms:created>
  <dcterms:modified xsi:type="dcterms:W3CDTF">2022-09-07T18:07:53Z</dcterms:modified>
</cp:coreProperties>
</file>