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00" w:type="dxa"/>
            <w:vAlign w:val="bottom"/>
          </w:tcPr>
          <w:p>
            <w:pPr>
              <w:ind w:left="40"/>
              <w:spacing w:after="0"/>
              <w:rPr>
                <w:sz w:val="20"/>
                <w:szCs w:val="20"/>
                <w:color w:val="auto"/>
              </w:rPr>
            </w:pPr>
            <w:r>
              <w:rPr>
                <w:rFonts w:ascii="Arial" w:cs="Arial" w:eastAsia="Arial" w:hAnsi="Arial"/>
                <w:sz w:val="22"/>
                <w:szCs w:val="22"/>
                <w:color w:val="auto"/>
              </w:rPr>
              <w:t>0001859026</w:t>
            </w:r>
          </w:p>
        </w:tc>
        <w:tc>
          <w:tcPr>
            <w:tcW w:w="33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3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3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49"/>
        </w:trPr>
        <w:tc>
          <w:tcPr>
            <w:tcW w:w="63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8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00" w:type="dxa"/>
            <w:vAlign w:val="bottom"/>
          </w:tcPr>
          <w:p>
            <w:pPr>
              <w:spacing w:after="0"/>
              <w:rPr>
                <w:sz w:val="24"/>
                <w:szCs w:val="24"/>
                <w:color w:val="auto"/>
              </w:rPr>
            </w:pPr>
          </w:p>
        </w:tc>
        <w:tc>
          <w:tcPr>
            <w:tcW w:w="3380" w:type="dxa"/>
            <w:vAlign w:val="bottom"/>
          </w:tcPr>
          <w:p>
            <w:pPr>
              <w:ind w:left="58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00" w:type="dxa"/>
            <w:vAlign w:val="bottom"/>
          </w:tcPr>
          <w:p>
            <w:pPr>
              <w:spacing w:after="0"/>
              <w:rPr>
                <w:sz w:val="24"/>
                <w:szCs w:val="24"/>
                <w:color w:val="auto"/>
              </w:rPr>
            </w:pPr>
          </w:p>
        </w:tc>
        <w:tc>
          <w:tcPr>
            <w:tcW w:w="3380" w:type="dxa"/>
            <w:vAlign w:val="bottom"/>
          </w:tcPr>
          <w:p>
            <w:pPr>
              <w:ind w:left="58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380" w:type="dxa"/>
            <w:vAlign w:val="bottom"/>
          </w:tcPr>
          <w:p>
            <w:pPr>
              <w:ind w:left="580"/>
              <w:spacing w:after="0"/>
              <w:rPr>
                <w:sz w:val="20"/>
                <w:szCs w:val="20"/>
                <w:color w:val="auto"/>
              </w:rPr>
            </w:pPr>
            <w:r>
              <w:rPr>
                <w:rFonts w:ascii="Arial" w:cs="Arial" w:eastAsia="Arial" w:hAnsi="Arial"/>
                <w:sz w:val="22"/>
                <w:szCs w:val="22"/>
                <w:color w:val="auto"/>
              </w:rPr>
              <w:t>141 TREMONT STREET</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380" w:type="dxa"/>
            <w:vAlign w:val="bottom"/>
          </w:tcPr>
          <w:p>
            <w:pPr>
              <w:ind w:left="58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300" w:type="dxa"/>
            <w:vAlign w:val="bottom"/>
          </w:tcPr>
          <w:p>
            <w:pPr>
              <w:spacing w:after="0"/>
              <w:rPr>
                <w:sz w:val="21"/>
                <w:szCs w:val="21"/>
                <w:color w:val="auto"/>
              </w:rPr>
            </w:pPr>
          </w:p>
        </w:tc>
        <w:tc>
          <w:tcPr>
            <w:tcW w:w="3380" w:type="dxa"/>
            <w:vAlign w:val="bottom"/>
          </w:tcPr>
          <w:p>
            <w:pPr>
              <w:ind w:left="58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380" w:type="dxa"/>
            <w:vAlign w:val="bottom"/>
          </w:tcPr>
          <w:p>
            <w:pPr>
              <w:ind w:left="58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380" w:type="dxa"/>
            <w:vAlign w:val="bottom"/>
          </w:tcPr>
          <w:p>
            <w:pPr>
              <w:ind w:left="58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00" w:type="dxa"/>
            <w:vAlign w:val="bottom"/>
          </w:tcPr>
          <w:p>
            <w:pPr>
              <w:spacing w:after="0"/>
              <w:rPr>
                <w:sz w:val="24"/>
                <w:szCs w:val="24"/>
                <w:color w:val="auto"/>
              </w:rPr>
            </w:pPr>
          </w:p>
        </w:tc>
        <w:tc>
          <w:tcPr>
            <w:tcW w:w="3380" w:type="dxa"/>
            <w:vAlign w:val="bottom"/>
          </w:tcPr>
          <w:p>
            <w:pPr>
              <w:ind w:left="580"/>
              <w:spacing w:after="0"/>
              <w:rPr>
                <w:sz w:val="20"/>
                <w:szCs w:val="20"/>
                <w:color w:val="auto"/>
              </w:rPr>
            </w:pPr>
            <w:r>
              <w:rPr>
                <w:rFonts w:ascii="Arial" w:cs="Arial" w:eastAsia="Arial" w:hAnsi="Arial"/>
                <w:sz w:val="22"/>
                <w:szCs w:val="22"/>
                <w:color w:val="auto"/>
              </w:rPr>
              <w:t>617-329-4524</w:t>
            </w:r>
          </w:p>
        </w:tc>
      </w:tr>
      <w:tr>
        <w:trPr>
          <w:trHeight w:val="297"/>
        </w:trPr>
        <w:tc>
          <w:tcPr>
            <w:tcW w:w="6300" w:type="dxa"/>
            <w:vAlign w:val="bottom"/>
            <w:gridSpan w:val="2"/>
          </w:tcPr>
          <w:p>
            <w:pPr>
              <w:ind w:left="40"/>
              <w:spacing w:after="0"/>
              <w:rPr>
                <w:sz w:val="20"/>
                <w:szCs w:val="20"/>
                <w:color w:val="auto"/>
              </w:rPr>
            </w:pPr>
            <w:r>
              <w:rPr>
                <w:rFonts w:ascii="Arial" w:cs="Arial" w:eastAsia="Arial" w:hAnsi="Arial"/>
                <w:sz w:val="22"/>
                <w:szCs w:val="22"/>
                <w:color w:val="auto"/>
                <w:w w:val="97"/>
              </w:rPr>
              <w:t>Name of Person for Whose Account the Securities are To Be Sold</w:t>
            </w:r>
          </w:p>
        </w:tc>
        <w:tc>
          <w:tcPr>
            <w:tcW w:w="3380" w:type="dxa"/>
            <w:vAlign w:val="bottom"/>
          </w:tcPr>
          <w:p>
            <w:pPr>
              <w:ind w:left="580"/>
              <w:spacing w:after="0"/>
              <w:rPr>
                <w:sz w:val="20"/>
                <w:szCs w:val="20"/>
                <w:color w:val="auto"/>
              </w:rPr>
            </w:pPr>
            <w:r>
              <w:rPr>
                <w:rFonts w:ascii="Arial" w:cs="Arial" w:eastAsia="Arial" w:hAnsi="Arial"/>
                <w:sz w:val="22"/>
                <w:szCs w:val="22"/>
                <w:color w:val="auto"/>
                <w:w w:val="87"/>
              </w:rPr>
              <w:t>BCIP Venture Associates 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5"/>
              </w:rPr>
              <w:t>J.P. Morgan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383 Madison Avenue</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10179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8130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253574.00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60" w:val="left"/>
          <w:tab w:leader="none" w:pos="4420" w:val="left"/>
          <w:tab w:leader="none" w:pos="5820" w:val="left"/>
          <w:tab w:leader="none" w:pos="6420" w:val="left"/>
          <w:tab w:leader="none" w:pos="7380" w:val="left"/>
          <w:tab w:leader="none" w:pos="858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800" w:type="dxa"/>
            <w:vAlign w:val="bottom"/>
          </w:tcPr>
          <w:p>
            <w:pPr>
              <w:ind w:left="1400"/>
              <w:spacing w:after="0"/>
              <w:rPr>
                <w:sz w:val="20"/>
                <w:szCs w:val="20"/>
                <w:color w:val="auto"/>
              </w:rPr>
            </w:pPr>
            <w:r>
              <w:rPr>
                <w:rFonts w:ascii="Arial" w:cs="Arial" w:eastAsia="Arial" w:hAnsi="Arial"/>
                <w:sz w:val="22"/>
                <w:szCs w:val="22"/>
                <w:b w:val="1"/>
                <w:bCs w:val="1"/>
                <w:color w:val="auto"/>
              </w:rPr>
              <w:t>Transaction</w:t>
            </w: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Automatic</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conversion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preferred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4"/>
              </w:rPr>
              <w:t>purchased prior to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the Issuer's IPO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into shares of the</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vMerge w:val="restart"/>
          </w:tcPr>
          <w:p>
            <w:pPr>
              <w:spacing w:after="0"/>
              <w:rPr>
                <w:sz w:val="20"/>
                <w:szCs w:val="20"/>
                <w:color w:val="auto"/>
              </w:rPr>
            </w:pPr>
            <w:r>
              <w:rPr>
                <w:rFonts w:ascii="Arial" w:cs="Arial" w:eastAsia="Arial" w:hAnsi="Arial"/>
                <w:sz w:val="22"/>
                <w:szCs w:val="22"/>
                <w:color w:val="auto"/>
              </w:rPr>
              <w:t>Voting</w:t>
            </w:r>
          </w:p>
        </w:tc>
        <w:tc>
          <w:tcPr>
            <w:tcW w:w="2800" w:type="dxa"/>
            <w:vAlign w:val="bottom"/>
          </w:tcPr>
          <w:p>
            <w:pPr>
              <w:ind w:left="1100"/>
              <w:spacing w:after="0"/>
              <w:rPr>
                <w:sz w:val="20"/>
                <w:szCs w:val="20"/>
                <w:color w:val="auto"/>
              </w:rPr>
            </w:pPr>
            <w:r>
              <w:rPr>
                <w:rFonts w:ascii="Arial" w:cs="Arial" w:eastAsia="Arial" w:hAnsi="Arial"/>
                <w:sz w:val="22"/>
                <w:szCs w:val="22"/>
                <w:color w:val="auto"/>
              </w:rPr>
              <w:t>Isser's Class A</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vMerge w:val="restart"/>
          </w:tcPr>
          <w:p>
            <w:pPr>
              <w:ind w:left="1160"/>
              <w:spacing w:after="0"/>
              <w:rPr>
                <w:sz w:val="20"/>
                <w:szCs w:val="20"/>
                <w:color w:val="auto"/>
              </w:rPr>
            </w:pPr>
            <w:r>
              <w:rPr>
                <w:rFonts w:ascii="Arial" w:cs="Arial" w:eastAsia="Arial" w:hAnsi="Arial"/>
                <w:sz w:val="22"/>
                <w:szCs w:val="22"/>
                <w:color w:val="auto"/>
                <w:w w:val="94"/>
              </w:rPr>
              <w:t>Conversion of</w:t>
            </w: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2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w w:val="93"/>
              </w:rPr>
              <w:t>Common Stock</w:t>
            </w:r>
          </w:p>
        </w:tc>
        <w:tc>
          <w:tcPr>
            <w:tcW w:w="2800" w:type="dxa"/>
            <w:vAlign w:val="bottom"/>
          </w:tcPr>
          <w:p>
            <w:pPr>
              <w:ind w:left="60"/>
              <w:spacing w:after="0" w:line="243" w:lineRule="exact"/>
              <w:rPr>
                <w:sz w:val="20"/>
                <w:szCs w:val="20"/>
                <w:color w:val="auto"/>
              </w:rPr>
            </w:pPr>
            <w:r>
              <w:rPr>
                <w:rFonts w:ascii="Arial" w:cs="Arial" w:eastAsia="Arial" w:hAnsi="Arial"/>
                <w:sz w:val="22"/>
                <w:szCs w:val="22"/>
                <w:color w:val="auto"/>
              </w:rPr>
              <w:t>05/28/2021 Common Stock</w:t>
            </w:r>
          </w:p>
        </w:tc>
        <w:tc>
          <w:tcPr>
            <w:tcW w:w="1340" w:type="dxa"/>
            <w:vAlign w:val="bottom"/>
          </w:tcPr>
          <w:p>
            <w:pPr>
              <w:ind w:left="40"/>
              <w:spacing w:after="0" w:line="243" w:lineRule="exact"/>
              <w:rPr>
                <w:sz w:val="20"/>
                <w:szCs w:val="20"/>
                <w:color w:val="auto"/>
              </w:rPr>
            </w:pPr>
            <w:r>
              <w:rPr>
                <w:rFonts w:ascii="Arial" w:cs="Arial" w:eastAsia="Arial" w:hAnsi="Arial"/>
                <w:sz w:val="22"/>
                <w:szCs w:val="22"/>
                <w:color w:val="auto"/>
              </w:rPr>
              <w:t>Issuer</w:t>
            </w:r>
          </w:p>
        </w:tc>
        <w:tc>
          <w:tcPr>
            <w:tcW w:w="280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8130</w:t>
            </w:r>
          </w:p>
        </w:tc>
        <w:tc>
          <w:tcPr>
            <w:tcW w:w="246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20" w:type="dxa"/>
            <w:vAlign w:val="bottom"/>
          </w:tcPr>
          <w:p>
            <w:pPr>
              <w:spacing w:after="0"/>
              <w:rPr>
                <w:sz w:val="13"/>
                <w:szCs w:val="13"/>
                <w:color w:val="auto"/>
              </w:rPr>
            </w:pPr>
          </w:p>
        </w:tc>
        <w:tc>
          <w:tcPr>
            <w:tcW w:w="2800" w:type="dxa"/>
            <w:vAlign w:val="bottom"/>
          </w:tcPr>
          <w:p>
            <w:pPr>
              <w:ind w:left="1100"/>
              <w:spacing w:after="0" w:line="154" w:lineRule="exact"/>
              <w:rPr>
                <w:sz w:val="20"/>
                <w:szCs w:val="20"/>
                <w:color w:val="auto"/>
              </w:rPr>
            </w:pPr>
            <w:r>
              <w:rPr>
                <w:rFonts w:ascii="Arial" w:cs="Arial" w:eastAsia="Arial" w:hAnsi="Arial"/>
                <w:sz w:val="17"/>
                <w:szCs w:val="17"/>
                <w:color w:val="auto"/>
              </w:rPr>
              <w:t>and subsequent</w:t>
            </w:r>
          </w:p>
        </w:tc>
        <w:tc>
          <w:tcPr>
            <w:tcW w:w="1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reclassification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86"/>
              </w:rPr>
              <w:t>the Issuer's Class A</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Common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into the Issuer's</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Voting Common</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Stock</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BCIP Venture Associates II, L.P.</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200 CLARENDON STREET</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Voting Common Stock</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05/11/2023 23172</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683805.00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Boston  MA  02116</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780" w:type="dxa"/>
            <w:vAlign w:val="bottom"/>
          </w:tcPr>
          <w:p>
            <w:pPr>
              <w:spacing w:after="0"/>
              <w:rPr>
                <w:sz w:val="20"/>
                <w:szCs w:val="20"/>
                <w:color w:val="auto"/>
              </w:rPr>
            </w:pPr>
            <w:r>
              <w:rPr>
                <w:rFonts w:ascii="Arial" w:cs="Arial" w:eastAsia="Arial" w:hAnsi="Arial"/>
                <w:sz w:val="22"/>
                <w:szCs w:val="22"/>
                <w:color w:val="auto"/>
              </w:rPr>
              <w:t>Remarks</w:t>
            </w:r>
          </w:p>
        </w:tc>
        <w:tc>
          <w:tcPr>
            <w:tcW w:w="1480" w:type="dxa"/>
            <w:vAlign w:val="bottom"/>
          </w:tcPr>
          <w:p>
            <w:pPr>
              <w:spacing w:after="0"/>
              <w:rPr>
                <w:sz w:val="23"/>
                <w:szCs w:val="23"/>
                <w:color w:val="auto"/>
              </w:rPr>
            </w:pPr>
          </w:p>
        </w:tc>
      </w:tr>
      <w:tr>
        <w:trPr>
          <w:trHeight w:val="297"/>
        </w:trPr>
        <w:tc>
          <w:tcPr>
            <w:tcW w:w="1780" w:type="dxa"/>
            <w:vAlign w:val="bottom"/>
          </w:tcPr>
          <w:p>
            <w:pPr>
              <w:spacing w:after="0"/>
              <w:rPr>
                <w:sz w:val="20"/>
                <w:szCs w:val="20"/>
                <w:color w:val="auto"/>
              </w:rPr>
            </w:pPr>
            <w:r>
              <w:rPr>
                <w:rFonts w:ascii="Arial" w:cs="Arial" w:eastAsia="Arial" w:hAnsi="Arial"/>
                <w:sz w:val="22"/>
                <w:szCs w:val="22"/>
                <w:color w:val="auto"/>
              </w:rPr>
              <w:t>Date of Notice</w:t>
            </w:r>
          </w:p>
        </w:tc>
        <w:tc>
          <w:tcPr>
            <w:tcW w:w="1480" w:type="dxa"/>
            <w:vAlign w:val="bottom"/>
          </w:tcPr>
          <w:p>
            <w:pPr>
              <w:jc w:val="right"/>
              <w:spacing w:after="0"/>
              <w:rPr>
                <w:sz w:val="20"/>
                <w:szCs w:val="20"/>
                <w:color w:val="auto"/>
              </w:rPr>
            </w:pPr>
            <w:r>
              <w:rPr>
                <w:rFonts w:ascii="Arial" w:cs="Arial" w:eastAsia="Arial" w:hAnsi="Arial"/>
                <w:sz w:val="22"/>
                <w:szCs w:val="22"/>
                <w:color w:val="auto"/>
              </w:rPr>
              <w:t>05/18/2023</w:t>
            </w:r>
          </w:p>
        </w:tc>
      </w:tr>
      <w:tr>
        <w:trPr>
          <w:trHeight w:val="297"/>
        </w:trPr>
        <w:tc>
          <w:tcPr>
            <w:tcW w:w="1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Authorized Signatory of Boylston Coinvestors, LLC</w:t>
      </w:r>
    </w:p>
    <w:p>
      <w:pPr>
        <w:sectPr>
          <w:pgSz w:w="11900" w:h="16838" w:orient="portrait"/>
          <w:cols w:equalWidth="0" w:num="1">
            <w:col w:w="11240"/>
          </w:cols>
          <w:pgMar w:left="320" w:top="102" w:right="339" w:bottom="1440"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2023-05-18T20:31:00Z</dcterms:created>
  <dcterms:modified xsi:type="dcterms:W3CDTF">2023-05-18T20:31:00Z</dcterms:modified>
</cp:coreProperties>
</file>