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Butterfield Peter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FLYWIRE CORPORATION</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141 TREMONT STREET, SUITE 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Flywire Corp</w:t>
              </w:r>
            </w:hyperlink>
            <w:r>
              <w:rPr/>
              <w:t xml:space="preserve"> [ </w:t>
            </w:r>
            <w:r>
              <w:rPr>
                <w:rFonts w:ascii="Times;serif" w:hAnsi="Times;serif"/>
                <w:color w:val="0000FF"/>
                <w:sz w:val="24"/>
                <w:shd w:fill="FFFFFF" w:val="clear"/>
              </w:rPr>
              <w:t>FLYW</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General Counsel and CCO</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06/05/2023</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2"/>
        <w:gridCol w:w="902"/>
        <w:gridCol w:w="771"/>
        <w:gridCol w:w="599"/>
        <w:gridCol w:w="347"/>
        <w:gridCol w:w="842"/>
        <w:gridCol w:w="452"/>
        <w:gridCol w:w="838"/>
        <w:gridCol w:w="1190"/>
        <w:gridCol w:w="993"/>
        <w:gridCol w:w="91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Voting 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06/05/2023</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1,329</w:t>
            </w:r>
          </w:p>
        </w:tc>
        <w:tc>
          <w:tcPr>
            <w:tcW w:w="4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3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31.303</w:t>
            </w:r>
            <w:r>
              <w:rPr/>
              <w:t xml:space="preserve"> </w:t>
            </w:r>
          </w:p>
        </w:tc>
        <w:tc>
          <w:tcPr>
            <w:tcW w:w="11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112,523</w:t>
            </w:r>
            <w:r>
              <w:rPr>
                <w:rFonts w:ascii="Times;serif" w:hAnsi="Times;serif"/>
                <w:color w:val="008000"/>
                <w:position w:val="7"/>
                <w:sz w:val="16"/>
                <w:sz w:val="20"/>
                <w:shd w:fill="FFFFFF" w:val="clear"/>
              </w:rPr>
              <w:t>(2)</w:t>
            </w:r>
            <w:r>
              <w:rPr/>
              <w:t xml:space="preserve"> </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shares of common stock were automatically sold in a non-discretionary transaction by the Reporting Person in order to cover tax withholding obligations upon the settlement of certain time-based restricted stock unit awards.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transaction is being reported late due to inadvertent administrative error. The amount in Column 5 of this Form 4 reflects the number of shares beneficially owned by the Reporting Person as of the date of this report after giving effect to the reported transaction and previously reported transactions that occurred after June 5, 2023.</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Peter Butterfield</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07/07/2023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862133" TargetMode="External"/><Relationship Id="rId4" Type="http://schemas.openxmlformats.org/officeDocument/2006/relationships/hyperlink" Target="http://www.sec.gov/cgi-bin/browse-edgar?action=getcompany&amp;CIK=0001580560"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648</Words>
  <Characters>3544</Characters>
  <CharactersWithSpaces>4131</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