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King David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20"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03/03/2025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7"/>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tcPr>
          <w:p>
            <w:pPr>
              <w:ind w:left="4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gridSpan w:val="3"/>
          </w:tcPr>
          <w:p>
            <w:pPr>
              <w:ind w:left="420"/>
              <w:spacing w:after="0"/>
              <w:rPr>
                <w:sz w:val="20"/>
                <w:szCs w:val="20"/>
                <w:color w:val="auto"/>
              </w:rPr>
            </w:pPr>
            <w:r>
              <w:rPr>
                <w:rFonts w:ascii="Arial" w:cs="Arial" w:eastAsia="Arial" w:hAnsi="Arial"/>
                <w:sz w:val="13"/>
                <w:szCs w:val="13"/>
                <w:color w:val="auto"/>
                <w:w w:val="96"/>
              </w:rPr>
              <w:t>Line)</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4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60" w:type="dxa"/>
            <w:vAlign w:val="bottom"/>
            <w:gridSpan w:val="3"/>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76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03/03/2025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15,412</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10.76</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594,437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0"/>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276,204</w:t>
            </w:r>
          </w:p>
        </w:tc>
        <w:tc>
          <w:tcPr>
            <w:tcW w:w="28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2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number of common stock that have been withheld by the Issuer to satisfy its income tax withholding and remittance obligations in connection with the net settlement of certain time-based restricted stock unit awards and does not represent an open market sale.</w:t>
      </w:r>
    </w:p>
    <w:p>
      <w:pPr>
        <w:spacing w:after="0" w:line="7"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D R King Revocable Trust Dated 10/05/07,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David R. King</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03/05/2025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2946"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2025-03-05T18:40:44Z</dcterms:created>
  <dcterms:modified xsi:type="dcterms:W3CDTF">2025-03-05T18:40:44Z</dcterms:modified>
</cp:coreProperties>
</file>