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INFORMATION TO BE INCLUDED IN STATEMENTS FILED PURSUANT TO § 240.13d-1(b), (c) AND (d) AND</w:t>
      </w:r>
    </w:p>
    <w:p>
      <w:pPr>
        <w:spacing w:after="0" w:line="3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AMENDMENTS THERETO FILED PURSUANT TO § 240.13d-2</w:t>
      </w:r>
    </w:p>
    <w:p>
      <w:pPr>
        <w:spacing w:after="0" w:line="17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Voting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302492103</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11"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tabs>
          <w:tab w:leader="none" w:pos="984" w:val="left"/>
          <w:tab w:leader="none" w:pos="1164" w:val="left"/>
          <w:tab w:leader="none" w:pos="1344" w:val="left"/>
          <w:tab w:leader="none" w:pos="9724" w:val="left"/>
          <w:tab w:leader="none" w:pos="108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2 of 10 </w:t>
      </w:r>
      <w:r>
        <w:rPr>
          <w:sz w:val="20"/>
          <w:szCs w:val="20"/>
          <w:color w:val="auto"/>
        </w:rPr>
        <w:tab/>
      </w:r>
      <w:r>
        <w:rPr>
          <w:rFonts w:ascii="Times New Roman" w:cs="Times New Roman" w:eastAsia="Times New Roman" w:hAnsi="Times New Roman"/>
          <w:sz w:val="4"/>
          <w:szCs w:val="4"/>
          <w:color w:val="auto"/>
        </w:rPr>
        <w:t> </w:t>
      </w:r>
    </w:p>
    <w:p>
      <w:pPr>
        <w:spacing w:after="0" w:line="167"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960870" cy="523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5238115"/>
                    </a:xfrm>
                    <a:prstGeom prst="rect">
                      <a:avLst/>
                    </a:prstGeom>
                    <a:noFill/>
                  </pic:spPr>
                </pic:pic>
              </a:graphicData>
            </a:graphic>
          </wp:anchor>
        </w:drawing>
      </w:r>
    </w:p>
    <w:p>
      <w:pPr>
        <w:spacing w:after="0" w:line="23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29"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64"/>
        <w:spacing w:after="0" w:line="207" w:lineRule="exact"/>
        <w:tabs>
          <w:tab w:leader="none" w:pos="1364" w:val="left"/>
          <w:tab w:leader="none" w:pos="15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2"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9" w:lineRule="exact"/>
        <w:rPr>
          <w:sz w:val="20"/>
          <w:szCs w:val="20"/>
          <w:color w:val="auto"/>
        </w:rPr>
      </w:pPr>
    </w:p>
    <w:p>
      <w:pPr>
        <w:ind w:left="1884" w:hanging="251"/>
        <w:spacing w:after="0"/>
        <w:tabs>
          <w:tab w:leader="none" w:pos="18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4" w:type="dxa"/>
        <w:tblCellMar>
          <w:top w:w="0" w:type="dxa"/>
          <w:left w:w="0" w:type="dxa"/>
          <w:bottom w:w="0" w:type="dxa"/>
          <w:right w:w="0" w:type="dxa"/>
        </w:tblCellMar>
      </w:tblPr>
      <w:tr>
        <w:trPr>
          <w:trHeight w:val="28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34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8,684,895</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spacing w:after="0"/>
              <w:rPr>
                <w:sz w:val="20"/>
                <w:szCs w:val="20"/>
                <w:color w:val="auto"/>
              </w:rPr>
            </w:pPr>
          </w:p>
        </w:tc>
        <w:tc>
          <w:tcPr>
            <w:tcW w:w="916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764" w:hanging="607"/>
        <w:spacing w:after="0" w:line="207" w:lineRule="exact"/>
        <w:tabs>
          <w:tab w:leader="none" w:pos="7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b w:val="1"/>
          <w:bCs w:val="1"/>
          <w:color w:val="auto"/>
        </w:rPr>
      </w:pPr>
    </w:p>
    <w:p>
      <w:pPr>
        <w:ind w:left="764" w:hanging="607"/>
        <w:spacing w:after="0"/>
        <w:tabs>
          <w:tab w:leader="none" w:pos="7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7.0%</w:t>
      </w:r>
      <w:r>
        <w:rPr>
          <w:rFonts w:ascii="Times New Roman" w:cs="Times New Roman" w:eastAsia="Times New Roman" w:hAnsi="Times New Roman"/>
          <w:sz w:val="16"/>
          <w:szCs w:val="16"/>
          <w:color w:val="auto"/>
        </w:rPr>
        <w:t>(1)</w:t>
      </w:r>
    </w:p>
    <w:p>
      <w:pPr>
        <w:spacing w:after="0" w:line="29" w:lineRule="exact"/>
        <w:rPr>
          <w:sz w:val="20"/>
          <w:szCs w:val="20"/>
          <w:color w:val="auto"/>
        </w:rPr>
      </w:pPr>
    </w:p>
    <w:p>
      <w:pPr>
        <w:ind w:left="764" w:hanging="607"/>
        <w:spacing w:after="0"/>
        <w:tabs>
          <w:tab w:leader="none" w:pos="76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HC</w:t>
      </w:r>
    </w:p>
    <w:p>
      <w:pPr>
        <w:spacing w:after="0" w:line="269" w:lineRule="exact"/>
        <w:rPr>
          <w:sz w:val="20"/>
          <w:szCs w:val="20"/>
          <w:color w:val="auto"/>
        </w:rPr>
      </w:pPr>
    </w:p>
    <w:p>
      <w:pPr>
        <w:ind w:left="424" w:right="20" w:hanging="424"/>
        <w:spacing w:after="0" w:line="208"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123,389,828 shares of the Issuer’s (as defined herein) voting common stock outstanding as of August 2, 2024, as set forth in the Issuer’s quarterly report on Form 10-Q filed with the Securities and Exchange Commission (the “Commission”) on August 6, 2024.</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tabs>
          <w:tab w:leader="none" w:pos="984" w:val="left"/>
          <w:tab w:leader="none" w:pos="1164" w:val="left"/>
          <w:tab w:leader="none" w:pos="1344" w:val="left"/>
          <w:tab w:leader="none" w:pos="9724" w:val="left"/>
          <w:tab w:leader="none" w:pos="108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3 of 10 </w:t>
      </w:r>
      <w:r>
        <w:rPr>
          <w:sz w:val="20"/>
          <w:szCs w:val="20"/>
          <w:color w:val="auto"/>
        </w:rPr>
        <w:tab/>
      </w:r>
      <w:r>
        <w:rPr>
          <w:rFonts w:ascii="Times New Roman" w:cs="Times New Roman" w:eastAsia="Times New Roman" w:hAnsi="Times New Roman"/>
          <w:sz w:val="4"/>
          <w:szCs w:val="4"/>
          <w:color w:val="auto"/>
        </w:rPr>
        <w:t> </w:t>
      </w:r>
    </w:p>
    <w:p>
      <w:pPr>
        <w:spacing w:after="0" w:line="167"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960870" cy="5237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5237480"/>
                    </a:xfrm>
                    <a:prstGeom prst="rect">
                      <a:avLst/>
                    </a:prstGeom>
                    <a:noFill/>
                  </pic:spPr>
                </pic:pic>
              </a:graphicData>
            </a:graphic>
          </wp:anchor>
        </w:drawing>
      </w:r>
    </w:p>
    <w:p>
      <w:pPr>
        <w:spacing w:after="0" w:line="23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Fullerton Management Pte Ltd</w:t>
      </w:r>
    </w:p>
    <w:p>
      <w:pPr>
        <w:spacing w:after="0" w:line="29" w:lineRule="exact"/>
        <w:rPr>
          <w:sz w:val="20"/>
          <w:szCs w:val="20"/>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64"/>
        <w:spacing w:after="0" w:line="207" w:lineRule="exact"/>
        <w:tabs>
          <w:tab w:leader="none" w:pos="1364" w:val="left"/>
          <w:tab w:leader="none" w:pos="15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2" w:lineRule="exact"/>
        <w:rPr>
          <w:sz w:val="20"/>
          <w:szCs w:val="20"/>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9" w:lineRule="exact"/>
        <w:rPr>
          <w:sz w:val="20"/>
          <w:szCs w:val="20"/>
          <w:color w:val="auto"/>
        </w:rPr>
      </w:pPr>
    </w:p>
    <w:p>
      <w:pPr>
        <w:ind w:left="1884" w:hanging="251"/>
        <w:spacing w:after="0"/>
        <w:tabs>
          <w:tab w:leader="none" w:pos="18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4" w:type="dxa"/>
        <w:tblCellMar>
          <w:top w:w="0" w:type="dxa"/>
          <w:left w:w="0" w:type="dxa"/>
          <w:bottom w:w="0" w:type="dxa"/>
          <w:right w:w="0" w:type="dxa"/>
        </w:tblCellMar>
      </w:tblPr>
      <w:tr>
        <w:trPr>
          <w:trHeight w:val="28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34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8,684,895</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spacing w:after="0"/>
              <w:rPr>
                <w:sz w:val="20"/>
                <w:szCs w:val="20"/>
                <w:color w:val="auto"/>
              </w:rPr>
            </w:pPr>
          </w:p>
        </w:tc>
        <w:tc>
          <w:tcPr>
            <w:tcW w:w="916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764" w:hanging="607"/>
        <w:spacing w:after="0" w:line="207" w:lineRule="exact"/>
        <w:tabs>
          <w:tab w:leader="none" w:pos="76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b w:val="1"/>
          <w:bCs w:val="1"/>
          <w:color w:val="auto"/>
        </w:rPr>
      </w:pPr>
    </w:p>
    <w:p>
      <w:pPr>
        <w:ind w:left="764" w:hanging="607"/>
        <w:spacing w:after="0"/>
        <w:tabs>
          <w:tab w:leader="none" w:pos="76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7.0%</w:t>
      </w:r>
      <w:r>
        <w:rPr>
          <w:rFonts w:ascii="Times New Roman" w:cs="Times New Roman" w:eastAsia="Times New Roman" w:hAnsi="Times New Roman"/>
          <w:sz w:val="16"/>
          <w:szCs w:val="16"/>
          <w:color w:val="auto"/>
        </w:rPr>
        <w:t>(1)</w:t>
      </w:r>
    </w:p>
    <w:p>
      <w:pPr>
        <w:spacing w:after="0" w:line="29" w:lineRule="exact"/>
        <w:rPr>
          <w:sz w:val="20"/>
          <w:szCs w:val="20"/>
          <w:color w:val="auto"/>
        </w:rPr>
      </w:pPr>
    </w:p>
    <w:p>
      <w:pPr>
        <w:ind w:left="764" w:hanging="607"/>
        <w:spacing w:after="0"/>
        <w:tabs>
          <w:tab w:leader="none" w:pos="76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HC</w:t>
      </w:r>
    </w:p>
    <w:p>
      <w:pPr>
        <w:spacing w:after="0" w:line="269" w:lineRule="exact"/>
        <w:rPr>
          <w:sz w:val="20"/>
          <w:szCs w:val="20"/>
          <w:color w:val="auto"/>
        </w:rPr>
      </w:pPr>
    </w:p>
    <w:p>
      <w:pPr>
        <w:ind w:left="424" w:right="20" w:hanging="424"/>
        <w:spacing w:after="0" w:line="208" w:lineRule="auto"/>
        <w:tabs>
          <w:tab w:leader="none" w:pos="42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123,389,828 shares of the Issuer’s voting common stock outstanding as of August 2, 2024, as set forth in the Issuer’s quarterly report on Form 10-Q filed with the Commission on August 6, 2024.</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tabs>
          <w:tab w:leader="none" w:pos="984" w:val="left"/>
          <w:tab w:leader="none" w:pos="1164" w:val="left"/>
          <w:tab w:leader="none" w:pos="1344" w:val="left"/>
          <w:tab w:leader="none" w:pos="9724" w:val="left"/>
          <w:tab w:leader="none" w:pos="108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4 of 10 </w:t>
      </w:r>
      <w:r>
        <w:rPr>
          <w:sz w:val="20"/>
          <w:szCs w:val="20"/>
          <w:color w:val="auto"/>
        </w:rPr>
        <w:tab/>
      </w:r>
      <w:r>
        <w:rPr>
          <w:rFonts w:ascii="Times New Roman" w:cs="Times New Roman" w:eastAsia="Times New Roman" w:hAnsi="Times New Roman"/>
          <w:sz w:val="4"/>
          <w:szCs w:val="4"/>
          <w:color w:val="auto"/>
        </w:rPr>
        <w:t> </w:t>
      </w:r>
    </w:p>
    <w:p>
      <w:pPr>
        <w:spacing w:after="0" w:line="167"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960870" cy="523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5238115"/>
                    </a:xfrm>
                    <a:prstGeom prst="rect">
                      <a:avLst/>
                    </a:prstGeom>
                    <a:noFill/>
                  </pic:spPr>
                </pic:pic>
              </a:graphicData>
            </a:graphic>
          </wp:anchor>
        </w:drawing>
      </w:r>
    </w:p>
    <w:p>
      <w:pPr>
        <w:spacing w:after="0" w:line="23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Hotham Investments Pte. Ltd.</w:t>
      </w:r>
    </w:p>
    <w:p>
      <w:pPr>
        <w:spacing w:after="0" w:line="29" w:lineRule="exact"/>
        <w:rPr>
          <w:sz w:val="20"/>
          <w:szCs w:val="20"/>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64"/>
        <w:spacing w:after="0" w:line="207" w:lineRule="exact"/>
        <w:tabs>
          <w:tab w:leader="none" w:pos="1364" w:val="left"/>
          <w:tab w:leader="none" w:pos="15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2" w:lineRule="exact"/>
        <w:rPr>
          <w:sz w:val="20"/>
          <w:szCs w:val="20"/>
          <w:color w:val="auto"/>
        </w:rPr>
      </w:pPr>
    </w:p>
    <w:p>
      <w:pPr>
        <w:ind w:left="244" w:hanging="87"/>
        <w:spacing w:after="0"/>
        <w:tabs>
          <w:tab w:leader="none" w:pos="244"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9" w:lineRule="exact"/>
        <w:rPr>
          <w:sz w:val="20"/>
          <w:szCs w:val="20"/>
          <w:color w:val="auto"/>
        </w:rPr>
      </w:pPr>
    </w:p>
    <w:p>
      <w:pPr>
        <w:ind w:left="1884" w:hanging="251"/>
        <w:spacing w:after="0"/>
        <w:tabs>
          <w:tab w:leader="none" w:pos="188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4" w:type="dxa"/>
        <w:tblCellMar>
          <w:top w:w="0" w:type="dxa"/>
          <w:left w:w="0" w:type="dxa"/>
          <w:bottom w:w="0" w:type="dxa"/>
          <w:right w:w="0" w:type="dxa"/>
        </w:tblCellMar>
      </w:tblPr>
      <w:tr>
        <w:trPr>
          <w:trHeight w:val="28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34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8,684,895</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spacing w:after="0"/>
              <w:rPr>
                <w:sz w:val="20"/>
                <w:szCs w:val="20"/>
                <w:color w:val="auto"/>
              </w:rPr>
            </w:pPr>
          </w:p>
        </w:tc>
        <w:tc>
          <w:tcPr>
            <w:tcW w:w="916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764" w:hanging="607"/>
        <w:spacing w:after="0" w:line="207" w:lineRule="exact"/>
        <w:tabs>
          <w:tab w:leader="none" w:pos="7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b w:val="1"/>
          <w:bCs w:val="1"/>
          <w:color w:val="auto"/>
        </w:rPr>
      </w:pPr>
    </w:p>
    <w:p>
      <w:pPr>
        <w:ind w:left="764" w:hanging="607"/>
        <w:spacing w:after="0"/>
        <w:tabs>
          <w:tab w:leader="none" w:pos="7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7.0%</w:t>
      </w:r>
      <w:r>
        <w:rPr>
          <w:rFonts w:ascii="Times New Roman" w:cs="Times New Roman" w:eastAsia="Times New Roman" w:hAnsi="Times New Roman"/>
          <w:sz w:val="16"/>
          <w:szCs w:val="16"/>
          <w:color w:val="auto"/>
        </w:rPr>
        <w:t>(1)</w:t>
      </w:r>
    </w:p>
    <w:p>
      <w:pPr>
        <w:spacing w:after="0" w:line="29" w:lineRule="exact"/>
        <w:rPr>
          <w:sz w:val="20"/>
          <w:szCs w:val="20"/>
          <w:color w:val="auto"/>
        </w:rPr>
      </w:pPr>
    </w:p>
    <w:p>
      <w:pPr>
        <w:ind w:left="764" w:hanging="607"/>
        <w:spacing w:after="0"/>
        <w:tabs>
          <w:tab w:leader="none" w:pos="76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HC</w:t>
      </w:r>
    </w:p>
    <w:p>
      <w:pPr>
        <w:spacing w:after="0" w:line="269" w:lineRule="exact"/>
        <w:rPr>
          <w:sz w:val="20"/>
          <w:szCs w:val="20"/>
          <w:color w:val="auto"/>
        </w:rPr>
      </w:pPr>
    </w:p>
    <w:p>
      <w:pPr>
        <w:ind w:left="424" w:right="20" w:hanging="424"/>
        <w:spacing w:after="0" w:line="208" w:lineRule="auto"/>
        <w:tabs>
          <w:tab w:leader="none" w:pos="424"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123,389,828 shares of the Issuer’s voting common stock outstanding as of August 2, 2024, as set forth in the Issuer’s quarterly report on Form 10-Q filed with the Commission on August 6, 2024.</w:t>
      </w:r>
    </w:p>
    <w:p>
      <w:pPr>
        <w:sectPr>
          <w:pgSz w:w="11900" w:h="16838" w:orient="portrait"/>
          <w:cols w:equalWidth="0" w:num="1">
            <w:col w:w="10964"/>
          </w:cols>
          <w:pgMar w:left="436" w:top="270" w:right="499" w:bottom="1440" w:gutter="0" w:footer="0" w:header="0"/>
        </w:sectPr>
      </w:pPr>
    </w:p>
    <w:bookmarkStart w:id="4" w:name="page5"/>
    <w:bookmarkEnd w:id="4"/>
    <w:p>
      <w:pPr>
        <w:ind w:left="4"/>
        <w:spacing w:after="0"/>
        <w:tabs>
          <w:tab w:leader="none" w:pos="984" w:val="left"/>
          <w:tab w:leader="none" w:pos="1164" w:val="left"/>
          <w:tab w:leader="none" w:pos="1344" w:val="left"/>
          <w:tab w:leader="none" w:pos="9724" w:val="left"/>
          <w:tab w:leader="none" w:pos="108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5 of 10 </w:t>
      </w:r>
      <w:r>
        <w:rPr>
          <w:sz w:val="20"/>
          <w:szCs w:val="20"/>
          <w:color w:val="auto"/>
        </w:rPr>
        <w:tab/>
      </w:r>
      <w:r>
        <w:rPr>
          <w:rFonts w:ascii="Times New Roman" w:cs="Times New Roman" w:eastAsia="Times New Roman" w:hAnsi="Times New Roman"/>
          <w:sz w:val="4"/>
          <w:szCs w:val="4"/>
          <w:color w:val="auto"/>
        </w:rPr>
        <w:t> </w:t>
      </w:r>
    </w:p>
    <w:p>
      <w:pPr>
        <w:spacing w:after="0" w:line="167"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960870" cy="523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5237480"/>
                    </a:xfrm>
                    <a:prstGeom prst="rect">
                      <a:avLst/>
                    </a:prstGeom>
                    <a:noFill/>
                  </pic:spPr>
                </pic:pic>
              </a:graphicData>
            </a:graphic>
          </wp:anchor>
        </w:drawing>
      </w:r>
    </w:p>
    <w:p>
      <w:pPr>
        <w:spacing w:after="0" w:line="23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Ossa Investments Pte. Ltd.</w:t>
      </w:r>
    </w:p>
    <w:p>
      <w:pPr>
        <w:spacing w:after="0" w:line="29" w:lineRule="exact"/>
        <w:rPr>
          <w:sz w:val="20"/>
          <w:szCs w:val="20"/>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CHECK THE APPROPRIATE BOX IF A MEMBER OF A GROUP (SEE INSTRUCTIONS)</w:t>
      </w:r>
    </w:p>
    <w:p>
      <w:pPr>
        <w:spacing w:after="0" w:line="31" w:lineRule="exact"/>
        <w:rPr>
          <w:sz w:val="20"/>
          <w:szCs w:val="20"/>
          <w:color w:val="auto"/>
        </w:rPr>
      </w:pPr>
    </w:p>
    <w:p>
      <w:pPr>
        <w:ind w:left="764"/>
        <w:spacing w:after="0" w:line="207" w:lineRule="exact"/>
        <w:tabs>
          <w:tab w:leader="none" w:pos="1364" w:val="left"/>
          <w:tab w:leader="none" w:pos="15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2" w:lineRule="exact"/>
        <w:rPr>
          <w:sz w:val="20"/>
          <w:szCs w:val="20"/>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CITIZENSHIP OR PLACE OF ORGANIZATION</w:t>
      </w:r>
    </w:p>
    <w:p>
      <w:pPr>
        <w:spacing w:after="0" w:line="2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9" w:lineRule="exact"/>
        <w:rPr>
          <w:sz w:val="20"/>
          <w:szCs w:val="20"/>
          <w:color w:val="auto"/>
        </w:rPr>
      </w:pPr>
    </w:p>
    <w:p>
      <w:pPr>
        <w:ind w:left="1884" w:hanging="251"/>
        <w:spacing w:after="0"/>
        <w:tabs>
          <w:tab w:leader="none" w:pos="18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4" w:type="dxa"/>
        <w:tblCellMar>
          <w:top w:w="0" w:type="dxa"/>
          <w:left w:w="0" w:type="dxa"/>
          <w:bottom w:w="0" w:type="dxa"/>
          <w:right w:w="0" w:type="dxa"/>
        </w:tblCellMar>
      </w:tblPr>
      <w:tr>
        <w:trPr>
          <w:trHeight w:val="28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34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8,684,895</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spacing w:after="0"/>
              <w:rPr>
                <w:sz w:val="20"/>
                <w:szCs w:val="20"/>
                <w:color w:val="auto"/>
              </w:rPr>
            </w:pPr>
          </w:p>
        </w:tc>
        <w:tc>
          <w:tcPr>
            <w:tcW w:w="916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AGGREGATE AMOUNT BENEFICIALLY OWNED BY EACH REPORTING PERSON</w:t>
      </w:r>
    </w:p>
    <w:p>
      <w:pPr>
        <w:spacing w:after="0" w:line="25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8,684,895</w:t>
      </w:r>
    </w:p>
    <w:p>
      <w:pPr>
        <w:spacing w:after="0" w:line="29" w:lineRule="exact"/>
        <w:rPr>
          <w:sz w:val="20"/>
          <w:szCs w:val="20"/>
          <w:color w:val="auto"/>
        </w:rPr>
      </w:pPr>
    </w:p>
    <w:p>
      <w:pPr>
        <w:ind w:left="764" w:hanging="607"/>
        <w:spacing w:after="0" w:line="207" w:lineRule="exact"/>
        <w:tabs>
          <w:tab w:leader="none" w:pos="76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b w:val="1"/>
          <w:bCs w:val="1"/>
          <w:color w:val="auto"/>
        </w:rPr>
      </w:pPr>
    </w:p>
    <w:p>
      <w:pPr>
        <w:ind w:left="764" w:hanging="607"/>
        <w:spacing w:after="0"/>
        <w:tabs>
          <w:tab w:leader="none" w:pos="76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7.0%</w:t>
      </w:r>
      <w:r>
        <w:rPr>
          <w:rFonts w:ascii="Times New Roman" w:cs="Times New Roman" w:eastAsia="Times New Roman" w:hAnsi="Times New Roman"/>
          <w:sz w:val="16"/>
          <w:szCs w:val="16"/>
          <w:color w:val="auto"/>
        </w:rPr>
        <w:t>(1)</w:t>
      </w:r>
    </w:p>
    <w:p>
      <w:pPr>
        <w:spacing w:after="0" w:line="29" w:lineRule="exact"/>
        <w:rPr>
          <w:sz w:val="20"/>
          <w:szCs w:val="20"/>
          <w:color w:val="auto"/>
        </w:rPr>
      </w:pPr>
    </w:p>
    <w:p>
      <w:pPr>
        <w:ind w:left="764" w:hanging="607"/>
        <w:spacing w:after="0"/>
        <w:tabs>
          <w:tab w:leader="none" w:pos="76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CO</w:t>
      </w:r>
    </w:p>
    <w:p>
      <w:pPr>
        <w:spacing w:after="0" w:line="269" w:lineRule="exact"/>
        <w:rPr>
          <w:sz w:val="20"/>
          <w:szCs w:val="20"/>
          <w:color w:val="auto"/>
        </w:rPr>
      </w:pPr>
    </w:p>
    <w:p>
      <w:pPr>
        <w:ind w:left="424" w:right="20" w:hanging="424"/>
        <w:spacing w:after="0" w:line="208"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123,389,828 shares of the Issuer’s voting common stock outstanding as of August 2, 2024, as set forth in the Issuer’s quarterly report on Form 10-Q filed with the Commission on August 6, 2024.</w:t>
      </w:r>
    </w:p>
    <w:p>
      <w:pPr>
        <w:sectPr>
          <w:pgSz w:w="11900" w:h="16838" w:orient="portrait"/>
          <w:cols w:equalWidth="0" w:num="1">
            <w:col w:w="10964"/>
          </w:cols>
          <w:pgMar w:left="436" w:top="270" w:right="499" w:bottom="1440" w:gutter="0" w:footer="0" w:header="0"/>
        </w:sectPr>
      </w:pPr>
    </w:p>
    <w:bookmarkStart w:id="5" w:name="page6"/>
    <w:bookmarkEnd w:id="5"/>
    <w:p>
      <w:pPr>
        <w:spacing w:after="0"/>
        <w:tabs>
          <w:tab w:leader="none" w:pos="980" w:val="left"/>
          <w:tab w:leader="none" w:pos="1160" w:val="left"/>
          <w:tab w:leader="none" w:pos="1340" w:val="left"/>
          <w:tab w:leader="none" w:pos="9720" w:val="left"/>
          <w:tab w:leader="none" w:pos="10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6 of 10 </w:t>
      </w:r>
      <w:r>
        <w:rPr>
          <w:sz w:val="20"/>
          <w:szCs w:val="20"/>
          <w:color w:val="auto"/>
        </w:rPr>
        <w:tab/>
      </w:r>
      <w:r>
        <w:rPr>
          <w:rFonts w:ascii="Times New Roman" w:cs="Times New Roman" w:eastAsia="Times New Roman" w:hAnsi="Times New Roman"/>
          <w:sz w:val="4"/>
          <w:szCs w:val="4"/>
          <w:color w:val="auto"/>
        </w:rPr>
        <w:t> </w:t>
      </w:r>
    </w:p>
    <w:p>
      <w:pPr>
        <w:spacing w:after="0" w:line="15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Flywire Corporation (the “Issuer”)</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141 Tremont St #10, Boston, MA 02111</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35" w:lineRule="exact"/>
        <w:rPr>
          <w:sz w:val="20"/>
          <w:szCs w:val="20"/>
          <w:color w:val="auto"/>
        </w:rPr>
      </w:pPr>
    </w:p>
    <w:p>
      <w:pPr>
        <w:ind w:left="1620" w:hanging="423"/>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Temasek Holdings (Private) Limited (“Temasek”);</w:t>
      </w:r>
    </w:p>
    <w:p>
      <w:pPr>
        <w:spacing w:after="0" w:line="27" w:lineRule="exact"/>
        <w:rPr>
          <w:rFonts w:ascii="Times New Roman" w:cs="Times New Roman" w:eastAsia="Times New Roman" w:hAnsi="Times New Roman"/>
          <w:sz w:val="18"/>
          <w:szCs w:val="18"/>
          <w:color w:val="auto"/>
        </w:rPr>
      </w:pPr>
    </w:p>
    <w:p>
      <w:pPr>
        <w:ind w:left="1620" w:hanging="423"/>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Fullerton Management Pte Ltd (“Fullerton”);</w:t>
      </w:r>
    </w:p>
    <w:p>
      <w:pPr>
        <w:spacing w:after="0" w:line="9" w:lineRule="exact"/>
        <w:rPr>
          <w:rFonts w:ascii="Times New Roman" w:cs="Times New Roman" w:eastAsia="Times New Roman" w:hAnsi="Times New Roman"/>
          <w:sz w:val="18"/>
          <w:szCs w:val="18"/>
          <w:color w:val="auto"/>
        </w:rPr>
      </w:pPr>
    </w:p>
    <w:p>
      <w:pPr>
        <w:ind w:left="1620" w:hanging="423"/>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Hotham Investments Pte. Ltd. (“Hotham”); and</w:t>
      </w:r>
    </w:p>
    <w:p>
      <w:pPr>
        <w:spacing w:after="0" w:line="9" w:lineRule="exact"/>
        <w:rPr>
          <w:rFonts w:ascii="Times New Roman" w:cs="Times New Roman" w:eastAsia="Times New Roman" w:hAnsi="Times New Roman"/>
          <w:sz w:val="18"/>
          <w:szCs w:val="18"/>
          <w:color w:val="auto"/>
        </w:rPr>
      </w:pPr>
    </w:p>
    <w:p>
      <w:pPr>
        <w:ind w:left="1620" w:hanging="423"/>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Ossa Investments Pte. Ltd. (“Ossa” and, together with Temasek, Fullerton and Hotham, the “Reporting Persons”)</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Each of the Reporting Persons:</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60B Orchard Road</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#06-18</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Atrium@Orchard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Singapore 238891.</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Each of the Reporting Persons: Republic of Singapore</w:t>
            </w: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Voting common stock, $0.0001 par value per share.</w:t>
            </w: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302492103</w:t>
            </w: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r>
      <w:tr>
        <w:trPr>
          <w:trHeight w:val="324"/>
        </w:trPr>
        <w:tc>
          <w:tcPr>
            <w:tcW w:w="98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338"/>
        </w:trPr>
        <w:tc>
          <w:tcPr>
            <w:tcW w:w="98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 September 30, 2024, Ossa directly owned in aggregate 8,684,895 voting common stock.</w:t>
            </w:r>
          </w:p>
        </w:tc>
      </w:tr>
      <w:tr>
        <w:trPr>
          <w:trHeight w:val="306"/>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Ossa is a wholly-owned subsidiary of Hotham, which in turn is a wholly-owned subsidiary of Fullerton, which in turn is a</w:t>
            </w:r>
          </w:p>
        </w:tc>
      </w:tr>
      <w:tr>
        <w:trPr>
          <w:trHeight w:val="216"/>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wholly-owned subsidiary of Temasek. Temasek, Fullerton and Hotham, through the ownership described herein, may be deemed</w:t>
            </w:r>
          </w:p>
        </w:tc>
      </w:tr>
      <w:tr>
        <w:trPr>
          <w:trHeight w:val="234"/>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beneficially own the shares of the Issuer’s voting common stock directly owned by Ossa.</w:t>
            </w:r>
          </w:p>
        </w:tc>
      </w:tr>
      <w:tr>
        <w:trPr>
          <w:trHeight w:val="338"/>
        </w:trPr>
        <w:tc>
          <w:tcPr>
            <w:tcW w:w="98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class:</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 September 30, 2024:</w:t>
            </w:r>
          </w:p>
        </w:tc>
      </w:tr>
      <w:tr>
        <w:trPr>
          <w:trHeight w:val="324"/>
        </w:trPr>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Temasek, Fullerton, Hotham and Ossa: 7.0%</w:t>
            </w:r>
          </w:p>
        </w:tc>
      </w:tr>
    </w:tbl>
    <w:p>
      <w:pPr>
        <w:spacing w:after="0" w:line="90" w:lineRule="exact"/>
        <w:rPr>
          <w:sz w:val="20"/>
          <w:szCs w:val="20"/>
          <w:color w:val="auto"/>
        </w:rPr>
      </w:pPr>
    </w:p>
    <w:p>
      <w:pPr>
        <w:ind w:left="1640"/>
        <w:spacing w:after="0" w:line="282" w:lineRule="auto"/>
        <w:rPr>
          <w:sz w:val="20"/>
          <w:szCs w:val="20"/>
          <w:color w:val="auto"/>
        </w:rPr>
      </w:pPr>
      <w:r>
        <w:rPr>
          <w:rFonts w:ascii="Times New Roman" w:cs="Times New Roman" w:eastAsia="Times New Roman" w:hAnsi="Times New Roman"/>
          <w:sz w:val="18"/>
          <w:szCs w:val="18"/>
          <w:color w:val="auto"/>
        </w:rPr>
        <w:t>The percentages above are based on 123,389,828 shares of the Issuer’s voting common stock outstanding as of August 2, 2024, as set forth in the Issuer’s quarterly report on Form 10-Q filed with the Commission on August 6, 2024.</w:t>
      </w:r>
    </w:p>
    <w:p>
      <w:pPr>
        <w:spacing w:after="0" w:line="67" w:lineRule="exact"/>
        <w:rPr>
          <w:sz w:val="20"/>
          <w:szCs w:val="20"/>
          <w:color w:val="auto"/>
        </w:rPr>
      </w:pPr>
    </w:p>
    <w:p>
      <w:pPr>
        <w:ind w:left="1200"/>
        <w:spacing w:after="0"/>
        <w:tabs>
          <w:tab w:leader="none" w:pos="1600" w:val="left"/>
        </w:tabs>
        <w:rPr>
          <w:sz w:val="20"/>
          <w:szCs w:val="20"/>
          <w:color w:val="auto"/>
        </w:rPr>
      </w:pPr>
      <w:r>
        <w:rPr>
          <w:rFonts w:ascii="Times New Roman" w:cs="Times New Roman" w:eastAsia="Times New Roman" w:hAnsi="Times New Roman"/>
          <w:sz w:val="18"/>
          <w:szCs w:val="18"/>
          <w:color w:val="auto"/>
        </w:rPr>
        <w:t>(c)</w:t>
        <w:tab/>
        <w:t>Number of shares as to which the person has:</w:t>
      </w:r>
    </w:p>
    <w:p>
      <w:pPr>
        <w:spacing w:after="0" w:line="117" w:lineRule="exact"/>
        <w:rPr>
          <w:sz w:val="20"/>
          <w:szCs w:val="20"/>
          <w:color w:val="auto"/>
        </w:rPr>
      </w:pPr>
    </w:p>
    <w:p>
      <w:pPr>
        <w:ind w:left="1640" w:right="380"/>
        <w:spacing w:after="0" w:line="282" w:lineRule="auto"/>
        <w:rPr>
          <w:sz w:val="20"/>
          <w:szCs w:val="20"/>
          <w:color w:val="auto"/>
        </w:rPr>
      </w:pPr>
      <w:r>
        <w:rPr>
          <w:rFonts w:ascii="Times New Roman" w:cs="Times New Roman" w:eastAsia="Times New Roman" w:hAnsi="Times New Roman"/>
          <w:sz w:val="18"/>
          <w:szCs w:val="18"/>
          <w:color w:val="auto"/>
        </w:rPr>
        <w:t>With respect to the shared power to vote, or to direct the vote, and to dispose, or to direct the disposition of, the shares of the Issuer’s voting common stock, please see Item 4(a) above regarding qualifications as to beneficial ownership.</w:t>
      </w:r>
    </w:p>
    <w:p>
      <w:pPr>
        <w:sectPr>
          <w:pgSz w:w="11900" w:h="16838" w:orient="portrait"/>
          <w:cols w:equalWidth="0" w:num="1">
            <w:col w:w="11000"/>
          </w:cols>
          <w:pgMar w:left="440" w:top="270" w:right="459" w:bottom="1440" w:gutter="0" w:footer="0" w:header="0"/>
        </w:sectPr>
      </w:pPr>
    </w:p>
    <w:bookmarkStart w:id="6" w:name="page7"/>
    <w:bookmarkEnd w:id="6"/>
    <w:p>
      <w:pPr>
        <w:spacing w:after="0"/>
        <w:tabs>
          <w:tab w:leader="none" w:pos="980" w:val="left"/>
          <w:tab w:leader="none" w:pos="1160" w:val="left"/>
          <w:tab w:leader="none" w:pos="1340" w:val="left"/>
          <w:tab w:leader="none" w:pos="9720" w:val="left"/>
          <w:tab w:leader="none" w:pos="10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7 of 10 </w:t>
      </w:r>
      <w:r>
        <w:rPr>
          <w:sz w:val="20"/>
          <w:szCs w:val="20"/>
          <w:color w:val="auto"/>
        </w:rPr>
        <w:tab/>
      </w:r>
      <w:r>
        <w:rPr>
          <w:rFonts w:ascii="Times New Roman" w:cs="Times New Roman" w:eastAsia="Times New Roman" w:hAnsi="Times New Roman"/>
          <w:sz w:val="4"/>
          <w:szCs w:val="4"/>
          <w:color w:val="auto"/>
        </w:rPr>
        <w:t> </w:t>
      </w:r>
    </w:p>
    <w:p>
      <w:pPr>
        <w:spacing w:after="0" w:line="158" w:lineRule="exact"/>
        <w:rPr>
          <w:sz w:val="20"/>
          <w:szCs w:val="20"/>
          <w:color w:val="auto"/>
        </w:rPr>
      </w:pPr>
    </w:p>
    <w:p>
      <w:pPr>
        <w:ind w:left="2200" w:right="5840" w:hanging="557"/>
        <w:spacing w:after="0" w:line="383" w:lineRule="auto"/>
        <w:tabs>
          <w:tab w:leader="none" w:pos="2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ind w:left="2200" w:right="5660" w:hanging="557"/>
        <w:spacing w:after="0" w:line="383" w:lineRule="auto"/>
        <w:tabs>
          <w:tab w:leader="none" w:pos="2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8,684,895.</w:t>
      </w:r>
    </w:p>
    <w:p>
      <w:pPr>
        <w:ind w:left="2200" w:right="4940" w:hanging="557"/>
        <w:spacing w:after="0" w:line="383" w:lineRule="auto"/>
        <w:tabs>
          <w:tab w:leader="none" w:pos="2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ind w:left="2200" w:right="4760" w:hanging="557"/>
        <w:spacing w:after="0" w:line="407" w:lineRule="auto"/>
        <w:tabs>
          <w:tab w:leader="none" w:pos="2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8,684,895.</w:t>
      </w:r>
    </w:p>
    <w:p>
      <w:pPr>
        <w:sectPr>
          <w:pgSz w:w="11900" w:h="16838" w:orient="portrait"/>
          <w:cols w:equalWidth="0" w:num="1">
            <w:col w:w="10880"/>
          </w:cols>
          <w:pgMar w:left="440" w:top="270" w:right="57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0" w:space="680"/>
            <w:col w:w="9680"/>
          </w:cols>
          <w:pgMar w:left="440" w:top="270" w:right="579" w:bottom="1440" w:gutter="0" w:footer="0" w:header="0"/>
          <w:type w:val="continuous"/>
        </w:sectPr>
      </w:pPr>
    </w:p>
    <w:p>
      <w:pPr>
        <w:ind w:left="120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ectPr>
          <w:pgSz w:w="11900" w:h="16838" w:orient="portrait"/>
          <w:cols w:equalWidth="0" w:num="1">
            <w:col w:w="10880"/>
          </w:cols>
          <w:pgMar w:left="440" w:top="270" w:right="57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680"/>
            <w:col w:w="9680"/>
          </w:cols>
          <w:pgMar w:left="440" w:top="270" w:right="5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70"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sectPr>
          <w:pgSz w:w="11900" w:h="16838" w:orient="portrait"/>
          <w:cols w:equalWidth="0" w:num="2">
            <w:col w:w="520" w:space="680"/>
            <w:col w:w="9680"/>
          </w:cols>
          <w:pgMar w:left="440" w:top="270" w:right="5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70"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680"/>
            <w:col w:w="9680"/>
          </w:cols>
          <w:pgMar w:left="440" w:top="270" w:right="5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70"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680"/>
            <w:col w:w="9680"/>
          </w:cols>
          <w:pgMar w:left="440" w:top="270" w:right="5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70"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3" w:lineRule="exact"/>
        <w:rPr>
          <w:sz w:val="20"/>
          <w:szCs w:val="20"/>
          <w:color w:val="auto"/>
        </w:rPr>
      </w:pPr>
    </w:p>
    <w:p>
      <w:pPr>
        <w:sectPr>
          <w:pgSz w:w="11900" w:h="16838" w:orient="portrait"/>
          <w:cols w:equalWidth="0" w:num="2">
            <w:col w:w="620" w:space="580"/>
            <w:col w:w="9680"/>
          </w:cols>
          <w:pgMar w:left="440" w:top="270" w:right="5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80"/>
          </w:cols>
          <w:pgMar w:left="440" w:top="270" w:right="579" w:bottom="1440" w:gutter="0" w:footer="0" w:header="0"/>
          <w:type w:val="continuous"/>
        </w:sectPr>
      </w:pPr>
    </w:p>
    <w:bookmarkStart w:id="7" w:name="page8"/>
    <w:bookmarkEnd w:id="7"/>
    <w:p>
      <w:pPr>
        <w:spacing w:after="0"/>
        <w:tabs>
          <w:tab w:leader="none" w:pos="980" w:val="left"/>
          <w:tab w:leader="none" w:pos="1160" w:val="left"/>
          <w:tab w:leader="none" w:pos="1340" w:val="left"/>
          <w:tab w:leader="none" w:pos="9720" w:val="left"/>
          <w:tab w:leader="none" w:pos="10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w:t>
        <w:tab/>
        <w:t> </w:t>
        <w:tab/>
        <w:t> </w:t>
        <w:tab/>
        <w:t>302492103</w:t>
      </w:r>
      <w:r>
        <w:rPr>
          <w:sz w:val="20"/>
          <w:szCs w:val="20"/>
          <w:color w:val="auto"/>
        </w:rPr>
        <w:tab/>
      </w:r>
      <w:r>
        <w:rPr>
          <w:rFonts w:ascii="Times New Roman" w:cs="Times New Roman" w:eastAsia="Times New Roman" w:hAnsi="Times New Roman"/>
          <w:sz w:val="18"/>
          <w:szCs w:val="18"/>
          <w:color w:val="auto"/>
        </w:rPr>
        <w:t>Page 8 of 10 </w:t>
      </w:r>
      <w:r>
        <w:rPr>
          <w:sz w:val="20"/>
          <w:szCs w:val="20"/>
          <w:color w:val="auto"/>
        </w:rPr>
        <w:tab/>
      </w:r>
      <w:r>
        <w:rPr>
          <w:rFonts w:ascii="Times New Roman" w:cs="Times New Roman" w:eastAsia="Times New Roman" w:hAnsi="Times New Roman"/>
          <w:sz w:val="4"/>
          <w:szCs w:val="4"/>
          <w:color w:val="auto"/>
        </w:rPr>
        <w:t>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25, 2024</w:t>
            </w:r>
          </w:p>
        </w:tc>
        <w:tc>
          <w:tcPr>
            <w:tcW w:w="694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TEMASEK HOLDINGS (PRIVATE) LIMITED</w:t>
            </w:r>
          </w:p>
        </w:tc>
      </w:tr>
      <w:tr>
        <w:trPr>
          <w:trHeight w:val="432"/>
        </w:trPr>
        <w:tc>
          <w:tcPr>
            <w:tcW w:w="408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Jason Norman Lee</w:t>
            </w:r>
          </w:p>
        </w:tc>
      </w:tr>
      <w:tr>
        <w:trPr>
          <w:trHeight w:val="205"/>
        </w:trPr>
        <w:tc>
          <w:tcPr>
            <w:tcW w:w="4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Jason Norman Lee</w:t>
            </w:r>
          </w:p>
        </w:tc>
      </w:tr>
      <w:tr>
        <w:trPr>
          <w:trHeight w:val="234"/>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25, 2024</w:t>
            </w:r>
          </w:p>
        </w:tc>
        <w:tc>
          <w:tcPr>
            <w:tcW w:w="694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FULLERTON MANAGEMENT PTE LTD</w:t>
            </w:r>
          </w:p>
        </w:tc>
      </w:tr>
      <w:tr>
        <w:trPr>
          <w:trHeight w:val="432"/>
        </w:trPr>
        <w:tc>
          <w:tcPr>
            <w:tcW w:w="408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Tan</w:t>
            </w:r>
          </w:p>
        </w:tc>
      </w:tr>
      <w:tr>
        <w:trPr>
          <w:trHeight w:val="205"/>
        </w:trPr>
        <w:tc>
          <w:tcPr>
            <w:tcW w:w="4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Gregory Tan</w:t>
            </w:r>
          </w:p>
        </w:tc>
      </w:tr>
      <w:tr>
        <w:trPr>
          <w:trHeight w:val="234"/>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25, 2024</w:t>
            </w:r>
          </w:p>
        </w:tc>
        <w:tc>
          <w:tcPr>
            <w:tcW w:w="694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HOTHAM INVESTMENTS PTE. LTD.</w:t>
            </w:r>
          </w:p>
        </w:tc>
      </w:tr>
      <w:tr>
        <w:trPr>
          <w:trHeight w:val="432"/>
        </w:trPr>
        <w:tc>
          <w:tcPr>
            <w:tcW w:w="408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Lim Ming Pey</w:t>
            </w:r>
          </w:p>
        </w:tc>
      </w:tr>
      <w:tr>
        <w:trPr>
          <w:trHeight w:val="205"/>
        </w:trPr>
        <w:tc>
          <w:tcPr>
            <w:tcW w:w="4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Lim Ming Pey</w:t>
            </w:r>
          </w:p>
        </w:tc>
      </w:tr>
      <w:tr>
        <w:trPr>
          <w:trHeight w:val="234"/>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25, 2024</w:t>
            </w:r>
          </w:p>
        </w:tc>
        <w:tc>
          <w:tcPr>
            <w:tcW w:w="694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OSSA INVESTMENTS PTE. LTD.</w:t>
            </w:r>
          </w:p>
        </w:tc>
      </w:tr>
      <w:tr>
        <w:trPr>
          <w:trHeight w:val="432"/>
        </w:trPr>
        <w:tc>
          <w:tcPr>
            <w:tcW w:w="408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Han Sack Teng</w:t>
            </w:r>
          </w:p>
        </w:tc>
      </w:tr>
      <w:tr>
        <w:trPr>
          <w:trHeight w:val="205"/>
        </w:trPr>
        <w:tc>
          <w:tcPr>
            <w:tcW w:w="4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Han Sack Teng</w:t>
            </w:r>
          </w:p>
        </w:tc>
      </w:tr>
      <w:tr>
        <w:trPr>
          <w:trHeight w:val="234"/>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9"/>
              </w:rPr>
              <w:t>CUSIP No. </w:t>
            </w: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302492103</w:t>
            </w:r>
          </w:p>
        </w:tc>
        <w:tc>
          <w:tcPr>
            <w:tcW w:w="2100" w:type="dxa"/>
            <w:vAlign w:val="bottom"/>
          </w:tcPr>
          <w:p>
            <w:pPr>
              <w:spacing w:after="0"/>
              <w:rPr>
                <w:sz w:val="20"/>
                <w:szCs w:val="20"/>
                <w:color w:val="auto"/>
              </w:rPr>
            </w:pPr>
          </w:p>
        </w:tc>
        <w:tc>
          <w:tcPr>
            <w:tcW w:w="428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 xml:space="preserve">Page 9 of 10    </w:t>
            </w:r>
          </w:p>
        </w:tc>
      </w:tr>
      <w:tr>
        <w:trPr>
          <w:trHeight w:val="364"/>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LIST OF EXHIBITS</w:t>
            </w: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Joint Filing Agreement, dated as of February</w:t>
              </w:r>
            </w:hyperlink>
          </w:p>
        </w:tc>
        <w:tc>
          <w:tcPr>
            <w:tcW w:w="6380" w:type="dxa"/>
            <w:vAlign w:val="bottom"/>
            <w:gridSpan w:val="3"/>
          </w:tcPr>
          <w:p>
            <w:pPr>
              <w:ind w:left="40"/>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14, 2022, by and among Temasek, Fullerton, Hotham and Ossa (incorporated by</w:t>
              </w:r>
            </w:hyperlink>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reference to Exhibit 99.1 to the Schedule 13G filed on February 14, 2022).</w:t>
              </w:r>
            </w:hyperlink>
          </w:p>
        </w:tc>
        <w:tc>
          <w:tcPr>
            <w:tcW w:w="37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
      <w:numFmt w:val="bullet"/>
      <w:start w:val="1"/>
    </w:lvl>
  </w:abstractNum>
  <w:abstractNum w:abstractNumId="3">
    <w:nsid w:val="62BBD95A"/>
    <w:multiLevelType w:val="hybridMultilevel"/>
    <w:lvl w:ilvl="0">
      <w:lvlJc w:val="left"/>
      <w:lvlText w:val=" "/>
      <w:numFmt w:val="bullet"/>
      <w:start w:val="1"/>
    </w:lvl>
  </w:abstractNum>
  <w:abstractNum w:abstractNumId="4">
    <w:nsid w:val="436C6125"/>
    <w:multiLevelType w:val="hybridMultilevel"/>
    <w:lvl w:ilvl="0">
      <w:lvlJc w:val="left"/>
      <w:lvlText w:val=" "/>
      <w:numFmt w:val="bullet"/>
      <w:start w:val="1"/>
    </w:lvl>
  </w:abstractNum>
  <w:abstractNum w:abstractNumId="5">
    <w:nsid w:val="628C895D"/>
    <w:multiLevelType w:val="hybridMultilevel"/>
    <w:lvl w:ilvl="0">
      <w:lvlJc w:val="left"/>
      <w:lvlText w:val="5"/>
      <w:numFmt w:val="bullet"/>
      <w:start w:val="1"/>
    </w:lvl>
  </w:abstractNum>
  <w:abstractNum w:abstractNumId="6">
    <w:nsid w:val="333AB105"/>
    <w:multiLevelType w:val="hybridMultilevel"/>
    <w:lvl w:ilvl="0">
      <w:lvlJc w:val="left"/>
      <w:lvlText w:val=" "/>
      <w:numFmt w:val="bullet"/>
      <w:start w:val="1"/>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2"/>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
      <w:numFmt w:val="bullet"/>
      <w:start w:val="1"/>
    </w:lvl>
  </w:abstractNum>
  <w:abstractNum w:abstractNumId="11">
    <w:nsid w:val="75A2A8D4"/>
    <w:multiLevelType w:val="hybridMultilevel"/>
    <w:lvl w:ilvl="0">
      <w:lvlJc w:val="left"/>
      <w:lvlText w:val=" "/>
      <w:numFmt w:val="bullet"/>
      <w:start w:val="1"/>
    </w:lvl>
  </w:abstractNum>
  <w:abstractNum w:abstractNumId="12">
    <w:nsid w:val="8EDBDAB"/>
    <w:multiLevelType w:val="hybridMultilevel"/>
    <w:lvl w:ilvl="0">
      <w:lvlJc w:val="left"/>
      <w:lvlText w:val=" "/>
      <w:numFmt w:val="bullet"/>
      <w:start w:val="1"/>
    </w:lvl>
  </w:abstractNum>
  <w:abstractNum w:abstractNumId="13">
    <w:nsid w:val="79838CB2"/>
    <w:multiLevelType w:val="hybridMultilevel"/>
    <w:lvl w:ilvl="0">
      <w:lvlJc w:val="left"/>
      <w:lvlText w:val="5"/>
      <w:numFmt w:val="bullet"/>
      <w:start w:val="1"/>
    </w:lvl>
  </w:abstractNum>
  <w:abstractNum w:abstractNumId="14">
    <w:nsid w:val="4353D0CD"/>
    <w:multiLevelType w:val="hybridMultilevel"/>
    <w:lvl w:ilvl="0">
      <w:lvlJc w:val="left"/>
      <w:lvlText w:val=" "/>
      <w:numFmt w:val="bullet"/>
      <w:start w:val="1"/>
    </w:lvl>
  </w:abstractNum>
  <w:abstractNum w:abstractNumId="15">
    <w:nsid w:val="B03E0C6"/>
    <w:multiLevelType w:val="hybridMultilevel"/>
    <w:lvl w:ilvl="0">
      <w:lvlJc w:val="left"/>
      <w:lvlText w:val="%1"/>
      <w:numFmt w:val="decimal"/>
      <w:start w:val="10"/>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
      <w:numFmt w:val="bullet"/>
      <w:start w:val="1"/>
    </w:lvl>
  </w:abstractNum>
  <w:abstractNum w:abstractNumId="19">
    <w:nsid w:val="2CA88611"/>
    <w:multiLevelType w:val="hybridMultilevel"/>
    <w:lvl w:ilvl="0">
      <w:lvlJc w:val="left"/>
      <w:lvlText w:val=" "/>
      <w:numFmt w:val="bullet"/>
      <w:start w:val="1"/>
    </w:lvl>
  </w:abstractNum>
  <w:abstractNum w:abstractNumId="20">
    <w:nsid w:val="836C40E"/>
    <w:multiLevelType w:val="hybridMultilevel"/>
    <w:lvl w:ilvl="0">
      <w:lvlJc w:val="left"/>
      <w:lvlText w:val=" "/>
      <w:numFmt w:val="bullet"/>
      <w:start w:val="1"/>
    </w:lvl>
  </w:abstractNum>
  <w:abstractNum w:abstractNumId="21">
    <w:nsid w:val="2901D82"/>
    <w:multiLevelType w:val="hybridMultilevel"/>
    <w:lvl w:ilvl="0">
      <w:lvlJc w:val="left"/>
      <w:lvlText w:val="5"/>
      <w:numFmt w:val="bullet"/>
      <w:start w:val="1"/>
    </w:lvl>
  </w:abstractNum>
  <w:abstractNum w:abstractNumId="22">
    <w:nsid w:val="3A95F874"/>
    <w:multiLevelType w:val="hybridMultilevel"/>
    <w:lvl w:ilvl="0">
      <w:lvlJc w:val="left"/>
      <w:lvlText w:val=" "/>
      <w:numFmt w:val="bullet"/>
      <w:start w:val="1"/>
    </w:lvl>
  </w:abstractNum>
  <w:abstractNum w:abstractNumId="23">
    <w:nsid w:val="8138641"/>
    <w:multiLevelType w:val="hybridMultilevel"/>
    <w:lvl w:ilvl="0">
      <w:lvlJc w:val="left"/>
      <w:lvlText w:val="%1"/>
      <w:numFmt w:val="decimal"/>
      <w:start w:val="10"/>
    </w:lvl>
  </w:abstractNum>
  <w:abstractNum w:abstractNumId="24">
    <w:nsid w:val="1E7FF521"/>
    <w:multiLevelType w:val="hybridMultilevel"/>
    <w:lvl w:ilvl="0">
      <w:lvlJc w:val="left"/>
      <w:lvlText w:val="%1"/>
      <w:numFmt w:val="decimal"/>
      <w:start w:val="12"/>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
      <w:numFmt w:val="bullet"/>
      <w:start w:val="1"/>
    </w:lvl>
  </w:abstractNum>
  <w:abstractNum w:abstractNumId="27">
    <w:nsid w:val="6CEAF087"/>
    <w:multiLevelType w:val="hybridMultilevel"/>
    <w:lvl w:ilvl="0">
      <w:lvlJc w:val="left"/>
      <w:lvlText w:val=" "/>
      <w:numFmt w:val="bullet"/>
      <w:start w:val="1"/>
    </w:lvl>
  </w:abstractNum>
  <w:abstractNum w:abstractNumId="28">
    <w:nsid w:val="22221A70"/>
    <w:multiLevelType w:val="hybridMultilevel"/>
    <w:lvl w:ilvl="0">
      <w:lvlJc w:val="left"/>
      <w:lvlText w:val=" "/>
      <w:numFmt w:val="bullet"/>
      <w:start w:val="1"/>
    </w:lvl>
  </w:abstractNum>
  <w:abstractNum w:abstractNumId="29">
    <w:nsid w:val="4516DDE9"/>
    <w:multiLevelType w:val="hybridMultilevel"/>
    <w:lvl w:ilvl="0">
      <w:lvlJc w:val="left"/>
      <w:lvlText w:val="5"/>
      <w:numFmt w:val="bullet"/>
      <w:start w:val="1"/>
    </w:lvl>
  </w:abstractNum>
  <w:abstractNum w:abstractNumId="30">
    <w:nsid w:val="3006C83E"/>
    <w:multiLevelType w:val="hybridMultilevel"/>
    <w:lvl w:ilvl="0">
      <w:lvlJc w:val="left"/>
      <w:lvlText w:val=" "/>
      <w:numFmt w:val="bullet"/>
      <w:start w:val="1"/>
    </w:lvl>
  </w:abstractNum>
  <w:abstractNum w:abstractNumId="31">
    <w:nsid w:val="614FD4A1"/>
    <w:multiLevelType w:val="hybridMultilevel"/>
    <w:lvl w:ilvl="0">
      <w:lvlJc w:val="left"/>
      <w:lvlText w:val="%1"/>
      <w:numFmt w:val="decimal"/>
      <w:start w:val="10"/>
    </w:lvl>
  </w:abstractNum>
  <w:abstractNum w:abstractNumId="32">
    <w:nsid w:val="419AC241"/>
    <w:multiLevelType w:val="hybridMultilevel"/>
    <w:lvl w:ilvl="0">
      <w:lvlJc w:val="left"/>
      <w:lvlText w:val="%1"/>
      <w:numFmt w:val="decimal"/>
      <w:start w:val="12"/>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hyperlink" Target="http://www.sec.gov/Archives/edgar/data/1021944/000119312522039139/d29782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2024-10-25T05:20:49Z</dcterms:created>
  <dcterms:modified xsi:type="dcterms:W3CDTF">2024-10-25T05:20:49Z</dcterms:modified>
</cp:coreProperties>
</file>