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08/31/2022</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220" w:type="dxa"/>
            <w:vAlign w:val="bottom"/>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1680" w:type="dxa"/>
            <w:vAlign w:val="bottom"/>
          </w:tcPr>
          <w:p>
            <w:pPr>
              <w:ind w:left="70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12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2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tcPr>
          <w:p>
            <w:pPr>
              <w:jc w:val="right"/>
              <w:ind w:right="342"/>
              <w:spacing w:after="0"/>
              <w:rPr>
                <w:sz w:val="20"/>
                <w:szCs w:val="20"/>
                <w:color w:val="auto"/>
              </w:rPr>
            </w:pPr>
            <w:r>
              <w:rPr>
                <w:rFonts w:ascii="Arial" w:cs="Arial" w:eastAsia="Arial" w:hAnsi="Arial"/>
                <w:sz w:val="16"/>
                <w:szCs w:val="16"/>
                <w:color w:val="0000FF"/>
              </w:rPr>
              <w:t>08/31/2022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700" w:type="dxa"/>
            <w:vAlign w:val="bottom"/>
          </w:tcPr>
          <w:p>
            <w:pPr>
              <w:jc w:val="right"/>
              <w:spacing w:after="0"/>
              <w:rPr>
                <w:sz w:val="20"/>
                <w:szCs w:val="20"/>
                <w:color w:val="auto"/>
              </w:rPr>
            </w:pPr>
            <w:r>
              <w:rPr>
                <w:rFonts w:ascii="Arial" w:cs="Arial" w:eastAsia="Arial" w:hAnsi="Arial"/>
                <w:sz w:val="16"/>
                <w:szCs w:val="16"/>
                <w:color w:val="0000FF"/>
              </w:rPr>
              <w:t>41,676</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80"/>
              <w:spacing w:after="0"/>
              <w:rPr>
                <w:sz w:val="20"/>
                <w:szCs w:val="20"/>
                <w:color w:val="auto"/>
              </w:rPr>
            </w:pPr>
            <w:r>
              <w:rPr>
                <w:rFonts w:ascii="Arial" w:cs="Arial" w:eastAsia="Arial" w:hAnsi="Arial"/>
                <w:sz w:val="10"/>
                <w:szCs w:val="10"/>
                <w:color w:val="008000"/>
              </w:rPr>
              <w:t>(1)</w:t>
            </w:r>
          </w:p>
        </w:tc>
        <w:tc>
          <w:tcPr>
            <w:tcW w:w="1540" w:type="dxa"/>
            <w:vAlign w:val="bottom"/>
            <w:gridSpan w:val="2"/>
          </w:tcPr>
          <w:p>
            <w:pPr>
              <w:jc w:val="right"/>
              <w:ind w:right="623"/>
              <w:spacing w:after="0"/>
              <w:rPr>
                <w:sz w:val="20"/>
                <w:szCs w:val="20"/>
                <w:color w:val="auto"/>
              </w:rPr>
            </w:pPr>
            <w:r>
              <w:rPr>
                <w:rFonts w:ascii="Arial" w:cs="Arial" w:eastAsia="Arial" w:hAnsi="Arial"/>
                <w:sz w:val="16"/>
                <w:szCs w:val="16"/>
                <w:color w:val="0000FF"/>
              </w:rPr>
              <w:t>601,500</w:t>
            </w:r>
          </w:p>
        </w:tc>
        <w:tc>
          <w:tcPr>
            <w:tcW w:w="80" w:type="dxa"/>
            <w:vAlign w:val="bottom"/>
          </w:tcPr>
          <w:p>
            <w:pPr>
              <w:ind w:left="20"/>
              <w:spacing w:after="0"/>
              <w:rPr>
                <w:sz w:val="20"/>
                <w:szCs w:val="20"/>
                <w:color w:val="auto"/>
              </w:rPr>
            </w:pPr>
            <w:r>
              <w:rPr>
                <w:rFonts w:ascii="Arial" w:cs="Arial" w:eastAsia="Arial" w:hAnsi="Arial"/>
                <w:sz w:val="16"/>
                <w:szCs w:val="16"/>
                <w:color w:val="0000FF"/>
                <w:w w:val="88"/>
              </w:rPr>
              <w:t>I</w:t>
            </w:r>
          </w:p>
        </w:tc>
        <w:tc>
          <w:tcPr>
            <w:tcW w:w="1740" w:type="dxa"/>
            <w:vAlign w:val="bottom"/>
            <w:gridSpan w:val="4"/>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vMerge w:val="restart"/>
          </w:tcPr>
          <w:p>
            <w:pPr>
              <w:jc w:val="right"/>
              <w:ind w:right="342"/>
              <w:spacing w:after="0"/>
              <w:rPr>
                <w:sz w:val="20"/>
                <w:szCs w:val="20"/>
                <w:color w:val="auto"/>
              </w:rPr>
            </w:pPr>
            <w:r>
              <w:rPr>
                <w:rFonts w:ascii="Arial" w:cs="Arial" w:eastAsia="Arial" w:hAnsi="Arial"/>
                <w:sz w:val="16"/>
                <w:szCs w:val="16"/>
                <w:color w:val="0000FF"/>
              </w:rPr>
              <w:t>08/31/2022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rPr>
              <w:t>41,676</w:t>
            </w:r>
          </w:p>
        </w:tc>
        <w:tc>
          <w:tcPr>
            <w:tcW w:w="66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24.98</w:t>
            </w:r>
          </w:p>
        </w:tc>
        <w:tc>
          <w:tcPr>
            <w:tcW w:w="1540" w:type="dxa"/>
            <w:vAlign w:val="bottom"/>
            <w:gridSpan w:val="2"/>
            <w:vMerge w:val="restart"/>
          </w:tcPr>
          <w:p>
            <w:pPr>
              <w:jc w:val="right"/>
              <w:ind w:right="623"/>
              <w:spacing w:after="0"/>
              <w:rPr>
                <w:sz w:val="20"/>
                <w:szCs w:val="20"/>
                <w:color w:val="auto"/>
              </w:rPr>
            </w:pPr>
            <w:r>
              <w:rPr>
                <w:rFonts w:ascii="Arial" w:cs="Arial" w:eastAsia="Arial" w:hAnsi="Arial"/>
                <w:sz w:val="16"/>
                <w:szCs w:val="16"/>
                <w:color w:val="0000FF"/>
              </w:rPr>
              <w:t>559,824</w:t>
            </w:r>
          </w:p>
        </w:tc>
        <w:tc>
          <w:tcPr>
            <w:tcW w:w="80" w:type="dxa"/>
            <w:vAlign w:val="bottom"/>
            <w:vMerge w:val="restart"/>
          </w:tcPr>
          <w:p>
            <w:pPr>
              <w:ind w:left="20"/>
              <w:spacing w:after="0"/>
              <w:rPr>
                <w:sz w:val="20"/>
                <w:szCs w:val="20"/>
                <w:color w:val="auto"/>
              </w:rPr>
            </w:pPr>
            <w:r>
              <w:rPr>
                <w:rFonts w:ascii="Arial" w:cs="Arial" w:eastAsia="Arial" w:hAnsi="Arial"/>
                <w:sz w:val="16"/>
                <w:szCs w:val="16"/>
                <w:color w:val="0000FF"/>
                <w:w w:val="88"/>
              </w:rPr>
              <w:t>I</w:t>
            </w:r>
          </w:p>
        </w:tc>
        <w:tc>
          <w:tcPr>
            <w:tcW w:w="1740" w:type="dxa"/>
            <w:vAlign w:val="bottom"/>
            <w:gridSpan w:val="4"/>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20" w:type="dxa"/>
            <w:vAlign w:val="bottom"/>
            <w:gridSpan w:val="2"/>
            <w:vMerge w:val="restart"/>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tcPr>
          <w:p>
            <w:pPr>
              <w:jc w:val="right"/>
              <w:ind w:right="342"/>
              <w:spacing w:after="0"/>
              <w:rPr>
                <w:sz w:val="20"/>
                <w:szCs w:val="20"/>
                <w:color w:val="auto"/>
              </w:rPr>
            </w:pPr>
            <w:r>
              <w:rPr>
                <w:rFonts w:ascii="Arial" w:cs="Arial" w:eastAsia="Arial" w:hAnsi="Arial"/>
                <w:sz w:val="16"/>
                <w:szCs w:val="16"/>
                <w:color w:val="0000FF"/>
              </w:rPr>
              <w:t>09/01/2022</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700" w:type="dxa"/>
            <w:vAlign w:val="bottom"/>
          </w:tcPr>
          <w:p>
            <w:pPr>
              <w:jc w:val="right"/>
              <w:spacing w:after="0"/>
              <w:rPr>
                <w:sz w:val="20"/>
                <w:szCs w:val="20"/>
                <w:color w:val="auto"/>
              </w:rPr>
            </w:pPr>
            <w:r>
              <w:rPr>
                <w:rFonts w:ascii="Arial" w:cs="Arial" w:eastAsia="Arial" w:hAnsi="Arial"/>
                <w:sz w:val="16"/>
                <w:szCs w:val="16"/>
                <w:color w:val="0000FF"/>
              </w:rPr>
              <w:t>99,092</w:t>
            </w:r>
          </w:p>
        </w:tc>
        <w:tc>
          <w:tcPr>
            <w:tcW w:w="66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80"/>
              <w:spacing w:after="0"/>
              <w:rPr>
                <w:sz w:val="20"/>
                <w:szCs w:val="20"/>
                <w:color w:val="auto"/>
              </w:rPr>
            </w:pPr>
            <w:r>
              <w:rPr>
                <w:rFonts w:ascii="Arial" w:cs="Arial" w:eastAsia="Arial" w:hAnsi="Arial"/>
                <w:sz w:val="10"/>
                <w:szCs w:val="10"/>
                <w:color w:val="008000"/>
              </w:rPr>
              <w:t>(6)</w:t>
            </w:r>
          </w:p>
        </w:tc>
        <w:tc>
          <w:tcPr>
            <w:tcW w:w="1540" w:type="dxa"/>
            <w:vAlign w:val="bottom"/>
            <w:gridSpan w:val="2"/>
          </w:tcPr>
          <w:p>
            <w:pPr>
              <w:jc w:val="right"/>
              <w:ind w:right="623"/>
              <w:spacing w:after="0"/>
              <w:rPr>
                <w:sz w:val="20"/>
                <w:szCs w:val="20"/>
                <w:color w:val="auto"/>
              </w:rPr>
            </w:pPr>
            <w:r>
              <w:rPr>
                <w:rFonts w:ascii="Arial" w:cs="Arial" w:eastAsia="Arial" w:hAnsi="Arial"/>
                <w:sz w:val="16"/>
                <w:szCs w:val="16"/>
                <w:color w:val="0000FF"/>
              </w:rPr>
              <w:t>720,363</w:t>
            </w:r>
          </w:p>
        </w:tc>
        <w:tc>
          <w:tcPr>
            <w:tcW w:w="80" w:type="dxa"/>
            <w:vAlign w:val="bottom"/>
          </w:tcPr>
          <w:p>
            <w:pPr>
              <w:ind w:left="20"/>
              <w:spacing w:after="0"/>
              <w:rPr>
                <w:sz w:val="20"/>
                <w:szCs w:val="20"/>
                <w:color w:val="auto"/>
              </w:rPr>
            </w:pPr>
            <w:r>
              <w:rPr>
                <w:rFonts w:ascii="Arial" w:cs="Arial" w:eastAsia="Arial" w:hAnsi="Arial"/>
                <w:sz w:val="16"/>
                <w:szCs w:val="16"/>
                <w:color w:val="0000FF"/>
                <w:w w:val="88"/>
              </w:rPr>
              <w:t>I</w:t>
            </w:r>
          </w:p>
        </w:tc>
        <w:tc>
          <w:tcPr>
            <w:tcW w:w="1740" w:type="dxa"/>
            <w:vAlign w:val="bottom"/>
            <w:gridSpan w:val="4"/>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gridSpan w:val="4"/>
            <w:vMerge w:val="restart"/>
          </w:tcPr>
          <w:p>
            <w:pPr>
              <w:jc w:val="right"/>
              <w:ind w:right="342"/>
              <w:spacing w:after="0"/>
              <w:rPr>
                <w:sz w:val="20"/>
                <w:szCs w:val="20"/>
                <w:color w:val="auto"/>
              </w:rPr>
            </w:pPr>
            <w:r>
              <w:rPr>
                <w:rFonts w:ascii="Arial" w:cs="Arial" w:eastAsia="Arial" w:hAnsi="Arial"/>
                <w:sz w:val="16"/>
                <w:szCs w:val="16"/>
                <w:color w:val="0000FF"/>
              </w:rPr>
              <w:t>09/01/2022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rPr>
              <w:t>99,092</w:t>
            </w:r>
          </w:p>
        </w:tc>
        <w:tc>
          <w:tcPr>
            <w:tcW w:w="66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23.36</w:t>
            </w:r>
          </w:p>
        </w:tc>
        <w:tc>
          <w:tcPr>
            <w:tcW w:w="1540" w:type="dxa"/>
            <w:vAlign w:val="bottom"/>
            <w:gridSpan w:val="2"/>
            <w:vMerge w:val="restart"/>
          </w:tcPr>
          <w:p>
            <w:pPr>
              <w:jc w:val="right"/>
              <w:ind w:right="623"/>
              <w:spacing w:after="0"/>
              <w:rPr>
                <w:sz w:val="20"/>
                <w:szCs w:val="20"/>
                <w:color w:val="auto"/>
              </w:rPr>
            </w:pPr>
            <w:r>
              <w:rPr>
                <w:rFonts w:ascii="Arial" w:cs="Arial" w:eastAsia="Arial" w:hAnsi="Arial"/>
                <w:sz w:val="16"/>
                <w:szCs w:val="16"/>
                <w:color w:val="0000FF"/>
              </w:rPr>
              <w:t>621,271</w:t>
            </w:r>
          </w:p>
        </w:tc>
        <w:tc>
          <w:tcPr>
            <w:tcW w:w="80" w:type="dxa"/>
            <w:vAlign w:val="bottom"/>
            <w:vMerge w:val="restart"/>
          </w:tcPr>
          <w:p>
            <w:pPr>
              <w:ind w:left="20"/>
              <w:spacing w:after="0"/>
              <w:rPr>
                <w:sz w:val="20"/>
                <w:szCs w:val="20"/>
                <w:color w:val="auto"/>
              </w:rPr>
            </w:pPr>
            <w:r>
              <w:rPr>
                <w:rFonts w:ascii="Arial" w:cs="Arial" w:eastAsia="Arial" w:hAnsi="Arial"/>
                <w:sz w:val="16"/>
                <w:szCs w:val="16"/>
                <w:color w:val="0000FF"/>
                <w:w w:val="88"/>
              </w:rPr>
              <w:t>I</w:t>
            </w:r>
          </w:p>
        </w:tc>
        <w:tc>
          <w:tcPr>
            <w:tcW w:w="1740" w:type="dxa"/>
            <w:vAlign w:val="bottom"/>
            <w:gridSpan w:val="4"/>
          </w:tcPr>
          <w:p>
            <w:pPr>
              <w:ind w:left="48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20" w:type="dxa"/>
            <w:vAlign w:val="bottom"/>
            <w:gridSpan w:val="2"/>
            <w:vMerge w:val="restart"/>
          </w:tcPr>
          <w:p>
            <w:pPr>
              <w:ind w:left="48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8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2"/>
          </w:tcPr>
          <w:p>
            <w:pPr>
              <w:jc w:val="center"/>
              <w:ind w:right="6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20" w:type="dxa"/>
            <w:vAlign w:val="bottom"/>
            <w:gridSpan w:val="9"/>
          </w:tcPr>
          <w:p>
            <w:pPr>
              <w:jc w:val="center"/>
              <w:ind w:right="19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8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0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08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108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8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108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8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8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right"/>
              <w:ind w:right="12"/>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12"/>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restart"/>
          </w:tcPr>
          <w:p>
            <w:pPr>
              <w:ind w:left="72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Voting</w:t>
            </w:r>
          </w:p>
        </w:tc>
        <w:tc>
          <w:tcPr>
            <w:tcW w:w="80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right"/>
              <w:ind w:right="212"/>
              <w:spacing w:after="0"/>
              <w:rPr>
                <w:sz w:val="20"/>
                <w:szCs w:val="20"/>
                <w:color w:val="auto"/>
              </w:rPr>
            </w:pPr>
            <w:r>
              <w:rPr>
                <w:rFonts w:ascii="Arial" w:cs="Arial" w:eastAsia="Arial" w:hAnsi="Arial"/>
                <w:sz w:val="10"/>
                <w:szCs w:val="10"/>
                <w:color w:val="008000"/>
              </w:rPr>
              <w:t>(1)</w:t>
            </w: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41,676</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line="121" w:lineRule="exact"/>
              <w:rPr>
                <w:sz w:val="20"/>
                <w:szCs w:val="20"/>
                <w:color w:val="auto"/>
              </w:rPr>
            </w:pPr>
            <w:r>
              <w:rPr>
                <w:rFonts w:ascii="Arial" w:cs="Arial" w:eastAsia="Arial" w:hAnsi="Arial"/>
                <w:sz w:val="13"/>
                <w:szCs w:val="13"/>
                <w:color w:val="0000FF"/>
              </w:rPr>
              <w:t>08/31/2022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60"/>
              <w:spacing w:after="0" w:line="121" w:lineRule="exact"/>
              <w:rPr>
                <w:sz w:val="20"/>
                <w:szCs w:val="20"/>
                <w:color w:val="auto"/>
              </w:rPr>
            </w:pPr>
            <w:r>
              <w:rPr>
                <w:rFonts w:ascii="Arial" w:cs="Arial" w:eastAsia="Arial" w:hAnsi="Arial"/>
                <w:sz w:val="13"/>
                <w:szCs w:val="13"/>
                <w:color w:val="0000FF"/>
              </w:rPr>
              <w:t>C</w:t>
            </w:r>
          </w:p>
        </w:tc>
        <w:tc>
          <w:tcPr>
            <w:tcW w:w="700" w:type="dxa"/>
            <w:vAlign w:val="bottom"/>
            <w:vMerge w:val="restart"/>
          </w:tcPr>
          <w:p>
            <w:pPr>
              <w:ind w:left="300"/>
              <w:spacing w:after="0" w:line="121" w:lineRule="exact"/>
              <w:rPr>
                <w:sz w:val="20"/>
                <w:szCs w:val="20"/>
                <w:color w:val="auto"/>
              </w:rPr>
            </w:pPr>
            <w:r>
              <w:rPr>
                <w:rFonts w:ascii="Arial" w:cs="Arial" w:eastAsia="Arial" w:hAnsi="Arial"/>
                <w:sz w:val="13"/>
                <w:szCs w:val="13"/>
                <w:color w:val="0000FF"/>
                <w:w w:val="95"/>
              </w:rPr>
              <w:t>41,676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6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vMerge w:val="restart"/>
          </w:tcPr>
          <w:p>
            <w:pPr>
              <w:ind w:left="220"/>
              <w:spacing w:after="0" w:line="121" w:lineRule="exact"/>
              <w:rPr>
                <w:sz w:val="20"/>
                <w:szCs w:val="20"/>
                <w:color w:val="auto"/>
              </w:rPr>
            </w:pPr>
            <w:r>
              <w:rPr>
                <w:rFonts w:ascii="Arial" w:cs="Arial" w:eastAsia="Arial" w:hAnsi="Arial"/>
                <w:sz w:val="13"/>
                <w:szCs w:val="13"/>
                <w:color w:val="0000FF"/>
              </w:rPr>
              <w:t>3,477,200</w:t>
            </w:r>
          </w:p>
        </w:tc>
        <w:tc>
          <w:tcPr>
            <w:tcW w:w="80" w:type="dxa"/>
            <w:vAlign w:val="bottom"/>
          </w:tcPr>
          <w:p>
            <w:pPr>
              <w:spacing w:after="0"/>
              <w:rPr>
                <w:sz w:val="5"/>
                <w:szCs w:val="5"/>
                <w:color w:val="auto"/>
              </w:rPr>
            </w:pPr>
          </w:p>
        </w:tc>
        <w:tc>
          <w:tcPr>
            <w:tcW w:w="660" w:type="dxa"/>
            <w:vAlign w:val="bottom"/>
            <w:vMerge w:val="restart"/>
          </w:tcPr>
          <w:p>
            <w:pPr>
              <w:ind w:left="280"/>
              <w:spacing w:after="0" w:line="121" w:lineRule="exact"/>
              <w:rPr>
                <w:sz w:val="20"/>
                <w:szCs w:val="20"/>
                <w:color w:val="auto"/>
              </w:rPr>
            </w:pPr>
            <w:r>
              <w:rPr>
                <w:rFonts w:ascii="Arial" w:cs="Arial" w:eastAsia="Arial" w:hAnsi="Arial"/>
                <w:sz w:val="13"/>
                <w:szCs w:val="13"/>
                <w:color w:val="0000FF"/>
              </w:rPr>
              <w:t>I</w:t>
            </w: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80" w:type="dxa"/>
            <w:vAlign w:val="bottom"/>
            <w:tcBorders>
              <w:right w:val="single" w:sz="8" w:color="2C2C2C"/>
            </w:tcBorders>
            <w:gridSpan w:val="3"/>
          </w:tcPr>
          <w:p>
            <w:pPr>
              <w:ind w:left="60"/>
              <w:spacing w:after="0" w:line="63" w:lineRule="exact"/>
              <w:rPr>
                <w:sz w:val="20"/>
                <w:szCs w:val="20"/>
                <w:color w:val="auto"/>
              </w:rPr>
            </w:pPr>
            <w:r>
              <w:rPr>
                <w:rFonts w:ascii="Arial" w:cs="Arial" w:eastAsia="Arial" w:hAnsi="Arial"/>
                <w:sz w:val="7"/>
                <w:szCs w:val="7"/>
                <w:color w:val="0000FF"/>
              </w:rPr>
              <w:t>See Footnote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ind w:left="60"/>
              <w:spacing w:after="0" w:line="92"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6"/>
              </w:rPr>
              <w:t>Voting</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restart"/>
          </w:tcPr>
          <w:p>
            <w:pPr>
              <w:ind w:left="720"/>
              <w:spacing w:after="0"/>
              <w:rPr>
                <w:sz w:val="20"/>
                <w:szCs w:val="20"/>
                <w:color w:val="auto"/>
              </w:rPr>
            </w:pPr>
            <w:r>
              <w:rPr>
                <w:rFonts w:ascii="Arial" w:cs="Arial" w:eastAsia="Arial" w:hAnsi="Arial"/>
                <w:sz w:val="10"/>
                <w:szCs w:val="10"/>
                <w:color w:val="008000"/>
                <w:w w:val="89"/>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Voting</w:t>
            </w:r>
          </w:p>
        </w:tc>
        <w:tc>
          <w:tcPr>
            <w:tcW w:w="80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right"/>
              <w:ind w:right="212"/>
              <w:spacing w:after="0"/>
              <w:rPr>
                <w:sz w:val="20"/>
                <w:szCs w:val="20"/>
                <w:color w:val="auto"/>
              </w:rPr>
            </w:pPr>
            <w:r>
              <w:rPr>
                <w:rFonts w:ascii="Arial" w:cs="Arial" w:eastAsia="Arial" w:hAnsi="Arial"/>
                <w:sz w:val="10"/>
                <w:szCs w:val="10"/>
                <w:color w:val="008000"/>
              </w:rPr>
              <w:t>(6)</w:t>
            </w: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99,092</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line="121" w:lineRule="exact"/>
              <w:rPr>
                <w:sz w:val="20"/>
                <w:szCs w:val="20"/>
                <w:color w:val="auto"/>
              </w:rPr>
            </w:pPr>
            <w:r>
              <w:rPr>
                <w:rFonts w:ascii="Arial" w:cs="Arial" w:eastAsia="Arial" w:hAnsi="Arial"/>
                <w:sz w:val="13"/>
                <w:szCs w:val="13"/>
                <w:color w:val="0000FF"/>
              </w:rPr>
              <w:t>09/01/2022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60"/>
              <w:spacing w:after="0" w:line="121" w:lineRule="exact"/>
              <w:rPr>
                <w:sz w:val="20"/>
                <w:szCs w:val="20"/>
                <w:color w:val="auto"/>
              </w:rPr>
            </w:pPr>
            <w:r>
              <w:rPr>
                <w:rFonts w:ascii="Arial" w:cs="Arial" w:eastAsia="Arial" w:hAnsi="Arial"/>
                <w:sz w:val="13"/>
                <w:szCs w:val="13"/>
                <w:color w:val="0000FF"/>
              </w:rPr>
              <w:t>C</w:t>
            </w:r>
          </w:p>
        </w:tc>
        <w:tc>
          <w:tcPr>
            <w:tcW w:w="700" w:type="dxa"/>
            <w:vAlign w:val="bottom"/>
            <w:vMerge w:val="restart"/>
          </w:tcPr>
          <w:p>
            <w:pPr>
              <w:ind w:left="300"/>
              <w:spacing w:after="0" w:line="121" w:lineRule="exact"/>
              <w:rPr>
                <w:sz w:val="20"/>
                <w:szCs w:val="20"/>
                <w:color w:val="auto"/>
              </w:rPr>
            </w:pPr>
            <w:r>
              <w:rPr>
                <w:rFonts w:ascii="Arial" w:cs="Arial" w:eastAsia="Arial" w:hAnsi="Arial"/>
                <w:sz w:val="13"/>
                <w:szCs w:val="13"/>
                <w:color w:val="0000FF"/>
                <w:w w:val="95"/>
              </w:rPr>
              <w:t>99,092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60" w:type="dxa"/>
            <w:vAlign w:val="bottom"/>
            <w:vMerge w:val="restart"/>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vMerge w:val="restart"/>
          </w:tcPr>
          <w:p>
            <w:pPr>
              <w:ind w:left="220"/>
              <w:spacing w:after="0" w:line="121" w:lineRule="exact"/>
              <w:rPr>
                <w:sz w:val="20"/>
                <w:szCs w:val="20"/>
                <w:color w:val="auto"/>
              </w:rPr>
            </w:pPr>
            <w:r>
              <w:rPr>
                <w:rFonts w:ascii="Arial" w:cs="Arial" w:eastAsia="Arial" w:hAnsi="Arial"/>
                <w:sz w:val="13"/>
                <w:szCs w:val="13"/>
                <w:color w:val="0000FF"/>
              </w:rPr>
              <w:t>3,378,108</w:t>
            </w:r>
          </w:p>
        </w:tc>
        <w:tc>
          <w:tcPr>
            <w:tcW w:w="80" w:type="dxa"/>
            <w:vAlign w:val="bottom"/>
          </w:tcPr>
          <w:p>
            <w:pPr>
              <w:spacing w:after="0"/>
              <w:rPr>
                <w:sz w:val="5"/>
                <w:szCs w:val="5"/>
                <w:color w:val="auto"/>
              </w:rPr>
            </w:pPr>
          </w:p>
        </w:tc>
        <w:tc>
          <w:tcPr>
            <w:tcW w:w="660" w:type="dxa"/>
            <w:vAlign w:val="bottom"/>
            <w:vMerge w:val="restart"/>
          </w:tcPr>
          <w:p>
            <w:pPr>
              <w:ind w:left="280"/>
              <w:spacing w:after="0" w:line="121" w:lineRule="exact"/>
              <w:rPr>
                <w:sz w:val="20"/>
                <w:szCs w:val="20"/>
                <w:color w:val="auto"/>
              </w:rPr>
            </w:pPr>
            <w:r>
              <w:rPr>
                <w:rFonts w:ascii="Arial" w:cs="Arial" w:eastAsia="Arial" w:hAnsi="Arial"/>
                <w:sz w:val="13"/>
                <w:szCs w:val="13"/>
                <w:color w:val="0000FF"/>
              </w:rPr>
              <w:t>I</w:t>
            </w: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80" w:type="dxa"/>
            <w:vAlign w:val="bottom"/>
            <w:tcBorders>
              <w:right w:val="single" w:sz="8" w:color="2C2C2C"/>
            </w:tcBorders>
            <w:gridSpan w:val="3"/>
          </w:tcPr>
          <w:p>
            <w:pPr>
              <w:ind w:left="60"/>
              <w:spacing w:after="0" w:line="63" w:lineRule="exact"/>
              <w:rPr>
                <w:sz w:val="20"/>
                <w:szCs w:val="20"/>
                <w:color w:val="auto"/>
              </w:rPr>
            </w:pPr>
            <w:r>
              <w:rPr>
                <w:rFonts w:ascii="Arial" w:cs="Arial" w:eastAsia="Arial" w:hAnsi="Arial"/>
                <w:sz w:val="7"/>
                <w:szCs w:val="7"/>
                <w:color w:val="0000FF"/>
              </w:rPr>
              <w:t>See Footnote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ind w:left="60"/>
              <w:spacing w:after="0" w:line="92"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w w:val="92"/>
              </w:rPr>
              <w:t>200 WEST STREET</w:t>
            </w: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040" w:type="dxa"/>
            <w:vAlign w:val="bottom"/>
          </w:tcPr>
          <w:p>
            <w:pPr>
              <w:ind w:left="4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00"/>
              <w:spacing w:after="0"/>
              <w:rPr>
                <w:sz w:val="20"/>
                <w:szCs w:val="20"/>
                <w:color w:val="auto"/>
              </w:rPr>
            </w:pPr>
            <w:r>
              <w:rPr>
                <w:rFonts w:ascii="Arial" w:cs="Arial" w:eastAsia="Arial" w:hAnsi="Arial"/>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tcPr>
          <w:p>
            <w:pPr>
              <w:spacing w:after="0" w:line="208" w:lineRule="exact"/>
              <w:rPr>
                <w:rFonts w:ascii="Arial" w:cs="Arial" w:eastAsia="Arial" w:hAnsi="Arial"/>
                <w:sz w:val="20"/>
                <w:szCs w:val="20"/>
                <w:color w:val="0000EE"/>
              </w:rPr>
            </w:pPr>
            <w:hyperlink r:id="rId14">
              <w:r>
                <w:rPr>
                  <w:rFonts w:ascii="Arial" w:cs="Arial" w:eastAsia="Arial" w:hAnsi="Arial"/>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w w:val="92"/>
              </w:rPr>
              <w:t>200 WEST STREET</w:t>
            </w: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040" w:type="dxa"/>
            <w:vAlign w:val="bottom"/>
          </w:tcPr>
          <w:p>
            <w:pPr>
              <w:ind w:left="40"/>
              <w:spacing w:after="0"/>
              <w:rPr>
                <w:sz w:val="20"/>
                <w:szCs w:val="20"/>
                <w:color w:val="auto"/>
              </w:rPr>
            </w:pPr>
            <w:r>
              <w:rPr>
                <w:rFonts w:ascii="Arial" w:cs="Arial" w:eastAsia="Arial" w:hAnsi="Arial"/>
                <w:sz w:val="16"/>
                <w:szCs w:val="16"/>
                <w:color w:val="0000FF"/>
              </w:rPr>
              <w:t>NY</w:t>
            </w:r>
          </w:p>
        </w:tc>
        <w:tc>
          <w:tcPr>
            <w:tcW w:w="1020" w:type="dxa"/>
            <w:vAlign w:val="bottom"/>
            <w:gridSpan w:val="3"/>
          </w:tcPr>
          <w:p>
            <w:pPr>
              <w:ind w:left="400"/>
              <w:spacing w:after="0"/>
              <w:rPr>
                <w:sz w:val="20"/>
                <w:szCs w:val="20"/>
                <w:color w:val="auto"/>
              </w:rPr>
            </w:pPr>
            <w:r>
              <w:rPr>
                <w:rFonts w:ascii="Arial" w:cs="Arial" w:eastAsia="Arial" w:hAnsi="Arial"/>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-5514340</wp:posOffset>
            </wp:positionV>
            <wp:extent cx="28575" cy="247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142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812415" cy="604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604012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6"/>
                <w:szCs w:val="16"/>
                <w:color w:val="0000FF"/>
                <w:w w:val="93"/>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08" w:lineRule="exact"/>
              <w:rPr>
                <w:rFonts w:ascii="Arial" w:cs="Arial" w:eastAsia="Arial" w:hAnsi="Arial"/>
                <w:sz w:val="20"/>
                <w:szCs w:val="20"/>
                <w:color w:val="0000EE"/>
              </w:rPr>
            </w:pPr>
            <w:hyperlink r:id="rId18">
              <w:r>
                <w:rPr>
                  <w:rFonts w:ascii="Arial" w:cs="Arial" w:eastAsia="Arial" w:hAnsi="Arial"/>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6"/>
                <w:szCs w:val="16"/>
                <w:color w:val="0000FF"/>
                <w:w w:val="93"/>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Stonebridge 2020 Offshore Holdings II, L.P.</w:t>
        </w:r>
      </w:hyperlink>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w w:val="93"/>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9"/>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00" w:type="dxa"/>
            <w:vAlign w:val="bottom"/>
          </w:tcPr>
          <w:p>
            <w:pPr>
              <w:ind w:left="2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Bridge Street Opportunity Advisors, L.L.C.</w:t>
        </w:r>
      </w:hyperlink>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w w:val="93"/>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9"/>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00" w:type="dxa"/>
            <w:vAlign w:val="bottom"/>
          </w:tcPr>
          <w:p>
            <w:pPr>
              <w:ind w:left="2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August 31, 2022, the reporting person consummated the sale of all 41,676 shares of Non-Voting Common Stock, resulting in the automatic conversion of such shares into Voting Common Stock upon the execution of the sale of such shares as reported in Table I.</w:t>
      </w:r>
    </w:p>
    <w:p>
      <w:pPr>
        <w:spacing w:after="0" w:line="31" w:lineRule="exact"/>
        <w:rPr>
          <w:rFonts w:ascii="Arial" w:cs="Arial" w:eastAsia="Arial" w:hAnsi="Arial"/>
          <w:sz w:val="13"/>
          <w:szCs w:val="13"/>
          <w:color w:val="008000"/>
        </w:rPr>
      </w:pPr>
    </w:p>
    <w:p>
      <w:pPr>
        <w:ind w:left="20" w:right="60" w:hanging="2"/>
        <w:spacing w:after="0" w:line="22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30" w:lineRule="exact"/>
        <w:rPr>
          <w:rFonts w:ascii="Arial" w:cs="Arial" w:eastAsia="Arial" w:hAnsi="Arial"/>
          <w:sz w:val="13"/>
          <w:szCs w:val="13"/>
          <w:color w:val="008000"/>
        </w:rPr>
      </w:pPr>
    </w:p>
    <w:p>
      <w:pPr>
        <w:ind w:left="20" w:right="34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31" w:lineRule="exact"/>
        <w:rPr>
          <w:rFonts w:ascii="Arial" w:cs="Arial" w:eastAsia="Arial" w:hAnsi="Arial"/>
          <w:sz w:val="13"/>
          <w:szCs w:val="13"/>
          <w:color w:val="008000"/>
        </w:rPr>
      </w:pPr>
    </w:p>
    <w:p>
      <w:pPr>
        <w:ind w:left="20" w:right="6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31" w:lineRule="exact"/>
        <w:rPr>
          <w:rFonts w:ascii="Arial" w:cs="Arial" w:eastAsia="Arial" w:hAnsi="Arial"/>
          <w:sz w:val="13"/>
          <w:szCs w:val="13"/>
          <w:color w:val="008000"/>
        </w:rPr>
      </w:pPr>
    </w:p>
    <w:p>
      <w:pPr>
        <w:ind w:left="20" w:right="2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31" w:lineRule="exact"/>
        <w:rPr>
          <w:rFonts w:ascii="Arial" w:cs="Arial" w:eastAsia="Arial" w:hAnsi="Arial"/>
          <w:sz w:val="13"/>
          <w:szCs w:val="13"/>
          <w:color w:val="008000"/>
        </w:rPr>
      </w:pPr>
    </w:p>
    <w:p>
      <w:pPr>
        <w:jc w:val="both"/>
        <w:ind w:left="2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Non-Voting Common Stock is convertible into an equal number of shares of Voting Common Stock immediately prior to the execution of the sale of such shares as reported in Table I. On September 1, 2022, the reporting person consummated the sale of all 99,092 shares of Non-Voting Common Stock, resulting in the automatic conversion of such shares into Voting Common Stock upon the execution of the sale of such shares as reported in Table 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/s/ Jamison Yardley, Attorney-</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09/02/2022</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6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20"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2022-09-02T15:51:35Z</dcterms:created>
  <dcterms:modified xsi:type="dcterms:W3CDTF">2022-09-02T15:51:35Z</dcterms:modified>
</cp:coreProperties>
</file>