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11/21/2022</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8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0" w:lineRule="exact"/>
        <w:rPr>
          <w:sz w:val="24"/>
          <w:szCs w:val="24"/>
          <w:color w:val="auto"/>
        </w:rPr>
      </w:pPr>
    </w:p>
    <w:p>
      <w:pPr>
        <w:jc w:val="both"/>
        <w:ind w:left="402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0" w:lineRule="exact"/>
        <w:rPr>
          <w:sz w:val="24"/>
          <w:szCs w:val="24"/>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11/21/2022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81,229</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80" w:type="dxa"/>
            <w:vAlign w:val="bottom"/>
            <w:gridSpan w:val="2"/>
          </w:tcPr>
          <w:p>
            <w:pPr>
              <w:jc w:val="right"/>
              <w:ind w:right="582"/>
              <w:spacing w:after="0"/>
              <w:rPr>
                <w:sz w:val="20"/>
                <w:szCs w:val="20"/>
                <w:color w:val="auto"/>
              </w:rPr>
            </w:pPr>
            <w:r>
              <w:rPr>
                <w:rFonts w:ascii="Times New Roman" w:cs="Times New Roman" w:eastAsia="Times New Roman" w:hAnsi="Times New Roman"/>
                <w:sz w:val="16"/>
                <w:szCs w:val="16"/>
                <w:color w:val="0000FF"/>
              </w:rPr>
              <w:t>1,084,018</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11/21/2022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81,229</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20.49</w:t>
            </w:r>
          </w:p>
        </w:tc>
        <w:tc>
          <w:tcPr>
            <w:tcW w:w="60" w:type="dxa"/>
            <w:vAlign w:val="bottom"/>
          </w:tcPr>
          <w:p>
            <w:pPr>
              <w:spacing w:after="0"/>
              <w:rPr>
                <w:sz w:val="20"/>
                <w:szCs w:val="20"/>
                <w:color w:val="auto"/>
              </w:rPr>
            </w:pPr>
          </w:p>
        </w:tc>
        <w:tc>
          <w:tcPr>
            <w:tcW w:w="1480" w:type="dxa"/>
            <w:vAlign w:val="bottom"/>
            <w:gridSpan w:val="2"/>
            <w:vMerge w:val="restart"/>
          </w:tcPr>
          <w:p>
            <w:pPr>
              <w:jc w:val="right"/>
              <w:ind w:right="582"/>
              <w:spacing w:after="0"/>
              <w:rPr>
                <w:sz w:val="20"/>
                <w:szCs w:val="20"/>
                <w:color w:val="auto"/>
              </w:rPr>
            </w:pPr>
            <w:r>
              <w:rPr>
                <w:rFonts w:ascii="Times New Roman" w:cs="Times New Roman" w:eastAsia="Times New Roman" w:hAnsi="Times New Roman"/>
                <w:sz w:val="16"/>
                <w:szCs w:val="16"/>
                <w:color w:val="0000FF"/>
              </w:rPr>
              <w:t>1,002,789</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11/22/2022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66,893</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22"/>
                <w:szCs w:val="22"/>
                <w:color w:val="auto"/>
              </w:rPr>
            </w:pPr>
          </w:p>
        </w:tc>
        <w:tc>
          <w:tcPr>
            <w:tcW w:w="1480" w:type="dxa"/>
            <w:vAlign w:val="bottom"/>
            <w:gridSpan w:val="2"/>
          </w:tcPr>
          <w:p>
            <w:pPr>
              <w:jc w:val="right"/>
              <w:ind w:right="582"/>
              <w:spacing w:after="0"/>
              <w:rPr>
                <w:sz w:val="20"/>
                <w:szCs w:val="20"/>
                <w:color w:val="auto"/>
              </w:rPr>
            </w:pPr>
            <w:r>
              <w:rPr>
                <w:rFonts w:ascii="Times New Roman" w:cs="Times New Roman" w:eastAsia="Times New Roman" w:hAnsi="Times New Roman"/>
                <w:sz w:val="16"/>
                <w:szCs w:val="16"/>
                <w:color w:val="0000FF"/>
              </w:rPr>
              <w:t>1,197,034</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11/22/2022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66,893</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20.1</w:t>
            </w:r>
          </w:p>
        </w:tc>
        <w:tc>
          <w:tcPr>
            <w:tcW w:w="60" w:type="dxa"/>
            <w:vAlign w:val="bottom"/>
          </w:tcPr>
          <w:p>
            <w:pPr>
              <w:spacing w:after="0"/>
              <w:rPr>
                <w:sz w:val="20"/>
                <w:szCs w:val="20"/>
                <w:color w:val="auto"/>
              </w:rPr>
            </w:pPr>
          </w:p>
        </w:tc>
        <w:tc>
          <w:tcPr>
            <w:tcW w:w="1480" w:type="dxa"/>
            <w:vAlign w:val="bottom"/>
            <w:gridSpan w:val="2"/>
            <w:vMerge w:val="restart"/>
          </w:tcPr>
          <w:p>
            <w:pPr>
              <w:jc w:val="right"/>
              <w:ind w:right="582"/>
              <w:spacing w:after="0"/>
              <w:rPr>
                <w:sz w:val="20"/>
                <w:szCs w:val="20"/>
                <w:color w:val="auto"/>
              </w:rPr>
            </w:pPr>
            <w:r>
              <w:rPr>
                <w:rFonts w:ascii="Times New Roman" w:cs="Times New Roman" w:eastAsia="Times New Roman" w:hAnsi="Times New Roman"/>
                <w:sz w:val="16"/>
                <w:szCs w:val="16"/>
                <w:color w:val="0000FF"/>
              </w:rPr>
              <w:t>1,130,141</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59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gridSpan w:val="9"/>
          </w:tcPr>
          <w:p>
            <w:pPr>
              <w:jc w:val="center"/>
              <w:ind w:left="23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81,229</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11/21/2022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81,229</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1,677,693</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66,893</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11/22/2022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66,893</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1,610,800</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-5528945</wp:posOffset>
            </wp:positionV>
            <wp:extent cx="28575" cy="247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76500"/>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-128905</wp:posOffset>
            </wp:positionV>
            <wp:extent cx="2811145" cy="605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145" cy="60534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right="10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November 21, 2022, the reporting person consummated the sale of all 81,229 shares of Non-Voting Common Stock, resulting in the automatic conversion of such shares into Voting Common Stock upon the execution of the sale of such shares as reported in Table I.</w:t>
      </w:r>
    </w:p>
    <w:p>
      <w:pPr>
        <w:spacing w:after="0" w:line="24" w:lineRule="exact"/>
        <w:rPr>
          <w:rFonts w:ascii="Times New Roman" w:cs="Times New Roman" w:eastAsia="Times New Roman" w:hAnsi="Times New Roman"/>
          <w:sz w:val="13"/>
          <w:szCs w:val="13"/>
          <w:color w:val="008000"/>
        </w:rPr>
      </w:pPr>
    </w:p>
    <w:p>
      <w:pPr>
        <w:ind w:left="20" w:right="4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6" w:lineRule="exact"/>
        <w:rPr>
          <w:rFonts w:ascii="Times New Roman" w:cs="Times New Roman" w:eastAsia="Times New Roman" w:hAnsi="Times New Roman"/>
          <w:sz w:val="13"/>
          <w:szCs w:val="13"/>
          <w:color w:val="008000"/>
        </w:rPr>
      </w:pPr>
    </w:p>
    <w:p>
      <w:pPr>
        <w:ind w:left="20" w:right="3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21"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21" w:lineRule="exact"/>
        <w:rPr>
          <w:rFonts w:ascii="Times New Roman" w:cs="Times New Roman" w:eastAsia="Times New Roman" w:hAnsi="Times New Roman"/>
          <w:sz w:val="13"/>
          <w:szCs w:val="13"/>
          <w:color w:val="008000"/>
        </w:rPr>
      </w:pPr>
    </w:p>
    <w:p>
      <w:pPr>
        <w:ind w:left="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21" w:lineRule="exact"/>
        <w:rPr>
          <w:rFonts w:ascii="Times New Roman" w:cs="Times New Roman" w:eastAsia="Times New Roman" w:hAnsi="Times New Roman"/>
          <w:sz w:val="13"/>
          <w:szCs w:val="13"/>
          <w:color w:val="008000"/>
        </w:rPr>
      </w:pPr>
    </w:p>
    <w:p>
      <w:pPr>
        <w:ind w:left="20" w:right="10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November 22, 2022, the reporting person consummated the sale of all 66,893 shares of Non-Voting Common Stock, resulting in the automatic conversion of such shares into Voting Common Stock upon the execution of the sale of such shares as reported in Table 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11/23/2022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11/23/2022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11/23/2022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11/23/2022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11/23/2022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11/23/2022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56"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14" w:right="51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2022-11-23T13:40:05Z</dcterms:created>
  <dcterms:modified xsi:type="dcterms:W3CDTF">2022-11-23T13:40:05Z</dcterms:modified>
</cp:coreProperties>
</file>