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Finkelstein Alex</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FLYWIRE CORPORATION</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141 TREMONT STREET, SUITE 10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8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340" w:type="dxa"/>
            <w:vAlign w:val="bottom"/>
          </w:tcPr>
          <w:p>
            <w:pPr>
              <w:ind w:left="140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40" w:type="dxa"/>
            <w:vAlign w:val="bottom"/>
          </w:tcPr>
          <w:p>
            <w:pPr>
              <w:ind w:left="140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40" w:type="dxa"/>
            <w:vAlign w:val="bottom"/>
          </w:tcPr>
          <w:p>
            <w:pPr>
              <w:ind w:left="140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80" w:type="dxa"/>
            <w:vAlign w:val="bottom"/>
            <w:tcBorders>
              <w:bottom w:val="single" w:sz="8" w:color="2C2C2C"/>
            </w:tcBorders>
          </w:tcPr>
          <w:p>
            <w:pPr>
              <w:spacing w:after="0"/>
              <w:rPr>
                <w:sz w:val="4"/>
                <w:szCs w:val="4"/>
                <w:color w:val="auto"/>
              </w:rPr>
            </w:pPr>
          </w:p>
        </w:tc>
        <w:tc>
          <w:tcPr>
            <w:tcW w:w="3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3"/>
              </w:rPr>
              <w:t>627</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7"/>
              </w:rPr>
              <w:t>6,723</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8"/>
              </w:rPr>
              <w:t>679,368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4"/>
              </w:rPr>
              <w:t>95,904</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53,250</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8,139,309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B-1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7,359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B-1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1,125,039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15,945</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2,437,785</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19,983</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3,054,843</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3"/>
              </w:rPr>
              <w:t>309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vMerge w:val="continue"/>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423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242379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3,534</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8"/>
              </w:rPr>
              <w:t>357,141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47,301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26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prior to the closing of the initial public offering of the Issuer's Common Stock, each share of Class A Common Stock will be reclassified into one share of Voting Common Stock and each share of Class B Common Stock will be reclassified into one share of Non-Voting Common Stock (the "Reclassification").</w:t>
      </w:r>
    </w:p>
    <w:p>
      <w:pPr>
        <w:spacing w:after="0" w:line="3" w:lineRule="exact"/>
        <w:rPr>
          <w:rFonts w:ascii="Arial" w:cs="Arial" w:eastAsia="Arial" w:hAnsi="Arial"/>
          <w:sz w:val="14"/>
          <w:szCs w:val="14"/>
          <w:color w:val="008000"/>
        </w:rPr>
      </w:pPr>
    </w:p>
    <w:p>
      <w:pPr>
        <w:ind w:left="20" w:right="100" w:firstLine="5"/>
        <w:spacing w:after="0" w:line="256"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are held of record by Spark Capital Founders' Fund II, L.P. ("Spark Capital FF II"). Spark Management Partners II, LLC ("SMP II") is the general partner of Spark Capital FF II. Paul Conway, Bijan Sabet, Santo Politi, and the Reporting Person, a member of the Issuer's board of directors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6" w:lineRule="exact"/>
        <w:rPr>
          <w:rFonts w:ascii="Arial" w:cs="Arial" w:eastAsia="Arial" w:hAnsi="Arial"/>
          <w:sz w:val="14"/>
          <w:szCs w:val="14"/>
          <w:color w:val="008000"/>
        </w:rPr>
      </w:pPr>
    </w:p>
    <w:p>
      <w:pPr>
        <w:ind w:left="20" w:right="20" w:firstLine="5"/>
        <w:spacing w:after="0" w:line="286"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Founders' Fund, L.P. ("Spark Capital Growth FF"). Spark Growth Management Partners, LLC ("SGMP") is the general partner of Spark Capital Growth FF.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7" w:lineRule="exact"/>
        <w:rPr>
          <w:rFonts w:ascii="Arial" w:cs="Arial" w:eastAsia="Arial" w:hAnsi="Arial"/>
          <w:sz w:val="13"/>
          <w:szCs w:val="13"/>
          <w:color w:val="008000"/>
        </w:rPr>
      </w:pPr>
    </w:p>
    <w:p>
      <w:pPr>
        <w:ind w:left="20" w:right="140" w:firstLine="5"/>
        <w:spacing w:after="0" w:line="260"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are held of record by Spark Capital Growth Fund, L.P. ("Spark Capital Growth"). SGMP is the general partner of Spark Capital Growth.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2" w:lineRule="exact"/>
        <w:rPr>
          <w:rFonts w:ascii="Arial" w:cs="Arial" w:eastAsia="Arial" w:hAnsi="Arial"/>
          <w:sz w:val="14"/>
          <w:szCs w:val="14"/>
          <w:color w:val="008000"/>
        </w:rPr>
      </w:pPr>
    </w:p>
    <w:p>
      <w:pPr>
        <w:ind w:left="20" w:right="6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of record by Spark Capital II, L.P. ("Spark Capital II"). SMP II is the general partner of Spark Capital II.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36" w:lineRule="exact"/>
        <w:rPr>
          <w:rFonts w:ascii="Arial" w:cs="Arial" w:eastAsia="Arial" w:hAnsi="Arial"/>
          <w:sz w:val="15"/>
          <w:szCs w:val="15"/>
          <w:color w:val="008000"/>
        </w:rPr>
      </w:pPr>
    </w:p>
    <w:p>
      <w:pPr>
        <w:ind w:left="20" w:right="60" w:firstLine="5"/>
        <w:spacing w:after="0" w:line="291"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share of the Issuer's Series A, Series B, Series B-1, Series C, Series D, Series E-1 and Series F-1 Preferred Stock are convertible into Class A Common Stock on a 1 for 1 basis at the holder's election and will automatically convert immediately prior to the Reclassification and each share of the Issuer's Series E-2 Preferred Stock convertible into Class B Common Stock on a 1 for 1 basis at the holder's election and will automatically convert immediately prior to the Reclassification. These shares have no expiration date.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Alex Finkelstein</w:t>
            </w:r>
          </w:p>
        </w:tc>
        <w:tc>
          <w:tcPr>
            <w:tcW w:w="900" w:type="dxa"/>
            <w:vAlign w:val="bottom"/>
          </w:tcPr>
          <w:p>
            <w:pPr>
              <w:spacing w:after="0"/>
              <w:rPr>
                <w:sz w:val="20"/>
                <w:szCs w:val="20"/>
                <w:color w:val="auto"/>
              </w:rPr>
            </w:pPr>
            <w:r>
              <w:rPr>
                <w:rFonts w:ascii="Arial" w:cs="Arial" w:eastAsia="Arial" w:hAnsi="Arial"/>
                <w:sz w:val="20"/>
                <w:szCs w:val="20"/>
                <w:color w:val="0000FF"/>
                <w:w w:val="87"/>
              </w:rPr>
              <w:t>05/25/2021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22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6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9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20153" TargetMode="External"/><Relationship Id="rId11"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2021-05-25T19:30:05Z</dcterms:created>
  <dcterms:modified xsi:type="dcterms:W3CDTF">2021-05-25T19:30:05Z</dcterms:modified>
</cp:coreProperties>
</file>