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40" w:right="9280" w:firstLine="5"/>
        <w:spacing w:after="0" w:line="232" w:lineRule="exact"/>
        <w:tabs>
          <w:tab w:leader="none" w:pos="8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302492103</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823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8237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260" w:right="6720" w:hanging="746"/>
        <w:spacing w:after="0" w:line="508" w:lineRule="auto"/>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William Blair Investment Management, LLC</w:t>
      </w:r>
    </w:p>
    <w:p>
      <w:pPr>
        <w:spacing w:after="0" w:line="1" w:lineRule="exact"/>
        <w:rPr>
          <w:rFonts w:ascii="Times New Roman" w:cs="Times New Roman" w:eastAsia="Times New Roman" w:hAnsi="Times New Roman"/>
          <w:sz w:val="18"/>
          <w:szCs w:val="18"/>
          <w:color w:val="auto"/>
        </w:rPr>
      </w:pPr>
    </w:p>
    <w:p>
      <w:pPr>
        <w:ind w:left="1260" w:right="5000" w:hanging="746"/>
        <w:spacing w:after="0" w:line="261" w:lineRule="auto"/>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jc w:val="both"/>
        <w:ind w:left="10520"/>
        <w:spacing w:after="0" w:line="229" w:lineRule="auto"/>
        <w:tabs>
          <w:tab w:leader="none" w:pos="109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20"/>
        <w:spacing w:after="0"/>
        <w:tabs>
          <w:tab w:leader="none" w:pos="109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200" w:lineRule="exact"/>
        <w:rPr>
          <w:sz w:val="20"/>
          <w:szCs w:val="20"/>
          <w:color w:val="auto"/>
        </w:rPr>
      </w:pPr>
    </w:p>
    <w:p>
      <w:pPr>
        <w:spacing w:after="0" w:line="245" w:lineRule="exact"/>
        <w:rPr>
          <w:sz w:val="20"/>
          <w:szCs w:val="20"/>
          <w:color w:val="auto"/>
        </w:rPr>
      </w:pPr>
    </w:p>
    <w:p>
      <w:pPr>
        <w:ind w:left="1260" w:hanging="746"/>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260" w:right="6300" w:hanging="746"/>
        <w:spacing w:after="0" w:line="508"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3520" w:hanging="758"/>
        <w:spacing w:after="0"/>
        <w:tabs>
          <w:tab w:leader="none" w:pos="35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4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10,441,790</w:t>
            </w:r>
          </w:p>
        </w:tc>
        <w:tc>
          <w:tcPr>
            <w:tcW w:w="0" w:type="dxa"/>
            <w:vAlign w:val="bottom"/>
          </w:tcPr>
          <w:p>
            <w:pPr>
              <w:spacing w:after="0"/>
              <w:rPr>
                <w:sz w:val="1"/>
                <w:szCs w:val="1"/>
                <w:color w:val="auto"/>
              </w:rPr>
            </w:pPr>
          </w:p>
        </w:tc>
      </w:tr>
      <w:tr>
        <w:trPr>
          <w:trHeight w:val="178"/>
        </w:trPr>
        <w:tc>
          <w:tcPr>
            <w:tcW w:w="17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4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7"/>
              </w:rPr>
              <w:t>EACH</w:t>
            </w:r>
          </w:p>
        </w:tc>
        <w:tc>
          <w:tcPr>
            <w:tcW w:w="940" w:type="dxa"/>
            <w:vAlign w:val="bottom"/>
            <w:tcBorders>
              <w:bottom w:val="single" w:sz="8" w:color="auto"/>
            </w:tcBorders>
          </w:tcPr>
          <w:p>
            <w:pPr>
              <w:spacing w:after="0"/>
              <w:rPr>
                <w:sz w:val="2"/>
                <w:szCs w:val="2"/>
                <w:color w:val="auto"/>
              </w:rPr>
            </w:pPr>
          </w:p>
        </w:tc>
        <w:tc>
          <w:tcPr>
            <w:tcW w:w="8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7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40" w:type="dxa"/>
            <w:vAlign w:val="bottom"/>
          </w:tcPr>
          <w:p>
            <w:pPr>
              <w:spacing w:after="0"/>
              <w:rPr>
                <w:sz w:val="22"/>
                <w:szCs w:val="22"/>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11,575,864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520" w:right="5200" w:hanging="758"/>
        <w:spacing w:after="0" w:line="508" w:lineRule="auto"/>
        <w:tabs>
          <w:tab w:leader="none" w:pos="35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1260" w:right="3420" w:hanging="746"/>
        <w:spacing w:after="0" w:line="508" w:lineRule="auto"/>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11,575,864</w:t>
      </w:r>
    </w:p>
    <w:p>
      <w:pPr>
        <w:spacing w:after="0" w:line="1" w:lineRule="exact"/>
        <w:rPr>
          <w:sz w:val="20"/>
          <w:szCs w:val="20"/>
          <w:color w:val="auto"/>
        </w:rPr>
      </w:pPr>
    </w:p>
    <w:p>
      <w:pPr>
        <w:ind w:left="1260" w:right="3320" w:hanging="791"/>
        <w:spacing w:after="0" w:line="261"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jc w:val="right"/>
        <w:ind w:right="120"/>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216" w:lineRule="exact"/>
        <w:rPr>
          <w:sz w:val="20"/>
          <w:szCs w:val="20"/>
          <w:color w:val="auto"/>
        </w:rPr>
      </w:pPr>
    </w:p>
    <w:p>
      <w:pPr>
        <w:ind w:left="1260" w:right="4920" w:hanging="787"/>
        <w:spacing w:after="0" w:line="508"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9.4%</w:t>
      </w:r>
    </w:p>
    <w:p>
      <w:pPr>
        <w:spacing w:after="0" w:line="1" w:lineRule="exact"/>
        <w:rPr>
          <w:rFonts w:ascii="Times New Roman" w:cs="Times New Roman" w:eastAsia="Times New Roman" w:hAnsi="Times New Roman"/>
          <w:sz w:val="18"/>
          <w:szCs w:val="18"/>
          <w:color w:val="auto"/>
        </w:rPr>
      </w:pPr>
    </w:p>
    <w:p>
      <w:pPr>
        <w:ind w:left="1260" w:right="5640" w:hanging="791"/>
        <w:spacing w:after="0" w:line="532"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1640" w:type="dxa"/>
            <w:vAlign w:val="bottom"/>
            <w:tcBorders>
              <w:top w:val="single" w:sz="8" w:color="auto"/>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302492103</w:t>
            </w:r>
          </w:p>
        </w:tc>
        <w:tc>
          <w:tcPr>
            <w:tcW w:w="580" w:type="dxa"/>
            <w:vAlign w:val="bottom"/>
            <w:tcBorders>
              <w:top w:val="single" w:sz="8" w:color="auto"/>
              <w:bottom w:val="single" w:sz="8" w:color="auto"/>
            </w:tcBorders>
          </w:tcPr>
          <w:p>
            <w:pPr>
              <w:spacing w:after="0"/>
              <w:rPr>
                <w:sz w:val="19"/>
                <w:szCs w:val="19"/>
                <w:color w:val="auto"/>
              </w:rPr>
            </w:pPr>
          </w:p>
        </w:tc>
        <w:tc>
          <w:tcPr>
            <w:tcW w:w="354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3</w:t>
            </w:r>
          </w:p>
        </w:tc>
      </w:tr>
      <w:tr>
        <w:trPr>
          <w:trHeight w:val="407"/>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234"/>
        </w:trPr>
        <w:tc>
          <w:tcPr>
            <w:tcW w:w="1000" w:type="dxa"/>
            <w:vAlign w:val="bottom"/>
          </w:tcPr>
          <w:p>
            <w:pPr>
              <w:spacing w:after="0"/>
              <w:rPr>
                <w:sz w:val="20"/>
                <w:szCs w:val="20"/>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Flywire Corporation</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34"/>
        </w:trPr>
        <w:tc>
          <w:tcPr>
            <w:tcW w:w="1000" w:type="dxa"/>
            <w:vAlign w:val="bottom"/>
          </w:tcPr>
          <w:p>
            <w:pPr>
              <w:spacing w:after="0"/>
              <w:rPr>
                <w:sz w:val="20"/>
                <w:szCs w:val="20"/>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141 Tremont St #10, Boston, MA 02111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34"/>
        </w:trPr>
        <w:tc>
          <w:tcPr>
            <w:tcW w:w="1000" w:type="dxa"/>
            <w:vAlign w:val="bottom"/>
          </w:tcPr>
          <w:p>
            <w:pPr>
              <w:spacing w:after="0"/>
              <w:rPr>
                <w:sz w:val="20"/>
                <w:szCs w:val="20"/>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William Blair Investment Management, LLC</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34"/>
        </w:trPr>
        <w:tc>
          <w:tcPr>
            <w:tcW w:w="1000" w:type="dxa"/>
            <w:vAlign w:val="bottom"/>
          </w:tcPr>
          <w:p>
            <w:pPr>
              <w:spacing w:after="0"/>
              <w:rPr>
                <w:sz w:val="20"/>
                <w:szCs w:val="20"/>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150 North Riverside Plaza, Chicago, IL 60606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35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Delaware</w:t>
            </w:r>
          </w:p>
        </w:tc>
        <w:tc>
          <w:tcPr>
            <w:tcW w:w="354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234"/>
        </w:trPr>
        <w:tc>
          <w:tcPr>
            <w:tcW w:w="1000" w:type="dxa"/>
            <w:vAlign w:val="bottom"/>
          </w:tcPr>
          <w:p>
            <w:pPr>
              <w:spacing w:after="0"/>
              <w:rPr>
                <w:sz w:val="20"/>
                <w:szCs w:val="20"/>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Common Stock</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234"/>
        </w:trPr>
        <w:tc>
          <w:tcPr>
            <w:tcW w:w="100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302492103</w:t>
            </w:r>
          </w:p>
        </w:tc>
        <w:tc>
          <w:tcPr>
            <w:tcW w:w="354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r>
        <w:trPr>
          <w:trHeight w:val="432"/>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580" w:type="dxa"/>
            <w:vAlign w:val="bottom"/>
          </w:tcPr>
          <w:p>
            <w:pPr>
              <w:ind w:left="60"/>
              <w:spacing w:after="0"/>
              <w:rPr>
                <w:sz w:val="20"/>
                <w:szCs w:val="20"/>
                <w:color w:val="auto"/>
              </w:rPr>
            </w:pPr>
            <w:r>
              <w:rPr>
                <w:rFonts w:ascii="Wingdings" w:cs="Wingdings" w:eastAsia="Wingdings" w:hAnsi="Wingdings"/>
                <w:sz w:val="18"/>
                <w:szCs w:val="18"/>
                <w:b w:val="1"/>
                <w:bCs w:val="1"/>
                <w:color w:val="auto"/>
              </w:rPr>
              <w:t>o</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284"/>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580" w:type="dxa"/>
            <w:vAlign w:val="bottom"/>
          </w:tcPr>
          <w:p>
            <w:pPr>
              <w:ind w:left="60"/>
              <w:spacing w:after="0"/>
              <w:rPr>
                <w:sz w:val="20"/>
                <w:szCs w:val="20"/>
                <w:color w:val="auto"/>
              </w:rPr>
            </w:pPr>
            <w:r>
              <w:rPr>
                <w:rFonts w:ascii="Wingdings" w:cs="Wingdings" w:eastAsia="Wingdings" w:hAnsi="Wingdings"/>
                <w:sz w:val="18"/>
                <w:szCs w:val="18"/>
                <w:b w:val="1"/>
                <w:bCs w:val="1"/>
                <w:color w:val="auto"/>
              </w:rPr>
              <w:t>o</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283"/>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580" w:type="dxa"/>
            <w:vAlign w:val="bottom"/>
          </w:tcPr>
          <w:p>
            <w:pPr>
              <w:ind w:left="60"/>
              <w:spacing w:after="0"/>
              <w:rPr>
                <w:sz w:val="20"/>
                <w:szCs w:val="20"/>
                <w:color w:val="auto"/>
              </w:rPr>
            </w:pPr>
            <w:r>
              <w:rPr>
                <w:rFonts w:ascii="Wingdings" w:cs="Wingdings" w:eastAsia="Wingdings" w:hAnsi="Wingdings"/>
                <w:sz w:val="18"/>
                <w:szCs w:val="18"/>
                <w:b w:val="1"/>
                <w:bCs w:val="1"/>
                <w:color w:val="auto"/>
              </w:rPr>
              <w:t>o</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284"/>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w:t>
            </w:r>
          </w:p>
        </w:tc>
        <w:tc>
          <w:tcPr>
            <w:tcW w:w="580" w:type="dxa"/>
            <w:vAlign w:val="bottom"/>
          </w:tcPr>
          <w:p>
            <w:pPr>
              <w:ind w:left="60"/>
              <w:spacing w:after="0"/>
              <w:rPr>
                <w:sz w:val="20"/>
                <w:szCs w:val="20"/>
                <w:color w:val="auto"/>
              </w:rPr>
            </w:pPr>
            <w:r>
              <w:rPr>
                <w:rFonts w:ascii="Wingdings" w:cs="Wingdings" w:eastAsia="Wingdings" w:hAnsi="Wingdings"/>
                <w:sz w:val="18"/>
                <w:szCs w:val="18"/>
                <w:b w:val="1"/>
                <w:bCs w:val="1"/>
                <w:color w:val="auto"/>
              </w:rPr>
              <w:t>o</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283"/>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w:t>
            </w:r>
          </w:p>
        </w:tc>
        <w:tc>
          <w:tcPr>
            <w:tcW w:w="580" w:type="dxa"/>
            <w:vAlign w:val="bottom"/>
          </w:tcPr>
          <w:p>
            <w:pPr>
              <w:ind w:left="60"/>
              <w:spacing w:after="0"/>
              <w:rPr>
                <w:sz w:val="20"/>
                <w:szCs w:val="20"/>
                <w:color w:val="auto"/>
              </w:rPr>
            </w:pPr>
            <w:r>
              <w:rPr>
                <w:rFonts w:ascii="Wingdings" w:cs="Wingdings" w:eastAsia="Wingdings" w:hAnsi="Wingdings"/>
                <w:sz w:val="18"/>
                <w:szCs w:val="18"/>
                <w:b w:val="1"/>
                <w:bCs w:val="1"/>
                <w:color w:val="auto"/>
              </w:rPr>
              <w:t>x</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 investment adviser in accordance with § 240.13d-1(b)(1)(ii)(E);</w:t>
            </w:r>
          </w:p>
        </w:tc>
      </w:tr>
      <w:tr>
        <w:trPr>
          <w:trHeight w:val="283"/>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w:t>
            </w:r>
          </w:p>
        </w:tc>
        <w:tc>
          <w:tcPr>
            <w:tcW w:w="580" w:type="dxa"/>
            <w:vAlign w:val="bottom"/>
          </w:tcPr>
          <w:p>
            <w:pPr>
              <w:ind w:left="60"/>
              <w:spacing w:after="0"/>
              <w:rPr>
                <w:sz w:val="20"/>
                <w:szCs w:val="20"/>
                <w:color w:val="auto"/>
              </w:rPr>
            </w:pPr>
            <w:r>
              <w:rPr>
                <w:rFonts w:ascii="Wingdings" w:cs="Wingdings" w:eastAsia="Wingdings" w:hAnsi="Wingdings"/>
                <w:sz w:val="18"/>
                <w:szCs w:val="18"/>
                <w:b w:val="1"/>
                <w:bCs w:val="1"/>
                <w:color w:val="auto"/>
              </w:rPr>
              <w:t>o</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 240.13d-1(b)(1)(ii)(F);</w:t>
            </w:r>
          </w:p>
        </w:tc>
      </w:tr>
      <w:tr>
        <w:trPr>
          <w:trHeight w:val="284"/>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w:t>
            </w:r>
          </w:p>
        </w:tc>
        <w:tc>
          <w:tcPr>
            <w:tcW w:w="580" w:type="dxa"/>
            <w:vAlign w:val="bottom"/>
          </w:tcPr>
          <w:p>
            <w:pPr>
              <w:ind w:left="60"/>
              <w:spacing w:after="0"/>
              <w:rPr>
                <w:sz w:val="20"/>
                <w:szCs w:val="20"/>
                <w:color w:val="auto"/>
              </w:rPr>
            </w:pPr>
            <w:r>
              <w:rPr>
                <w:rFonts w:ascii="Wingdings" w:cs="Wingdings" w:eastAsia="Wingdings" w:hAnsi="Wingdings"/>
                <w:sz w:val="18"/>
                <w:szCs w:val="18"/>
                <w:b w:val="1"/>
                <w:bCs w:val="1"/>
                <w:color w:val="auto"/>
              </w:rPr>
              <w:t>o</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283"/>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w:t>
            </w:r>
          </w:p>
        </w:tc>
        <w:tc>
          <w:tcPr>
            <w:tcW w:w="580" w:type="dxa"/>
            <w:vAlign w:val="bottom"/>
          </w:tcPr>
          <w:p>
            <w:pPr>
              <w:ind w:left="60"/>
              <w:spacing w:after="0"/>
              <w:rPr>
                <w:sz w:val="20"/>
                <w:szCs w:val="20"/>
                <w:color w:val="auto"/>
              </w:rPr>
            </w:pPr>
            <w:r>
              <w:rPr>
                <w:rFonts w:ascii="Wingdings" w:cs="Wingdings" w:eastAsia="Wingdings" w:hAnsi="Wingdings"/>
                <w:sz w:val="18"/>
                <w:szCs w:val="18"/>
                <w:b w:val="1"/>
                <w:bCs w:val="1"/>
                <w:color w:val="auto"/>
              </w:rPr>
              <w:t>o</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r>
        <w:trPr>
          <w:trHeight w:val="265"/>
        </w:trPr>
        <w:tc>
          <w:tcPr>
            <w:tcW w:w="1000" w:type="dxa"/>
            <w:vAlign w:val="bottom"/>
          </w:tcPr>
          <w:p>
            <w:pPr>
              <w:spacing w:after="0"/>
              <w:rPr>
                <w:sz w:val="23"/>
                <w:szCs w:val="23"/>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580" w:type="dxa"/>
            <w:vAlign w:val="bottom"/>
          </w:tcPr>
          <w:p>
            <w:pPr>
              <w:ind w:left="60"/>
              <w:spacing w:after="0"/>
              <w:rPr>
                <w:sz w:val="20"/>
                <w:szCs w:val="20"/>
                <w:color w:val="auto"/>
              </w:rPr>
            </w:pPr>
            <w:r>
              <w:rPr>
                <w:rFonts w:ascii="Wingdings" w:cs="Wingdings" w:eastAsia="Wingdings" w:hAnsi="Wingdings"/>
                <w:sz w:val="18"/>
                <w:szCs w:val="18"/>
                <w:b w:val="1"/>
                <w:bCs w:val="1"/>
                <w:color w:val="auto"/>
              </w:rPr>
              <w:t>o</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w:t>
            </w:r>
          </w:p>
        </w:tc>
      </w:tr>
      <w:tr>
        <w:trPr>
          <w:trHeight w:val="234"/>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Company Act (15 U.S.C. 80a-3);</w:t>
            </w:r>
          </w:p>
        </w:tc>
      </w:tr>
      <w:tr>
        <w:trPr>
          <w:trHeight w:val="283"/>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w:t>
            </w:r>
          </w:p>
        </w:tc>
        <w:tc>
          <w:tcPr>
            <w:tcW w:w="580" w:type="dxa"/>
            <w:vAlign w:val="bottom"/>
          </w:tcPr>
          <w:p>
            <w:pPr>
              <w:ind w:left="60"/>
              <w:spacing w:after="0"/>
              <w:rPr>
                <w:sz w:val="20"/>
                <w:szCs w:val="20"/>
                <w:color w:val="auto"/>
              </w:rPr>
            </w:pPr>
            <w:r>
              <w:rPr>
                <w:rFonts w:ascii="Wingdings" w:cs="Wingdings" w:eastAsia="Wingdings" w:hAnsi="Wingdings"/>
                <w:sz w:val="18"/>
                <w:szCs w:val="18"/>
                <w:b w:val="1"/>
                <w:bCs w:val="1"/>
                <w:color w:val="auto"/>
              </w:rPr>
              <w:t>o</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r>
        <w:trPr>
          <w:trHeight w:val="283"/>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w:t>
            </w:r>
          </w:p>
        </w:tc>
        <w:tc>
          <w:tcPr>
            <w:tcW w:w="580" w:type="dxa"/>
            <w:vAlign w:val="bottom"/>
          </w:tcPr>
          <w:p>
            <w:pPr>
              <w:ind w:left="60"/>
              <w:spacing w:after="0"/>
              <w:rPr>
                <w:sz w:val="20"/>
                <w:szCs w:val="20"/>
                <w:color w:val="auto"/>
              </w:rPr>
            </w:pPr>
            <w:r>
              <w:rPr>
                <w:rFonts w:ascii="Wingdings" w:cs="Wingdings" w:eastAsia="Wingdings" w:hAnsi="Wingdings"/>
                <w:sz w:val="18"/>
                <w:szCs w:val="18"/>
                <w:b w:val="1"/>
                <w:bCs w:val="1"/>
                <w:color w:val="auto"/>
              </w:rPr>
              <w:t>o</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Group, in accordance with § 240.13d-1(b)(1)(ii)(K).</w:t>
            </w:r>
          </w:p>
        </w:tc>
      </w:tr>
    </w:tbl>
    <w:p>
      <w:pPr>
        <w:spacing w:after="0" w:line="2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1780" w:type="dxa"/>
            <w:vAlign w:val="bottom"/>
            <w:tcBorders>
              <w:top w:val="single" w:sz="8" w:color="auto"/>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302492103</w:t>
            </w:r>
          </w:p>
        </w:tc>
        <w:tc>
          <w:tcPr>
            <w:tcW w:w="420" w:type="dxa"/>
            <w:vAlign w:val="bottom"/>
            <w:tcBorders>
              <w:top w:val="single" w:sz="8" w:color="auto"/>
              <w:bottom w:val="single" w:sz="8" w:color="auto"/>
            </w:tcBorders>
          </w:tcPr>
          <w:p>
            <w:pPr>
              <w:spacing w:after="0"/>
              <w:rPr>
                <w:sz w:val="19"/>
                <w:szCs w:val="19"/>
                <w:color w:val="auto"/>
              </w:rPr>
            </w:pPr>
          </w:p>
        </w:tc>
        <w:tc>
          <w:tcPr>
            <w:tcW w:w="356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4</w:t>
            </w:r>
          </w:p>
        </w:tc>
      </w:tr>
      <w:tr>
        <w:trPr>
          <w:trHeight w:val="407"/>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35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103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w:t>
            </w:r>
          </w:p>
        </w:tc>
      </w:tr>
      <w:tr>
        <w:trPr>
          <w:trHeight w:val="234"/>
        </w:trPr>
        <w:tc>
          <w:tcPr>
            <w:tcW w:w="940" w:type="dxa"/>
            <w:vAlign w:val="bottom"/>
          </w:tcPr>
          <w:p>
            <w:pPr>
              <w:spacing w:after="0"/>
              <w:rPr>
                <w:sz w:val="20"/>
                <w:szCs w:val="20"/>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w:t>
            </w:r>
          </w:p>
        </w:tc>
        <w:tc>
          <w:tcPr>
            <w:tcW w:w="4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w:t>
            </w:r>
          </w:p>
        </w:tc>
        <w:tc>
          <w:tcPr>
            <w:tcW w:w="9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 beneficially owned: 11,575,864</w:t>
            </w:r>
          </w:p>
        </w:tc>
      </w:tr>
      <w:tr>
        <w:trPr>
          <w:trHeight w:val="432"/>
        </w:trPr>
        <w:tc>
          <w:tcPr>
            <w:tcW w:w="94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9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 of class: 9.4%</w:t>
            </w:r>
          </w:p>
        </w:tc>
      </w:tr>
      <w:tr>
        <w:trPr>
          <w:trHeight w:val="432"/>
        </w:trPr>
        <w:tc>
          <w:tcPr>
            <w:tcW w:w="94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w:t>
            </w:r>
          </w:p>
        </w:tc>
        <w:tc>
          <w:tcPr>
            <w:tcW w:w="9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Number of shares as to which the person has:</w:t>
            </w:r>
          </w:p>
        </w:tc>
      </w:tr>
      <w:tr>
        <w:trPr>
          <w:trHeight w:val="432"/>
        </w:trPr>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9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power to vote or to direct the vote: 10,441,790</w:t>
            </w:r>
          </w:p>
        </w:tc>
      </w:tr>
      <w:tr>
        <w:trPr>
          <w:trHeight w:val="432"/>
        </w:trPr>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(ii)   Shared power to vote or to direct the vote: 0</w:t>
            </w:r>
          </w:p>
        </w:tc>
      </w:tr>
      <w:tr>
        <w:trPr>
          <w:trHeight w:val="432"/>
        </w:trPr>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 11,575,864</w:t>
            </w:r>
          </w:p>
        </w:tc>
      </w:tr>
      <w:tr>
        <w:trPr>
          <w:trHeight w:val="432"/>
        </w:trPr>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 0</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3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16"/>
        </w:trPr>
        <w:tc>
          <w:tcPr>
            <w:tcW w:w="940" w:type="dxa"/>
            <w:vAlign w:val="bottom"/>
          </w:tcPr>
          <w:p>
            <w:pPr>
              <w:spacing w:after="0"/>
              <w:rPr>
                <w:sz w:val="18"/>
                <w:szCs w:val="18"/>
                <w:color w:val="auto"/>
              </w:rPr>
            </w:pPr>
          </w:p>
        </w:tc>
        <w:tc>
          <w:tcPr>
            <w:tcW w:w="103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234"/>
        </w:trPr>
        <w:tc>
          <w:tcPr>
            <w:tcW w:w="940" w:type="dxa"/>
            <w:vAlign w:val="bottom"/>
          </w:tcPr>
          <w:p>
            <w:pPr>
              <w:spacing w:after="0"/>
              <w:rPr>
                <w:sz w:val="20"/>
                <w:szCs w:val="20"/>
                <w:color w:val="auto"/>
              </w:rPr>
            </w:pPr>
          </w:p>
        </w:tc>
        <w:tc>
          <w:tcPr>
            <w:tcW w:w="103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xml:space="preserve">more than 5 percent of the class of securities, check the following. </w:t>
            </w:r>
            <w:r>
              <w:rPr>
                <w:rFonts w:ascii="Wingdings" w:cs="Wingdings" w:eastAsia="Wingdings" w:hAnsi="Wingdings"/>
                <w:sz w:val="18"/>
                <w:szCs w:val="18"/>
                <w:b w:val="1"/>
                <w:bCs w:val="1"/>
                <w:color w:val="auto"/>
              </w:rPr>
              <w:t>o</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34"/>
        </w:trPr>
        <w:tc>
          <w:tcPr>
            <w:tcW w:w="940" w:type="dxa"/>
            <w:vAlign w:val="bottom"/>
          </w:tcPr>
          <w:p>
            <w:pPr>
              <w:spacing w:after="0"/>
              <w:rPr>
                <w:sz w:val="20"/>
                <w:szCs w:val="20"/>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0"/>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20"/>
        </w:trPr>
        <w:tc>
          <w:tcPr>
            <w:tcW w:w="940" w:type="dxa"/>
            <w:vAlign w:val="bottom"/>
          </w:tcPr>
          <w:p>
            <w:pPr>
              <w:spacing w:after="0"/>
              <w:rPr>
                <w:sz w:val="19"/>
                <w:szCs w:val="19"/>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56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234"/>
        </w:trPr>
        <w:tc>
          <w:tcPr>
            <w:tcW w:w="940" w:type="dxa"/>
            <w:vAlign w:val="bottom"/>
          </w:tcPr>
          <w:p>
            <w:pPr>
              <w:spacing w:after="0"/>
              <w:rPr>
                <w:sz w:val="20"/>
                <w:szCs w:val="20"/>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34"/>
        </w:trPr>
        <w:tc>
          <w:tcPr>
            <w:tcW w:w="940" w:type="dxa"/>
            <w:vAlign w:val="bottom"/>
          </w:tcPr>
          <w:p>
            <w:pPr>
              <w:spacing w:after="0"/>
              <w:rPr>
                <w:sz w:val="20"/>
                <w:szCs w:val="20"/>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3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940" w:type="dxa"/>
            <w:vAlign w:val="bottom"/>
          </w:tcPr>
          <w:p>
            <w:pPr>
              <w:spacing w:after="0"/>
              <w:rPr>
                <w:sz w:val="20"/>
                <w:szCs w:val="20"/>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3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216"/>
        </w:trPr>
        <w:tc>
          <w:tcPr>
            <w:tcW w:w="940" w:type="dxa"/>
            <w:vAlign w:val="bottom"/>
          </w:tcPr>
          <w:p>
            <w:pPr>
              <w:spacing w:after="0"/>
              <w:rPr>
                <w:sz w:val="18"/>
                <w:szCs w:val="18"/>
                <w:color w:val="auto"/>
              </w:rPr>
            </w:pPr>
          </w:p>
        </w:tc>
        <w:tc>
          <w:tcPr>
            <w:tcW w:w="103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34"/>
        </w:trPr>
        <w:tc>
          <w:tcPr>
            <w:tcW w:w="940" w:type="dxa"/>
            <w:vAlign w:val="bottom"/>
          </w:tcPr>
          <w:p>
            <w:pPr>
              <w:spacing w:after="0"/>
              <w:rPr>
                <w:sz w:val="20"/>
                <w:szCs w:val="20"/>
                <w:color w:val="auto"/>
              </w:rPr>
            </w:pPr>
          </w:p>
        </w:tc>
        <w:tc>
          <w:tcPr>
            <w:tcW w:w="103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w:t>
            </w:r>
          </w:p>
        </w:tc>
      </w:tr>
    </w:tbl>
    <w:p>
      <w:pPr>
        <w:ind w:left="1240" w:right="500"/>
        <w:spacing w:after="0" w:line="260" w:lineRule="auto"/>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302492103</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5</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42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Stephanie Braming</w:t>
            </w:r>
          </w:p>
        </w:tc>
      </w:tr>
      <w:tr>
        <w:trPr>
          <w:trHeight w:val="41"/>
        </w:trPr>
        <w:tc>
          <w:tcPr>
            <w:tcW w:w="66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Stephanie Braming</w:t>
            </w:r>
          </w:p>
        </w:tc>
      </w:tr>
      <w:tr>
        <w:trPr>
          <w:trHeight w:val="40"/>
        </w:trPr>
        <w:tc>
          <w:tcPr>
            <w:tcW w:w="66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 Global Head of Investment Management</w:t>
            </w:r>
          </w:p>
        </w:tc>
      </w:tr>
      <w:tr>
        <w:trPr>
          <w:trHeight w:val="40"/>
        </w:trPr>
        <w:tc>
          <w:tcPr>
            <w:tcW w:w="66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lvl w:ilvl="1">
      <w:lvlJc w:val="left"/>
      <w:lvlText w:val="%2."/>
      <w:numFmt w:val="decimal"/>
      <w:start w:val="5"/>
    </w:lvl>
  </w:abstractNum>
  <w:abstractNum w:abstractNumId="3">
    <w:nsid w:val="3D1B58BA"/>
    <w:multiLevelType w:val="hybridMultilevel"/>
    <w:lvl w:ilvl="0">
      <w:lvlJc w:val="left"/>
      <w:lvlText w:val="%1"/>
      <w:numFmt w:val="decimal"/>
      <w:start w:val="1"/>
    </w:lvl>
    <w:lvl w:ilvl="1">
      <w:lvlJc w:val="left"/>
      <w:lvlText w:val="%2."/>
      <w:numFmt w:val="decimal"/>
      <w:start w:val="8"/>
    </w:lvl>
  </w:abstractNum>
  <w:abstractNum w:abstractNumId="4">
    <w:nsid w:val="507ED7AB"/>
    <w:multiLevelType w:val="hybridMultilevel"/>
    <w:lvl w:ilvl="0">
      <w:lvlJc w:val="left"/>
      <w:lvlText w:val="%1."/>
      <w:numFmt w:val="decimal"/>
      <w:start w:val="9"/>
    </w:lvl>
    <w:lvl w:ilvl="1">
      <w:lvlJc w:val="left"/>
      <w:lvlText w:val="%2"/>
      <w:numFmt w:val="decimal"/>
      <w:start w:val="1"/>
    </w:lvl>
  </w:abstractNum>
  <w:abstractNum w:abstractNumId="5">
    <w:nsid w:val="2EB141F2"/>
    <w:multiLevelType w:val="hybridMultilevel"/>
    <w:lvl w:ilvl="0">
      <w:lvlJc w:val="left"/>
      <w:lvlText w:val="%1."/>
      <w:numFmt w:val="decimal"/>
      <w:start w:val="10"/>
    </w:lvl>
  </w:abstractNum>
  <w:abstractNum w:abstractNumId="6">
    <w:nsid w:val="41B71EF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2024-11-14T10:21:07Z</dcterms:created>
  <dcterms:modified xsi:type="dcterms:W3CDTF">2024-11-14T10:21:07Z</dcterms:modified>
</cp:coreProperties>
</file>