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498799d8k.htm"/>
      <w:bookmarkStart w:id="1" w:name="ksd498799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August 8,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FLYWIRE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530" w:type="dxa"/>
        <w:jc w:val="left"/>
        <w:tblInd w:w="0" w:type="dxa"/>
        <w:tblLayout w:type="fixed"/>
        <w:tblCellMar>
          <w:top w:w="0" w:type="dxa"/>
          <w:left w:w="0" w:type="dxa"/>
          <w:bottom w:w="0" w:type="dxa"/>
          <w:right w:w="0" w:type="dxa"/>
        </w:tblCellMar>
      </w:tblPr>
      <w:tblGrid>
        <w:gridCol w:w="1985"/>
        <w:gridCol w:w="60"/>
        <w:gridCol w:w="1055"/>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001-40430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27-0690799</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No.)</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85" w:type="dxa"/>
        <w:jc w:val="left"/>
        <w:tblInd w:w="0" w:type="dxa"/>
        <w:tblLayout w:type="fixed"/>
        <w:tblCellMar>
          <w:top w:w="0" w:type="dxa"/>
          <w:left w:w="0" w:type="dxa"/>
          <w:bottom w:w="0" w:type="dxa"/>
          <w:right w:w="0" w:type="dxa"/>
        </w:tblCellMar>
      </w:tblPr>
      <w:tblGrid>
        <w:gridCol w:w="5285"/>
      </w:tblGrid>
      <w:tr>
        <w:trPr/>
        <w:tc>
          <w:tcPr>
            <w:tcW w:w="5285" w:type="dxa"/>
            <w:tcBorders/>
            <w:vAlign w:val="center"/>
          </w:tcPr>
          <w:p>
            <w:pPr>
              <w:pStyle w:val="TableContents"/>
              <w:bidi w:val="0"/>
              <w:spacing w:before="0" w:after="283"/>
              <w:jc w:val="left"/>
              <w:rPr>
                <w:sz w:val="4"/>
                <w:szCs w:val="4"/>
              </w:rPr>
            </w:pPr>
            <w:r>
              <w:rPr>
                <w:sz w:val="4"/>
                <w:szCs w:val="4"/>
              </w:rPr>
            </w:r>
          </w:p>
        </w:tc>
      </w:tr>
      <w:tr>
        <w:trPr/>
        <w:tc>
          <w:tcPr>
            <w:tcW w:w="5285" w:type="dxa"/>
            <w:tcBorders/>
            <w:vAlign w:val="center"/>
          </w:tcPr>
          <w:p>
            <w:pPr>
              <w:pStyle w:val="TableContents"/>
              <w:bidi w:val="0"/>
              <w:spacing w:before="0" w:after="283"/>
              <w:jc w:val="center"/>
              <w:rPr>
                <w:b/>
              </w:rPr>
            </w:pPr>
            <w:r>
              <w:rPr>
                <w:b/>
              </w:rPr>
              <w:t>141 Tremont St #10</w:t>
            </w:r>
          </w:p>
        </w:tc>
      </w:tr>
      <w:tr>
        <w:trPr/>
        <w:tc>
          <w:tcPr>
            <w:tcW w:w="5285" w:type="dxa"/>
            <w:tcBorders/>
            <w:vAlign w:val="center"/>
          </w:tcPr>
          <w:p>
            <w:pPr>
              <w:pStyle w:val="TableContents"/>
              <w:bidi w:val="0"/>
              <w:spacing w:before="0" w:after="283"/>
              <w:jc w:val="center"/>
              <w:rPr>
                <w:b/>
              </w:rPr>
            </w:pPr>
            <w:r>
              <w:rPr>
                <w:b/>
              </w:rPr>
              <w:t>Boston, MA 02111</w:t>
            </w:r>
          </w:p>
        </w:tc>
      </w:tr>
      <w:tr>
        <w:trPr/>
        <w:tc>
          <w:tcPr>
            <w:tcW w:w="5285" w:type="dxa"/>
            <w:tcBorders/>
            <w:vAlign w:val="center"/>
          </w:tcPr>
          <w:p>
            <w:pPr>
              <w:pStyle w:val="TableContents"/>
              <w:bidi w:val="0"/>
              <w:spacing w:before="0" w:after="283"/>
              <w:jc w:val="center"/>
              <w:rPr>
                <w:b/>
              </w:rPr>
            </w:pPr>
            <w:r>
              <w:rPr>
                <w:b/>
              </w:rPr>
              <w:t>(Address of principal executive offices and 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(617) 329-4524</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400" w:type="dxa"/>
        <w:jc w:val="left"/>
        <w:tblInd w:w="0" w:type="dxa"/>
        <w:tblLayout w:type="fixed"/>
        <w:tblCellMar>
          <w:top w:w="0" w:type="dxa"/>
          <w:left w:w="0" w:type="dxa"/>
          <w:bottom w:w="0" w:type="dxa"/>
          <w:right w:w="0" w:type="dxa"/>
        </w:tblCellMar>
      </w:tblPr>
      <w:tblGrid>
        <w:gridCol w:w="4985"/>
        <w:gridCol w:w="60"/>
        <w:gridCol w:w="740"/>
        <w:gridCol w:w="60"/>
        <w:gridCol w:w="2555"/>
      </w:tblGrid>
      <w:tr>
        <w:trPr/>
        <w:tc>
          <w:tcPr>
            <w:tcW w:w="4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55" w:type="dxa"/>
            <w:tcBorders/>
            <w:vAlign w:val="center"/>
          </w:tcPr>
          <w:p>
            <w:pPr>
              <w:pStyle w:val="TableContents"/>
              <w:bidi w:val="0"/>
              <w:spacing w:before="0" w:after="283"/>
              <w:jc w:val="left"/>
              <w:rPr>
                <w:sz w:val="4"/>
                <w:szCs w:val="4"/>
              </w:rPr>
            </w:pPr>
            <w:r>
              <w:rPr>
                <w:sz w:val="4"/>
                <w:szCs w:val="4"/>
              </w:rPr>
            </w:r>
          </w:p>
        </w:tc>
      </w:tr>
      <w:tr>
        <w:trPr/>
        <w:tc>
          <w:tcPr>
            <w:tcW w:w="498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55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985" w:type="dxa"/>
            <w:tcBorders/>
            <w:vAlign w:val="center"/>
          </w:tcPr>
          <w:p>
            <w:pPr>
              <w:pStyle w:val="TableContents"/>
              <w:bidi w:val="0"/>
              <w:spacing w:before="0" w:after="283"/>
              <w:jc w:val="center"/>
              <w:rPr/>
            </w:pPr>
            <w:r>
              <w:rPr/>
              <w:t>Voting 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FLYW</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p>
            <w:pPr>
              <w:pStyle w:val="TableContents"/>
              <w:bidi w:val="0"/>
              <w:spacing w:before="0" w:after="20"/>
              <w:jc w:val="center"/>
              <w:rPr>
                <w:rFonts w:ascii="Times New Roman" w:hAnsi="Times New Roman"/>
                <w:sz w:val="20"/>
              </w:rPr>
            </w:pPr>
            <w:r>
              <w:rPr>
                <w:rFonts w:ascii="Times New Roman" w:hAnsi="Times New Roman"/>
                <w:sz w:val="20"/>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5065" w:type="dxa"/>
        <w:jc w:val="left"/>
        <w:tblInd w:w="0" w:type="dxa"/>
        <w:tblLayout w:type="fixed"/>
        <w:tblCellMar>
          <w:top w:w="0" w:type="dxa"/>
          <w:left w:w="0" w:type="dxa"/>
          <w:bottom w:w="0" w:type="dxa"/>
          <w:right w:w="0" w:type="dxa"/>
        </w:tblCellMar>
      </w:tblPr>
      <w:tblGrid>
        <w:gridCol w:w="1040"/>
        <w:gridCol w:w="4025"/>
      </w:tblGrid>
      <w:tr>
        <w:trPr/>
        <w:tc>
          <w:tcPr>
            <w:tcW w:w="1040" w:type="dxa"/>
            <w:tcBorders/>
            <w:vAlign w:val="center"/>
          </w:tcPr>
          <w:p>
            <w:pPr>
              <w:pStyle w:val="TableContents"/>
              <w:bidi w:val="0"/>
              <w:spacing w:before="0" w:after="283"/>
              <w:jc w:val="left"/>
              <w:rPr>
                <w:b/>
              </w:rPr>
            </w:pPr>
            <w:r>
              <w:rPr>
                <w:b/>
              </w:rPr>
              <w:t>Item 2.02.</w:t>
            </w:r>
          </w:p>
        </w:tc>
        <w:tc>
          <w:tcPr>
            <w:tcW w:w="40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8, 2023, Flywire Corporation (“Flywire” or the “Company”) issued a press release (the “Press Release”) and is holding a conference call regarding its preliminary and unaudited financial results for the quarter ended June 30, 2023. The Press Release is furnished as Exhibit 99.1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including the ongoing effects of the COVID-19 pandemic and subsequent public health measures that may affect Flywire’s business or the global economy; beliefs and objectives for future operations;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recently enacted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2022 and Quarterly Report on Form 10-Q for the quarter ended March 31, 2023, which are on file with the Securities and Exchange Commission (SEC) and available on the SEC’s website at https://www.sec.gov/. Additional factors may be described in those sections of Flywire’s Quarterly Report on Form 10-Q for the quarter ended June 30, 2023, expected to be filed with the SEC in the third quarter of 2023.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 </w:t>
      </w:r>
      <w:r>
        <w:br w:type="page"/>
      </w:r>
    </w:p>
    <w:p>
      <w:pPr>
        <w:pStyle w:val="HorizontalLine"/>
        <w:bidi w:val="0"/>
        <w:jc w:val="left"/>
        <w:rPr/>
      </w:pPr>
      <w:r>
        <w:rPr/>
      </w:r>
    </w:p>
    <w:tbl>
      <w:tblPr>
        <w:tblW w:w="3325" w:type="dxa"/>
        <w:jc w:val="left"/>
        <w:tblInd w:w="0" w:type="dxa"/>
        <w:tblLayout w:type="fixed"/>
        <w:tblCellMar>
          <w:top w:w="0" w:type="dxa"/>
          <w:left w:w="0" w:type="dxa"/>
          <w:bottom w:w="0" w:type="dxa"/>
          <w:right w:w="0" w:type="dxa"/>
        </w:tblCellMar>
      </w:tblPr>
      <w:tblGrid>
        <w:gridCol w:w="1040"/>
        <w:gridCol w:w="2285"/>
      </w:tblGrid>
      <w:tr>
        <w:trPr/>
        <w:tc>
          <w:tcPr>
            <w:tcW w:w="104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8, 2023,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 </w:t>
      </w:r>
    </w:p>
    <w:p>
      <w:pPr>
        <w:pStyle w:val="TextBody"/>
        <w:bidi w:val="0"/>
        <w:spacing w:before="0" w:after="0"/>
        <w:jc w:val="left"/>
        <w:rPr/>
      </w:pPr>
      <w:r>
        <w:rPr/>
        <w:t> </w:t>
      </w:r>
    </w:p>
    <w:tbl>
      <w:tblPr>
        <w:tblW w:w="4045" w:type="dxa"/>
        <w:jc w:val="left"/>
        <w:tblInd w:w="0" w:type="dxa"/>
        <w:tblLayout w:type="fixed"/>
        <w:tblCellMar>
          <w:top w:w="0" w:type="dxa"/>
          <w:left w:w="0" w:type="dxa"/>
          <w:bottom w:w="0" w:type="dxa"/>
          <w:right w:w="0" w:type="dxa"/>
        </w:tblCellMar>
      </w:tblPr>
      <w:tblGrid>
        <w:gridCol w:w="1040"/>
        <w:gridCol w:w="3005"/>
      </w:tblGrid>
      <w:tr>
        <w:trPr/>
        <w:tc>
          <w:tcPr>
            <w:tcW w:w="104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560"/>
        <w:gridCol w:w="120"/>
        <w:gridCol w:w="7625"/>
      </w:tblGrid>
      <w:tr>
        <w:trPr/>
        <w:tc>
          <w:tcPr>
            <w:tcW w:w="5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25" w:type="dxa"/>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No.</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b/>
              </w:rPr>
            </w:pPr>
            <w:r>
              <w:rPr>
                <w:b/>
              </w:rPr>
              <w:t>Description</w:t>
            </w:r>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498799dex991.htm">
              <w:r>
                <w:rPr>
                  <w:rStyle w:val="InternetLink"/>
                </w:rPr>
                <w:t xml:space="preserve">Flywire Corporation Press Release dated August 8, 2023.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hyperlink w:anchor="d498799dex992.htm">
              <w:r>
                <w:rPr>
                  <w:rStyle w:val="InternetLink"/>
                </w:rPr>
                <w:t xml:space="preserve">Flywire Corporation Investor Presentation dated August 8, 2023. </w:t>
              </w:r>
            </w:hyperlink>
          </w:p>
        </w:tc>
      </w:tr>
      <w:tr>
        <w:trPr/>
        <w:tc>
          <w:tcPr>
            <w:tcW w:w="560" w:type="dxa"/>
            <w:tcBorders/>
            <w:vAlign w:val="center"/>
          </w:tcPr>
          <w:p>
            <w:pPr>
              <w:pStyle w:val="TableContents"/>
              <w:bidi w:val="0"/>
              <w:spacing w:before="0" w:after="283"/>
              <w:jc w:val="left"/>
              <w:rPr>
                <w:sz w:val="4"/>
                <w:szCs w:val="4"/>
              </w:rPr>
            </w:pPr>
            <w:r>
              <w:rPr>
                <w:sz w:val="4"/>
                <w:szCs w:val="4"/>
              </w:rPr>
            </w:r>
          </w:p>
        </w:tc>
        <w:tc>
          <w:tcPr>
            <w:tcW w:w="7745"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665"/>
        <w:gridCol w:w="60"/>
        <w:gridCol w:w="2225"/>
      </w:tblGrid>
      <w:tr>
        <w:trPr/>
        <w:tc>
          <w:tcPr>
            <w:tcW w:w="6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r>
      <w:tr>
        <w:trPr/>
        <w:tc>
          <w:tcPr>
            <w:tcW w:w="2950" w:type="dxa"/>
            <w:gridSpan w:val="3"/>
            <w:tcBorders/>
            <w:vAlign w:val="center"/>
          </w:tcPr>
          <w:p>
            <w:pPr>
              <w:pStyle w:val="TableContents"/>
              <w:bidi w:val="0"/>
              <w:spacing w:before="0" w:after="283"/>
              <w:jc w:val="left"/>
              <w:rPr/>
            </w:pPr>
            <w:r>
              <w:rPr/>
              <w:t>FLYWIRE CORPORATION</w:t>
            </w:r>
          </w:p>
        </w:tc>
      </w:tr>
      <w:tr>
        <w:trPr/>
        <w:tc>
          <w:tcPr>
            <w:tcW w:w="665" w:type="dxa"/>
            <w:tcBorders/>
            <w:vAlign w:val="center"/>
          </w:tcPr>
          <w:p>
            <w:pPr>
              <w:pStyle w:val="TableContents"/>
              <w:bidi w:val="0"/>
              <w:spacing w:before="0" w:after="283"/>
              <w:jc w:val="left"/>
              <w:rPr>
                <w:sz w:val="4"/>
                <w:szCs w:val="4"/>
              </w:rPr>
            </w:pPr>
            <w:r>
              <w:rPr>
                <w:sz w:val="4"/>
                <w:szCs w:val="4"/>
              </w:rPr>
            </w:r>
          </w:p>
        </w:tc>
        <w:tc>
          <w:tcPr>
            <w:tcW w:w="2285" w:type="dxa"/>
            <w:gridSpan w:val="2"/>
            <w:tcBorders/>
            <w:vAlign w:val="center"/>
          </w:tcPr>
          <w:p>
            <w:pPr>
              <w:pStyle w:val="TableContents"/>
              <w:bidi w:val="0"/>
              <w:spacing w:before="0" w:after="283"/>
              <w:jc w:val="left"/>
              <w:rPr>
                <w:sz w:val="4"/>
                <w:szCs w:val="4"/>
              </w:rPr>
            </w:pPr>
            <w:r>
              <w:rPr>
                <w:sz w:val="4"/>
                <w:szCs w:val="4"/>
              </w:rPr>
            </w:r>
          </w:p>
        </w:tc>
      </w:tr>
      <w:tr>
        <w:trPr/>
        <w:tc>
          <w:tcPr>
            <w:tcW w:w="6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Michael Ellis</w:t>
            </w:r>
          </w:p>
        </w:tc>
      </w:tr>
      <w:tr>
        <w:trPr/>
        <w:tc>
          <w:tcPr>
            <w:tcW w:w="665"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Michael Ellis</w:t>
            </w:r>
          </w:p>
        </w:tc>
      </w:tr>
      <w:tr>
        <w:trPr/>
        <w:tc>
          <w:tcPr>
            <w:tcW w:w="665"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Dated August 8, 2023 </w:t>
      </w:r>
    </w:p>
    <w:p>
      <w:pPr>
        <w:pStyle w:val="TextBody"/>
        <w:bidi w:val="0"/>
        <w:spacing w:before="0" w:after="0"/>
        <w:jc w:val="right"/>
        <w:rPr>
          <w:rFonts w:ascii="Times New Roman" w:hAnsi="Times New Roman"/>
          <w:b/>
          <w:sz w:val="20"/>
        </w:rPr>
      </w:pPr>
      <w:bookmarkStart w:id="2" w:name="d498799dex991.htm"/>
      <w:bookmarkStart w:id="3" w:name="ksd498799dex991"/>
      <w:bookmarkEnd w:id="2"/>
      <w:bookmarkEnd w:id="3"/>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Flywire Reports Second Quarter 2023 Financial Results </w:t>
      </w:r>
    </w:p>
    <w:p>
      <w:pPr>
        <w:pStyle w:val="TextBody"/>
        <w:bidi w:val="0"/>
        <w:spacing w:before="240" w:after="0"/>
        <w:jc w:val="center"/>
        <w:rPr>
          <w:rFonts w:ascii="Times New Roman" w:hAnsi="Times New Roman"/>
          <w:i/>
          <w:sz w:val="20"/>
        </w:rPr>
      </w:pPr>
      <w:r>
        <w:rPr>
          <w:rFonts w:ascii="Times New Roman" w:hAnsi="Times New Roman"/>
          <w:i/>
          <w:sz w:val="20"/>
        </w:rPr>
        <w:t xml:space="preserve">Second Quarter Revenue Increased 50.3%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Second Quarter Revenue Less Ancillary Services Increased 54.4% Year-over-Year or 56.7% on a Constant Currency Basis </w:t>
      </w:r>
    </w:p>
    <w:p>
      <w:pPr>
        <w:pStyle w:val="TextBody"/>
        <w:bidi w:val="0"/>
        <w:spacing w:before="240" w:after="0"/>
        <w:jc w:val="center"/>
        <w:rPr>
          <w:rFonts w:ascii="Times New Roman" w:hAnsi="Times New Roman"/>
          <w:i/>
          <w:sz w:val="20"/>
        </w:rPr>
      </w:pPr>
      <w:r>
        <w:rPr>
          <w:rFonts w:ascii="Times New Roman" w:hAnsi="Times New Roman"/>
          <w:i/>
          <w:sz w:val="20"/>
        </w:rPr>
        <w:t xml:space="preserve">Second Quarter Gross Profit Increased 47.0% and Adjusted Gross Profit Increased 46.8% Year-over-Year </w:t>
      </w:r>
    </w:p>
    <w:p>
      <w:pPr>
        <w:pStyle w:val="TextBody"/>
        <w:bidi w:val="0"/>
        <w:spacing w:before="240" w:after="0"/>
        <w:jc w:val="center"/>
        <w:rPr>
          <w:rFonts w:ascii="Times New Roman" w:hAnsi="Times New Roman"/>
          <w:i/>
          <w:sz w:val="20"/>
        </w:rPr>
      </w:pPr>
      <w:r>
        <w:rPr>
          <w:rFonts w:ascii="Times New Roman" w:hAnsi="Times New Roman"/>
          <w:i/>
          <w:sz w:val="20"/>
        </w:rPr>
        <w:t xml:space="preserve">Company Provides Third Quarter Outlook and Raises Fiscal-Year 2023 Outlook </w:t>
      </w:r>
    </w:p>
    <w:p>
      <w:pPr>
        <w:pStyle w:val="TextBody"/>
        <w:bidi w:val="0"/>
        <w:spacing w:before="240" w:after="0"/>
        <w:jc w:val="left"/>
        <w:rPr>
          <w:rFonts w:ascii="Times New Roman" w:hAnsi="Times New Roman"/>
          <w:sz w:val="20"/>
        </w:rPr>
      </w:pPr>
      <w:r>
        <w:rPr>
          <w:rFonts w:ascii="Times New Roman" w:hAnsi="Times New Roman"/>
          <w:b/>
          <w:sz w:val="20"/>
        </w:rPr>
        <w:t>Boston, MA  August</w:t>
      </w:r>
      <w:r>
        <w:rPr>
          <w:rFonts w:ascii="Times New Roman" w:hAnsi="Times New Roman"/>
          <w:sz w:val="20"/>
        </w:rPr>
        <w:t> </w:t>
      </w:r>
      <w:r>
        <w:rPr>
          <w:rFonts w:ascii="Times New Roman" w:hAnsi="Times New Roman"/>
          <w:b/>
          <w:sz w:val="20"/>
        </w:rPr>
        <w:t>8, 2023:</w:t>
      </w:r>
      <w:r>
        <w:rPr>
          <w:rFonts w:ascii="Times New Roman" w:hAnsi="Times New Roman"/>
          <w:sz w:val="20"/>
        </w:rPr>
        <w:t xml:space="preserve"> </w:t>
      </w:r>
      <w:r>
        <w:rPr>
          <w:rFonts w:ascii="Times New Roman" w:hAnsi="Times New Roman"/>
          <w:sz w:val="20"/>
          <w:u w:val="single"/>
        </w:rPr>
        <w:t>Flywire Corporation</w:t>
      </w:r>
      <w:r>
        <w:rPr>
          <w:rFonts w:ascii="Times New Roman" w:hAnsi="Times New Roman"/>
          <w:sz w:val="20"/>
        </w:rPr>
        <w:t xml:space="preserve"> (Nasdaq: FLYW) (Flywire or the Company) a global payments enablement and software company, today reported financial results for its second quarter ended June 30, 2023. </w:t>
      </w:r>
    </w:p>
    <w:p>
      <w:pPr>
        <w:pStyle w:val="TextBody"/>
        <w:bidi w:val="0"/>
        <w:spacing w:before="240" w:after="0"/>
        <w:jc w:val="left"/>
        <w:rPr>
          <w:rFonts w:ascii="Times New Roman" w:hAnsi="Times New Roman"/>
          <w:sz w:val="20"/>
        </w:rPr>
      </w:pPr>
      <w:r>
        <w:rPr>
          <w:rFonts w:ascii="Times New Roman" w:hAnsi="Times New Roman"/>
          <w:sz w:val="20"/>
        </w:rPr>
        <w:t xml:space="preserve">I am extremely proud to report our excellent second quarter results, which capped off a strong first half of the year for us, said Mike Massaro, CEO of Flywire. Our performance and momentum across the business is a testament to the efforts of our global FlyMates who continue to execute against our growth strategies. Our ability to leverage high ROI initiatives to drive adjusted EBITDA gives us confidence for the second half of the year, leading us to increase our guidance for fiscal year 2023. </w:t>
      </w:r>
    </w:p>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2023 Financial Highlights: </w:t>
      </w:r>
    </w:p>
    <w:p>
      <w:pPr>
        <w:pStyle w:val="TextBody"/>
        <w:bidi w:val="0"/>
        <w:spacing w:before="120" w:after="0"/>
        <w:jc w:val="left"/>
        <w:rPr>
          <w:rFonts w:ascii="Times New Roman" w:hAnsi="Times New Roman"/>
          <w:sz w:val="20"/>
        </w:rPr>
      </w:pPr>
      <w:r>
        <w:rPr>
          <w:rFonts w:ascii="Times New Roman" w:hAnsi="Times New Roman"/>
          <w:sz w:val="20"/>
        </w:rPr>
        <w:t xml:space="preserve">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increased 50.3% to $84.9 million in the second quarter of 2023, compared to $56.5 million in the second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Gross Profit increased to $48.8 million, resulting in Gross Margin of 57.5%, for the second quarter of 2023, compared to Gross Profit of $33.2 million and Gross Margin of 58.8% in the second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loss was $(16.8) million in the second quarter of 2023, compared to net loss of $(23.8) million in the second quarter of 2022. </w:t>
            </w:r>
          </w:p>
        </w:tc>
      </w:tr>
    </w:tbl>
    <w:p>
      <w:pPr>
        <w:pStyle w:val="TextBody"/>
        <w:bidi w:val="0"/>
        <w:spacing w:before="360" w:after="0"/>
        <w:jc w:val="left"/>
        <w:rPr>
          <w:rFonts w:ascii="Times New Roman" w:hAnsi="Times New Roman"/>
          <w:sz w:val="20"/>
        </w:rPr>
      </w:pPr>
      <w:r>
        <w:rPr>
          <w:rFonts w:ascii="Times New Roman" w:hAnsi="Times New Roman"/>
          <w:sz w:val="20"/>
        </w:rPr>
        <w:t xml:space="preserve">Key Operating Metrics and Non-GAAP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Payment Volume increased 43% to $4.1 billion in the second quarter of 2023, compared to $2.9 billion in the second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increased 54.4% to $79.5 million in the second quarter of 2023, compared to $51.5 million in the second quarter of 2022.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8"/>
        <w:gridCol w:w="247"/>
        <w:gridCol w:w="112"/>
        <w:gridCol w:w="8838"/>
      </w:tblGrid>
      <w:tr>
        <w:trPr/>
        <w:tc>
          <w:tcPr>
            <w:tcW w:w="1008" w:type="dxa"/>
            <w:tcBorders/>
            <w:vAlign w:val="center"/>
          </w:tcPr>
          <w:p>
            <w:pPr>
              <w:pStyle w:val="TableContents"/>
              <w:bidi w:val="0"/>
              <w:spacing w:before="0" w:after="283"/>
              <w:jc w:val="left"/>
              <w:rPr/>
            </w:pPr>
            <w:r>
              <w:rPr/>
              <w:t> </w:t>
            </w:r>
          </w:p>
        </w:tc>
        <w:tc>
          <w:tcPr>
            <w:tcW w:w="247" w:type="dxa"/>
            <w:tcBorders/>
          </w:tcPr>
          <w:p>
            <w:pPr>
              <w:pStyle w:val="TableContents"/>
              <w:bidi w:val="0"/>
              <w:spacing w:before="0" w:after="283"/>
              <w:jc w:val="left"/>
              <w:rPr/>
            </w:pPr>
            <w:r>
              <w:rPr/>
              <w:t>○ </w:t>
            </w:r>
          </w:p>
        </w:tc>
        <w:tc>
          <w:tcPr>
            <w:tcW w:w="112" w:type="dxa"/>
            <w:tcBorders/>
          </w:tcPr>
          <w:p>
            <w:pPr>
              <w:pStyle w:val="TableContents"/>
              <w:bidi w:val="0"/>
              <w:spacing w:before="0" w:after="283"/>
              <w:jc w:val="left"/>
              <w:rPr/>
            </w:pPr>
            <w:r>
              <w:rPr/>
              <w:t> </w:t>
            </w:r>
          </w:p>
        </w:tc>
        <w:tc>
          <w:tcPr>
            <w:tcW w:w="883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at Constant Currency increased 56.7% year-over-year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increased to $50.5 million, resulting in Adjusted Gross Margin of 63.5% in the second quarter of 2023, compared to Adjusted Gross Profit of $34.4 million and Adjusted Gross Margin of 66.8% in the second quarter of 2022. Second quarter of 2023 Adjusted Gross Profit and Adjusted Gross margins were negatively impacted approximately 150 basis points by settlement losses relating to foreign exchange transactions that are partially offset by hedges within the Companys operating expenses. Second quarter 2022 Adjusted Gross Profit and Adjusted Gross Margin have been recast to align with the updated methodology as described in the Key Operating Metrics and Non-GAAP Financial Measures table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was $(0.1) million in the second quarter of 2023, compared to $(6.1) million in the second quarter of 2022.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Second Quarter 2023 Business Highlights: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Signed more than 165 new clients in the second quarter of 2023, one of the highest in company history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Strengthened its global education partner channel with DISCO, a market leader in international recruitment and career development, to optimize the cross-border tuition payments experience for students studying in Japan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Partnered with Tencent Financial Technology, to establish a direct connection to Weixin Pay (also known as WeChat Pay) as a payment option for Chinese students and families making tuition payments abroad enhancing our previous payer experience and easing reconciliation for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Appointed to the 2023-2025 Payment Card Industry Security Standards Council (PCI SSC) Board of Advisors to help shape future PCI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Recognized for high employee satisfaction around the world and named a Most Loved Workplace®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Chief Financial Officer Transition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also announcing that Michael Ellis, the Chief Financial Officer, will be leaving Flywire in 2024 and the company is initiating a search for a successor. </w:t>
      </w:r>
    </w:p>
    <w:p>
      <w:pPr>
        <w:pStyle w:val="TextBody"/>
        <w:bidi w:val="0"/>
        <w:spacing w:before="240" w:after="0"/>
        <w:jc w:val="left"/>
        <w:rPr>
          <w:rFonts w:ascii="Times New Roman" w:hAnsi="Times New Roman"/>
          <w:sz w:val="20"/>
        </w:rPr>
      </w:pPr>
      <w:r>
        <w:rPr>
          <w:rFonts w:ascii="Times New Roman" w:hAnsi="Times New Roman"/>
          <w:sz w:val="20"/>
        </w:rPr>
        <w:t xml:space="preserve">I want to thank Mike Ellis for his many contributions to Flywire. It has been a pleasure building Flywire with him over the past several years and we thank him for all hes done to create our financial foundation to help us to where we are today, said Massaro. As we initiate the search for his successor, it will be business as usual for Flywire and Mike Ellis will be staying on in the interim to ensure a smooth transition in 2024.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Third Quarter and Fiscal-Year 2023 Outlook: </w:t>
      </w:r>
    </w:p>
    <w:p>
      <w:pPr>
        <w:pStyle w:val="TextBody"/>
        <w:bidi w:val="0"/>
        <w:spacing w:before="120" w:after="0"/>
        <w:jc w:val="left"/>
        <w:rPr>
          <w:rFonts w:ascii="Times New Roman" w:hAnsi="Times New Roman"/>
          <w:sz w:val="20"/>
        </w:rPr>
      </w:pPr>
      <w:r>
        <w:rPr>
          <w:rFonts w:ascii="Times New Roman" w:hAnsi="Times New Roman"/>
          <w:sz w:val="20"/>
        </w:rPr>
        <w:t xml:space="preserve">Based on information available as of August 8, 2023, Flywire anticipates the following for the third quarter and fiscal-year 2023: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648"/>
        <w:gridCol w:w="219"/>
        <w:gridCol w:w="2072"/>
      </w:tblGrid>
      <w:tr>
        <w:trPr/>
        <w:tc>
          <w:tcPr>
            <w:tcW w:w="4648" w:type="dxa"/>
            <w:tcBorders/>
            <w:vAlign w:val="center"/>
          </w:tcPr>
          <w:p>
            <w:pPr>
              <w:pStyle w:val="TableContents"/>
              <w:bidi w:val="0"/>
              <w:spacing w:before="0" w:after="283"/>
              <w:jc w:val="left"/>
              <w:rPr>
                <w:sz w:val="4"/>
                <w:szCs w:val="4"/>
              </w:rPr>
            </w:pPr>
            <w:r>
              <w:rPr>
                <w:sz w:val="4"/>
                <w:szCs w:val="4"/>
              </w:rPr>
            </w:r>
          </w:p>
        </w:tc>
        <w:tc>
          <w:tcPr>
            <w:tcW w:w="219" w:type="dxa"/>
            <w:tcBorders/>
            <w:vAlign w:val="bottom"/>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r>
      <w:tr>
        <w:trPr/>
        <w:tc>
          <w:tcPr>
            <w:tcW w:w="464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072" w:type="dxa"/>
            <w:tcBorders/>
            <w:vAlign w:val="bottom"/>
          </w:tcPr>
          <w:p>
            <w:pPr>
              <w:pStyle w:val="TableContents"/>
              <w:bidi w:val="0"/>
              <w:spacing w:before="0" w:after="283"/>
              <w:jc w:val="center"/>
              <w:rPr>
                <w:b/>
              </w:rPr>
            </w:pPr>
            <w:r>
              <w:rPr>
                <w:b/>
              </w:rPr>
              <w:t>Third Quarter 2023*</w:t>
            </w:r>
          </w:p>
        </w:tc>
      </w:tr>
      <w:tr>
        <w:trPr>
          <w:trHeight w:val="120" w:hRule="atLeast"/>
        </w:trPr>
        <w:tc>
          <w:tcPr>
            <w:tcW w:w="4648" w:type="dxa"/>
            <w:tcBorders/>
            <w:vAlign w:val="center"/>
          </w:tcPr>
          <w:p>
            <w:pPr>
              <w:pStyle w:val="TableContents"/>
              <w:bidi w:val="0"/>
              <w:spacing w:before="0" w:after="283"/>
              <w:jc w:val="left"/>
              <w:rPr>
                <w:sz w:val="4"/>
                <w:szCs w:val="4"/>
              </w:rPr>
            </w:pPr>
            <w:r>
              <w:rPr>
                <w:sz w:val="4"/>
                <w:szCs w:val="4"/>
              </w:rPr>
            </w:r>
          </w:p>
        </w:tc>
        <w:tc>
          <w:tcPr>
            <w:tcW w:w="2291" w:type="dxa"/>
            <w:gridSpan w:val="2"/>
            <w:tcBorders/>
            <w:vAlign w:val="center"/>
          </w:tcPr>
          <w:p>
            <w:pPr>
              <w:pStyle w:val="TableContents"/>
              <w:bidi w:val="0"/>
              <w:spacing w:before="0" w:after="283"/>
              <w:jc w:val="left"/>
              <w:rPr>
                <w:sz w:val="4"/>
                <w:szCs w:val="4"/>
              </w:rPr>
            </w:pPr>
            <w:r>
              <w:rPr>
                <w:sz w:val="4"/>
                <w:szCs w:val="4"/>
              </w:rPr>
            </w:r>
          </w:p>
        </w:tc>
      </w:tr>
      <w:tr>
        <w:trPr/>
        <w:tc>
          <w:tcPr>
            <w:tcW w:w="4648" w:type="dxa"/>
            <w:tcBorders/>
            <w:shd w:fill="CCEEFF" w:val="clear"/>
          </w:tcPr>
          <w:p>
            <w:pPr>
              <w:pStyle w:val="TableContents"/>
              <w:bidi w:val="0"/>
              <w:spacing w:before="0" w:after="283"/>
              <w:jc w:val="left"/>
              <w:rPr/>
            </w:pPr>
            <w:r>
              <w:rPr/>
              <w:t>Revenue</w:t>
            </w:r>
          </w:p>
        </w:tc>
        <w:tc>
          <w:tcPr>
            <w:tcW w:w="219" w:type="dxa"/>
            <w:tcBorders/>
            <w:shd w:fill="CCEEFF" w:val="clear"/>
            <w:vAlign w:val="bottom"/>
          </w:tcPr>
          <w:p>
            <w:pPr>
              <w:pStyle w:val="TableContents"/>
              <w:bidi w:val="0"/>
              <w:spacing w:before="0" w:after="283"/>
              <w:jc w:val="left"/>
              <w:rPr/>
            </w:pPr>
            <w:r>
              <w:rPr/>
              <w:t>  </w:t>
            </w:r>
          </w:p>
        </w:tc>
        <w:tc>
          <w:tcPr>
            <w:tcW w:w="2072" w:type="dxa"/>
            <w:tcBorders/>
            <w:shd w:fill="CCEEFF" w:val="clear"/>
            <w:vAlign w:val="bottom"/>
          </w:tcPr>
          <w:p>
            <w:pPr>
              <w:pStyle w:val="TableContents"/>
              <w:bidi w:val="0"/>
              <w:spacing w:before="0" w:after="283"/>
              <w:jc w:val="center"/>
              <w:rPr/>
            </w:pPr>
            <w:r>
              <w:rPr/>
              <w:t>$121 to $128 million</w:t>
            </w:r>
          </w:p>
        </w:tc>
      </w:tr>
      <w:tr>
        <w:trPr>
          <w:trHeight w:val="120" w:hRule="atLeast"/>
        </w:trPr>
        <w:tc>
          <w:tcPr>
            <w:tcW w:w="4648" w:type="dxa"/>
            <w:tcBorders/>
            <w:vAlign w:val="center"/>
          </w:tcPr>
          <w:p>
            <w:pPr>
              <w:pStyle w:val="TableContents"/>
              <w:bidi w:val="0"/>
              <w:spacing w:before="0" w:after="283"/>
              <w:jc w:val="left"/>
              <w:rPr>
                <w:sz w:val="4"/>
                <w:szCs w:val="4"/>
              </w:rPr>
            </w:pPr>
            <w:r>
              <w:rPr>
                <w:sz w:val="4"/>
                <w:szCs w:val="4"/>
              </w:rPr>
            </w:r>
          </w:p>
        </w:tc>
        <w:tc>
          <w:tcPr>
            <w:tcW w:w="2291" w:type="dxa"/>
            <w:gridSpan w:val="2"/>
            <w:tcBorders/>
            <w:vAlign w:val="center"/>
          </w:tcPr>
          <w:p>
            <w:pPr>
              <w:pStyle w:val="TableContents"/>
              <w:bidi w:val="0"/>
              <w:spacing w:before="0" w:after="283"/>
              <w:jc w:val="left"/>
              <w:rPr>
                <w:sz w:val="4"/>
                <w:szCs w:val="4"/>
              </w:rPr>
            </w:pPr>
            <w:r>
              <w:rPr>
                <w:sz w:val="4"/>
                <w:szCs w:val="4"/>
              </w:rPr>
            </w:r>
          </w:p>
        </w:tc>
      </w:tr>
      <w:tr>
        <w:trPr/>
        <w:tc>
          <w:tcPr>
            <w:tcW w:w="4648" w:type="dxa"/>
            <w:tcBorders/>
          </w:tcPr>
          <w:p>
            <w:pPr>
              <w:pStyle w:val="TableContents"/>
              <w:bidi w:val="0"/>
              <w:spacing w:before="0" w:after="283"/>
              <w:jc w:val="left"/>
              <w:rPr/>
            </w:pPr>
            <w:r>
              <w:rPr/>
              <w:t>Revenue Less Ancillary Services</w:t>
            </w:r>
          </w:p>
        </w:tc>
        <w:tc>
          <w:tcPr>
            <w:tcW w:w="219" w:type="dxa"/>
            <w:tcBorders/>
            <w:vAlign w:val="bottom"/>
          </w:tcPr>
          <w:p>
            <w:pPr>
              <w:pStyle w:val="TableContents"/>
              <w:bidi w:val="0"/>
              <w:spacing w:before="0" w:after="283"/>
              <w:jc w:val="left"/>
              <w:rPr/>
            </w:pPr>
            <w:r>
              <w:rPr/>
              <w:t>  </w:t>
            </w:r>
          </w:p>
        </w:tc>
        <w:tc>
          <w:tcPr>
            <w:tcW w:w="2072" w:type="dxa"/>
            <w:tcBorders/>
            <w:vAlign w:val="bottom"/>
          </w:tcPr>
          <w:p>
            <w:pPr>
              <w:pStyle w:val="TableContents"/>
              <w:bidi w:val="0"/>
              <w:spacing w:before="0" w:after="283"/>
              <w:jc w:val="center"/>
              <w:rPr/>
            </w:pPr>
            <w:r>
              <w:rPr/>
              <w:t>$116 to $122 million</w:t>
            </w:r>
          </w:p>
        </w:tc>
      </w:tr>
      <w:tr>
        <w:trPr>
          <w:trHeight w:val="120" w:hRule="atLeast"/>
        </w:trPr>
        <w:tc>
          <w:tcPr>
            <w:tcW w:w="4648" w:type="dxa"/>
            <w:tcBorders/>
            <w:vAlign w:val="center"/>
          </w:tcPr>
          <w:p>
            <w:pPr>
              <w:pStyle w:val="TableContents"/>
              <w:bidi w:val="0"/>
              <w:spacing w:before="0" w:after="283"/>
              <w:jc w:val="left"/>
              <w:rPr>
                <w:sz w:val="4"/>
                <w:szCs w:val="4"/>
              </w:rPr>
            </w:pPr>
            <w:r>
              <w:rPr>
                <w:sz w:val="4"/>
                <w:szCs w:val="4"/>
              </w:rPr>
            </w:r>
          </w:p>
        </w:tc>
        <w:tc>
          <w:tcPr>
            <w:tcW w:w="2291" w:type="dxa"/>
            <w:gridSpan w:val="2"/>
            <w:tcBorders/>
            <w:vAlign w:val="center"/>
          </w:tcPr>
          <w:p>
            <w:pPr>
              <w:pStyle w:val="TableContents"/>
              <w:bidi w:val="0"/>
              <w:spacing w:before="0" w:after="283"/>
              <w:jc w:val="left"/>
              <w:rPr>
                <w:sz w:val="4"/>
                <w:szCs w:val="4"/>
              </w:rPr>
            </w:pPr>
            <w:r>
              <w:rPr>
                <w:sz w:val="4"/>
                <w:szCs w:val="4"/>
              </w:rPr>
            </w:r>
          </w:p>
        </w:tc>
      </w:tr>
      <w:tr>
        <w:trPr/>
        <w:tc>
          <w:tcPr>
            <w:tcW w:w="4648" w:type="dxa"/>
            <w:tcBorders/>
            <w:shd w:fill="CCEEFF" w:val="clear"/>
          </w:tcPr>
          <w:p>
            <w:pPr>
              <w:pStyle w:val="TableContents"/>
              <w:bidi w:val="0"/>
              <w:spacing w:before="0" w:after="283"/>
              <w:jc w:val="left"/>
              <w:rPr/>
            </w:pPr>
            <w:r>
              <w:rPr/>
              <w:t>Adjusted EBITDA**</w:t>
            </w:r>
          </w:p>
        </w:tc>
        <w:tc>
          <w:tcPr>
            <w:tcW w:w="219" w:type="dxa"/>
            <w:tcBorders/>
            <w:shd w:fill="CCEEFF" w:val="clear"/>
            <w:vAlign w:val="bottom"/>
          </w:tcPr>
          <w:p>
            <w:pPr>
              <w:pStyle w:val="TableContents"/>
              <w:bidi w:val="0"/>
              <w:spacing w:before="0" w:after="283"/>
              <w:jc w:val="left"/>
              <w:rPr/>
            </w:pPr>
            <w:r>
              <w:rPr/>
              <w:t>  </w:t>
            </w:r>
          </w:p>
        </w:tc>
        <w:tc>
          <w:tcPr>
            <w:tcW w:w="2072" w:type="dxa"/>
            <w:tcBorders/>
            <w:shd w:fill="CCEEFF" w:val="clear"/>
            <w:vAlign w:val="bottom"/>
          </w:tcPr>
          <w:p>
            <w:pPr>
              <w:pStyle w:val="TableContents"/>
              <w:bidi w:val="0"/>
              <w:spacing w:before="0" w:after="283"/>
              <w:jc w:val="center"/>
              <w:rPr/>
            </w:pPr>
            <w:r>
              <w:rPr/>
              <w:t>$24 to $28 million</w:t>
            </w:r>
          </w:p>
        </w:tc>
      </w:tr>
      <w:tr>
        <w:trPr>
          <w:trHeight w:val="240" w:hRule="atLeast"/>
        </w:trPr>
        <w:tc>
          <w:tcPr>
            <w:tcW w:w="4648" w:type="dxa"/>
            <w:tcBorders/>
            <w:vAlign w:val="center"/>
          </w:tcPr>
          <w:p>
            <w:pPr>
              <w:pStyle w:val="TableContents"/>
              <w:bidi w:val="0"/>
              <w:spacing w:before="0" w:after="283"/>
              <w:jc w:val="left"/>
              <w:rPr>
                <w:sz w:val="4"/>
                <w:szCs w:val="4"/>
              </w:rPr>
            </w:pPr>
            <w:r>
              <w:rPr>
                <w:sz w:val="4"/>
                <w:szCs w:val="4"/>
              </w:rPr>
            </w:r>
          </w:p>
        </w:tc>
        <w:tc>
          <w:tcPr>
            <w:tcW w:w="2291" w:type="dxa"/>
            <w:gridSpan w:val="2"/>
            <w:tcBorders/>
            <w:vAlign w:val="center"/>
          </w:tcPr>
          <w:p>
            <w:pPr>
              <w:pStyle w:val="TableContents"/>
              <w:bidi w:val="0"/>
              <w:spacing w:before="0" w:after="283"/>
              <w:jc w:val="left"/>
              <w:rPr>
                <w:sz w:val="4"/>
                <w:szCs w:val="4"/>
              </w:rPr>
            </w:pPr>
            <w:r>
              <w:rPr>
                <w:sz w:val="4"/>
                <w:szCs w:val="4"/>
              </w:rPr>
            </w:r>
          </w:p>
        </w:tc>
      </w:tr>
      <w:tr>
        <w:trPr/>
        <w:tc>
          <w:tcPr>
            <w:tcW w:w="4648"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2072" w:type="dxa"/>
            <w:tcBorders/>
            <w:vAlign w:val="bottom"/>
          </w:tcPr>
          <w:p>
            <w:pPr>
              <w:pStyle w:val="TableContents"/>
              <w:bidi w:val="0"/>
              <w:spacing w:before="0" w:after="283"/>
              <w:jc w:val="center"/>
              <w:rPr>
                <w:b/>
              </w:rPr>
            </w:pPr>
            <w:r>
              <w:rPr>
                <w:b/>
              </w:rPr>
              <w:t>Fiscal-Year 2023*</w:t>
            </w:r>
          </w:p>
        </w:tc>
      </w:tr>
      <w:tr>
        <w:trPr>
          <w:trHeight w:val="120" w:hRule="atLeast"/>
        </w:trPr>
        <w:tc>
          <w:tcPr>
            <w:tcW w:w="4648" w:type="dxa"/>
            <w:tcBorders/>
            <w:vAlign w:val="center"/>
          </w:tcPr>
          <w:p>
            <w:pPr>
              <w:pStyle w:val="TableContents"/>
              <w:bidi w:val="0"/>
              <w:spacing w:before="0" w:after="283"/>
              <w:jc w:val="left"/>
              <w:rPr>
                <w:sz w:val="4"/>
                <w:szCs w:val="4"/>
              </w:rPr>
            </w:pPr>
            <w:r>
              <w:rPr>
                <w:sz w:val="4"/>
                <w:szCs w:val="4"/>
              </w:rPr>
            </w:r>
          </w:p>
        </w:tc>
        <w:tc>
          <w:tcPr>
            <w:tcW w:w="2291" w:type="dxa"/>
            <w:gridSpan w:val="2"/>
            <w:tcBorders/>
            <w:vAlign w:val="center"/>
          </w:tcPr>
          <w:p>
            <w:pPr>
              <w:pStyle w:val="TableContents"/>
              <w:bidi w:val="0"/>
              <w:spacing w:before="0" w:after="283"/>
              <w:jc w:val="left"/>
              <w:rPr>
                <w:sz w:val="4"/>
                <w:szCs w:val="4"/>
              </w:rPr>
            </w:pPr>
            <w:r>
              <w:rPr>
                <w:sz w:val="4"/>
                <w:szCs w:val="4"/>
              </w:rPr>
            </w:r>
          </w:p>
        </w:tc>
      </w:tr>
      <w:tr>
        <w:trPr/>
        <w:tc>
          <w:tcPr>
            <w:tcW w:w="4648" w:type="dxa"/>
            <w:tcBorders/>
            <w:shd w:fill="CCEEFF" w:val="clear"/>
          </w:tcPr>
          <w:p>
            <w:pPr>
              <w:pStyle w:val="TableContents"/>
              <w:bidi w:val="0"/>
              <w:spacing w:before="0" w:after="283"/>
              <w:jc w:val="left"/>
              <w:rPr/>
            </w:pPr>
            <w:r>
              <w:rPr/>
              <w:t>Revenue</w:t>
            </w:r>
          </w:p>
        </w:tc>
        <w:tc>
          <w:tcPr>
            <w:tcW w:w="219" w:type="dxa"/>
            <w:tcBorders/>
            <w:shd w:fill="CCEEFF" w:val="clear"/>
            <w:vAlign w:val="bottom"/>
          </w:tcPr>
          <w:p>
            <w:pPr>
              <w:pStyle w:val="TableContents"/>
              <w:bidi w:val="0"/>
              <w:spacing w:before="0" w:after="283"/>
              <w:jc w:val="left"/>
              <w:rPr/>
            </w:pPr>
            <w:r>
              <w:rPr/>
              <w:t>  </w:t>
            </w:r>
          </w:p>
        </w:tc>
        <w:tc>
          <w:tcPr>
            <w:tcW w:w="2072" w:type="dxa"/>
            <w:tcBorders/>
            <w:shd w:fill="CCEEFF" w:val="clear"/>
            <w:vAlign w:val="bottom"/>
          </w:tcPr>
          <w:p>
            <w:pPr>
              <w:pStyle w:val="TableContents"/>
              <w:bidi w:val="0"/>
              <w:spacing w:before="0" w:after="283"/>
              <w:jc w:val="center"/>
              <w:rPr/>
            </w:pPr>
            <w:r>
              <w:rPr/>
              <w:t>$392 to $408 million</w:t>
            </w:r>
          </w:p>
        </w:tc>
      </w:tr>
      <w:tr>
        <w:trPr>
          <w:trHeight w:val="120" w:hRule="atLeast"/>
        </w:trPr>
        <w:tc>
          <w:tcPr>
            <w:tcW w:w="4648" w:type="dxa"/>
            <w:tcBorders/>
            <w:vAlign w:val="center"/>
          </w:tcPr>
          <w:p>
            <w:pPr>
              <w:pStyle w:val="TableContents"/>
              <w:bidi w:val="0"/>
              <w:spacing w:before="0" w:after="283"/>
              <w:jc w:val="left"/>
              <w:rPr>
                <w:sz w:val="4"/>
                <w:szCs w:val="4"/>
              </w:rPr>
            </w:pPr>
            <w:r>
              <w:rPr>
                <w:sz w:val="4"/>
                <w:szCs w:val="4"/>
              </w:rPr>
            </w:r>
          </w:p>
        </w:tc>
        <w:tc>
          <w:tcPr>
            <w:tcW w:w="2291" w:type="dxa"/>
            <w:gridSpan w:val="2"/>
            <w:tcBorders/>
            <w:vAlign w:val="center"/>
          </w:tcPr>
          <w:p>
            <w:pPr>
              <w:pStyle w:val="TableContents"/>
              <w:bidi w:val="0"/>
              <w:spacing w:before="0" w:after="283"/>
              <w:jc w:val="left"/>
              <w:rPr>
                <w:sz w:val="4"/>
                <w:szCs w:val="4"/>
              </w:rPr>
            </w:pPr>
            <w:r>
              <w:rPr>
                <w:sz w:val="4"/>
                <w:szCs w:val="4"/>
              </w:rPr>
            </w:r>
          </w:p>
        </w:tc>
      </w:tr>
      <w:tr>
        <w:trPr/>
        <w:tc>
          <w:tcPr>
            <w:tcW w:w="4648" w:type="dxa"/>
            <w:tcBorders/>
          </w:tcPr>
          <w:p>
            <w:pPr>
              <w:pStyle w:val="TableContents"/>
              <w:bidi w:val="0"/>
              <w:spacing w:before="0" w:after="283"/>
              <w:jc w:val="left"/>
              <w:rPr/>
            </w:pPr>
            <w:r>
              <w:rPr/>
              <w:t>Revenue Less Ancillary Services</w:t>
            </w:r>
          </w:p>
        </w:tc>
        <w:tc>
          <w:tcPr>
            <w:tcW w:w="219" w:type="dxa"/>
            <w:tcBorders/>
            <w:vAlign w:val="bottom"/>
          </w:tcPr>
          <w:p>
            <w:pPr>
              <w:pStyle w:val="TableContents"/>
              <w:bidi w:val="0"/>
              <w:spacing w:before="0" w:after="283"/>
              <w:jc w:val="left"/>
              <w:rPr/>
            </w:pPr>
            <w:r>
              <w:rPr/>
              <w:t>  </w:t>
            </w:r>
          </w:p>
        </w:tc>
        <w:tc>
          <w:tcPr>
            <w:tcW w:w="2072" w:type="dxa"/>
            <w:tcBorders/>
            <w:vAlign w:val="bottom"/>
          </w:tcPr>
          <w:p>
            <w:pPr>
              <w:pStyle w:val="TableContents"/>
              <w:bidi w:val="0"/>
              <w:spacing w:before="0" w:after="283"/>
              <w:jc w:val="center"/>
              <w:rPr/>
            </w:pPr>
            <w:r>
              <w:rPr/>
              <w:t>$372 to $380 million</w:t>
            </w:r>
          </w:p>
        </w:tc>
      </w:tr>
      <w:tr>
        <w:trPr>
          <w:trHeight w:val="120" w:hRule="atLeast"/>
        </w:trPr>
        <w:tc>
          <w:tcPr>
            <w:tcW w:w="4648" w:type="dxa"/>
            <w:tcBorders/>
            <w:vAlign w:val="center"/>
          </w:tcPr>
          <w:p>
            <w:pPr>
              <w:pStyle w:val="TableContents"/>
              <w:bidi w:val="0"/>
              <w:spacing w:before="0" w:after="283"/>
              <w:jc w:val="left"/>
              <w:rPr>
                <w:sz w:val="4"/>
                <w:szCs w:val="4"/>
              </w:rPr>
            </w:pPr>
            <w:r>
              <w:rPr>
                <w:sz w:val="4"/>
                <w:szCs w:val="4"/>
              </w:rPr>
            </w:r>
          </w:p>
        </w:tc>
        <w:tc>
          <w:tcPr>
            <w:tcW w:w="2291" w:type="dxa"/>
            <w:gridSpan w:val="2"/>
            <w:tcBorders/>
            <w:vAlign w:val="center"/>
          </w:tcPr>
          <w:p>
            <w:pPr>
              <w:pStyle w:val="TableContents"/>
              <w:bidi w:val="0"/>
              <w:spacing w:before="0" w:after="283"/>
              <w:jc w:val="left"/>
              <w:rPr>
                <w:sz w:val="4"/>
                <w:szCs w:val="4"/>
              </w:rPr>
            </w:pPr>
            <w:r>
              <w:rPr>
                <w:sz w:val="4"/>
                <w:szCs w:val="4"/>
              </w:rPr>
            </w:r>
          </w:p>
        </w:tc>
      </w:tr>
      <w:tr>
        <w:trPr/>
        <w:tc>
          <w:tcPr>
            <w:tcW w:w="4648" w:type="dxa"/>
            <w:tcBorders/>
            <w:shd w:fill="CCEEFF" w:val="clear"/>
          </w:tcPr>
          <w:p>
            <w:pPr>
              <w:pStyle w:val="TableContents"/>
              <w:bidi w:val="0"/>
              <w:spacing w:before="0" w:after="283"/>
              <w:jc w:val="left"/>
              <w:rPr/>
            </w:pPr>
            <w:r>
              <w:rPr/>
              <w:t>Adjusted EBITDA**</w:t>
            </w:r>
          </w:p>
        </w:tc>
        <w:tc>
          <w:tcPr>
            <w:tcW w:w="219" w:type="dxa"/>
            <w:tcBorders/>
            <w:shd w:fill="CCEEFF" w:val="clear"/>
            <w:vAlign w:val="bottom"/>
          </w:tcPr>
          <w:p>
            <w:pPr>
              <w:pStyle w:val="TableContents"/>
              <w:bidi w:val="0"/>
              <w:spacing w:before="0" w:after="283"/>
              <w:jc w:val="left"/>
              <w:rPr/>
            </w:pPr>
            <w:r>
              <w:rPr/>
              <w:t>  </w:t>
            </w:r>
          </w:p>
        </w:tc>
        <w:tc>
          <w:tcPr>
            <w:tcW w:w="2072" w:type="dxa"/>
            <w:tcBorders/>
            <w:shd w:fill="CCEEFF" w:val="clear"/>
            <w:vAlign w:val="bottom"/>
          </w:tcPr>
          <w:p>
            <w:pPr>
              <w:pStyle w:val="TableContents"/>
              <w:bidi w:val="0"/>
              <w:spacing w:before="0" w:after="283"/>
              <w:jc w:val="center"/>
              <w:rPr/>
            </w:pPr>
            <w:r>
              <w:rPr/>
              <w:t>$33 to $39 million</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has assumed foreign exchange rates prevailing as of June 30, 2023.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Flywire has relied upon the exception in item 10(e)(1)(i)(B) of Regulation S-K and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statements are forward-looking and actual results may differ materially. Refer to the Safe Harbor Statement below for information on the factors that could cause our actual results to differ materially from these forward-looking statements.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host a conference call to discuss second quarter 2023 financial results today at 5:30 pm ET. Hosting the call will be Mike Massaro, CEO, Rob Orgel, President and COO, and Mike Ellis, CFO. The conference call can be accessed live via webcast from the Companys investor relations website at </w:t>
      </w:r>
      <w:r>
        <w:rPr>
          <w:rFonts w:ascii="Times New Roman" w:hAnsi="Times New Roman"/>
          <w:sz w:val="20"/>
          <w:u w:val="single"/>
        </w:rPr>
        <w:t>https://ir.flywire.com/</w:t>
      </w:r>
      <w:r>
        <w:rPr>
          <w:rFonts w:ascii="Times New Roman" w:hAnsi="Times New Roman"/>
          <w:sz w:val="20"/>
        </w:rPr>
        <w:t xml:space="preserve">. A replay will be available on the investor relations website following the call. </w:t>
      </w:r>
    </w:p>
    <w:p>
      <w:pPr>
        <w:pStyle w:val="TextBody"/>
        <w:bidi w:val="0"/>
        <w:spacing w:before="360" w:after="0"/>
        <w:jc w:val="left"/>
        <w:rPr>
          <w:rFonts w:ascii="Times New Roman" w:hAnsi="Times New Roman"/>
          <w:b/>
          <w:sz w:val="20"/>
        </w:rPr>
      </w:pPr>
      <w:r>
        <w:rPr>
          <w:rFonts w:ascii="Times New Roman" w:hAnsi="Times New Roman"/>
          <w:b/>
          <w:sz w:val="20"/>
        </w:rPr>
        <w:t xml:space="preserve">Key Operating Metrics and Non-GAAP Financial Measures table </w:t>
      </w:r>
    </w:p>
    <w:p>
      <w:pPr>
        <w:pStyle w:val="TextBody"/>
        <w:bidi w:val="0"/>
        <w:spacing w:before="120" w:after="0"/>
        <w:jc w:val="left"/>
        <w:rPr>
          <w:rFonts w:ascii="Times New Roman" w:hAnsi="Times New Roman"/>
          <w:sz w:val="20"/>
        </w:rPr>
      </w:pPr>
      <w:r>
        <w:rPr>
          <w:rFonts w:ascii="Times New Roman" w:hAnsi="Times New Roman"/>
          <w:sz w:val="20"/>
        </w:rPr>
        <w:t xml:space="preserve">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 </w:t>
      </w:r>
    </w:p>
    <w:p>
      <w:pPr>
        <w:pStyle w:val="TextBody"/>
        <w:bidi w:val="0"/>
        <w:spacing w:before="240" w:after="0"/>
        <w:jc w:val="left"/>
        <w:rPr>
          <w:rFonts w:ascii="Times New Roman" w:hAnsi="Times New Roman"/>
          <w:sz w:val="20"/>
        </w:rPr>
      </w:pPr>
      <w:r>
        <w:rPr>
          <w:rFonts w:ascii="Times New Roman" w:hAnsi="Times New Roman"/>
          <w:sz w:val="20"/>
        </w:rPr>
        <w:t xml:space="preserve">Flywire uses supplemental measures of its performance which are derived from its consolidated financial information, but which are not presented in its consolidated financial statements prepared in accordance with GAAP. These non-GAAP financial measures include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Gross Profit and Adjusted Gross Margin. Adjusted gross profit represents Revenue Less Ancillary Services less cost of revenue adjusted to (i) exclude pass-through cost for printing services, (ii) offset marketing fees against costs incurred and (iii) exclude depreciation and amortization, including accelerated amortization on the impairment of customer set-up costs tied to technology integration. Adjusted Gross Margin represents Adjusted Gross Profit divided by Revenue Less Ancillary Services. Management believes </w:t>
            </w:r>
          </w:p>
        </w:tc>
      </w:tr>
    </w:tbl>
    <w:p>
      <w:pPr>
        <w:pStyle w:val="HorizontalLine"/>
        <w:pBdr>
          <w:bottom w:val="double" w:sz="6" w:space="0" w:color="808080"/>
        </w:pBdr>
        <w:bidi w:val="0"/>
        <w:jc w:val="left"/>
        <w:rPr/>
      </w:pPr>
      <w:r>
        <w:br w:type="page"/>
      </w: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283"/>
              <w:jc w:val="left"/>
              <w:rPr/>
            </w:pPr>
            <w:r>
              <w:rPr/>
              <w:t xml:space="preserve">this presentation supplements the GAAP presentation of Gross Margin with a useful measure of the gross margin of the Companys payment-related services, which are the primary services it provides to its clients. Beginning with the quarter ended December 31, 2022, Flywire has excluded depreciation and amortization from the calculation of our adjusted Gross Profit, which it believes enhances the understanding of the Companys operating performance and enables more meaningful period to period comparisons. The Companys previously reported Adjusted Gross Profit and Adjusted Gross Margin for the three months ended June 30, 2022 were recast to conform to the updated methodology and are reflected herein for comparison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6"/>
        <w:gridCol w:w="9295"/>
      </w:tblGrid>
      <w:tr>
        <w:trPr/>
        <w:tc>
          <w:tcPr>
            <w:tcW w:w="404" w:type="dxa"/>
            <w:tcBorders/>
            <w:vAlign w:val="center"/>
          </w:tcPr>
          <w:p>
            <w:pPr>
              <w:pStyle w:val="TableContents"/>
              <w:bidi w:val="0"/>
              <w:spacing w:before="0" w:after="283"/>
              <w:jc w:val="left"/>
              <w:rPr/>
            </w:pPr>
            <w:r>
              <w:rPr/>
              <w:t> </w:t>
            </w:r>
          </w:p>
        </w:tc>
        <w:tc>
          <w:tcPr>
            <w:tcW w:w="506" w:type="dxa"/>
            <w:tcBorders/>
          </w:tcPr>
          <w:p>
            <w:pPr>
              <w:pStyle w:val="TableContents"/>
              <w:bidi w:val="0"/>
              <w:spacing w:before="0" w:after="283"/>
              <w:jc w:val="left"/>
              <w:rPr/>
            </w:pPr>
            <w:r>
              <w:rPr/>
              <w:t></w:t>
            </w:r>
          </w:p>
        </w:tc>
        <w:tc>
          <w:tcPr>
            <w:tcW w:w="92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EBITDA. Adjusted EBITDA represents EBITDA further adjusted by excluding (i) stock-based compensation expense and related payroll taxes, (ii) the impact from the change in fair value measurement for contingent consideration associated with acquisitions, (iii) interest income, (iv) gain (loss) from the remeasurement of foreign currency, (v) indirect taxes related to intercompany activity, (vi) acquisition related transaction costs, if applicable, and (vii) employee retention costs, such as incentive compensation, associated with acquisition activities. Management believes that the exclusion of these amounts to calculate Adjusted EBITDA provides useful measures for period-to-period comparisons of the Companys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4"/>
        <w:gridCol w:w="505"/>
        <w:gridCol w:w="9296"/>
      </w:tblGrid>
      <w:tr>
        <w:trPr/>
        <w:tc>
          <w:tcPr>
            <w:tcW w:w="404" w:type="dxa"/>
            <w:tcBorders/>
            <w:vAlign w:val="center"/>
          </w:tcPr>
          <w:p>
            <w:pPr>
              <w:pStyle w:val="TableContents"/>
              <w:bidi w:val="0"/>
              <w:spacing w:before="0" w:after="283"/>
              <w:jc w:val="left"/>
              <w:rPr/>
            </w:pPr>
            <w:r>
              <w:rPr/>
              <w:t> </w:t>
            </w:r>
          </w:p>
        </w:tc>
        <w:tc>
          <w:tcPr>
            <w:tcW w:w="505" w:type="dxa"/>
            <w:tcBorders/>
          </w:tcPr>
          <w:p>
            <w:pPr>
              <w:pStyle w:val="TableContents"/>
              <w:bidi w:val="0"/>
              <w:spacing w:before="0" w:after="283"/>
              <w:jc w:val="left"/>
              <w:rPr/>
            </w:pPr>
            <w:r>
              <w:rPr/>
              <w:t></w:t>
            </w:r>
          </w:p>
        </w:tc>
        <w:tc>
          <w:tcPr>
            <w:tcW w:w="92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Revenue Less Ancillary Services at Constant Currency. Revenue Less Ancillary Services at Constant Currency represents Revenue Less Ancillary Services adjusted to show presentation on a constant currency basis. The constant currency information presented is calculated by translating current period results using prior period weighted average foreign currency exchange rates. Flywire analyzes Revenue Less Ancillary Services on a constant currency basis to provide a comparable framework for assessing how the business performed excluding the effect of foreign currency fluctuations.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non-GAAP financial measures are not meant to be considered as indicators of performance in isolation from or as a substitute the Companys revenue, gross profit, gross margin or net income (loss) prepared in accordance with GAAP and should be read only in conjunction with financial information presented on a GAAP basis. Reconciliations of Revenue Less Ancillary Services, Revenue Less Ancillary Services at Constant Currency, Adjusted Gross Profit, Adjusted Gross Margin and Adjusted EBITDA to the most directly comparable GAAP financial measure are presented below. Flywire encourages you to review these reconciliations in conjunction with the presentation of the non-GAAP financial measures for each of the periods presented. In future fiscal periods, Flywire may exclude such items and may incur income and expenses similar to these excluded items. Flywire has relied upon the exception in item 10(e)(1)(i)(B) of Regulation S-K and has not provided a quantitative reconciliation of forecasted Adjusted EBITDA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 </w:t>
      </w:r>
    </w:p>
    <w:p>
      <w:pPr>
        <w:pStyle w:val="TextBody"/>
        <w:bidi w:val="0"/>
        <w:spacing w:before="360" w:after="0"/>
        <w:jc w:val="left"/>
        <w:rPr>
          <w:rFonts w:ascii="Times New Roman" w:hAnsi="Times New Roman"/>
          <w:b/>
          <w:sz w:val="20"/>
        </w:rPr>
      </w:pPr>
      <w:r>
        <w:rPr>
          <w:rFonts w:ascii="Times New Roman" w:hAnsi="Times New Roman"/>
          <w:b/>
          <w:sz w:val="20"/>
        </w:rPr>
        <w:t xml:space="preserve">About Flywire </w:t>
      </w:r>
    </w:p>
    <w:p>
      <w:pPr>
        <w:pStyle w:val="TextBody"/>
        <w:bidi w:val="0"/>
        <w:spacing w:before="120" w:after="0"/>
        <w:jc w:val="left"/>
        <w:rPr>
          <w:rFonts w:ascii="Times New Roman" w:hAnsi="Times New Roman"/>
          <w:sz w:val="20"/>
        </w:rPr>
      </w:pPr>
      <w:r>
        <w:rPr>
          <w:rFonts w:ascii="Times New Roman" w:hAnsi="Times New Roman"/>
          <w:sz w:val="20"/>
        </w:rPr>
        <w:t xml:space="preserve">Flywire is a global payments enablement and software company. Flywire combines its proprietary global payments network, next-gen payments platform and vertical-specific software to deliver the most important and complex payments for its clients and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 </w:t>
      </w:r>
    </w:p>
    <w:p>
      <w:pPr>
        <w:pStyle w:val="TextBody"/>
        <w:bidi w:val="0"/>
        <w:spacing w:before="240" w:after="0"/>
        <w:jc w:val="left"/>
        <w:rPr>
          <w:rFonts w:ascii="Times New Roman" w:hAnsi="Times New Roman"/>
          <w:sz w:val="20"/>
        </w:rPr>
      </w:pPr>
      <w:r>
        <w:rPr>
          <w:rFonts w:ascii="Times New Roman" w:hAnsi="Times New Roman"/>
          <w:sz w:val="20"/>
        </w:rPr>
        <w:t xml:space="preserve">Flywire supports more than 3,500 clients with diverse payment methods in more than 140 currencies across 240 countries and territories around the world. Flywire is headquartered in Boston, MA, USA with additional offices around the globe. For more information, visit </w:t>
      </w:r>
      <w:r>
        <w:rPr>
          <w:rFonts w:ascii="Times New Roman" w:hAnsi="Times New Roman"/>
          <w:b/>
          <w:sz w:val="20"/>
          <w:u w:val="single"/>
        </w:rPr>
        <w:t>www.flywire.com</w:t>
      </w:r>
      <w:r>
        <w:rPr>
          <w:rFonts w:ascii="Times New Roman" w:hAnsi="Times New Roman"/>
          <w:sz w:val="20"/>
        </w:rPr>
        <w:t xml:space="preserve">. Follow Flywire on </w:t>
      </w:r>
      <w:r>
        <w:rPr>
          <w:rFonts w:ascii="Times New Roman" w:hAnsi="Times New Roman"/>
          <w:b/>
          <w:sz w:val="20"/>
          <w:u w:val="single"/>
        </w:rPr>
        <w:t>Twitter</w:t>
      </w:r>
      <w:r>
        <w:rPr>
          <w:rFonts w:ascii="Times New Roman" w:hAnsi="Times New Roman"/>
          <w:sz w:val="20"/>
        </w:rPr>
        <w:t xml:space="preserve">, </w:t>
      </w:r>
      <w:r>
        <w:rPr>
          <w:rFonts w:ascii="Times New Roman" w:hAnsi="Times New Roman"/>
          <w:b/>
          <w:sz w:val="20"/>
          <w:u w:val="single"/>
        </w:rPr>
        <w:t>LinkedIn</w:t>
      </w:r>
      <w:r>
        <w:rPr>
          <w:rFonts w:ascii="Times New Roman" w:hAnsi="Times New Roman"/>
          <w:sz w:val="20"/>
        </w:rPr>
        <w:t xml:space="preserve"> and</w:t>
      </w:r>
      <w:r>
        <w:rPr>
          <w:rFonts w:ascii="Times New Roman" w:hAnsi="Times New Roman"/>
          <w:sz w:val="20"/>
          <w:u w:val="single"/>
        </w:rPr>
        <w:t xml:space="preserve"> </w:t>
      </w:r>
      <w:r>
        <w:rPr>
          <w:rFonts w:ascii="Times New Roman" w:hAnsi="Times New Roman"/>
          <w:b/>
          <w:sz w:val="20"/>
          <w:u w:val="single"/>
        </w:rPr>
        <w:t>Facebook</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Flywires ability to execute its business plan and effectively manage its growth; Flywires cross-border expansion plans and ability to expand internationally; anticipated trends, growth rates, and challenges in Flywires business and in the markets in which Flywire operates; the sufficiency of Flywires cash and cash equivalents to meet its liquidity needs; political, economic, foreign currency exchange rate, inflation, legal, social and health risks, including the ongoing effects of the COVID-19 pandemic and subsequent public health measures that may affect Flywires business or the global economy; Flywires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financial institutions and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business-to-business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adapt to changes in U.S. federal income or other tax laws or the interpretation of tax laws, including the recently enacted Inflation Reduction Act of 2022; Flywires ability to attract and retain qualified employees; Flywires ability to maintain, protect, and enhance its intellectual property; Flywires ability to maintain the security and availability of its solutions; the increased expenses associated with being a public company; the future market price of Flywires common stock; and other factors that are described in the Risk Factors and Managements Discussion and Analysis of Financial Condition and Results of Operations sections of Flywires Annual Report on Form 10-K for the year ended December 31, 2022 and Quarterly Report on Form 10-Q for the quarter ended March 31, 2023, which are on file with the Securities and Exchange Commission (SEC) and available on the SECs website at </w:t>
      </w:r>
      <w:r>
        <w:rPr>
          <w:rFonts w:ascii="Times New Roman" w:hAnsi="Times New Roman"/>
          <w:sz w:val="20"/>
          <w:u w:val="single"/>
        </w:rPr>
        <w:t>https://www.sec.gov/</w:t>
      </w:r>
      <w:r>
        <w:rPr>
          <w:rFonts w:ascii="Times New Roman" w:hAnsi="Times New Roman"/>
          <w:sz w:val="20"/>
        </w:rPr>
        <w:t xml:space="preserve">. Additional factors may be described in those sections of Flywires Quarterly Report on Form 10-Q for the quarter ended June 30, 2023, expected to be filed with the SEC in the third quarter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2023. The information in this release is provided only as of the date of this release, and Flywire undertakes no obligation to update any forward-looking statements contained in this release on account of new information, future events,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Contacts </w:t>
      </w:r>
    </w:p>
    <w:p>
      <w:pPr>
        <w:pStyle w:val="TextBody"/>
        <w:bidi w:val="0"/>
        <w:spacing w:before="120" w:after="0"/>
        <w:jc w:val="left"/>
        <w:rPr>
          <w:rFonts w:ascii="Times New Roman" w:hAnsi="Times New Roman"/>
          <w:sz w:val="20"/>
        </w:rPr>
      </w:pPr>
      <w:r>
        <w:rPr>
          <w:rFonts w:ascii="Times New Roman" w:hAnsi="Times New Roman"/>
          <w:b/>
          <w:sz w:val="20"/>
        </w:rPr>
        <w:t>Investor Relations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Akil Hollis </w:t>
      </w:r>
    </w:p>
    <w:p>
      <w:pPr>
        <w:pStyle w:val="TextBody"/>
        <w:bidi w:val="0"/>
        <w:spacing w:before="0" w:after="0"/>
        <w:jc w:val="left"/>
        <w:rPr>
          <w:rFonts w:ascii="Times New Roman" w:hAnsi="Times New Roman"/>
          <w:b/>
          <w:sz w:val="20"/>
        </w:rPr>
      </w:pPr>
      <w:r>
        <w:rPr>
          <w:rFonts w:ascii="Times New Roman" w:hAnsi="Times New Roman"/>
          <w:b/>
          <w:sz w:val="20"/>
        </w:rPr>
        <w:t xml:space="preserve">ir@Flywire.com </w:t>
      </w:r>
    </w:p>
    <w:p>
      <w:pPr>
        <w:pStyle w:val="TextBody"/>
        <w:bidi w:val="0"/>
        <w:spacing w:before="360" w:after="0"/>
        <w:jc w:val="left"/>
        <w:rPr>
          <w:rFonts w:ascii="Times New Roman" w:hAnsi="Times New Roman"/>
          <w:sz w:val="20"/>
        </w:rPr>
      </w:pPr>
      <w:r>
        <w:rPr>
          <w:rFonts w:ascii="Times New Roman" w:hAnsi="Times New Roman"/>
          <w:b/>
          <w:sz w:val="20"/>
        </w:rPr>
        <w:t>Media</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Sarah King </w:t>
      </w:r>
    </w:p>
    <w:p>
      <w:pPr>
        <w:pStyle w:val="TextBody"/>
        <w:bidi w:val="0"/>
        <w:spacing w:before="0" w:after="0"/>
        <w:jc w:val="left"/>
        <w:rPr>
          <w:rFonts w:ascii="Times New Roman" w:hAnsi="Times New Roman"/>
          <w:b/>
          <w:sz w:val="20"/>
        </w:rPr>
      </w:pPr>
      <w:r>
        <w:rPr>
          <w:rFonts w:ascii="Times New Roman" w:hAnsi="Times New Roman"/>
          <w:b/>
          <w:sz w:val="20"/>
        </w:rPr>
        <w:t xml:space="preserve">Sarah.King@Flywire.com </w:t>
      </w:r>
    </w:p>
    <w:p>
      <w:pPr>
        <w:pStyle w:val="TextBody"/>
        <w:bidi w:val="0"/>
        <w:spacing w:before="240" w:after="0"/>
        <w:jc w:val="left"/>
        <w:rPr>
          <w:rFonts w:ascii="Times New Roman" w:hAnsi="Times New Roman"/>
          <w:sz w:val="20"/>
        </w:rPr>
      </w:pPr>
      <w:r>
        <w:rPr>
          <w:rFonts w:ascii="Times New Roman" w:hAnsi="Times New Roman"/>
          <w:sz w:val="20"/>
        </w:rPr>
        <w:t xml:space="preserve">Prosek Partners </w:t>
      </w:r>
    </w:p>
    <w:p>
      <w:pPr>
        <w:pStyle w:val="TextBody"/>
        <w:bidi w:val="0"/>
        <w:spacing w:before="0" w:after="0"/>
        <w:jc w:val="left"/>
        <w:rPr>
          <w:rFonts w:ascii="Times New Roman" w:hAnsi="Times New Roman"/>
          <w:b/>
          <w:sz w:val="20"/>
        </w:rPr>
      </w:pPr>
      <w:r>
        <w:rPr>
          <w:rFonts w:ascii="Times New Roman" w:hAnsi="Times New Roman"/>
          <w:b/>
          <w:sz w:val="20"/>
        </w:rPr>
        <w:t xml:space="preserve">pro-flywire@prosek.com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and Comprehensive Income (Loss) </w:t>
      </w:r>
    </w:p>
    <w:p>
      <w:pPr>
        <w:pStyle w:val="TextBody"/>
        <w:bidi w:val="0"/>
        <w:spacing w:before="240" w:after="0"/>
        <w:jc w:val="center"/>
        <w:rPr>
          <w:rFonts w:ascii="Times New Roman" w:hAnsi="Times New Roman"/>
          <w:b/>
          <w:sz w:val="20"/>
        </w:rPr>
      </w:pPr>
      <w:r>
        <w:rPr>
          <w:rFonts w:ascii="Times New Roman" w:hAnsi="Times New Roman"/>
          <w:b/>
          <w:sz w:val="20"/>
        </w:rPr>
        <w:t xml:space="preserve">(Unaudited) (Amounts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38"/>
        <w:gridCol w:w="247"/>
        <w:gridCol w:w="140"/>
        <w:gridCol w:w="1256"/>
        <w:gridCol w:w="155"/>
        <w:gridCol w:w="194"/>
        <w:gridCol w:w="140"/>
        <w:gridCol w:w="1256"/>
        <w:gridCol w:w="155"/>
        <w:gridCol w:w="194"/>
        <w:gridCol w:w="140"/>
        <w:gridCol w:w="1220"/>
        <w:gridCol w:w="155"/>
        <w:gridCol w:w="193"/>
        <w:gridCol w:w="140"/>
        <w:gridCol w:w="1220"/>
        <w:gridCol w:w="162"/>
      </w:tblGrid>
      <w:tr>
        <w:trPr/>
        <w:tc>
          <w:tcPr>
            <w:tcW w:w="3238" w:type="dxa"/>
            <w:tcBorders/>
            <w:vAlign w:val="center"/>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3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14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306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62"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9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2" w:type="dxa"/>
            <w:tcBorders/>
            <w:vAlign w:val="bottom"/>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84,869</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56,537</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179,226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121,090</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Costs and operating expenses: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33,804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21,820</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67,659</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46,073</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Technology and development</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16,016</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13,204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30,539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24,180</w:t>
            </w:r>
          </w:p>
        </w:tc>
        <w:tc>
          <w:tcPr>
            <w:tcW w:w="162" w:type="dxa"/>
            <w:tcBorders/>
            <w:vAlign w:val="bottom"/>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Selling and marketing</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27,273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18,887</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51,707</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36,495</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24,584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20,023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52,697</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38,843</w:t>
            </w:r>
          </w:p>
        </w:tc>
        <w:tc>
          <w:tcPr>
            <w:tcW w:w="162"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costs and operating expenses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101,677</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73,934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202,602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145,591</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Loss from operations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(16,808</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(17,397</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(23,376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(24,501</w:t>
            </w:r>
          </w:p>
        </w:tc>
        <w:tc>
          <w:tcPr>
            <w:tcW w:w="162"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income (expense):</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(266</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(181</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(484</w:t>
            </w:r>
          </w:p>
        </w:tc>
        <w:tc>
          <w:tcPr>
            <w:tcW w:w="162" w:type="dxa"/>
            <w:tcBorders/>
            <w:vAlign w:val="bottom"/>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1,935</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184</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3,870</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184</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(755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(5,240</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715</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(7,567</w:t>
            </w:r>
          </w:p>
        </w:tc>
        <w:tc>
          <w:tcPr>
            <w:tcW w:w="162"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(expense), net</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1,102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(5,322</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4,404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(7,867</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Loss before provision for income taxes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(15,706</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6" w:type="dxa"/>
            <w:tcBorders/>
            <w:vAlign w:val="bottom"/>
          </w:tcPr>
          <w:p>
            <w:pPr>
              <w:pStyle w:val="TableContents"/>
              <w:bidi w:val="0"/>
              <w:spacing w:before="0" w:after="283"/>
              <w:jc w:val="right"/>
              <w:rPr/>
            </w:pPr>
            <w:r>
              <w:rPr/>
              <w:t>(22,719</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(18,972</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(32,368</w:t>
            </w:r>
          </w:p>
        </w:tc>
        <w:tc>
          <w:tcPr>
            <w:tcW w:w="162" w:type="dxa"/>
            <w:tcBorders/>
            <w:vAlign w:val="bottom"/>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1,107</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1,078</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1,524</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1,578</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(16,813</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(23,797</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(20,496</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(33,946</w:t>
            </w:r>
          </w:p>
        </w:tc>
        <w:tc>
          <w:tcPr>
            <w:tcW w:w="162" w:type="dxa"/>
            <w:tcBorders/>
            <w:vAlign w:val="bottom"/>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2,449</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(45</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2,082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(135</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22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loss</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(14,364</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(23,842</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(18,414</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(34,081</w:t>
            </w:r>
          </w:p>
        </w:tc>
        <w:tc>
          <w:tcPr>
            <w:tcW w:w="162"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attributable to common stockholders - basic and</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(16,813</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6" w:type="dxa"/>
            <w:tcBorders/>
            <w:shd w:fill="CCEEFF" w:val="clear"/>
            <w:vAlign w:val="bottom"/>
          </w:tcPr>
          <w:p>
            <w:pPr>
              <w:pStyle w:val="TableContents"/>
              <w:bidi w:val="0"/>
              <w:spacing w:before="0" w:after="283"/>
              <w:jc w:val="right"/>
              <w:rPr/>
            </w:pPr>
            <w:r>
              <w:rPr/>
              <w:t>(23,797</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(20,496</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(33,946</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share attributable to common stockholders - basic</w:t>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(0.15</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6" w:type="dxa"/>
            <w:tcBorders/>
            <w:vAlign w:val="bottom"/>
          </w:tcPr>
          <w:p>
            <w:pPr>
              <w:pStyle w:val="TableContents"/>
              <w:bidi w:val="0"/>
              <w:spacing w:before="0" w:after="283"/>
              <w:jc w:val="right"/>
              <w:rPr/>
            </w:pPr>
            <w:r>
              <w:rPr/>
              <w:t>(0.22</w:t>
            </w:r>
          </w:p>
        </w:tc>
        <w:tc>
          <w:tcPr>
            <w:tcW w:w="155" w:type="dxa"/>
            <w:tcBorders/>
            <w:vAlign w:val="bottom"/>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(0.19</w:t>
            </w:r>
          </w:p>
        </w:tc>
        <w:tc>
          <w:tcPr>
            <w:tcW w:w="155" w:type="dxa"/>
            <w:tcBorders/>
            <w:vAlign w:val="bottom"/>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(0.32</w:t>
            </w:r>
          </w:p>
        </w:tc>
        <w:tc>
          <w:tcPr>
            <w:tcW w:w="162" w:type="dxa"/>
            <w:tcBorders/>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2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common shares outstanding - basic and</w:t>
            </w:r>
          </w:p>
        </w:tc>
        <w:tc>
          <w:tcPr>
            <w:tcW w:w="24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111,133,221</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6" w:type="dxa"/>
            <w:tcBorders/>
            <w:shd w:fill="CCEEFF" w:val="clear"/>
            <w:vAlign w:val="bottom"/>
          </w:tcPr>
          <w:p>
            <w:pPr>
              <w:pStyle w:val="TableContents"/>
              <w:bidi w:val="0"/>
              <w:spacing w:before="0" w:after="283"/>
              <w:jc w:val="right"/>
              <w:rPr/>
            </w:pPr>
            <w:r>
              <w:rPr/>
              <w:t>107,426,898</w:t>
            </w:r>
          </w:p>
        </w:tc>
        <w:tc>
          <w:tcPr>
            <w:tcW w:w="155" w:type="dxa"/>
            <w:tcBorders/>
            <w:shd w:fill="CCEEFF" w:val="clear"/>
            <w:vAlign w:val="bottom"/>
          </w:tcPr>
          <w:p>
            <w:pPr>
              <w:pStyle w:val="TableContents"/>
              <w:bidi w:val="0"/>
              <w:spacing w:before="0" w:after="283"/>
              <w:jc w:val="left"/>
              <w:rPr/>
            </w:pPr>
            <w:r>
              <w:rPr/>
              <w:t> </w:t>
            </w:r>
          </w:p>
        </w:tc>
        <w:tc>
          <w:tcPr>
            <w:tcW w:w="19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110,464,092</w:t>
            </w:r>
          </w:p>
        </w:tc>
        <w:tc>
          <w:tcPr>
            <w:tcW w:w="155" w:type="dxa"/>
            <w:tcBorders/>
            <w:shd w:fill="CCEEFF" w:val="clear"/>
            <w:vAlign w:val="bottom"/>
          </w:tcPr>
          <w:p>
            <w:pPr>
              <w:pStyle w:val="TableContents"/>
              <w:bidi w:val="0"/>
              <w:spacing w:before="0" w:after="283"/>
              <w:jc w:val="left"/>
              <w:rPr/>
            </w:pPr>
            <w:r>
              <w:rPr/>
              <w:t> </w:t>
            </w:r>
          </w:p>
        </w:tc>
        <w:tc>
          <w:tcPr>
            <w:tcW w:w="19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107,085,233</w:t>
            </w:r>
          </w:p>
        </w:tc>
        <w:tc>
          <w:tcPr>
            <w:tcW w:w="162" w:type="dxa"/>
            <w:tcBorders/>
            <w:shd w:fill="CCEEFF" w:val="clear"/>
            <w:vAlign w:val="bottom"/>
          </w:tcPr>
          <w:p>
            <w:pPr>
              <w:pStyle w:val="TableContents"/>
              <w:bidi w:val="0"/>
              <w:spacing w:before="0" w:after="283"/>
              <w:jc w:val="left"/>
              <w:rPr/>
            </w:pPr>
            <w:r>
              <w:rPr/>
              <w:t> </w:t>
            </w:r>
          </w:p>
        </w:tc>
      </w:tr>
      <w:tr>
        <w:trPr/>
        <w:tc>
          <w:tcPr>
            <w:tcW w:w="3238" w:type="dxa"/>
            <w:tcBorders/>
            <w:vAlign w:val="bottom"/>
          </w:tcPr>
          <w:p>
            <w:pPr>
              <w:pStyle w:val="TableContents"/>
              <w:bidi w:val="0"/>
              <w:spacing w:before="0" w:after="283"/>
              <w:jc w:val="left"/>
              <w:rPr>
                <w:sz w:val="4"/>
                <w:szCs w:val="4"/>
              </w:rPr>
            </w:pPr>
            <w:r>
              <w:rPr>
                <w:sz w:val="4"/>
                <w:szCs w:val="4"/>
              </w:rPr>
            </w:r>
          </w:p>
        </w:tc>
        <w:tc>
          <w:tcPr>
            <w:tcW w:w="24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9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22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except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79"/>
        <w:gridCol w:w="307"/>
        <w:gridCol w:w="140"/>
        <w:gridCol w:w="876"/>
        <w:gridCol w:w="155"/>
        <w:gridCol w:w="262"/>
        <w:gridCol w:w="186"/>
        <w:gridCol w:w="1242"/>
        <w:gridCol w:w="158"/>
      </w:tblGrid>
      <w:tr>
        <w:trPr/>
        <w:tc>
          <w:tcPr>
            <w:tcW w:w="6879" w:type="dxa"/>
            <w:tcBorders/>
            <w:vAlign w:val="center"/>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87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December 31,</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pPr>
            <w:r>
              <w:rPr/>
              <w:t> </w:t>
            </w:r>
          </w:p>
        </w:tc>
        <w:tc>
          <w:tcPr>
            <w:tcW w:w="307" w:type="dxa"/>
            <w:tcBorders/>
            <w:vAlign w:val="bottom"/>
          </w:tcPr>
          <w:p>
            <w:pPr>
              <w:pStyle w:val="TableContents"/>
              <w:bidi w:val="0"/>
              <w:spacing w:before="0" w:after="283"/>
              <w:jc w:val="left"/>
              <w:rPr/>
            </w:pPr>
            <w:r>
              <w:rPr/>
              <w:t>  </w:t>
            </w:r>
          </w:p>
        </w:tc>
        <w:tc>
          <w:tcPr>
            <w:tcW w:w="10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10047" w:type="dxa"/>
            <w:gridSpan w:val="8"/>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58" w:type="dxa"/>
            <w:tcBorders/>
          </w:tcPr>
          <w:p>
            <w:pPr>
              <w:pStyle w:val="TableContents"/>
              <w:bidi w:val="0"/>
              <w:spacing w:before="0" w:after="0"/>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328,063</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349,177</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2,000</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19,284</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13,697</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Unbilled receivables, net</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6,779</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5,268</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43,321</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62,970</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16,272</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17,531</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413,719</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450,643</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14,701</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13,317</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92,522</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97,616</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98,967</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97,766</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18,664</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14,945</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76" w:type="dxa"/>
            <w:tcBorders/>
            <w:vAlign w:val="bottom"/>
          </w:tcPr>
          <w:p>
            <w:pPr>
              <w:pStyle w:val="TableContents"/>
              <w:bidi w:val="0"/>
              <w:spacing w:before="0" w:after="283"/>
              <w:jc w:val="right"/>
              <w:rPr/>
            </w:pPr>
            <w:r>
              <w:rPr/>
              <w:t>638,573</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w:t>
            </w:r>
          </w:p>
        </w:tc>
        <w:tc>
          <w:tcPr>
            <w:tcW w:w="1242" w:type="dxa"/>
            <w:tcBorders/>
            <w:vAlign w:val="bottom"/>
          </w:tcPr>
          <w:p>
            <w:pPr>
              <w:pStyle w:val="TableContents"/>
              <w:bidi w:val="0"/>
              <w:spacing w:before="0" w:after="283"/>
              <w:jc w:val="right"/>
              <w:rPr/>
            </w:pPr>
            <w:r>
              <w:rPr/>
              <w:t>674,287</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double" w:sz="6" w:space="1" w:color="000000"/>
              </w:pBdr>
              <w:bidi w:val="0"/>
              <w:spacing w:before="0" w:after="0"/>
              <w:jc w:val="left"/>
              <w:rPr/>
            </w:pPr>
            <w:r>
              <w:rPr/>
              <w:t> </w:t>
            </w:r>
          </w:p>
        </w:tc>
        <w:tc>
          <w:tcPr>
            <w:tcW w:w="124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Stockholders Equity</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sz w:val="4"/>
                <w:szCs w:val="4"/>
              </w:rPr>
            </w:pPr>
            <w:r>
              <w:rPr>
                <w:sz w:val="4"/>
                <w:szCs w:val="4"/>
              </w:rPr>
            </w:r>
          </w:p>
        </w:tc>
        <w:tc>
          <w:tcPr>
            <w:tcW w:w="1242"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11,658</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13,325</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81,958</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124,305</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35,044</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34,423</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2,845</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5,223</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131,505</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177,276</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12,086</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12,149</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3,906</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2,959</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147,497</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192,384</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10047" w:type="dxa"/>
            <w:gridSpan w:val="8"/>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(Note 16)</w:t>
            </w:r>
          </w:p>
        </w:tc>
        <w:tc>
          <w:tcPr>
            <w:tcW w:w="158" w:type="dxa"/>
            <w:tcBorders/>
            <w:shd w:fill="CCEEFF" w:val="clear"/>
          </w:tcPr>
          <w:p>
            <w:pPr>
              <w:pStyle w:val="TableContents"/>
              <w:bidi w:val="0"/>
              <w:spacing w:before="0" w:after="0"/>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sz w:val="4"/>
                <w:szCs w:val="4"/>
              </w:rPr>
            </w:pPr>
            <w:r>
              <w:rPr>
                <w:sz w:val="4"/>
                <w:szCs w:val="4"/>
              </w:rPr>
            </w:r>
          </w:p>
        </w:tc>
        <w:tc>
          <w:tcPr>
            <w:tcW w:w="124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Preferred stock, $0.0001 par value; 10,000,000 shares authorized as of June 30, 2023 and December 31, 2022; and no shares issued and outstanding as of June 30, 2023 and December 31, 2022</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Voting common stock, $0.0001 par value; 2,000,000,000 shares authorized as of June 30, 2023 and December 31, 2022; 112,229,190 shares issued and 109,911,468 shares outstanding as of June 30, 2023; 109,790,702 shares issued and 107,472,980 shares outstanding as of December 31, 2022</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10</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Non-voting common stock, $0.0001 par value; 10,000,000 shares authorized as of June 30, 2023 and December 31, 2022; 1,873,320 shares issued and outstanding as of June 30, 2023 and December 31, 2022</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Treasury voting common stock, 2,317,722 shares as of June 30, 2023 and December 31, 2022, held at cost</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(748</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(748</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677,343</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649,756</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170</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(1,912</w:t>
            </w:r>
          </w:p>
        </w:tc>
        <w:tc>
          <w:tcPr>
            <w:tcW w:w="158" w:type="dxa"/>
            <w:tcBorders/>
            <w:vAlign w:val="bottom"/>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(185,700</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 </w:t>
            </w:r>
          </w:p>
        </w:tc>
        <w:tc>
          <w:tcPr>
            <w:tcW w:w="1242" w:type="dxa"/>
            <w:tcBorders/>
            <w:shd w:fill="CCEEFF" w:val="clear"/>
            <w:vAlign w:val="bottom"/>
          </w:tcPr>
          <w:p>
            <w:pPr>
              <w:pStyle w:val="TableContents"/>
              <w:bidi w:val="0"/>
              <w:spacing w:before="0" w:after="283"/>
              <w:jc w:val="right"/>
              <w:rPr/>
            </w:pPr>
            <w:r>
              <w:rPr/>
              <w:t>(165,204</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tcPr>
          <w:p>
            <w:pPr>
              <w:pStyle w:val="TableContents"/>
              <w:bidi w:val="0"/>
              <w:spacing w:before="0" w:after="0"/>
              <w:jc w:val="left"/>
              <w:rPr>
                <w:rFonts w:ascii="Times New Roman" w:hAnsi="Times New Roman"/>
                <w:sz w:val="20"/>
              </w:rPr>
            </w:pPr>
            <w:r>
              <w:rPr>
                <w:rFonts w:ascii="Times New Roman" w:hAnsi="Times New Roman"/>
                <w:sz w:val="20"/>
              </w:rPr>
              <w:t>Total stockholders equity</w:t>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491,076</w:t>
            </w:r>
          </w:p>
        </w:tc>
        <w:tc>
          <w:tcPr>
            <w:tcW w:w="155"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bidi w:val="0"/>
              <w:spacing w:before="0" w:after="283"/>
              <w:jc w:val="left"/>
              <w:rPr/>
            </w:pPr>
            <w:r>
              <w:rPr/>
              <w:t> </w:t>
            </w:r>
          </w:p>
        </w:tc>
        <w:tc>
          <w:tcPr>
            <w:tcW w:w="1242" w:type="dxa"/>
            <w:tcBorders/>
            <w:vAlign w:val="bottom"/>
          </w:tcPr>
          <w:p>
            <w:pPr>
              <w:pStyle w:val="TableContents"/>
              <w:bidi w:val="0"/>
              <w:spacing w:before="0" w:after="283"/>
              <w:jc w:val="right"/>
              <w:rPr/>
            </w:pPr>
            <w:r>
              <w:rPr/>
              <w:t>481,903</w:t>
            </w:r>
          </w:p>
        </w:tc>
        <w:tc>
          <w:tcPr>
            <w:tcW w:w="158" w:type="dxa"/>
            <w:tcBorders/>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87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stockholders equity</w:t>
            </w:r>
          </w:p>
        </w:tc>
        <w:tc>
          <w:tcPr>
            <w:tcW w:w="30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638,573</w:t>
            </w:r>
          </w:p>
        </w:tc>
        <w:tc>
          <w:tcPr>
            <w:tcW w:w="155"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186" w:type="dxa"/>
            <w:tcBorders/>
            <w:shd w:fill="CCEEFF" w:val="clear"/>
            <w:vAlign w:val="bottom"/>
          </w:tcPr>
          <w:p>
            <w:pPr>
              <w:pStyle w:val="TableContents"/>
              <w:bidi w:val="0"/>
              <w:spacing w:before="0" w:after="283"/>
              <w:jc w:val="left"/>
              <w:rPr/>
            </w:pPr>
            <w:r>
              <w:rPr/>
              <w:t>$</w:t>
            </w:r>
          </w:p>
        </w:tc>
        <w:tc>
          <w:tcPr>
            <w:tcW w:w="1242" w:type="dxa"/>
            <w:tcBorders/>
            <w:shd w:fill="CCEEFF" w:val="clear"/>
            <w:vAlign w:val="bottom"/>
          </w:tcPr>
          <w:p>
            <w:pPr>
              <w:pStyle w:val="TableContents"/>
              <w:bidi w:val="0"/>
              <w:spacing w:before="0" w:after="283"/>
              <w:jc w:val="right"/>
              <w:rPr/>
            </w:pPr>
            <w:r>
              <w:rPr/>
              <w:t>674,287</w:t>
            </w:r>
          </w:p>
        </w:tc>
        <w:tc>
          <w:tcPr>
            <w:tcW w:w="158" w:type="dxa"/>
            <w:tcBorders/>
            <w:shd w:fill="CCEEFF" w:val="clear"/>
            <w:vAlign w:val="bottom"/>
          </w:tcPr>
          <w:p>
            <w:pPr>
              <w:pStyle w:val="TableContents"/>
              <w:bidi w:val="0"/>
              <w:spacing w:before="0" w:after="283"/>
              <w:jc w:val="left"/>
              <w:rPr/>
            </w:pPr>
            <w:r>
              <w:rPr/>
              <w:t> </w:t>
            </w:r>
          </w:p>
        </w:tc>
      </w:tr>
      <w:tr>
        <w:trPr/>
        <w:tc>
          <w:tcPr>
            <w:tcW w:w="6879" w:type="dxa"/>
            <w:tcBorders/>
            <w:vAlign w:val="bottom"/>
          </w:tcPr>
          <w:p>
            <w:pPr>
              <w:pStyle w:val="TableContents"/>
              <w:bidi w:val="0"/>
              <w:spacing w:before="0" w:after="283"/>
              <w:jc w:val="left"/>
              <w:rPr>
                <w:sz w:val="4"/>
                <w:szCs w:val="4"/>
              </w:rPr>
            </w:pPr>
            <w:r>
              <w:rPr>
                <w:sz w:val="4"/>
                <w:szCs w:val="4"/>
              </w:rPr>
            </w:r>
          </w:p>
        </w:tc>
        <w:tc>
          <w:tcPr>
            <w:tcW w:w="30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186" w:type="dxa"/>
            <w:tcBorders/>
            <w:vAlign w:val="bottom"/>
          </w:tcPr>
          <w:p>
            <w:pPr>
              <w:pStyle w:val="TableContents"/>
              <w:pBdr>
                <w:top w:val="single" w:sz="2" w:space="1" w:color="000000"/>
              </w:pBdr>
              <w:bidi w:val="0"/>
              <w:spacing w:before="0" w:after="0"/>
              <w:jc w:val="left"/>
              <w:rPr/>
            </w:pPr>
            <w:r>
              <w:rPr/>
              <w:t> </w:t>
            </w:r>
          </w:p>
        </w:tc>
        <w:tc>
          <w:tcPr>
            <w:tcW w:w="124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 of Cash Flows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(Amounts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892"/>
        <w:gridCol w:w="232"/>
        <w:gridCol w:w="184"/>
        <w:gridCol w:w="1073"/>
        <w:gridCol w:w="204"/>
        <w:gridCol w:w="201"/>
        <w:gridCol w:w="184"/>
        <w:gridCol w:w="1076"/>
        <w:gridCol w:w="159"/>
      </w:tblGrid>
      <w:tr>
        <w:trPr/>
        <w:tc>
          <w:tcPr>
            <w:tcW w:w="6892" w:type="dxa"/>
            <w:tcBorders/>
            <w:vAlign w:val="center"/>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89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292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 June 30,</w:t>
            </w:r>
          </w:p>
        </w:tc>
        <w:tc>
          <w:tcPr>
            <w:tcW w:w="159" w:type="dxa"/>
            <w:tcBorders/>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2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(20,496</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(33,946</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loss to net cash used in operating activities: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7,876</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5,784</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19,979</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13,932</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deferred contract costs</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228</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161</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410</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(950</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benefit</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(584</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(101</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uncollectible accounts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599</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73</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Non-cash interest expense</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144</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158</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 net of acquisitions: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3"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sz w:val="4"/>
                <w:szCs w:val="4"/>
              </w:rPr>
            </w:pPr>
            <w:r>
              <w:rPr>
                <w:sz w:val="4"/>
                <w:szCs w:val="4"/>
              </w:rPr>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sz w:val="4"/>
                <w:szCs w:val="4"/>
              </w:rPr>
            </w:pPr>
            <w:r>
              <w:rPr>
                <w:sz w:val="4"/>
                <w:szCs w:val="4"/>
              </w:rPr>
            </w:r>
          </w:p>
        </w:tc>
        <w:tc>
          <w:tcPr>
            <w:tcW w:w="10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(6,186</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(3,709</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Unbilled receivables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(1,511</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(620</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Funds receivable from payment partners</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19,649</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8,104</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other current assets and other assets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(1,030</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(3,677</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Funds payable to clients</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(42,347</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(8,988</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 accrued expenses and other current liabilities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1,121</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1,333</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Contingent consideration</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(467</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(4,524</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liabilities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(574</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(764</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Deferred revenue</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(2,463</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143</w:t>
            </w:r>
          </w:p>
        </w:tc>
        <w:tc>
          <w:tcPr>
            <w:tcW w:w="159" w:type="dxa"/>
            <w:tcBorders/>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operating activities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(25,652</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(27,591</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07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Capitalization of internally developed software</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(2,812</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(2,534</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Purchases of property and equipment</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(671</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(1,099</w:t>
            </w:r>
          </w:p>
        </w:tc>
        <w:tc>
          <w:tcPr>
            <w:tcW w:w="159" w:type="dxa"/>
            <w:tcBorders/>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in investing activities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(3,483</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(3,633</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073"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sz w:val="4"/>
                <w:szCs w:val="4"/>
              </w:rPr>
            </w:pPr>
            <w:r>
              <w:rPr>
                <w:sz w:val="4"/>
                <w:szCs w:val="4"/>
              </w:rPr>
            </w:r>
          </w:p>
        </w:tc>
        <w:tc>
          <w:tcPr>
            <w:tcW w:w="107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Contingent consideration paid for acquisitions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(1,207</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(3,320</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Payments of tax withholdings for net settled option exercises</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  </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(756</w:t>
            </w:r>
          </w:p>
        </w:tc>
        <w:tc>
          <w:tcPr>
            <w:tcW w:w="159" w:type="dxa"/>
            <w:tcBorders/>
            <w:vAlign w:val="bottom"/>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from the issuance of stock under Employee Stock</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864</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Proceeds from exercise of stock options</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6,044</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2,293</w:t>
            </w:r>
          </w:p>
        </w:tc>
        <w:tc>
          <w:tcPr>
            <w:tcW w:w="159" w:type="dxa"/>
            <w:tcBorders/>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in) financing activities</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5,701</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(1,783</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rates changes on cash and cash equivalents</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3" w:type="dxa"/>
            <w:tcBorders/>
            <w:vAlign w:val="bottom"/>
          </w:tcPr>
          <w:p>
            <w:pPr>
              <w:pStyle w:val="TableContents"/>
              <w:bidi w:val="0"/>
              <w:spacing w:before="0" w:after="283"/>
              <w:jc w:val="right"/>
              <w:rPr/>
            </w:pPr>
            <w:r>
              <w:rPr/>
              <w:t>320</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76" w:type="dxa"/>
            <w:tcBorders/>
            <w:vAlign w:val="bottom"/>
          </w:tcPr>
          <w:p>
            <w:pPr>
              <w:pStyle w:val="TableContents"/>
              <w:bidi w:val="0"/>
              <w:spacing w:before="0" w:after="283"/>
              <w:jc w:val="right"/>
              <w:rPr/>
            </w:pPr>
            <w:r>
              <w:rPr/>
              <w:t>6,231</w:t>
            </w:r>
          </w:p>
        </w:tc>
        <w:tc>
          <w:tcPr>
            <w:tcW w:w="159" w:type="dxa"/>
            <w:tcBorders/>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Net increase (decrease) in cash, cash equivalents and restricted</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3" w:type="dxa"/>
            <w:tcBorders/>
            <w:shd w:fill="CCEEFF" w:val="clear"/>
            <w:vAlign w:val="bottom"/>
          </w:tcPr>
          <w:p>
            <w:pPr>
              <w:pStyle w:val="TableContents"/>
              <w:bidi w:val="0"/>
              <w:spacing w:before="0" w:after="283"/>
              <w:jc w:val="right"/>
              <w:rPr/>
            </w:pPr>
            <w:r>
              <w:rPr/>
              <w:t>(23,114</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1076" w:type="dxa"/>
            <w:tcBorders/>
            <w:shd w:fill="CCEEFF" w:val="clear"/>
            <w:vAlign w:val="bottom"/>
          </w:tcPr>
          <w:p>
            <w:pPr>
              <w:pStyle w:val="TableContents"/>
              <w:bidi w:val="0"/>
              <w:spacing w:before="0" w:after="283"/>
              <w:jc w:val="right"/>
              <w:rPr/>
            </w:pPr>
            <w:r>
              <w:rPr/>
              <w:t>(26,776</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beginning of year</w:t>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73" w:type="dxa"/>
            <w:tcBorders/>
            <w:vAlign w:val="bottom"/>
          </w:tcPr>
          <w:p>
            <w:pPr>
              <w:pStyle w:val="TableContents"/>
              <w:bidi w:val="0"/>
              <w:spacing w:before="0" w:after="283"/>
              <w:jc w:val="right"/>
              <w:rPr/>
            </w:pPr>
            <w:r>
              <w:rPr/>
              <w:t>351,177</w:t>
            </w:r>
          </w:p>
        </w:tc>
        <w:tc>
          <w:tcPr>
            <w:tcW w:w="204" w:type="dxa"/>
            <w:tcBorders/>
            <w:vAlign w:val="bottom"/>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w:t>
            </w:r>
          </w:p>
        </w:tc>
        <w:tc>
          <w:tcPr>
            <w:tcW w:w="1076" w:type="dxa"/>
            <w:tcBorders/>
            <w:vAlign w:val="bottom"/>
          </w:tcPr>
          <w:p>
            <w:pPr>
              <w:pStyle w:val="TableContents"/>
              <w:bidi w:val="0"/>
              <w:spacing w:before="0" w:after="283"/>
              <w:jc w:val="right"/>
              <w:rPr/>
            </w:pPr>
            <w:r>
              <w:rPr/>
              <w:t>389,360</w:t>
            </w:r>
          </w:p>
        </w:tc>
        <w:tc>
          <w:tcPr>
            <w:tcW w:w="159" w:type="dxa"/>
            <w:tcBorders/>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3" w:type="dxa"/>
            <w:tcBorders/>
            <w:vAlign w:val="bottom"/>
          </w:tcPr>
          <w:p>
            <w:pPr>
              <w:pStyle w:val="TableContents"/>
              <w:pBdr>
                <w:top w:val="single" w:sz="2"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single" w:sz="2" w:space="1" w:color="000000"/>
              </w:pBdr>
              <w:bidi w:val="0"/>
              <w:spacing w:before="0" w:after="0"/>
              <w:jc w:val="left"/>
              <w:rPr/>
            </w:pPr>
            <w:r>
              <w:rPr/>
              <w:t> </w:t>
            </w:r>
          </w:p>
        </w:tc>
        <w:tc>
          <w:tcPr>
            <w:tcW w:w="10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892"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cash equivalents and restricted cash, end of year</w:t>
            </w:r>
          </w:p>
        </w:tc>
        <w:tc>
          <w:tcPr>
            <w:tcW w:w="232"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73" w:type="dxa"/>
            <w:tcBorders/>
            <w:shd w:fill="CCEEFF" w:val="clear"/>
            <w:vAlign w:val="bottom"/>
          </w:tcPr>
          <w:p>
            <w:pPr>
              <w:pStyle w:val="TableContents"/>
              <w:bidi w:val="0"/>
              <w:spacing w:before="0" w:after="283"/>
              <w:jc w:val="right"/>
              <w:rPr/>
            </w:pPr>
            <w:r>
              <w:rPr/>
              <w:t>328,063</w:t>
            </w:r>
          </w:p>
        </w:tc>
        <w:tc>
          <w:tcPr>
            <w:tcW w:w="204" w:type="dxa"/>
            <w:tcBorders/>
            <w:shd w:fill="CCEEFF" w:val="clear"/>
            <w:vAlign w:val="bottom"/>
          </w:tcPr>
          <w:p>
            <w:pPr>
              <w:pStyle w:val="TableContents"/>
              <w:bidi w:val="0"/>
              <w:spacing w:before="0" w:after="283"/>
              <w:jc w:val="left"/>
              <w:rPr/>
            </w:pPr>
            <w:r>
              <w:rPr/>
              <w:t> </w:t>
            </w:r>
          </w:p>
        </w:tc>
        <w:tc>
          <w:tcPr>
            <w:tcW w:w="201"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w:t>
            </w:r>
          </w:p>
        </w:tc>
        <w:tc>
          <w:tcPr>
            <w:tcW w:w="1076" w:type="dxa"/>
            <w:tcBorders/>
            <w:shd w:fill="CCEEFF" w:val="clear"/>
            <w:vAlign w:val="bottom"/>
          </w:tcPr>
          <w:p>
            <w:pPr>
              <w:pStyle w:val="TableContents"/>
              <w:bidi w:val="0"/>
              <w:spacing w:before="0" w:after="283"/>
              <w:jc w:val="right"/>
              <w:rPr/>
            </w:pPr>
            <w:r>
              <w:rPr/>
              <w:t>362,584</w:t>
            </w:r>
          </w:p>
        </w:tc>
        <w:tc>
          <w:tcPr>
            <w:tcW w:w="159" w:type="dxa"/>
            <w:tcBorders/>
            <w:shd w:fill="CCEEFF" w:val="clear"/>
            <w:vAlign w:val="bottom"/>
          </w:tcPr>
          <w:p>
            <w:pPr>
              <w:pStyle w:val="TableContents"/>
              <w:bidi w:val="0"/>
              <w:spacing w:before="0" w:after="283"/>
              <w:jc w:val="left"/>
              <w:rPr/>
            </w:pPr>
            <w:r>
              <w:rPr/>
              <w:t> </w:t>
            </w:r>
          </w:p>
        </w:tc>
      </w:tr>
      <w:tr>
        <w:trPr/>
        <w:tc>
          <w:tcPr>
            <w:tcW w:w="6892" w:type="dxa"/>
            <w:tcBorders/>
            <w:vAlign w:val="bottom"/>
          </w:tcPr>
          <w:p>
            <w:pPr>
              <w:pStyle w:val="TableContents"/>
              <w:bidi w:val="0"/>
              <w:spacing w:before="0" w:after="283"/>
              <w:jc w:val="left"/>
              <w:rPr>
                <w:sz w:val="4"/>
                <w:szCs w:val="4"/>
              </w:rPr>
            </w:pPr>
            <w:r>
              <w:rPr>
                <w:sz w:val="4"/>
                <w:szCs w:val="4"/>
              </w:rPr>
            </w:r>
          </w:p>
        </w:tc>
        <w:tc>
          <w:tcPr>
            <w:tcW w:w="232"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73" w:type="dxa"/>
            <w:tcBorders/>
            <w:vAlign w:val="bottom"/>
          </w:tcPr>
          <w:p>
            <w:pPr>
              <w:pStyle w:val="TableContents"/>
              <w:pBdr>
                <w:top w:val="double" w:sz="6" w:space="1" w:color="000000"/>
              </w:pBdr>
              <w:bidi w:val="0"/>
              <w:spacing w:before="0" w:after="0"/>
              <w:jc w:val="left"/>
              <w:rPr/>
            </w:pPr>
            <w:r>
              <w:rPr/>
              <w:t> </w:t>
            </w:r>
          </w:p>
        </w:tc>
        <w:tc>
          <w:tcPr>
            <w:tcW w:w="204" w:type="dxa"/>
            <w:tcBorders/>
            <w:vAlign w:val="center"/>
          </w:tcPr>
          <w:p>
            <w:pPr>
              <w:pStyle w:val="TableContents"/>
              <w:bidi w:val="0"/>
              <w:spacing w:before="0" w:after="283"/>
              <w:jc w:val="left"/>
              <w:rPr/>
            </w:pPr>
            <w:r>
              <w:rPr/>
              <w:t> </w:t>
            </w:r>
          </w:p>
        </w:tc>
        <w:tc>
          <w:tcPr>
            <w:tcW w:w="201" w:type="dxa"/>
            <w:tcBorders/>
            <w:vAlign w:val="bottom"/>
          </w:tcPr>
          <w:p>
            <w:pPr>
              <w:pStyle w:val="TableContents"/>
              <w:bidi w:val="0"/>
              <w:spacing w:before="0" w:after="283"/>
              <w:jc w:val="left"/>
              <w:rPr/>
            </w:pPr>
            <w:r>
              <w:rPr/>
              <w:t> </w:t>
            </w:r>
          </w:p>
        </w:tc>
        <w:tc>
          <w:tcPr>
            <w:tcW w:w="184" w:type="dxa"/>
            <w:tcBorders/>
            <w:vAlign w:val="bottom"/>
          </w:tcPr>
          <w:p>
            <w:pPr>
              <w:pStyle w:val="TableContents"/>
              <w:pBdr>
                <w:top w:val="double" w:sz="6" w:space="1" w:color="000000"/>
              </w:pBdr>
              <w:bidi w:val="0"/>
              <w:spacing w:before="0" w:after="0"/>
              <w:jc w:val="left"/>
              <w:rPr/>
            </w:pPr>
            <w:r>
              <w:rPr/>
              <w:t> </w:t>
            </w:r>
          </w:p>
        </w:tc>
        <w:tc>
          <w:tcPr>
            <w:tcW w:w="107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Non-GAAP Financial Measures </w:t>
      </w:r>
    </w:p>
    <w:p>
      <w:pPr>
        <w:pStyle w:val="TextBody"/>
        <w:bidi w:val="0"/>
        <w:spacing w:before="240" w:after="0"/>
        <w:jc w:val="center"/>
        <w:rPr>
          <w:rFonts w:ascii="Times New Roman" w:hAnsi="Times New Roman"/>
          <w:b/>
          <w:sz w:val="20"/>
        </w:rPr>
      </w:pPr>
      <w:r>
        <w:rPr>
          <w:rFonts w:ascii="Times New Roman" w:hAnsi="Times New Roman"/>
          <w:b/>
          <w:sz w:val="20"/>
        </w:rPr>
        <w:t xml:space="preserve">(Amounts in millions) </w:t>
      </w:r>
    </w:p>
    <w:p>
      <w:pPr>
        <w:pStyle w:val="TextBody"/>
        <w:bidi w:val="0"/>
        <w:spacing w:before="240" w:after="0"/>
        <w:jc w:val="left"/>
        <w:rPr>
          <w:rFonts w:ascii="Times New Roman" w:hAnsi="Times New Roman"/>
          <w:b/>
          <w:sz w:val="20"/>
        </w:rPr>
      </w:pPr>
      <w:r>
        <w:rPr>
          <w:rFonts w:ascii="Times New Roman" w:hAnsi="Times New Roman"/>
          <w:b/>
          <w:sz w:val="20"/>
        </w:rPr>
        <w:t xml:space="preserve">Modified Methodology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58"/>
        <w:gridCol w:w="209"/>
        <w:gridCol w:w="206"/>
        <w:gridCol w:w="700"/>
        <w:gridCol w:w="424"/>
        <w:gridCol w:w="180"/>
        <w:gridCol w:w="206"/>
        <w:gridCol w:w="703"/>
        <w:gridCol w:w="275"/>
        <w:gridCol w:w="154"/>
        <w:gridCol w:w="153"/>
        <w:gridCol w:w="619"/>
        <w:gridCol w:w="302"/>
        <w:gridCol w:w="159"/>
        <w:gridCol w:w="154"/>
        <w:gridCol w:w="621"/>
        <w:gridCol w:w="282"/>
      </w:tblGrid>
      <w:tr>
        <w:trPr/>
        <w:tc>
          <w:tcPr>
            <w:tcW w:w="4858"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85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4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282" w:type="dxa"/>
            <w:tcBorders/>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2" w:type="dxa"/>
            <w:tcBorders/>
            <w:vAlign w:val="bottom"/>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84.9</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56.5</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179.2</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121.1</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21"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(5.3</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(10.2</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(9.8</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(0.1</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(0.5</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(0.6</w:t>
            </w:r>
          </w:p>
        </w:tc>
        <w:tc>
          <w:tcPr>
            <w:tcW w:w="282" w:type="dxa"/>
            <w:tcBorders/>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79.5</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51.5</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168.5</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110.7</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33.8</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21.8</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67.7</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46.1</w:t>
            </w:r>
          </w:p>
        </w:tc>
        <w:tc>
          <w:tcPr>
            <w:tcW w:w="282" w:type="dxa"/>
            <w:tcBorders/>
            <w:vAlign w:val="bottom"/>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2.3</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4.5</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3.0</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36.1</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23.3</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72.2</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49.1</w:t>
            </w:r>
          </w:p>
        </w:tc>
        <w:tc>
          <w:tcPr>
            <w:tcW w:w="282" w:type="dxa"/>
            <w:tcBorders/>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42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1"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(5.3</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(10.2</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(9.8</w:t>
            </w:r>
          </w:p>
        </w:tc>
        <w:tc>
          <w:tcPr>
            <w:tcW w:w="282" w:type="dxa"/>
            <w:tcBorders/>
            <w:vAlign w:val="bottom"/>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(0.1</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(0.5</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(0.6</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Exclude depreciation and amortization</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(1.7</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(1.2</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(3.3</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(2.4</w:t>
            </w:r>
          </w:p>
        </w:tc>
        <w:tc>
          <w:tcPr>
            <w:tcW w:w="282" w:type="dxa"/>
            <w:tcBorders/>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29.0</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17.1</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58.2</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36.3</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48.8</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33.2</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107.0</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72.0</w:t>
            </w:r>
          </w:p>
        </w:tc>
        <w:tc>
          <w:tcPr>
            <w:tcW w:w="282" w:type="dxa"/>
            <w:tcBorders/>
            <w:vAlign w:val="bottom"/>
          </w:tcPr>
          <w:p>
            <w:pPr>
              <w:pStyle w:val="TableContents"/>
              <w:bidi w:val="0"/>
              <w:spacing w:before="0" w:after="283"/>
              <w:jc w:val="left"/>
              <w:rPr/>
            </w:pPr>
            <w:r>
              <w:rPr/>
              <w:t> </w:t>
            </w:r>
          </w:p>
        </w:tc>
      </w:tr>
      <w:tr>
        <w:trPr/>
        <w:tc>
          <w:tcPr>
            <w:tcW w:w="48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57.5</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58.8</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59.7</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59.5</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50.5</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34.4</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110.3</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74.4</w:t>
            </w:r>
          </w:p>
        </w:tc>
        <w:tc>
          <w:tcPr>
            <w:tcW w:w="282" w:type="dxa"/>
            <w:tcBorders/>
            <w:vAlign w:val="bottom"/>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63.5</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66.8</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65.5</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67.2</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Previous Methodology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58"/>
        <w:gridCol w:w="209"/>
        <w:gridCol w:w="206"/>
        <w:gridCol w:w="700"/>
        <w:gridCol w:w="424"/>
        <w:gridCol w:w="180"/>
        <w:gridCol w:w="206"/>
        <w:gridCol w:w="703"/>
        <w:gridCol w:w="275"/>
        <w:gridCol w:w="154"/>
        <w:gridCol w:w="153"/>
        <w:gridCol w:w="619"/>
        <w:gridCol w:w="302"/>
        <w:gridCol w:w="159"/>
        <w:gridCol w:w="154"/>
        <w:gridCol w:w="621"/>
        <w:gridCol w:w="282"/>
      </w:tblGrid>
      <w:tr>
        <w:trPr/>
        <w:tc>
          <w:tcPr>
            <w:tcW w:w="4858" w:type="dxa"/>
            <w:tcBorders/>
            <w:vAlign w:val="center"/>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485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241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00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282" w:type="dxa"/>
            <w:tcBorders/>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90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9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282" w:type="dxa"/>
            <w:tcBorders/>
            <w:vAlign w:val="bottom"/>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84.9</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56.5</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179.2</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121.1</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700" w:type="dxa"/>
            <w:tcBorders/>
            <w:vAlign w:val="bottom"/>
          </w:tcPr>
          <w:p>
            <w:pPr>
              <w:pStyle w:val="TableContents"/>
              <w:bidi w:val="0"/>
              <w:spacing w:before="0" w:after="283"/>
              <w:jc w:val="left"/>
              <w:rPr>
                <w:sz w:val="4"/>
                <w:szCs w:val="4"/>
              </w:rPr>
            </w:pPr>
            <w:r>
              <w:rPr>
                <w:sz w:val="4"/>
                <w:szCs w:val="4"/>
              </w:rPr>
            </w:r>
          </w:p>
        </w:tc>
        <w:tc>
          <w:tcPr>
            <w:tcW w:w="42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sz w:val="4"/>
                <w:szCs w:val="4"/>
              </w:rPr>
            </w:pPr>
            <w:r>
              <w:rPr>
                <w:sz w:val="4"/>
                <w:szCs w:val="4"/>
              </w:rPr>
            </w:r>
          </w:p>
        </w:tc>
        <w:tc>
          <w:tcPr>
            <w:tcW w:w="619" w:type="dxa"/>
            <w:tcBorders/>
            <w:vAlign w:val="bottom"/>
          </w:tcPr>
          <w:p>
            <w:pPr>
              <w:pStyle w:val="TableContents"/>
              <w:bidi w:val="0"/>
              <w:spacing w:before="0" w:after="283"/>
              <w:jc w:val="left"/>
              <w:rPr>
                <w:sz w:val="4"/>
                <w:szCs w:val="4"/>
              </w:rPr>
            </w:pPr>
            <w:r>
              <w:rPr>
                <w:sz w:val="4"/>
                <w:szCs w:val="4"/>
              </w:rPr>
            </w:r>
          </w:p>
        </w:tc>
        <w:tc>
          <w:tcPr>
            <w:tcW w:w="30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sz w:val="4"/>
                <w:szCs w:val="4"/>
              </w:rPr>
            </w:pPr>
            <w:r>
              <w:rPr>
                <w:sz w:val="4"/>
                <w:szCs w:val="4"/>
              </w:rPr>
            </w:r>
          </w:p>
        </w:tc>
        <w:tc>
          <w:tcPr>
            <w:tcW w:w="621"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(5.3</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(10.2</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(9.8</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(0.1</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(0.5</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(0.6</w:t>
            </w:r>
          </w:p>
        </w:tc>
        <w:tc>
          <w:tcPr>
            <w:tcW w:w="282" w:type="dxa"/>
            <w:tcBorders/>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79.5</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51.5</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168.5</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110.7</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Payment processing services costs</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33.8</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21.8</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67.7</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46.1</w:t>
            </w:r>
          </w:p>
        </w:tc>
        <w:tc>
          <w:tcPr>
            <w:tcW w:w="282" w:type="dxa"/>
            <w:tcBorders/>
            <w:vAlign w:val="bottom"/>
          </w:tcPr>
          <w:p>
            <w:pPr>
              <w:pStyle w:val="TableContents"/>
              <w:bidi w:val="0"/>
              <w:spacing w:before="0" w:after="283"/>
              <w:jc w:val="left"/>
              <w:rPr/>
            </w:pPr>
            <w:r>
              <w:rPr/>
              <w:t> </w:t>
            </w:r>
          </w:p>
        </w:tc>
      </w:tr>
      <w:tr>
        <w:trPr/>
        <w:tc>
          <w:tcPr>
            <w:tcW w:w="48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Hosting and amortization costs within technology and development</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2.3</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1.5</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4.5</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3.0</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Cost of Revenue</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36.1</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23.3</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72.2</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49.1</w:t>
            </w:r>
          </w:p>
        </w:tc>
        <w:tc>
          <w:tcPr>
            <w:tcW w:w="282" w:type="dxa"/>
            <w:tcBorders/>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to:</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700" w:type="dxa"/>
            <w:tcBorders/>
            <w:shd w:fill="CCEEFF" w:val="clear"/>
            <w:vAlign w:val="bottom"/>
          </w:tcPr>
          <w:p>
            <w:pPr>
              <w:pStyle w:val="TableContents"/>
              <w:bidi w:val="0"/>
              <w:spacing w:before="0" w:after="283"/>
              <w:jc w:val="left"/>
              <w:rPr>
                <w:sz w:val="4"/>
                <w:szCs w:val="4"/>
              </w:rPr>
            </w:pPr>
            <w:r>
              <w:rPr>
                <w:sz w:val="4"/>
                <w:szCs w:val="4"/>
              </w:rPr>
            </w:r>
          </w:p>
        </w:tc>
        <w:tc>
          <w:tcPr>
            <w:tcW w:w="42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sz w:val="4"/>
                <w:szCs w:val="4"/>
              </w:rPr>
            </w:pPr>
            <w:r>
              <w:rPr>
                <w:sz w:val="4"/>
                <w:szCs w:val="4"/>
              </w:rPr>
            </w:r>
          </w:p>
        </w:tc>
        <w:tc>
          <w:tcPr>
            <w:tcW w:w="70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sz w:val="4"/>
                <w:szCs w:val="4"/>
              </w:rPr>
            </w:pPr>
            <w:r>
              <w:rPr>
                <w:sz w:val="4"/>
                <w:szCs w:val="4"/>
              </w:rPr>
            </w:r>
          </w:p>
        </w:tc>
        <w:tc>
          <w:tcPr>
            <w:tcW w:w="619" w:type="dxa"/>
            <w:tcBorders/>
            <w:shd w:fill="CCEEFF" w:val="clear"/>
            <w:vAlign w:val="bottom"/>
          </w:tcPr>
          <w:p>
            <w:pPr>
              <w:pStyle w:val="TableContents"/>
              <w:bidi w:val="0"/>
              <w:spacing w:before="0" w:after="283"/>
              <w:jc w:val="left"/>
              <w:rPr>
                <w:sz w:val="4"/>
                <w:szCs w:val="4"/>
              </w:rPr>
            </w:pPr>
            <w:r>
              <w:rPr>
                <w:sz w:val="4"/>
                <w:szCs w:val="4"/>
              </w:rPr>
            </w:r>
          </w:p>
        </w:tc>
        <w:tc>
          <w:tcPr>
            <w:tcW w:w="30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sz w:val="4"/>
                <w:szCs w:val="4"/>
              </w:rPr>
            </w:pPr>
            <w:r>
              <w:rPr>
                <w:sz w:val="4"/>
                <w:szCs w:val="4"/>
              </w:rPr>
            </w:r>
          </w:p>
        </w:tc>
        <w:tc>
          <w:tcPr>
            <w:tcW w:w="621"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Exclude printing and mailing costs</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(5.3</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(4.8</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(10.2</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(9.8</w:t>
            </w:r>
          </w:p>
        </w:tc>
        <w:tc>
          <w:tcPr>
            <w:tcW w:w="282" w:type="dxa"/>
            <w:tcBorders/>
            <w:vAlign w:val="bottom"/>
          </w:tcPr>
          <w:p>
            <w:pPr>
              <w:pStyle w:val="TableContents"/>
              <w:bidi w:val="0"/>
              <w:spacing w:before="0" w:after="283"/>
              <w:jc w:val="left"/>
              <w:rPr/>
            </w:pPr>
            <w:r>
              <w:rPr/>
              <w:t>) </w:t>
            </w:r>
          </w:p>
        </w:tc>
      </w:tr>
      <w:tr>
        <w:trPr/>
        <w:tc>
          <w:tcPr>
            <w:tcW w:w="485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Offset marketing fees against related costs</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0" w:type="dxa"/>
            <w:tcBorders/>
            <w:shd w:fill="CCEEFF" w:val="clear"/>
            <w:vAlign w:val="bottom"/>
          </w:tcPr>
          <w:p>
            <w:pPr>
              <w:pStyle w:val="TableContents"/>
              <w:bidi w:val="0"/>
              <w:spacing w:before="0" w:after="283"/>
              <w:jc w:val="right"/>
              <w:rPr/>
            </w:pPr>
            <w:r>
              <w:rPr/>
              <w:t>(0.1</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(0.2</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19" w:type="dxa"/>
            <w:tcBorders/>
            <w:shd w:fill="CCEEFF" w:val="clear"/>
            <w:vAlign w:val="bottom"/>
          </w:tcPr>
          <w:p>
            <w:pPr>
              <w:pStyle w:val="TableContents"/>
              <w:bidi w:val="0"/>
              <w:spacing w:before="0" w:after="283"/>
              <w:jc w:val="right"/>
              <w:rPr/>
            </w:pPr>
            <w:r>
              <w:rPr/>
              <w:t>(0.5</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283"/>
              <w:jc w:val="right"/>
              <w:rPr/>
            </w:pPr>
            <w:r>
              <w:rPr/>
              <w:t>(0.6</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0" w:type="dxa"/>
            <w:tcBorders/>
            <w:vAlign w:val="bottom"/>
          </w:tcPr>
          <w:p>
            <w:pPr>
              <w:pStyle w:val="TableContents"/>
              <w:pBdr>
                <w:top w:val="single" w:sz="2"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619" w:type="dxa"/>
            <w:tcBorders/>
            <w:vAlign w:val="bottom"/>
          </w:tcPr>
          <w:p>
            <w:pPr>
              <w:pStyle w:val="TableContents"/>
              <w:pBdr>
                <w:top w:val="single" w:sz="2"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single" w:sz="2" w:space="1" w:color="000000"/>
              </w:pBdr>
              <w:bidi w:val="0"/>
              <w:spacing w:before="0" w:after="0"/>
              <w:jc w:val="left"/>
              <w:rPr/>
            </w:pPr>
            <w:r>
              <w:rPr/>
              <w:t> </w:t>
            </w:r>
          </w:p>
        </w:tc>
        <w:tc>
          <w:tcPr>
            <w:tcW w:w="621" w:type="dxa"/>
            <w:tcBorders/>
            <w:vAlign w:val="bottom"/>
          </w:tcPr>
          <w:p>
            <w:pPr>
              <w:pStyle w:val="TableContents"/>
              <w:pBdr>
                <w:top w:val="single" w:sz="2"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Adjusted Cost of Revenue</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0" w:type="dxa"/>
            <w:tcBorders/>
            <w:vAlign w:val="bottom"/>
          </w:tcPr>
          <w:p>
            <w:pPr>
              <w:pStyle w:val="TableContents"/>
              <w:bidi w:val="0"/>
              <w:spacing w:before="0" w:after="283"/>
              <w:jc w:val="right"/>
              <w:rPr/>
            </w:pPr>
            <w:r>
              <w:rPr/>
              <w:t>30.7</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703" w:type="dxa"/>
            <w:tcBorders/>
            <w:vAlign w:val="bottom"/>
          </w:tcPr>
          <w:p>
            <w:pPr>
              <w:pStyle w:val="TableContents"/>
              <w:bidi w:val="0"/>
              <w:spacing w:before="0" w:after="283"/>
              <w:jc w:val="right"/>
              <w:rPr/>
            </w:pPr>
            <w:r>
              <w:rPr/>
              <w:t>18.3</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619" w:type="dxa"/>
            <w:tcBorders/>
            <w:vAlign w:val="bottom"/>
          </w:tcPr>
          <w:p>
            <w:pPr>
              <w:pStyle w:val="TableContents"/>
              <w:bidi w:val="0"/>
              <w:spacing w:before="0" w:after="283"/>
              <w:jc w:val="right"/>
              <w:rPr/>
            </w:pPr>
            <w:r>
              <w:rPr/>
              <w:t>61.5</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w:t>
            </w:r>
          </w:p>
        </w:tc>
        <w:tc>
          <w:tcPr>
            <w:tcW w:w="621" w:type="dxa"/>
            <w:tcBorders/>
            <w:vAlign w:val="bottom"/>
          </w:tcPr>
          <w:p>
            <w:pPr>
              <w:pStyle w:val="TableContents"/>
              <w:bidi w:val="0"/>
              <w:spacing w:before="0" w:after="283"/>
              <w:jc w:val="right"/>
              <w:rPr/>
            </w:pPr>
            <w:r>
              <w:rPr/>
              <w:t>38.7</w:t>
            </w:r>
          </w:p>
        </w:tc>
        <w:tc>
          <w:tcPr>
            <w:tcW w:w="282" w:type="dxa"/>
            <w:tcBorders/>
            <w:vAlign w:val="bottom"/>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48.8</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33.2</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107.0</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72.0</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Gross Margin</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57.5</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58.8</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59.7</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59.5</w:t>
            </w:r>
          </w:p>
        </w:tc>
        <w:tc>
          <w:tcPr>
            <w:tcW w:w="282" w:type="dxa"/>
            <w:tcBorders/>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r>
        <w:trPr/>
        <w:tc>
          <w:tcPr>
            <w:tcW w:w="485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209"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0" w:type="dxa"/>
            <w:tcBorders/>
            <w:shd w:fill="CCEEFF" w:val="clear"/>
            <w:vAlign w:val="bottom"/>
          </w:tcPr>
          <w:p>
            <w:pPr>
              <w:pStyle w:val="TableContents"/>
              <w:bidi w:val="0"/>
              <w:spacing w:before="0" w:after="283"/>
              <w:jc w:val="right"/>
              <w:rPr/>
            </w:pPr>
            <w:r>
              <w:rPr/>
              <w:t>48.8</w:t>
            </w:r>
          </w:p>
        </w:tc>
        <w:tc>
          <w:tcPr>
            <w:tcW w:w="424"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33.2</w:t>
            </w:r>
          </w:p>
        </w:tc>
        <w:tc>
          <w:tcPr>
            <w:tcW w:w="275"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19" w:type="dxa"/>
            <w:tcBorders/>
            <w:shd w:fill="CCEEFF" w:val="clear"/>
            <w:vAlign w:val="bottom"/>
          </w:tcPr>
          <w:p>
            <w:pPr>
              <w:pStyle w:val="TableContents"/>
              <w:bidi w:val="0"/>
              <w:spacing w:before="0" w:after="283"/>
              <w:jc w:val="right"/>
              <w:rPr/>
            </w:pPr>
            <w:r>
              <w:rPr/>
              <w:t>107.0</w:t>
            </w:r>
          </w:p>
        </w:tc>
        <w:tc>
          <w:tcPr>
            <w:tcW w:w="30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54" w:type="dxa"/>
            <w:tcBorders/>
            <w:shd w:fill="CCEEFF" w:val="clear"/>
            <w:vAlign w:val="bottom"/>
          </w:tcPr>
          <w:p>
            <w:pPr>
              <w:pStyle w:val="TableContents"/>
              <w:bidi w:val="0"/>
              <w:spacing w:before="0" w:after="283"/>
              <w:jc w:val="left"/>
              <w:rPr/>
            </w:pPr>
            <w:r>
              <w:rPr/>
              <w:t>$</w:t>
            </w:r>
          </w:p>
        </w:tc>
        <w:tc>
          <w:tcPr>
            <w:tcW w:w="621" w:type="dxa"/>
            <w:tcBorders/>
            <w:shd w:fill="CCEEFF" w:val="clear"/>
            <w:vAlign w:val="bottom"/>
          </w:tcPr>
          <w:p>
            <w:pPr>
              <w:pStyle w:val="TableContents"/>
              <w:bidi w:val="0"/>
              <w:spacing w:before="0" w:after="283"/>
              <w:jc w:val="right"/>
              <w:rPr/>
            </w:pPr>
            <w:r>
              <w:rPr/>
              <w:t>72.0</w:t>
            </w:r>
          </w:p>
        </w:tc>
        <w:tc>
          <w:tcPr>
            <w:tcW w:w="282" w:type="dxa"/>
            <w:tcBorders/>
            <w:shd w:fill="CCEEFF" w:val="clear"/>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Gross Margin</w:t>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0" w:type="dxa"/>
            <w:tcBorders/>
            <w:vAlign w:val="bottom"/>
          </w:tcPr>
          <w:p>
            <w:pPr>
              <w:pStyle w:val="TableContents"/>
              <w:bidi w:val="0"/>
              <w:spacing w:before="0" w:after="283"/>
              <w:jc w:val="right"/>
              <w:rPr/>
            </w:pPr>
            <w:r>
              <w:rPr/>
              <w:t>61.4</w:t>
            </w:r>
          </w:p>
        </w:tc>
        <w:tc>
          <w:tcPr>
            <w:tcW w:w="424"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64.5</w:t>
            </w:r>
          </w:p>
        </w:tc>
        <w:tc>
          <w:tcPr>
            <w:tcW w:w="27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19" w:type="dxa"/>
            <w:tcBorders/>
            <w:vAlign w:val="bottom"/>
          </w:tcPr>
          <w:p>
            <w:pPr>
              <w:pStyle w:val="TableContents"/>
              <w:bidi w:val="0"/>
              <w:spacing w:before="0" w:after="283"/>
              <w:jc w:val="right"/>
              <w:rPr/>
            </w:pPr>
            <w:r>
              <w:rPr/>
              <w:t>63.5</w:t>
            </w:r>
          </w:p>
        </w:tc>
        <w:tc>
          <w:tcPr>
            <w:tcW w:w="30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283"/>
              <w:jc w:val="right"/>
              <w:rPr/>
            </w:pPr>
            <w:r>
              <w:rPr/>
              <w:t>65.0</w:t>
            </w:r>
          </w:p>
        </w:tc>
        <w:tc>
          <w:tcPr>
            <w:tcW w:w="282" w:type="dxa"/>
            <w:tcBorders/>
            <w:vAlign w:val="bottom"/>
          </w:tcPr>
          <w:p>
            <w:pPr>
              <w:pStyle w:val="TableContents"/>
              <w:bidi w:val="0"/>
              <w:spacing w:before="0" w:after="283"/>
              <w:jc w:val="left"/>
              <w:rPr/>
            </w:pPr>
            <w:r>
              <w:rPr/>
              <w:t>% </w:t>
            </w:r>
          </w:p>
        </w:tc>
      </w:tr>
      <w:tr>
        <w:trPr/>
        <w:tc>
          <w:tcPr>
            <w:tcW w:w="4858" w:type="dxa"/>
            <w:tcBorders/>
            <w:vAlign w:val="bottom"/>
          </w:tcPr>
          <w:p>
            <w:pPr>
              <w:pStyle w:val="TableContents"/>
              <w:bidi w:val="0"/>
              <w:spacing w:before="0" w:after="283"/>
              <w:jc w:val="left"/>
              <w:rPr>
                <w:sz w:val="4"/>
                <w:szCs w:val="4"/>
              </w:rPr>
            </w:pPr>
            <w:r>
              <w:rPr>
                <w:sz w:val="4"/>
                <w:szCs w:val="4"/>
              </w:rPr>
            </w:r>
          </w:p>
        </w:tc>
        <w:tc>
          <w:tcPr>
            <w:tcW w:w="209"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0" w:type="dxa"/>
            <w:tcBorders/>
            <w:vAlign w:val="bottom"/>
          </w:tcPr>
          <w:p>
            <w:pPr>
              <w:pStyle w:val="TableContents"/>
              <w:pBdr>
                <w:top w:val="double" w:sz="6" w:space="1" w:color="000000"/>
              </w:pBdr>
              <w:bidi w:val="0"/>
              <w:spacing w:before="0" w:after="0"/>
              <w:jc w:val="left"/>
              <w:rPr/>
            </w:pPr>
            <w:r>
              <w:rPr/>
              <w:t> </w:t>
            </w:r>
          </w:p>
        </w:tc>
        <w:tc>
          <w:tcPr>
            <w:tcW w:w="424" w:type="dxa"/>
            <w:tcBorders/>
            <w:vAlign w:val="center"/>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206"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double" w:sz="6" w:space="1" w:color="000000"/>
              </w:pBdr>
              <w:bidi w:val="0"/>
              <w:spacing w:before="0" w:after="0"/>
              <w:jc w:val="left"/>
              <w:rPr/>
            </w:pPr>
            <w:r>
              <w:rPr/>
              <w:t> </w:t>
            </w:r>
          </w:p>
        </w:tc>
        <w:tc>
          <w:tcPr>
            <w:tcW w:w="619" w:type="dxa"/>
            <w:tcBorders/>
            <w:vAlign w:val="bottom"/>
          </w:tcPr>
          <w:p>
            <w:pPr>
              <w:pStyle w:val="TableContents"/>
              <w:pBdr>
                <w:top w:val="double" w:sz="6" w:space="1" w:color="000000"/>
              </w:pBdr>
              <w:bidi w:val="0"/>
              <w:spacing w:before="0" w:after="0"/>
              <w:jc w:val="left"/>
              <w:rPr/>
            </w:pPr>
            <w:r>
              <w:rPr/>
              <w:t> </w:t>
            </w:r>
          </w:p>
        </w:tc>
        <w:tc>
          <w:tcPr>
            <w:tcW w:w="302" w:type="dxa"/>
            <w:tcBorders/>
            <w:vAlign w:val="center"/>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54" w:type="dxa"/>
            <w:tcBorders/>
            <w:vAlign w:val="bottom"/>
          </w:tcPr>
          <w:p>
            <w:pPr>
              <w:pStyle w:val="TableContents"/>
              <w:pBdr>
                <w:top w:val="double" w:sz="6" w:space="1" w:color="000000"/>
              </w:pBdr>
              <w:bidi w:val="0"/>
              <w:spacing w:before="0" w:after="0"/>
              <w:jc w:val="left"/>
              <w:rPr/>
            </w:pPr>
            <w:r>
              <w:rPr/>
              <w:t> </w:t>
            </w:r>
          </w:p>
        </w:tc>
        <w:tc>
          <w:tcPr>
            <w:tcW w:w="621" w:type="dxa"/>
            <w:tcBorders/>
            <w:vAlign w:val="bottom"/>
          </w:tcPr>
          <w:p>
            <w:pPr>
              <w:pStyle w:val="TableContents"/>
              <w:pBdr>
                <w:top w:val="double" w:sz="6" w:space="1" w:color="000000"/>
              </w:pBdr>
              <w:bidi w:val="0"/>
              <w:spacing w:before="0" w:after="0"/>
              <w:jc w:val="left"/>
              <w:rPr/>
            </w:pPr>
            <w:r>
              <w:rPr/>
              <w:t> </w:t>
            </w:r>
          </w:p>
        </w:tc>
        <w:tc>
          <w:tcPr>
            <w:tcW w:w="282"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EBITDA and Adjusted EBITDA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80"/>
        <w:gridCol w:w="157"/>
        <w:gridCol w:w="202"/>
        <w:gridCol w:w="750"/>
        <w:gridCol w:w="224"/>
        <w:gridCol w:w="127"/>
        <w:gridCol w:w="202"/>
        <w:gridCol w:w="754"/>
        <w:gridCol w:w="155"/>
        <w:gridCol w:w="105"/>
        <w:gridCol w:w="175"/>
        <w:gridCol w:w="663"/>
        <w:gridCol w:w="194"/>
        <w:gridCol w:w="117"/>
        <w:gridCol w:w="175"/>
        <w:gridCol w:w="664"/>
        <w:gridCol w:w="161"/>
      </w:tblGrid>
      <w:tr>
        <w:trPr/>
        <w:tc>
          <w:tcPr>
            <w:tcW w:w="5380"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5"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7" w:type="dxa"/>
            <w:tcBorders/>
            <w:vAlign w:val="bottom"/>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38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225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98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61" w:type="dxa"/>
            <w:tcBorders/>
            <w:vAlign w:val="bottom"/>
          </w:tcPr>
          <w:p>
            <w:pPr>
              <w:pStyle w:val="TableContents"/>
              <w:bidi w:val="0"/>
              <w:spacing w:before="0" w:after="283"/>
              <w:jc w:val="left"/>
              <w:rPr/>
            </w:pPr>
            <w:r>
              <w:rPr/>
              <w:t> </w:t>
            </w:r>
          </w:p>
        </w:tc>
      </w:tr>
      <w:tr>
        <w:trPr/>
        <w:tc>
          <w:tcPr>
            <w:tcW w:w="5380"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9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8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83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(16.8</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754" w:type="dxa"/>
            <w:tcBorders/>
            <w:shd w:fill="CCEEFF" w:val="clear"/>
            <w:vAlign w:val="bottom"/>
          </w:tcPr>
          <w:p>
            <w:pPr>
              <w:pStyle w:val="TableContents"/>
              <w:bidi w:val="0"/>
              <w:spacing w:before="0" w:after="283"/>
              <w:jc w:val="right"/>
              <w:rPr/>
            </w:pPr>
            <w:r>
              <w:rPr/>
              <w:t>(23.8</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663" w:type="dxa"/>
            <w:tcBorders/>
            <w:shd w:fill="CCEEFF" w:val="clear"/>
            <w:vAlign w:val="bottom"/>
          </w:tcPr>
          <w:p>
            <w:pPr>
              <w:pStyle w:val="TableContents"/>
              <w:bidi w:val="0"/>
              <w:spacing w:before="0" w:after="283"/>
              <w:jc w:val="right"/>
              <w:rPr/>
            </w:pPr>
            <w:r>
              <w:rPr/>
              <w:t>(20.5</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w:t>
            </w:r>
          </w:p>
        </w:tc>
        <w:tc>
          <w:tcPr>
            <w:tcW w:w="664" w:type="dxa"/>
            <w:tcBorders/>
            <w:shd w:fill="CCEEFF" w:val="clear"/>
            <w:vAlign w:val="bottom"/>
          </w:tcPr>
          <w:p>
            <w:pPr>
              <w:pStyle w:val="TableContents"/>
              <w:bidi w:val="0"/>
              <w:spacing w:before="0" w:after="283"/>
              <w:jc w:val="right"/>
              <w:rPr/>
            </w:pPr>
            <w:r>
              <w:rPr/>
              <w:t>(33.9</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Interest expense</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0.1</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0.2</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0.5</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1.1</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1.1</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1.5</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1.6</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4.3</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3.0</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8.1</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5.8</w:t>
            </w:r>
          </w:p>
        </w:tc>
        <w:tc>
          <w:tcPr>
            <w:tcW w:w="161" w:type="dxa"/>
            <w:tcBorders/>
            <w:vAlign w:val="bottom"/>
          </w:tcPr>
          <w:p>
            <w:pPr>
              <w:pStyle w:val="TableContents"/>
              <w:bidi w:val="0"/>
              <w:spacing w:before="0" w:after="283"/>
              <w:jc w:val="left"/>
              <w:rPr/>
            </w:pPr>
            <w:r>
              <w:rPr/>
              <w:t> </w:t>
            </w:r>
          </w:p>
        </w:tc>
      </w:tr>
      <w:tr>
        <w:trPr/>
        <w:tc>
          <w:tcPr>
            <w:tcW w:w="53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(11.3</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(19.4</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(10.7</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(26.0</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and related taxes</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11.7</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8.5</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20.7</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13.9</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Change in fair value of contingent consideration</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0.0</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(0.9</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0.4</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(1.0</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(1.9</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(0.2</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(3.9</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(Gain) loss from remeasurement of foreign currency</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0.8</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(0.7</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7.6</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Indirect taxes related to intercompany activity</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0" w:type="dxa"/>
            <w:tcBorders/>
            <w:vAlign w:val="bottom"/>
          </w:tcPr>
          <w:p>
            <w:pPr>
              <w:pStyle w:val="TableContents"/>
              <w:bidi w:val="0"/>
              <w:spacing w:before="0" w:after="283"/>
              <w:jc w:val="right"/>
              <w:rPr/>
            </w:pPr>
            <w:r>
              <w:rPr/>
              <w:t>  </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54" w:type="dxa"/>
            <w:tcBorders/>
            <w:vAlign w:val="bottom"/>
          </w:tcPr>
          <w:p>
            <w:pPr>
              <w:pStyle w:val="TableContents"/>
              <w:bidi w:val="0"/>
              <w:spacing w:before="0" w:after="283"/>
              <w:jc w:val="right"/>
              <w:rPr/>
            </w:pPr>
            <w:r>
              <w:rPr/>
              <w:t>0.1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3" w:type="dxa"/>
            <w:tcBorders/>
            <w:vAlign w:val="bottom"/>
          </w:tcPr>
          <w:p>
            <w:pPr>
              <w:pStyle w:val="TableContents"/>
              <w:bidi w:val="0"/>
              <w:spacing w:before="0" w:after="283"/>
              <w:jc w:val="right"/>
              <w:rPr/>
            </w:pPr>
            <w:r>
              <w:rPr/>
              <w:t>0.1</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 </w:t>
            </w:r>
          </w:p>
        </w:tc>
        <w:tc>
          <w:tcPr>
            <w:tcW w:w="664" w:type="dxa"/>
            <w:tcBorders/>
            <w:vAlign w:val="bottom"/>
          </w:tcPr>
          <w:p>
            <w:pPr>
              <w:pStyle w:val="TableContents"/>
              <w:bidi w:val="0"/>
              <w:spacing w:before="0" w:after="283"/>
              <w:jc w:val="right"/>
              <w:rPr/>
            </w:pPr>
            <w:r>
              <w:rPr/>
              <w:t>0.2</w:t>
            </w:r>
          </w:p>
        </w:tc>
        <w:tc>
          <w:tcPr>
            <w:tcW w:w="161" w:type="dxa"/>
            <w:tcBorders/>
            <w:vAlign w:val="bottom"/>
          </w:tcPr>
          <w:p>
            <w:pPr>
              <w:pStyle w:val="TableContents"/>
              <w:bidi w:val="0"/>
              <w:spacing w:before="0" w:after="283"/>
              <w:jc w:val="left"/>
              <w:rPr/>
            </w:pPr>
            <w:r>
              <w:rPr/>
              <w:t> </w:t>
            </w:r>
          </w:p>
        </w:tc>
      </w:tr>
      <w:tr>
        <w:trPr/>
        <w:tc>
          <w:tcPr>
            <w:tcW w:w="538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Acquisition related employee retention costs</w:t>
            </w:r>
          </w:p>
        </w:tc>
        <w:tc>
          <w:tcPr>
            <w:tcW w:w="15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0" w:type="dxa"/>
            <w:tcBorders/>
            <w:shd w:fill="CCEEFF" w:val="clear"/>
            <w:vAlign w:val="bottom"/>
          </w:tcPr>
          <w:p>
            <w:pPr>
              <w:pStyle w:val="TableContents"/>
              <w:bidi w:val="0"/>
              <w:spacing w:before="0" w:after="283"/>
              <w:jc w:val="right"/>
              <w:rPr/>
            </w:pPr>
            <w:r>
              <w:rPr/>
              <w:t>0.6</w:t>
            </w:r>
          </w:p>
        </w:tc>
        <w:tc>
          <w:tcPr>
            <w:tcW w:w="224" w:type="dxa"/>
            <w:tcBorders/>
            <w:shd w:fill="CCEEFF" w:val="clear"/>
            <w:vAlign w:val="bottom"/>
          </w:tcPr>
          <w:p>
            <w:pPr>
              <w:pStyle w:val="TableContents"/>
              <w:bidi w:val="0"/>
              <w:spacing w:before="0" w:after="283"/>
              <w:jc w:val="left"/>
              <w:rPr/>
            </w:pPr>
            <w:r>
              <w:rPr/>
              <w:t> </w:t>
            </w:r>
          </w:p>
        </w:tc>
        <w:tc>
          <w:tcPr>
            <w:tcW w:w="127"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54"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3" w:type="dxa"/>
            <w:tcBorders/>
            <w:shd w:fill="CCEEFF" w:val="clear"/>
            <w:vAlign w:val="bottom"/>
          </w:tcPr>
          <w:p>
            <w:pPr>
              <w:pStyle w:val="TableContents"/>
              <w:bidi w:val="0"/>
              <w:spacing w:before="0" w:after="283"/>
              <w:jc w:val="right"/>
              <w:rPr/>
            </w:pPr>
            <w:r>
              <w:rPr/>
              <w:t>0.9</w:t>
            </w:r>
          </w:p>
        </w:tc>
        <w:tc>
          <w:tcPr>
            <w:tcW w:w="194" w:type="dxa"/>
            <w:tcBorders/>
            <w:shd w:fill="CCEEFF" w:val="clear"/>
            <w:vAlign w:val="bottom"/>
          </w:tcPr>
          <w:p>
            <w:pPr>
              <w:pStyle w:val="TableContents"/>
              <w:bidi w:val="0"/>
              <w:spacing w:before="0" w:after="283"/>
              <w:jc w:val="left"/>
              <w:rPr/>
            </w:pPr>
            <w:r>
              <w:rPr/>
              <w:t> </w:t>
            </w:r>
          </w:p>
        </w:tc>
        <w:tc>
          <w:tcPr>
            <w:tcW w:w="117" w:type="dxa"/>
            <w:tcBorders/>
            <w:shd w:fill="CCEEFF" w:val="clear"/>
            <w:vAlign w:val="bottom"/>
          </w:tcPr>
          <w:p>
            <w:pPr>
              <w:pStyle w:val="TableContents"/>
              <w:bidi w:val="0"/>
              <w:spacing w:before="0" w:after="283"/>
              <w:jc w:val="left"/>
              <w:rPr/>
            </w:pPr>
            <w:r>
              <w:rPr/>
              <w:t> </w:t>
            </w:r>
          </w:p>
        </w:tc>
        <w:tc>
          <w:tcPr>
            <w:tcW w:w="175" w:type="dxa"/>
            <w:tcBorders/>
            <w:shd w:fill="CCEEFF" w:val="clear"/>
            <w:vAlign w:val="bottom"/>
          </w:tcPr>
          <w:p>
            <w:pPr>
              <w:pStyle w:val="TableContents"/>
              <w:bidi w:val="0"/>
              <w:spacing w:before="0" w:after="283"/>
              <w:jc w:val="left"/>
              <w:rPr/>
            </w:pPr>
            <w:r>
              <w:rPr/>
              <w:t> </w:t>
            </w:r>
          </w:p>
        </w:tc>
        <w:tc>
          <w:tcPr>
            <w:tcW w:w="664" w:type="dxa"/>
            <w:tcBorders/>
            <w:shd w:fill="CCEEFF" w:val="clear"/>
            <w:vAlign w:val="bottom"/>
          </w:tcPr>
          <w:p>
            <w:pPr>
              <w:pStyle w:val="TableContents"/>
              <w:bidi w:val="0"/>
              <w:spacing w:before="0" w:after="283"/>
              <w:jc w:val="right"/>
              <w:rPr/>
            </w:pPr>
            <w:r>
              <w:rPr/>
              <w:t>1.1</w:t>
            </w:r>
          </w:p>
        </w:tc>
        <w:tc>
          <w:tcPr>
            <w:tcW w:w="161" w:type="dxa"/>
            <w:tcBorders/>
            <w:shd w:fill="CCEEFF" w:val="clear"/>
            <w:vAlign w:val="bottom"/>
          </w:tcPr>
          <w:p>
            <w:pPr>
              <w:pStyle w:val="TableContents"/>
              <w:bidi w:val="0"/>
              <w:spacing w:before="0" w:after="283"/>
              <w:jc w:val="left"/>
              <w:rPr/>
            </w:pPr>
            <w:r>
              <w:rPr/>
              <w:t> </w:t>
            </w:r>
          </w:p>
        </w:tc>
      </w:tr>
      <w:tr>
        <w:trPr/>
        <w:tc>
          <w:tcPr>
            <w:tcW w:w="53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r>
        <w:trPr/>
        <w:tc>
          <w:tcPr>
            <w:tcW w:w="5380"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(0.1</w:t>
            </w:r>
          </w:p>
        </w:tc>
        <w:tc>
          <w:tcPr>
            <w:tcW w:w="224"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w:t>
            </w:r>
          </w:p>
        </w:tc>
        <w:tc>
          <w:tcPr>
            <w:tcW w:w="754" w:type="dxa"/>
            <w:tcBorders/>
            <w:vAlign w:val="bottom"/>
          </w:tcPr>
          <w:p>
            <w:pPr>
              <w:pStyle w:val="TableContents"/>
              <w:bidi w:val="0"/>
              <w:spacing w:before="0" w:after="283"/>
              <w:jc w:val="right"/>
              <w:rPr/>
            </w:pPr>
            <w:r>
              <w:rPr/>
              <w:t>(6.1</w:t>
            </w:r>
          </w:p>
        </w:tc>
        <w:tc>
          <w:tcPr>
            <w:tcW w:w="15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663" w:type="dxa"/>
            <w:tcBorders/>
            <w:vAlign w:val="bottom"/>
          </w:tcPr>
          <w:p>
            <w:pPr>
              <w:pStyle w:val="TableContents"/>
              <w:bidi w:val="0"/>
              <w:spacing w:before="0" w:after="283"/>
              <w:jc w:val="right"/>
              <w:rPr/>
            </w:pPr>
            <w:r>
              <w:rPr/>
              <w:t>6.8</w:t>
            </w:r>
          </w:p>
        </w:tc>
        <w:tc>
          <w:tcPr>
            <w:tcW w:w="194" w:type="dxa"/>
            <w:tcBorders/>
            <w:vAlign w:val="bottom"/>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bidi w:val="0"/>
              <w:spacing w:before="0" w:after="283"/>
              <w:jc w:val="left"/>
              <w:rPr/>
            </w:pPr>
            <w:r>
              <w:rPr/>
              <w:t>$</w:t>
            </w:r>
          </w:p>
        </w:tc>
        <w:tc>
          <w:tcPr>
            <w:tcW w:w="664" w:type="dxa"/>
            <w:tcBorders/>
            <w:vAlign w:val="bottom"/>
          </w:tcPr>
          <w:p>
            <w:pPr>
              <w:pStyle w:val="TableContents"/>
              <w:bidi w:val="0"/>
              <w:spacing w:before="0" w:after="283"/>
              <w:jc w:val="right"/>
              <w:rPr/>
            </w:pPr>
            <w:r>
              <w:rPr/>
              <w:t>(4.4</w:t>
            </w:r>
          </w:p>
        </w:tc>
        <w:tc>
          <w:tcPr>
            <w:tcW w:w="161" w:type="dxa"/>
            <w:tcBorders/>
            <w:vAlign w:val="bottom"/>
          </w:tcPr>
          <w:p>
            <w:pPr>
              <w:pStyle w:val="TableContents"/>
              <w:bidi w:val="0"/>
              <w:spacing w:before="0" w:after="283"/>
              <w:jc w:val="left"/>
              <w:rPr/>
            </w:pPr>
            <w:r>
              <w:rPr/>
              <w:t>) </w:t>
            </w:r>
          </w:p>
        </w:tc>
      </w:tr>
      <w:tr>
        <w:trPr/>
        <w:tc>
          <w:tcPr>
            <w:tcW w:w="5380" w:type="dxa"/>
            <w:tcBorders/>
            <w:vAlign w:val="bottom"/>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0" w:type="dxa"/>
            <w:tcBorders/>
            <w:vAlign w:val="bottom"/>
          </w:tcPr>
          <w:p>
            <w:pPr>
              <w:pStyle w:val="TableContents"/>
              <w:pBdr>
                <w:top w:val="single" w:sz="2" w:space="1" w:color="000000"/>
              </w:pBdr>
              <w:bidi w:val="0"/>
              <w:spacing w:before="0" w:after="0"/>
              <w:jc w:val="left"/>
              <w:rPr/>
            </w:pPr>
            <w:r>
              <w:rPr/>
              <w:t> </w:t>
            </w:r>
          </w:p>
        </w:tc>
        <w:tc>
          <w:tcPr>
            <w:tcW w:w="224" w:type="dxa"/>
            <w:tcBorders/>
            <w:vAlign w:val="center"/>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3" w:type="dxa"/>
            <w:tcBorders/>
            <w:vAlign w:val="bottom"/>
          </w:tcPr>
          <w:p>
            <w:pPr>
              <w:pStyle w:val="TableContents"/>
              <w:pBdr>
                <w:top w:val="single" w:sz="2" w:space="1" w:color="000000"/>
              </w:pBdr>
              <w:bidi w:val="0"/>
              <w:spacing w:before="0" w:after="0"/>
              <w:jc w:val="left"/>
              <w:rPr/>
            </w:pPr>
            <w:r>
              <w:rPr/>
              <w:t> </w:t>
            </w:r>
          </w:p>
        </w:tc>
        <w:tc>
          <w:tcPr>
            <w:tcW w:w="194" w:type="dxa"/>
            <w:tcBorders/>
            <w:vAlign w:val="center"/>
          </w:tcPr>
          <w:p>
            <w:pPr>
              <w:pStyle w:val="TableContents"/>
              <w:bidi w:val="0"/>
              <w:spacing w:before="0" w:after="283"/>
              <w:jc w:val="left"/>
              <w:rPr/>
            </w:pPr>
            <w:r>
              <w:rPr/>
              <w:t> </w:t>
            </w:r>
          </w:p>
        </w:tc>
        <w:tc>
          <w:tcPr>
            <w:tcW w:w="117" w:type="dxa"/>
            <w:tcBorders/>
            <w:vAlign w:val="bottom"/>
          </w:tcPr>
          <w:p>
            <w:pPr>
              <w:pStyle w:val="TableContents"/>
              <w:bidi w:val="0"/>
              <w:spacing w:before="0" w:after="283"/>
              <w:jc w:val="left"/>
              <w:rPr/>
            </w:pPr>
            <w:r>
              <w:rPr/>
              <w:t> </w:t>
            </w:r>
          </w:p>
        </w:tc>
        <w:tc>
          <w:tcPr>
            <w:tcW w:w="175" w:type="dxa"/>
            <w:tcBorders/>
            <w:vAlign w:val="bottom"/>
          </w:tcPr>
          <w:p>
            <w:pPr>
              <w:pStyle w:val="TableContents"/>
              <w:pBdr>
                <w:top w:val="single" w:sz="2" w:space="1" w:color="000000"/>
              </w:pBdr>
              <w:bidi w:val="0"/>
              <w:spacing w:before="0" w:after="0"/>
              <w:jc w:val="left"/>
              <w:rPr/>
            </w:pPr>
            <w:r>
              <w:rPr/>
              <w:t> </w:t>
            </w:r>
          </w:p>
        </w:tc>
        <w:tc>
          <w:tcPr>
            <w:tcW w:w="664" w:type="dxa"/>
            <w:tcBorders/>
            <w:vAlign w:val="bottom"/>
          </w:tcPr>
          <w:p>
            <w:pPr>
              <w:pStyle w:val="TableContents"/>
              <w:pBdr>
                <w:top w:val="single" w:sz="2" w:space="1" w:color="000000"/>
              </w:pBdr>
              <w:bidi w:val="0"/>
              <w:spacing w:before="0" w:after="0"/>
              <w:jc w:val="left"/>
              <w:rPr/>
            </w:pPr>
            <w:r>
              <w:rPr/>
              <w:t> </w:t>
            </w:r>
          </w:p>
        </w:tc>
        <w:tc>
          <w:tcPr>
            <w:tcW w:w="1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940" w:type="dxa"/>
        <w:jc w:val="center"/>
        <w:tblInd w:w="0" w:type="dxa"/>
        <w:tblLayout w:type="fixed"/>
        <w:tblCellMar>
          <w:top w:w="0" w:type="dxa"/>
          <w:left w:w="0" w:type="dxa"/>
          <w:bottom w:w="0" w:type="dxa"/>
          <w:right w:w="0" w:type="dxa"/>
        </w:tblCellMar>
      </w:tblPr>
      <w:tblGrid>
        <w:gridCol w:w="1070"/>
        <w:gridCol w:w="120"/>
        <w:gridCol w:w="301"/>
        <w:gridCol w:w="949"/>
        <w:gridCol w:w="275"/>
        <w:gridCol w:w="60"/>
        <w:gridCol w:w="421"/>
        <w:gridCol w:w="1324"/>
        <w:gridCol w:w="275"/>
        <w:gridCol w:w="60"/>
        <w:gridCol w:w="202"/>
        <w:gridCol w:w="703"/>
        <w:gridCol w:w="275"/>
        <w:gridCol w:w="60"/>
        <w:gridCol w:w="250"/>
        <w:gridCol w:w="1000"/>
        <w:gridCol w:w="275"/>
        <w:gridCol w:w="60"/>
        <w:gridCol w:w="372"/>
        <w:gridCol w:w="1373"/>
        <w:gridCol w:w="275"/>
        <w:gridCol w:w="60"/>
        <w:gridCol w:w="181"/>
        <w:gridCol w:w="724"/>
        <w:gridCol w:w="275"/>
      </w:tblGrid>
      <w:tr>
        <w:trPr/>
        <w:tc>
          <w:tcPr>
            <w:tcW w:w="107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7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2023</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2023</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 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 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66.9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18.0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84.9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143.1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w:t>
            </w:r>
          </w:p>
        </w:tc>
        <w:tc>
          <w:tcPr>
            <w:tcW w:w="1373" w:type="dxa"/>
            <w:tcBorders/>
            <w:shd w:fill="CCEEFF" w:val="clear"/>
            <w:vAlign w:val="bottom"/>
          </w:tcPr>
          <w:p>
            <w:pPr>
              <w:pStyle w:val="TableContents"/>
              <w:bidi w:val="0"/>
              <w:spacing w:before="0" w:after="283"/>
              <w:jc w:val="right"/>
              <w:rPr/>
            </w:pPr>
            <w:r>
              <w:rPr/>
              <w:t>36.1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179.2</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(10.2</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(0.5</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pBdr>
                <w:top w:val="single" w:sz="2" w:space="1" w:color="000000"/>
              </w:pBdr>
              <w:bidi w:val="0"/>
              <w:spacing w:before="0" w:after="0"/>
              <w:jc w:val="left"/>
              <w:rPr/>
            </w:pPr>
            <w:r>
              <w:rPr/>
              <w:t> </w:t>
            </w:r>
          </w:p>
        </w:tc>
        <w:tc>
          <w:tcPr>
            <w:tcW w:w="137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66.8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12.7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79.5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142.6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w:t>
            </w:r>
          </w:p>
        </w:tc>
        <w:tc>
          <w:tcPr>
            <w:tcW w:w="1373" w:type="dxa"/>
            <w:tcBorders/>
            <w:shd w:fill="CCEEFF" w:val="clear"/>
            <w:vAlign w:val="bottom"/>
          </w:tcPr>
          <w:p>
            <w:pPr>
              <w:pStyle w:val="TableContents"/>
              <w:bidi w:val="0"/>
              <w:spacing w:before="0" w:after="283"/>
              <w:jc w:val="right"/>
              <w:rPr/>
            </w:pPr>
            <w:r>
              <w:rPr/>
              <w:t>25.9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168.5</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pBdr>
                <w:top w:val="double" w:sz="6" w:space="1" w:color="000000"/>
              </w:pBdr>
              <w:bidi w:val="0"/>
              <w:spacing w:before="0" w:after="0"/>
              <w:jc w:val="left"/>
              <w:rPr/>
            </w:pPr>
            <w:r>
              <w:rPr/>
              <w:t> </w:t>
            </w:r>
          </w:p>
        </w:tc>
        <w:tc>
          <w:tcPr>
            <w:tcW w:w="137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78.8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21.2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20.1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84.0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84.6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15.4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r>
        <w:trPr>
          <w:trHeight w:val="240" w:hRule="atLeast"/>
        </w:trPr>
        <w:tc>
          <w:tcPr>
            <w:tcW w:w="1070" w:type="dxa"/>
            <w:tcBorders/>
            <w:vAlign w:val="center"/>
          </w:tcPr>
          <w:p>
            <w:pPr>
              <w:pStyle w:val="TableContents"/>
              <w:bidi w:val="0"/>
              <w:spacing w:before="0" w:after="283"/>
              <w:jc w:val="left"/>
              <w:rPr>
                <w:sz w:val="4"/>
                <w:szCs w:val="4"/>
              </w:rPr>
            </w:pPr>
            <w:r>
              <w:rPr>
                <w:sz w:val="4"/>
                <w:szCs w:val="4"/>
              </w:rPr>
            </w:r>
          </w:p>
        </w:tc>
        <w:tc>
          <w:tcPr>
            <w:tcW w:w="4965" w:type="dxa"/>
            <w:gridSpan w:val="12"/>
            <w:tcBorders/>
            <w:vAlign w:val="center"/>
          </w:tcPr>
          <w:p>
            <w:pPr>
              <w:pStyle w:val="TableContents"/>
              <w:bidi w:val="0"/>
              <w:spacing w:before="0" w:after="283"/>
              <w:jc w:val="left"/>
              <w:rPr>
                <w:sz w:val="4"/>
                <w:szCs w:val="4"/>
              </w:rPr>
            </w:pPr>
            <w:r>
              <w:rPr>
                <w:sz w:val="4"/>
                <w:szCs w:val="4"/>
              </w:rPr>
            </w:r>
          </w:p>
        </w:tc>
        <w:tc>
          <w:tcPr>
            <w:tcW w:w="4905" w:type="dxa"/>
            <w:gridSpan w:val="12"/>
            <w:tcBorders/>
            <w:vAlign w:val="center"/>
          </w:tcPr>
          <w:p>
            <w:pPr>
              <w:pStyle w:val="TableContents"/>
              <w:bidi w:val="0"/>
              <w:spacing w:before="0" w:after="283"/>
              <w:jc w:val="left"/>
              <w:rPr>
                <w:sz w:val="4"/>
                <w:szCs w:val="4"/>
              </w:rPr>
            </w:pPr>
            <w:r>
              <w:rPr>
                <w:sz w:val="4"/>
                <w:szCs w:val="4"/>
              </w:rPr>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457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570"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2022</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 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Platform and</w:t>
              <w:br/>
              <w:t>Usage-Based Fee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Revenue</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41.7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14.8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56.5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90.3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w:t>
            </w:r>
          </w:p>
        </w:tc>
        <w:tc>
          <w:tcPr>
            <w:tcW w:w="1373" w:type="dxa"/>
            <w:tcBorders/>
            <w:shd w:fill="CCEEFF" w:val="clear"/>
            <w:vAlign w:val="bottom"/>
          </w:tcPr>
          <w:p>
            <w:pPr>
              <w:pStyle w:val="TableContents"/>
              <w:bidi w:val="0"/>
              <w:spacing w:before="0" w:after="283"/>
              <w:jc w:val="right"/>
              <w:rPr/>
            </w:pPr>
            <w:r>
              <w:rPr/>
              <w:t>30.8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121.1</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sz w:val="4"/>
                <w:szCs w:val="4"/>
              </w:rPr>
            </w:pPr>
            <w:r>
              <w:rPr>
                <w:sz w:val="4"/>
                <w:szCs w:val="4"/>
              </w:rPr>
            </w:r>
          </w:p>
        </w:tc>
        <w:tc>
          <w:tcPr>
            <w:tcW w:w="949"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sz w:val="4"/>
                <w:szCs w:val="4"/>
              </w:rPr>
            </w:pPr>
            <w:r>
              <w:rPr>
                <w:sz w:val="4"/>
                <w:szCs w:val="4"/>
              </w:rPr>
            </w:r>
          </w:p>
        </w:tc>
        <w:tc>
          <w:tcPr>
            <w:tcW w:w="13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sz w:val="4"/>
                <w:szCs w:val="4"/>
              </w:rPr>
            </w:pPr>
            <w:r>
              <w:rPr>
                <w:sz w:val="4"/>
                <w:szCs w:val="4"/>
              </w:rPr>
            </w:r>
          </w:p>
        </w:tc>
        <w:tc>
          <w:tcPr>
            <w:tcW w:w="10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sz w:val="4"/>
                <w:szCs w:val="4"/>
              </w:rPr>
            </w:pPr>
            <w:r>
              <w:rPr>
                <w:sz w:val="4"/>
                <w:szCs w:val="4"/>
              </w:rPr>
            </w:r>
          </w:p>
        </w:tc>
        <w:tc>
          <w:tcPr>
            <w:tcW w:w="1373"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sz w:val="4"/>
                <w:szCs w:val="4"/>
              </w:rPr>
            </w:pPr>
            <w:r>
              <w:rPr>
                <w:sz w:val="4"/>
                <w:szCs w:val="4"/>
              </w:rPr>
            </w:r>
          </w:p>
        </w:tc>
        <w:tc>
          <w:tcPr>
            <w:tcW w:w="72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Pass-through cost for printing and mailing</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(4.8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(9.8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(9.8</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(0.2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(0.6</w:t>
            </w:r>
          </w:p>
        </w:tc>
        <w:tc>
          <w:tcPr>
            <w:tcW w:w="27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949"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pBdr>
                <w:top w:val="single" w:sz="2" w:space="1" w:color="000000"/>
              </w:pBdr>
              <w:bidi w:val="0"/>
              <w:spacing w:before="0" w:after="0"/>
              <w:jc w:val="left"/>
              <w:rPr/>
            </w:pPr>
            <w:r>
              <w:rPr/>
              <w:t> </w:t>
            </w:r>
          </w:p>
        </w:tc>
        <w:tc>
          <w:tcPr>
            <w:tcW w:w="13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single" w:sz="2" w:space="1" w:color="000000"/>
              </w:pBdr>
              <w:bidi w:val="0"/>
              <w:spacing w:before="0" w:after="0"/>
              <w:jc w:val="left"/>
              <w:rPr/>
            </w:pPr>
            <w:r>
              <w:rPr/>
              <w:t> </w:t>
            </w:r>
          </w:p>
        </w:tc>
        <w:tc>
          <w:tcPr>
            <w:tcW w:w="70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0"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pBdr>
                <w:top w:val="single" w:sz="2" w:space="1" w:color="000000"/>
              </w:pBdr>
              <w:bidi w:val="0"/>
              <w:spacing w:before="0" w:after="0"/>
              <w:jc w:val="left"/>
              <w:rPr/>
            </w:pPr>
            <w:r>
              <w:rPr/>
              <w:t> </w:t>
            </w:r>
          </w:p>
        </w:tc>
        <w:tc>
          <w:tcPr>
            <w:tcW w:w="1373"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single" w:sz="2" w:space="1" w:color="000000"/>
              </w:pBdr>
              <w:bidi w:val="0"/>
              <w:spacing w:before="0" w:after="0"/>
              <w:jc w:val="left"/>
              <w:rPr/>
            </w:pPr>
            <w:r>
              <w:rPr/>
              <w:t> </w:t>
            </w:r>
          </w:p>
        </w:tc>
        <w:tc>
          <w:tcPr>
            <w:tcW w:w="72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w:t>
            </w:r>
          </w:p>
        </w:tc>
        <w:tc>
          <w:tcPr>
            <w:tcW w:w="949" w:type="dxa"/>
            <w:tcBorders/>
            <w:shd w:fill="CCEEFF" w:val="clear"/>
            <w:vAlign w:val="bottom"/>
          </w:tcPr>
          <w:p>
            <w:pPr>
              <w:pStyle w:val="TableContents"/>
              <w:bidi w:val="0"/>
              <w:spacing w:before="0" w:after="283"/>
              <w:jc w:val="right"/>
              <w:rPr/>
            </w:pPr>
            <w:r>
              <w:rPr/>
              <w:t>41.5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w:t>
            </w:r>
          </w:p>
        </w:tc>
        <w:tc>
          <w:tcPr>
            <w:tcW w:w="1324" w:type="dxa"/>
            <w:tcBorders/>
            <w:shd w:fill="CCEEFF" w:val="clear"/>
            <w:vAlign w:val="bottom"/>
          </w:tcPr>
          <w:p>
            <w:pPr>
              <w:pStyle w:val="TableContents"/>
              <w:bidi w:val="0"/>
              <w:spacing w:before="0" w:after="283"/>
              <w:jc w:val="right"/>
              <w:rPr/>
            </w:pPr>
            <w:r>
              <w:rPr/>
              <w:t>10.0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w:t>
            </w:r>
          </w:p>
        </w:tc>
        <w:tc>
          <w:tcPr>
            <w:tcW w:w="703" w:type="dxa"/>
            <w:tcBorders/>
            <w:shd w:fill="CCEEFF" w:val="clear"/>
            <w:vAlign w:val="bottom"/>
          </w:tcPr>
          <w:p>
            <w:pPr>
              <w:pStyle w:val="TableContents"/>
              <w:bidi w:val="0"/>
              <w:spacing w:before="0" w:after="283"/>
              <w:jc w:val="right"/>
              <w:rPr/>
            </w:pPr>
            <w:r>
              <w:rPr/>
              <w:t>51.5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0" w:type="dxa"/>
            <w:tcBorders/>
            <w:shd w:fill="CCEEFF" w:val="clear"/>
            <w:vAlign w:val="bottom"/>
          </w:tcPr>
          <w:p>
            <w:pPr>
              <w:pStyle w:val="TableContents"/>
              <w:bidi w:val="0"/>
              <w:spacing w:before="0" w:after="283"/>
              <w:jc w:val="right"/>
              <w:rPr/>
            </w:pPr>
            <w:r>
              <w:rPr/>
              <w:t>89.7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w:t>
            </w:r>
          </w:p>
        </w:tc>
        <w:tc>
          <w:tcPr>
            <w:tcW w:w="1373" w:type="dxa"/>
            <w:tcBorders/>
            <w:shd w:fill="CCEEFF" w:val="clear"/>
            <w:vAlign w:val="bottom"/>
          </w:tcPr>
          <w:p>
            <w:pPr>
              <w:pStyle w:val="TableContents"/>
              <w:bidi w:val="0"/>
              <w:spacing w:before="0" w:after="283"/>
              <w:jc w:val="right"/>
              <w:rPr/>
            </w:pPr>
            <w:r>
              <w:rPr/>
              <w:t>21.0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724" w:type="dxa"/>
            <w:tcBorders/>
            <w:shd w:fill="CCEEFF" w:val="clear"/>
            <w:vAlign w:val="bottom"/>
          </w:tcPr>
          <w:p>
            <w:pPr>
              <w:pStyle w:val="TableContents"/>
              <w:bidi w:val="0"/>
              <w:spacing w:before="0" w:after="283"/>
              <w:jc w:val="right"/>
              <w:rPr/>
            </w:pPr>
            <w:r>
              <w:rPr/>
              <w:t>110.7</w:t>
            </w:r>
          </w:p>
        </w:tc>
        <w:tc>
          <w:tcPr>
            <w:tcW w:w="27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949"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pBdr>
                <w:top w:val="double" w:sz="6" w:space="1" w:color="000000"/>
              </w:pBdr>
              <w:bidi w:val="0"/>
              <w:spacing w:before="0" w:after="0"/>
              <w:jc w:val="left"/>
              <w:rPr/>
            </w:pPr>
            <w:r>
              <w:rPr/>
              <w:t> </w:t>
            </w:r>
          </w:p>
        </w:tc>
        <w:tc>
          <w:tcPr>
            <w:tcW w:w="13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pBdr>
                <w:top w:val="double" w:sz="6" w:space="1" w:color="000000"/>
              </w:pBdr>
              <w:bidi w:val="0"/>
              <w:spacing w:before="0" w:after="0"/>
              <w:jc w:val="left"/>
              <w:rPr/>
            </w:pPr>
            <w:r>
              <w:rPr/>
              <w:t> </w:t>
            </w:r>
          </w:p>
        </w:tc>
        <w:tc>
          <w:tcPr>
            <w:tcW w:w="70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0"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pBdr>
                <w:top w:val="double" w:sz="6" w:space="1" w:color="000000"/>
              </w:pBdr>
              <w:bidi w:val="0"/>
              <w:spacing w:before="0" w:after="0"/>
              <w:jc w:val="left"/>
              <w:rPr/>
            </w:pPr>
            <w:r>
              <w:rPr/>
              <w:t> </w:t>
            </w:r>
          </w:p>
        </w:tc>
        <w:tc>
          <w:tcPr>
            <w:tcW w:w="1373"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pBdr>
                <w:top w:val="double" w:sz="6" w:space="1" w:color="000000"/>
              </w:pBdr>
              <w:bidi w:val="0"/>
              <w:spacing w:before="0" w:after="0"/>
              <w:jc w:val="left"/>
              <w:rPr/>
            </w:pPr>
            <w:r>
              <w:rPr/>
              <w:t> </w:t>
            </w:r>
          </w:p>
        </w:tc>
        <w:tc>
          <w:tcPr>
            <w:tcW w:w="72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r>
      <w:tr>
        <w:trPr/>
        <w:tc>
          <w:tcPr>
            <w:tcW w:w="1070" w:type="dxa"/>
            <w:tcBorders/>
          </w:tcPr>
          <w:p>
            <w:pPr>
              <w:pStyle w:val="TableContents"/>
              <w:bidi w:val="0"/>
              <w:spacing w:before="0" w:after="0"/>
              <w:jc w:val="left"/>
              <w:rPr>
                <w:rFonts w:ascii="Times New Roman" w:hAnsi="Times New Roman"/>
                <w:sz w:val="20"/>
              </w:rPr>
            </w:pPr>
            <w:r>
              <w:rPr>
                <w:rFonts w:ascii="Times New Roman" w:hAnsi="Times New Roman"/>
                <w:sz w:val="20"/>
              </w:rPr>
              <w:t>Percentage of Revenue</w:t>
            </w:r>
          </w:p>
        </w:tc>
        <w:tc>
          <w:tcPr>
            <w:tcW w:w="12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949" w:type="dxa"/>
            <w:tcBorders/>
            <w:vAlign w:val="bottom"/>
          </w:tcPr>
          <w:p>
            <w:pPr>
              <w:pStyle w:val="TableContents"/>
              <w:bidi w:val="0"/>
              <w:spacing w:before="0" w:after="283"/>
              <w:jc w:val="right"/>
              <w:rPr/>
            </w:pPr>
            <w:r>
              <w:rPr/>
              <w:t>73.8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26.2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703"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right"/>
              <w:rPr/>
            </w:pPr>
            <w:r>
              <w:rPr/>
              <w:t>74.6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72" w:type="dxa"/>
            <w:tcBorders/>
            <w:vAlign w:val="bottom"/>
          </w:tcPr>
          <w:p>
            <w:pPr>
              <w:pStyle w:val="TableContents"/>
              <w:bidi w:val="0"/>
              <w:spacing w:before="0" w:after="283"/>
              <w:jc w:val="left"/>
              <w:rPr/>
            </w:pPr>
            <w:r>
              <w:rPr/>
              <w:t> </w:t>
            </w:r>
          </w:p>
        </w:tc>
        <w:tc>
          <w:tcPr>
            <w:tcW w:w="1373" w:type="dxa"/>
            <w:tcBorders/>
            <w:vAlign w:val="bottom"/>
          </w:tcPr>
          <w:p>
            <w:pPr>
              <w:pStyle w:val="TableContents"/>
              <w:bidi w:val="0"/>
              <w:spacing w:before="0" w:after="283"/>
              <w:jc w:val="right"/>
              <w:rPr/>
            </w:pPr>
            <w:r>
              <w:rPr/>
              <w:t>25.4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724" w:type="dxa"/>
            <w:tcBorders/>
            <w:vAlign w:val="bottom"/>
          </w:tcPr>
          <w:p>
            <w:pPr>
              <w:pStyle w:val="TableContents"/>
              <w:bidi w:val="0"/>
              <w:spacing w:before="0" w:after="283"/>
              <w:jc w:val="right"/>
              <w:rPr/>
            </w:pPr>
            <w:r>
              <w:rPr/>
              <w:t>100.0</w:t>
            </w:r>
          </w:p>
        </w:tc>
        <w:tc>
          <w:tcPr>
            <w:tcW w:w="275" w:type="dxa"/>
            <w:tcBorders/>
            <w:vAlign w:val="bottom"/>
          </w:tcPr>
          <w:p>
            <w:pPr>
              <w:pStyle w:val="TableContents"/>
              <w:bidi w:val="0"/>
              <w:spacing w:before="0" w:after="283"/>
              <w:jc w:val="left"/>
              <w:rPr/>
            </w:pPr>
            <w:r>
              <w:rPr/>
              <w:t>% </w:t>
            </w:r>
          </w:p>
        </w:tc>
      </w:tr>
      <w:tr>
        <w:trPr/>
        <w:tc>
          <w:tcPr>
            <w:tcW w:w="10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Percentage of Revenue Less Ancillary Services</w:t>
            </w:r>
          </w:p>
        </w:tc>
        <w:tc>
          <w:tcPr>
            <w:tcW w:w="12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949" w:type="dxa"/>
            <w:tcBorders/>
            <w:shd w:fill="CCEEFF" w:val="clear"/>
            <w:vAlign w:val="bottom"/>
          </w:tcPr>
          <w:p>
            <w:pPr>
              <w:pStyle w:val="TableContents"/>
              <w:bidi w:val="0"/>
              <w:spacing w:before="0" w:after="283"/>
              <w:jc w:val="right"/>
              <w:rPr/>
            </w:pPr>
            <w:r>
              <w:rPr/>
              <w:t>80.6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19.4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703"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right"/>
              <w:rPr/>
            </w:pPr>
            <w:r>
              <w:rPr/>
              <w:t>81.0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72" w:type="dxa"/>
            <w:tcBorders/>
            <w:shd w:fill="CCEEFF" w:val="clear"/>
            <w:vAlign w:val="bottom"/>
          </w:tcPr>
          <w:p>
            <w:pPr>
              <w:pStyle w:val="TableContents"/>
              <w:bidi w:val="0"/>
              <w:spacing w:before="0" w:after="283"/>
              <w:jc w:val="left"/>
              <w:rPr/>
            </w:pPr>
            <w:r>
              <w:rPr/>
              <w:t> </w:t>
            </w:r>
          </w:p>
        </w:tc>
        <w:tc>
          <w:tcPr>
            <w:tcW w:w="1373" w:type="dxa"/>
            <w:tcBorders/>
            <w:shd w:fill="CCEEFF" w:val="clear"/>
            <w:vAlign w:val="bottom"/>
          </w:tcPr>
          <w:p>
            <w:pPr>
              <w:pStyle w:val="TableContents"/>
              <w:bidi w:val="0"/>
              <w:spacing w:before="0" w:after="283"/>
              <w:jc w:val="right"/>
              <w:rPr/>
            </w:pPr>
            <w:r>
              <w:rPr/>
              <w:t>19.0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724" w:type="dxa"/>
            <w:tcBorders/>
            <w:shd w:fill="CCEEFF" w:val="clear"/>
            <w:vAlign w:val="bottom"/>
          </w:tcPr>
          <w:p>
            <w:pPr>
              <w:pStyle w:val="TableContents"/>
              <w:bidi w:val="0"/>
              <w:spacing w:before="0" w:after="283"/>
              <w:jc w:val="right"/>
              <w:rPr/>
            </w:pPr>
            <w:r>
              <w:rPr/>
              <w:t>100.0</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u w:val="single"/>
        </w:rPr>
      </w:pPr>
      <w:r>
        <w:rPr>
          <w:rFonts w:ascii="Times New Roman" w:hAnsi="Times New Roman"/>
          <w:b/>
          <w:sz w:val="20"/>
          <w:u w:val="single"/>
        </w:rPr>
        <w:t xml:space="preserve">Revenue Less Ancillary Services at Constant Currency: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45"/>
        <w:gridCol w:w="154"/>
        <w:gridCol w:w="225"/>
        <w:gridCol w:w="712"/>
        <w:gridCol w:w="249"/>
        <w:gridCol w:w="131"/>
        <w:gridCol w:w="225"/>
        <w:gridCol w:w="713"/>
        <w:gridCol w:w="155"/>
        <w:gridCol w:w="97"/>
        <w:gridCol w:w="162"/>
        <w:gridCol w:w="1194"/>
        <w:gridCol w:w="275"/>
        <w:gridCol w:w="97"/>
        <w:gridCol w:w="140"/>
        <w:gridCol w:w="573"/>
        <w:gridCol w:w="155"/>
        <w:gridCol w:w="97"/>
        <w:gridCol w:w="140"/>
        <w:gridCol w:w="573"/>
        <w:gridCol w:w="155"/>
        <w:gridCol w:w="97"/>
        <w:gridCol w:w="162"/>
        <w:gridCol w:w="1195"/>
        <w:gridCol w:w="284"/>
      </w:tblGrid>
      <w:tr>
        <w:trPr/>
        <w:tc>
          <w:tcPr>
            <w:tcW w:w="2245" w:type="dxa"/>
            <w:tcBorders/>
            <w:vAlign w:val="center"/>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22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w:t>
              <w:br/>
              <w:t>June 30,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56"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7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Six Months Ended</w:t>
              <w:br/>
              <w:t>June 30,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57" w:type="dxa"/>
            <w:gridSpan w:val="2"/>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r>
      <w:tr>
        <w:trPr/>
        <w:tc>
          <w:tcPr>
            <w:tcW w:w="2245"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9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24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9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Growth Rate</w:t>
            </w:r>
          </w:p>
        </w:tc>
        <w:tc>
          <w:tcPr>
            <w:tcW w:w="27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2023</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71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2022</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3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Growth Rate</w:t>
            </w:r>
          </w:p>
        </w:tc>
        <w:tc>
          <w:tcPr>
            <w:tcW w:w="284" w:type="dxa"/>
            <w:tcBorders/>
            <w:vAlign w:val="bottom"/>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84.9</w:t>
            </w:r>
          </w:p>
        </w:tc>
        <w:tc>
          <w:tcPr>
            <w:tcW w:w="24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56.5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50.3</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179.2</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121.1</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48.0</w:t>
            </w:r>
          </w:p>
        </w:tc>
        <w:tc>
          <w:tcPr>
            <w:tcW w:w="284" w:type="dxa"/>
            <w:tcBorders/>
            <w:shd w:fill="CCEEFF" w:val="clear"/>
            <w:vAlign w:val="bottom"/>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Ancillary services</w:t>
            </w:r>
          </w:p>
        </w:tc>
        <w:tc>
          <w:tcPr>
            <w:tcW w:w="15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(5.4</w:t>
            </w:r>
          </w:p>
        </w:tc>
        <w:tc>
          <w:tcPr>
            <w:tcW w:w="24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(5.0</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(10.7</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(10.4</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5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2" w:type="dxa"/>
            <w:tcBorders/>
            <w:shd w:fill="CCEEFF" w:val="clear"/>
            <w:vAlign w:val="bottom"/>
          </w:tcPr>
          <w:p>
            <w:pPr>
              <w:pStyle w:val="TableContents"/>
              <w:bidi w:val="0"/>
              <w:spacing w:before="0" w:after="283"/>
              <w:jc w:val="right"/>
              <w:rPr/>
            </w:pPr>
            <w:r>
              <w:rPr/>
              <w:t>79.5</w:t>
            </w:r>
          </w:p>
        </w:tc>
        <w:tc>
          <w:tcPr>
            <w:tcW w:w="24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713" w:type="dxa"/>
            <w:tcBorders/>
            <w:shd w:fill="CCEEFF" w:val="clear"/>
            <w:vAlign w:val="bottom"/>
          </w:tcPr>
          <w:p>
            <w:pPr>
              <w:pStyle w:val="TableContents"/>
              <w:bidi w:val="0"/>
              <w:spacing w:before="0" w:after="283"/>
              <w:jc w:val="right"/>
              <w:rPr/>
            </w:pPr>
            <w:r>
              <w:rPr/>
              <w:t>51.5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54.4</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168.5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3" w:type="dxa"/>
            <w:tcBorders/>
            <w:shd w:fill="CCEEFF" w:val="clear"/>
            <w:vAlign w:val="bottom"/>
          </w:tcPr>
          <w:p>
            <w:pPr>
              <w:pStyle w:val="TableContents"/>
              <w:bidi w:val="0"/>
              <w:spacing w:before="0" w:after="283"/>
              <w:jc w:val="right"/>
              <w:rPr/>
            </w:pPr>
            <w:r>
              <w:rPr/>
              <w:t>110.7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52.2</w:t>
            </w:r>
          </w:p>
        </w:tc>
        <w:tc>
          <w:tcPr>
            <w:tcW w:w="284" w:type="dxa"/>
            <w:tcBorders/>
            <w:shd w:fill="CCEEFF" w:val="clear"/>
            <w:vAlign w:val="bottom"/>
          </w:tcPr>
          <w:p>
            <w:pPr>
              <w:pStyle w:val="TableContents"/>
              <w:bidi w:val="0"/>
              <w:spacing w:before="0" w:after="283"/>
              <w:jc w:val="left"/>
              <w:rPr/>
            </w:pPr>
            <w:r>
              <w:rPr/>
              <w:t>% </w:t>
            </w:r>
          </w:p>
        </w:tc>
      </w:tr>
      <w:tr>
        <w:trPr/>
        <w:tc>
          <w:tcPr>
            <w:tcW w:w="224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245" w:type="dxa"/>
            <w:tcBorders/>
          </w:tcPr>
          <w:p>
            <w:pPr>
              <w:pStyle w:val="TableContents"/>
              <w:bidi w:val="0"/>
              <w:spacing w:before="0" w:after="0"/>
              <w:jc w:val="left"/>
              <w:rPr>
                <w:rFonts w:ascii="Times New Roman" w:hAnsi="Times New Roman"/>
                <w:sz w:val="20"/>
              </w:rPr>
            </w:pPr>
            <w:r>
              <w:rPr>
                <w:rFonts w:ascii="Times New Roman" w:hAnsi="Times New Roman"/>
                <w:sz w:val="20"/>
              </w:rPr>
              <w:t>Effects of foreign currency rate fluctuations</w:t>
            </w:r>
          </w:p>
        </w:tc>
        <w:tc>
          <w:tcPr>
            <w:tcW w:w="154"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1.2</w:t>
            </w:r>
          </w:p>
        </w:tc>
        <w:tc>
          <w:tcPr>
            <w:tcW w:w="249" w:type="dxa"/>
            <w:tcBorders/>
            <w:vAlign w:val="bottom"/>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194"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3"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sz w:val="4"/>
                <w:szCs w:val="4"/>
              </w:rPr>
            </w:pPr>
            <w:r>
              <w:rPr>
                <w:sz w:val="4"/>
                <w:szCs w:val="4"/>
              </w:rPr>
            </w:r>
          </w:p>
        </w:tc>
        <w:tc>
          <w:tcPr>
            <w:tcW w:w="1195"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r>
      <w:tr>
        <w:trPr/>
        <w:tc>
          <w:tcPr>
            <w:tcW w:w="224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2" w:type="dxa"/>
            <w:tcBorders/>
            <w:vAlign w:val="bottom"/>
          </w:tcPr>
          <w:p>
            <w:pPr>
              <w:pStyle w:val="TableContents"/>
              <w:pBdr>
                <w:top w:val="single" w:sz="2"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single" w:sz="2" w:space="1" w:color="000000"/>
              </w:pBdr>
              <w:bidi w:val="0"/>
              <w:spacing w:before="0" w:after="0"/>
              <w:jc w:val="left"/>
              <w:rPr/>
            </w:pPr>
            <w:r>
              <w:rPr/>
              <w:t> </w:t>
            </w:r>
          </w:p>
        </w:tc>
        <w:tc>
          <w:tcPr>
            <w:tcW w:w="71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19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7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single" w:sz="2" w:space="1" w:color="000000"/>
              </w:pBdr>
              <w:bidi w:val="0"/>
              <w:spacing w:before="0" w:after="0"/>
              <w:jc w:val="left"/>
              <w:rPr/>
            </w:pPr>
            <w:r>
              <w:rPr/>
              <w:t> </w:t>
            </w:r>
          </w:p>
        </w:tc>
        <w:tc>
          <w:tcPr>
            <w:tcW w:w="1195" w:type="dxa"/>
            <w:tcBorders/>
            <w:vAlign w:val="bottom"/>
          </w:tcPr>
          <w:p>
            <w:pPr>
              <w:pStyle w:val="TableContents"/>
              <w:pBdr>
                <w:top w:val="single" w:sz="2"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r>
        <w:trPr/>
        <w:tc>
          <w:tcPr>
            <w:tcW w:w="22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 at Constant Currency</w:t>
            </w:r>
          </w:p>
        </w:tc>
        <w:tc>
          <w:tcPr>
            <w:tcW w:w="154"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2" w:type="dxa"/>
            <w:tcBorders/>
            <w:shd w:fill="CCEEFF" w:val="clear"/>
            <w:vAlign w:val="bottom"/>
          </w:tcPr>
          <w:p>
            <w:pPr>
              <w:pStyle w:val="TableContents"/>
              <w:bidi w:val="0"/>
              <w:spacing w:before="0" w:after="283"/>
              <w:jc w:val="right"/>
              <w:rPr/>
            </w:pPr>
            <w:r>
              <w:rPr/>
              <w:t>80.7</w:t>
            </w:r>
          </w:p>
        </w:tc>
        <w:tc>
          <w:tcPr>
            <w:tcW w:w="249" w:type="dxa"/>
            <w:tcBorders/>
            <w:shd w:fill="CCEEFF" w:val="clear"/>
            <w:vAlign w:val="bottom"/>
          </w:tcPr>
          <w:p>
            <w:pPr>
              <w:pStyle w:val="TableContents"/>
              <w:bidi w:val="0"/>
              <w:spacing w:before="0" w:after="283"/>
              <w:jc w:val="left"/>
              <w:rPr/>
            </w:pPr>
            <w:r>
              <w:rPr/>
              <w:t> </w:t>
            </w:r>
          </w:p>
        </w:tc>
        <w:tc>
          <w:tcPr>
            <w:tcW w:w="131"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w:t>
            </w:r>
          </w:p>
        </w:tc>
        <w:tc>
          <w:tcPr>
            <w:tcW w:w="713" w:type="dxa"/>
            <w:tcBorders/>
            <w:shd w:fill="CCEEFF" w:val="clear"/>
            <w:vAlign w:val="bottom"/>
          </w:tcPr>
          <w:p>
            <w:pPr>
              <w:pStyle w:val="TableContents"/>
              <w:bidi w:val="0"/>
              <w:spacing w:before="0" w:after="283"/>
              <w:jc w:val="right"/>
              <w:rPr/>
            </w:pPr>
            <w:r>
              <w:rPr/>
              <w:t>51.5</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4" w:type="dxa"/>
            <w:tcBorders/>
            <w:shd w:fill="CCEEFF" w:val="clear"/>
            <w:vAlign w:val="bottom"/>
          </w:tcPr>
          <w:p>
            <w:pPr>
              <w:pStyle w:val="TableContents"/>
              <w:bidi w:val="0"/>
              <w:spacing w:before="0" w:after="283"/>
              <w:jc w:val="right"/>
              <w:rPr/>
            </w:pPr>
            <w:r>
              <w:rPr/>
              <w:t>56.7</w:t>
            </w:r>
          </w:p>
        </w:tc>
        <w:tc>
          <w:tcPr>
            <w:tcW w:w="27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173.6</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3" w:type="dxa"/>
            <w:tcBorders/>
            <w:shd w:fill="CCEEFF" w:val="clear"/>
            <w:vAlign w:val="bottom"/>
          </w:tcPr>
          <w:p>
            <w:pPr>
              <w:pStyle w:val="TableContents"/>
              <w:bidi w:val="0"/>
              <w:spacing w:before="0" w:after="283"/>
              <w:jc w:val="right"/>
              <w:rPr/>
            </w:pPr>
            <w:r>
              <w:rPr/>
              <w:t>110.7</w:t>
            </w:r>
          </w:p>
        </w:tc>
        <w:tc>
          <w:tcPr>
            <w:tcW w:w="155" w:type="dxa"/>
            <w:tcBorders/>
            <w:shd w:fill="CCEEFF" w:val="clear"/>
            <w:vAlign w:val="bottom"/>
          </w:tcPr>
          <w:p>
            <w:pPr>
              <w:pStyle w:val="TableContents"/>
              <w:bidi w:val="0"/>
              <w:spacing w:before="0" w:after="283"/>
              <w:jc w:val="left"/>
              <w:rPr/>
            </w:pPr>
            <w:r>
              <w:rPr/>
              <w:t> </w:t>
            </w:r>
          </w:p>
        </w:tc>
        <w:tc>
          <w:tcPr>
            <w:tcW w:w="97"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195" w:type="dxa"/>
            <w:tcBorders/>
            <w:shd w:fill="CCEEFF" w:val="clear"/>
            <w:vAlign w:val="bottom"/>
          </w:tcPr>
          <w:p>
            <w:pPr>
              <w:pStyle w:val="TableContents"/>
              <w:bidi w:val="0"/>
              <w:spacing w:before="0" w:after="283"/>
              <w:jc w:val="right"/>
              <w:rPr/>
            </w:pPr>
            <w:r>
              <w:rPr/>
              <w:t>56.8</w:t>
            </w:r>
          </w:p>
        </w:tc>
        <w:tc>
          <w:tcPr>
            <w:tcW w:w="284" w:type="dxa"/>
            <w:tcBorders/>
            <w:shd w:fill="CCEEFF" w:val="clear"/>
            <w:vAlign w:val="bottom"/>
          </w:tcPr>
          <w:p>
            <w:pPr>
              <w:pStyle w:val="TableContents"/>
              <w:bidi w:val="0"/>
              <w:spacing w:before="0" w:after="283"/>
              <w:jc w:val="left"/>
              <w:rPr/>
            </w:pPr>
            <w:r>
              <w:rPr/>
              <w:t>% </w:t>
            </w:r>
          </w:p>
        </w:tc>
      </w:tr>
      <w:tr>
        <w:trPr/>
        <w:tc>
          <w:tcPr>
            <w:tcW w:w="2245" w:type="dxa"/>
            <w:tcBorders/>
            <w:vAlign w:val="bottom"/>
          </w:tcPr>
          <w:p>
            <w:pPr>
              <w:pStyle w:val="TableContents"/>
              <w:bidi w:val="0"/>
              <w:spacing w:before="0" w:after="283"/>
              <w:jc w:val="left"/>
              <w:rPr>
                <w:sz w:val="4"/>
                <w:szCs w:val="4"/>
              </w:rPr>
            </w:pPr>
            <w:r>
              <w:rPr>
                <w:sz w:val="4"/>
                <w:szCs w:val="4"/>
              </w:rPr>
            </w:r>
          </w:p>
        </w:tc>
        <w:tc>
          <w:tcPr>
            <w:tcW w:w="154"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2" w:type="dxa"/>
            <w:tcBorders/>
            <w:vAlign w:val="bottom"/>
          </w:tcPr>
          <w:p>
            <w:pPr>
              <w:pStyle w:val="TableContents"/>
              <w:pBdr>
                <w:top w:val="double" w:sz="6" w:space="1" w:color="000000"/>
              </w:pBdr>
              <w:bidi w:val="0"/>
              <w:spacing w:before="0" w:after="0"/>
              <w:jc w:val="left"/>
              <w:rPr/>
            </w:pPr>
            <w:r>
              <w:rPr/>
              <w:t> </w:t>
            </w:r>
          </w:p>
        </w:tc>
        <w:tc>
          <w:tcPr>
            <w:tcW w:w="249" w:type="dxa"/>
            <w:tcBorders/>
            <w:vAlign w:val="center"/>
          </w:tcPr>
          <w:p>
            <w:pPr>
              <w:pStyle w:val="TableContents"/>
              <w:bidi w:val="0"/>
              <w:spacing w:before="0" w:after="283"/>
              <w:jc w:val="left"/>
              <w:rPr/>
            </w:pPr>
            <w:r>
              <w:rPr/>
              <w:t> </w:t>
            </w:r>
          </w:p>
        </w:tc>
        <w:tc>
          <w:tcPr>
            <w:tcW w:w="131" w:type="dxa"/>
            <w:tcBorders/>
            <w:vAlign w:val="bottom"/>
          </w:tcPr>
          <w:p>
            <w:pPr>
              <w:pStyle w:val="TableContents"/>
              <w:bidi w:val="0"/>
              <w:spacing w:before="0" w:after="283"/>
              <w:jc w:val="left"/>
              <w:rPr/>
            </w:pPr>
            <w:r>
              <w:rPr/>
              <w:t> </w:t>
            </w:r>
          </w:p>
        </w:tc>
        <w:tc>
          <w:tcPr>
            <w:tcW w:w="225" w:type="dxa"/>
            <w:tcBorders/>
            <w:vAlign w:val="bottom"/>
          </w:tcPr>
          <w:p>
            <w:pPr>
              <w:pStyle w:val="TableContents"/>
              <w:pBdr>
                <w:top w:val="double" w:sz="6" w:space="1" w:color="000000"/>
              </w:pBdr>
              <w:bidi w:val="0"/>
              <w:spacing w:before="0" w:after="0"/>
              <w:jc w:val="left"/>
              <w:rPr/>
            </w:pPr>
            <w:r>
              <w:rPr/>
              <w:t> </w:t>
            </w:r>
          </w:p>
        </w:tc>
        <w:tc>
          <w:tcPr>
            <w:tcW w:w="71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194" w:type="dxa"/>
            <w:tcBorders/>
            <w:vAlign w:val="bottom"/>
          </w:tcPr>
          <w:p>
            <w:pPr>
              <w:pStyle w:val="TableContents"/>
              <w:pBdr>
                <w:top w:val="double" w:sz="6"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7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162" w:type="dxa"/>
            <w:tcBorders/>
            <w:vAlign w:val="bottom"/>
          </w:tcPr>
          <w:p>
            <w:pPr>
              <w:pStyle w:val="TableContents"/>
              <w:pBdr>
                <w:top w:val="double" w:sz="6" w:space="1" w:color="000000"/>
              </w:pBdr>
              <w:bidi w:val="0"/>
              <w:spacing w:before="0" w:after="0"/>
              <w:jc w:val="left"/>
              <w:rPr/>
            </w:pPr>
            <w:r>
              <w:rPr/>
              <w:t> </w:t>
            </w:r>
          </w:p>
        </w:tc>
        <w:tc>
          <w:tcPr>
            <w:tcW w:w="1195" w:type="dxa"/>
            <w:tcBorders/>
            <w:vAlign w:val="bottom"/>
          </w:tcPr>
          <w:p>
            <w:pPr>
              <w:pStyle w:val="TableContents"/>
              <w:pBdr>
                <w:top w:val="double" w:sz="6" w:space="1" w:color="000000"/>
              </w:pBdr>
              <w:bidi w:val="0"/>
              <w:spacing w:before="0" w:after="0"/>
              <w:jc w:val="left"/>
              <w:rPr/>
            </w:pPr>
            <w:r>
              <w:rPr/>
              <w:t> </w:t>
            </w:r>
          </w:p>
        </w:tc>
        <w:tc>
          <w:tcPr>
            <w:tcW w:w="284" w:type="dxa"/>
            <w:tcBorders/>
            <w:vAlign w:val="center"/>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4600" w:type="pct"/>
        <w:jc w:val="center"/>
        <w:tblInd w:w="0" w:type="dxa"/>
        <w:tblLayout w:type="fixed"/>
        <w:tblCellMar>
          <w:top w:w="0" w:type="dxa"/>
          <w:left w:w="0" w:type="dxa"/>
          <w:bottom w:w="0" w:type="dxa"/>
          <w:right w:w="0" w:type="dxa"/>
        </w:tblCellMar>
      </w:tblPr>
      <w:tblGrid>
        <w:gridCol w:w="1195"/>
        <w:gridCol w:w="152"/>
        <w:gridCol w:w="356"/>
        <w:gridCol w:w="1427"/>
        <w:gridCol w:w="395"/>
        <w:gridCol w:w="329"/>
        <w:gridCol w:w="356"/>
        <w:gridCol w:w="1431"/>
        <w:gridCol w:w="155"/>
        <w:gridCol w:w="146"/>
        <w:gridCol w:w="272"/>
        <w:gridCol w:w="1089"/>
        <w:gridCol w:w="300"/>
        <w:gridCol w:w="258"/>
        <w:gridCol w:w="272"/>
        <w:gridCol w:w="1093"/>
        <w:gridCol w:w="162"/>
      </w:tblGrid>
      <w:tr>
        <w:trPr/>
        <w:tc>
          <w:tcPr>
            <w:tcW w:w="1195"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19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7879" w:type="dxa"/>
            <w:gridSpan w:val="14"/>
            <w:tcBorders/>
            <w:vAlign w:val="bottom"/>
          </w:tcPr>
          <w:p>
            <w:pPr>
              <w:pStyle w:val="TableContents"/>
              <w:bidi w:val="0"/>
              <w:spacing w:before="0" w:after="283"/>
              <w:jc w:val="center"/>
              <w:rPr>
                <w:b/>
              </w:rPr>
            </w:pPr>
            <w:r>
              <w:rPr>
                <w:b/>
              </w:rPr>
              <w:t>Guidance</w:t>
            </w:r>
          </w:p>
        </w:tc>
        <w:tc>
          <w:tcPr>
            <w:tcW w:w="162" w:type="dxa"/>
            <w:tcBorders/>
            <w:vAlign w:val="bottom"/>
          </w:tcPr>
          <w:p>
            <w:pPr>
              <w:pStyle w:val="TableContents"/>
              <w:bidi w:val="0"/>
              <w:spacing w:before="0" w:after="283"/>
              <w:jc w:val="left"/>
              <w:rPr/>
            </w:pPr>
            <w:r>
              <w:rPr/>
              <w:t> </w:t>
            </w:r>
          </w:p>
        </w:tc>
      </w:tr>
      <w:tr>
        <w:trPr/>
        <w:tc>
          <w:tcPr>
            <w:tcW w:w="119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429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September 30, 2023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8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Year Ended December 31, 2023</w:t>
            </w:r>
          </w:p>
        </w:tc>
        <w:tc>
          <w:tcPr>
            <w:tcW w:w="162" w:type="dxa"/>
            <w:tcBorders/>
            <w:vAlign w:val="bottom"/>
          </w:tcPr>
          <w:p>
            <w:pPr>
              <w:pStyle w:val="TableContents"/>
              <w:bidi w:val="0"/>
              <w:spacing w:before="0" w:after="283"/>
              <w:jc w:val="left"/>
              <w:rPr/>
            </w:pPr>
            <w:r>
              <w:rPr/>
              <w:t> </w:t>
            </w:r>
          </w:p>
        </w:tc>
      </w:tr>
      <w:tr>
        <w:trPr/>
        <w:tc>
          <w:tcPr>
            <w:tcW w:w="119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7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39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78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30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162" w:type="dxa"/>
            <w:tcBorders/>
            <w:vAlign w:val="bottom"/>
          </w:tcPr>
          <w:p>
            <w:pPr>
              <w:pStyle w:val="TableContents"/>
              <w:bidi w:val="0"/>
              <w:spacing w:before="0" w:after="283"/>
              <w:jc w:val="left"/>
              <w:rPr/>
            </w:pPr>
            <w:r>
              <w:rPr/>
              <w:t> </w:t>
            </w:r>
          </w:p>
        </w:tc>
      </w:tr>
      <w:tr>
        <w:trPr/>
        <w:tc>
          <w:tcPr>
            <w:tcW w:w="1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w:t>
            </w:r>
          </w:p>
        </w:tc>
        <w:tc>
          <w:tcPr>
            <w:tcW w:w="15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121.0</w:t>
            </w:r>
          </w:p>
        </w:tc>
        <w:tc>
          <w:tcPr>
            <w:tcW w:w="39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431" w:type="dxa"/>
            <w:tcBorders/>
            <w:shd w:fill="CCEEFF" w:val="clear"/>
            <w:vAlign w:val="bottom"/>
          </w:tcPr>
          <w:p>
            <w:pPr>
              <w:pStyle w:val="TableContents"/>
              <w:bidi w:val="0"/>
              <w:spacing w:before="0" w:after="283"/>
              <w:jc w:val="right"/>
              <w:rPr/>
            </w:pPr>
            <w:r>
              <w:rPr/>
              <w:t>128.0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089" w:type="dxa"/>
            <w:tcBorders/>
            <w:shd w:fill="CCEEFF" w:val="clear"/>
            <w:vAlign w:val="bottom"/>
          </w:tcPr>
          <w:p>
            <w:pPr>
              <w:pStyle w:val="TableContents"/>
              <w:bidi w:val="0"/>
              <w:spacing w:before="0" w:after="283"/>
              <w:jc w:val="right"/>
              <w:rPr/>
            </w:pPr>
            <w:r>
              <w:rPr/>
              <w:t>392.0</w:t>
            </w:r>
          </w:p>
        </w:tc>
        <w:tc>
          <w:tcPr>
            <w:tcW w:w="30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408.0</w:t>
            </w:r>
          </w:p>
        </w:tc>
        <w:tc>
          <w:tcPr>
            <w:tcW w:w="162" w:type="dxa"/>
            <w:tcBorders/>
            <w:shd w:fill="CCEEFF" w:val="clear"/>
            <w:vAlign w:val="bottom"/>
          </w:tcPr>
          <w:p>
            <w:pPr>
              <w:pStyle w:val="TableContents"/>
              <w:bidi w:val="0"/>
              <w:spacing w:before="0" w:after="283"/>
              <w:jc w:val="left"/>
              <w:rPr/>
            </w:pPr>
            <w:r>
              <w:rPr/>
              <w:t> </w:t>
            </w:r>
          </w:p>
        </w:tc>
      </w:tr>
      <w:tr>
        <w:trPr/>
        <w:tc>
          <w:tcPr>
            <w:tcW w:w="1195" w:type="dxa"/>
            <w:tcBorders/>
          </w:tcPr>
          <w:p>
            <w:pPr>
              <w:pStyle w:val="TableContents"/>
              <w:bidi w:val="0"/>
              <w:spacing w:before="0" w:after="0"/>
              <w:jc w:val="left"/>
              <w:rPr>
                <w:rFonts w:ascii="Times New Roman" w:hAnsi="Times New Roman"/>
                <w:sz w:val="20"/>
              </w:rPr>
            </w:pPr>
            <w:r>
              <w:rPr>
                <w:rFonts w:ascii="Times New Roman" w:hAnsi="Times New Roman"/>
                <w:sz w:val="20"/>
              </w:rPr>
              <w:t>Adjusted to exclude gross up for:</w:t>
            </w:r>
          </w:p>
        </w:tc>
        <w:tc>
          <w:tcPr>
            <w:tcW w:w="15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427" w:type="dxa"/>
            <w:tcBorders/>
            <w:vAlign w:val="bottom"/>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sz w:val="4"/>
                <w:szCs w:val="4"/>
              </w:rPr>
            </w:pPr>
            <w:r>
              <w:rPr>
                <w:sz w:val="4"/>
                <w:szCs w:val="4"/>
              </w:rPr>
            </w:r>
          </w:p>
        </w:tc>
        <w:tc>
          <w:tcPr>
            <w:tcW w:w="143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1089" w:type="dxa"/>
            <w:tcBorders/>
            <w:vAlign w:val="bottom"/>
          </w:tcPr>
          <w:p>
            <w:pPr>
              <w:pStyle w:val="TableContents"/>
              <w:bidi w:val="0"/>
              <w:spacing w:before="0" w:after="283"/>
              <w:jc w:val="left"/>
              <w:rPr>
                <w:sz w:val="4"/>
                <w:szCs w:val="4"/>
              </w:rPr>
            </w:pPr>
            <w:r>
              <w:rPr>
                <w:sz w:val="4"/>
                <w:szCs w:val="4"/>
              </w:rPr>
            </w:r>
          </w:p>
        </w:tc>
        <w:tc>
          <w:tcPr>
            <w:tcW w:w="300" w:type="dxa"/>
            <w:tcBorders/>
            <w:vAlign w:val="bottom"/>
          </w:tcPr>
          <w:p>
            <w:pPr>
              <w:pStyle w:val="TableContents"/>
              <w:bidi w:val="0"/>
              <w:spacing w:before="0" w:after="283"/>
              <w:jc w:val="left"/>
              <w:rPr>
                <w:sz w:val="4"/>
                <w:szCs w:val="4"/>
              </w:rPr>
            </w:pPr>
            <w:r>
              <w:rPr>
                <w:sz w:val="4"/>
                <w:szCs w:val="4"/>
              </w:rPr>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sz w:val="4"/>
                <w:szCs w:val="4"/>
              </w:rPr>
            </w:pPr>
            <w:r>
              <w:rPr>
                <w:sz w:val="4"/>
                <w:szCs w:val="4"/>
              </w:rPr>
            </w:r>
          </w:p>
        </w:tc>
        <w:tc>
          <w:tcPr>
            <w:tcW w:w="1093"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1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Pass through cost for printing and mailing</w:t>
            </w:r>
          </w:p>
        </w:tc>
        <w:tc>
          <w:tcPr>
            <w:tcW w:w="15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27" w:type="dxa"/>
            <w:tcBorders/>
            <w:shd w:fill="CCEEFF" w:val="clear"/>
            <w:vAlign w:val="bottom"/>
          </w:tcPr>
          <w:p>
            <w:pPr>
              <w:pStyle w:val="TableContents"/>
              <w:bidi w:val="0"/>
              <w:spacing w:before="0" w:after="283"/>
              <w:jc w:val="right"/>
              <w:rPr/>
            </w:pPr>
            <w:r>
              <w:rPr/>
              <w:t>(4.9</w:t>
            </w:r>
          </w:p>
        </w:tc>
        <w:tc>
          <w:tcPr>
            <w:tcW w:w="39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31" w:type="dxa"/>
            <w:tcBorders/>
            <w:shd w:fill="CCEEFF" w:val="clear"/>
            <w:vAlign w:val="bottom"/>
          </w:tcPr>
          <w:p>
            <w:pPr>
              <w:pStyle w:val="TableContents"/>
              <w:bidi w:val="0"/>
              <w:spacing w:before="0" w:after="283"/>
              <w:jc w:val="right"/>
              <w:rPr/>
            </w:pPr>
            <w:r>
              <w:rPr/>
              <w:t>(5.7</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89" w:type="dxa"/>
            <w:tcBorders/>
            <w:shd w:fill="CCEEFF" w:val="clear"/>
            <w:vAlign w:val="bottom"/>
          </w:tcPr>
          <w:p>
            <w:pPr>
              <w:pStyle w:val="TableContents"/>
              <w:bidi w:val="0"/>
              <w:spacing w:before="0" w:after="283"/>
              <w:jc w:val="right"/>
              <w:rPr/>
            </w:pPr>
            <w:r>
              <w:rPr/>
              <w:t>(18.4</w:t>
            </w:r>
          </w:p>
        </w:tc>
        <w:tc>
          <w:tcPr>
            <w:tcW w:w="30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 </w:t>
            </w:r>
          </w:p>
        </w:tc>
        <w:tc>
          <w:tcPr>
            <w:tcW w:w="1093" w:type="dxa"/>
            <w:tcBorders/>
            <w:shd w:fill="CCEEFF" w:val="clear"/>
            <w:vAlign w:val="bottom"/>
          </w:tcPr>
          <w:p>
            <w:pPr>
              <w:pStyle w:val="TableContents"/>
              <w:bidi w:val="0"/>
              <w:spacing w:before="0" w:after="283"/>
              <w:jc w:val="right"/>
              <w:rPr/>
            </w:pPr>
            <w:r>
              <w:rPr/>
              <w:t>(25.7</w:t>
            </w:r>
          </w:p>
        </w:tc>
        <w:tc>
          <w:tcPr>
            <w:tcW w:w="162" w:type="dxa"/>
            <w:tcBorders/>
            <w:shd w:fill="CCEEFF" w:val="clear"/>
            <w:vAlign w:val="bottom"/>
          </w:tcPr>
          <w:p>
            <w:pPr>
              <w:pStyle w:val="TableContents"/>
              <w:bidi w:val="0"/>
              <w:spacing w:before="0" w:after="283"/>
              <w:jc w:val="left"/>
              <w:rPr/>
            </w:pPr>
            <w:r>
              <w:rPr/>
              <w:t>) </w:t>
            </w:r>
          </w:p>
        </w:tc>
      </w:tr>
      <w:tr>
        <w:trPr/>
        <w:tc>
          <w:tcPr>
            <w:tcW w:w="1195" w:type="dxa"/>
            <w:tcBorders/>
          </w:tcPr>
          <w:p>
            <w:pPr>
              <w:pStyle w:val="TableContents"/>
              <w:bidi w:val="0"/>
              <w:spacing w:before="0" w:after="0"/>
              <w:jc w:val="left"/>
              <w:rPr>
                <w:rFonts w:ascii="Times New Roman" w:hAnsi="Times New Roman"/>
                <w:sz w:val="20"/>
              </w:rPr>
            </w:pPr>
            <w:r>
              <w:rPr>
                <w:rFonts w:ascii="Times New Roman" w:hAnsi="Times New Roman"/>
                <w:sz w:val="20"/>
              </w:rPr>
              <w:t>Marketing fees</w:t>
            </w:r>
          </w:p>
        </w:tc>
        <w:tc>
          <w:tcPr>
            <w:tcW w:w="15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27" w:type="dxa"/>
            <w:tcBorders/>
            <w:vAlign w:val="bottom"/>
          </w:tcPr>
          <w:p>
            <w:pPr>
              <w:pStyle w:val="TableContents"/>
              <w:bidi w:val="0"/>
              <w:spacing w:before="0" w:after="283"/>
              <w:jc w:val="right"/>
              <w:rPr/>
            </w:pPr>
            <w:r>
              <w:rPr/>
              <w:t>(0.1</w:t>
            </w:r>
          </w:p>
        </w:tc>
        <w:tc>
          <w:tcPr>
            <w:tcW w:w="39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31"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89" w:type="dxa"/>
            <w:tcBorders/>
            <w:vAlign w:val="bottom"/>
          </w:tcPr>
          <w:p>
            <w:pPr>
              <w:pStyle w:val="TableContents"/>
              <w:bidi w:val="0"/>
              <w:spacing w:before="0" w:after="283"/>
              <w:jc w:val="right"/>
              <w:rPr/>
            </w:pPr>
            <w:r>
              <w:rPr/>
              <w:t>(1.6</w:t>
            </w:r>
          </w:p>
        </w:tc>
        <w:tc>
          <w:tcPr>
            <w:tcW w:w="30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(2.3</w:t>
            </w:r>
          </w:p>
        </w:tc>
        <w:tc>
          <w:tcPr>
            <w:tcW w:w="162" w:type="dxa"/>
            <w:tcBorders/>
            <w:vAlign w:val="bottom"/>
          </w:tcPr>
          <w:p>
            <w:pPr>
              <w:pStyle w:val="TableContents"/>
              <w:bidi w:val="0"/>
              <w:spacing w:before="0" w:after="283"/>
              <w:jc w:val="left"/>
              <w:rPr/>
            </w:pPr>
            <w:r>
              <w:rPr/>
              <w:t>) </w:t>
            </w:r>
          </w:p>
        </w:tc>
      </w:tr>
      <w:tr>
        <w:trPr/>
        <w:tc>
          <w:tcPr>
            <w:tcW w:w="119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1427" w:type="dxa"/>
            <w:tcBorders/>
            <w:vAlign w:val="bottom"/>
          </w:tcPr>
          <w:p>
            <w:pPr>
              <w:pStyle w:val="TableContents"/>
              <w:pBdr>
                <w:top w:val="single" w:sz="2"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143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89" w:type="dxa"/>
            <w:tcBorders/>
            <w:vAlign w:val="bottom"/>
          </w:tcPr>
          <w:p>
            <w:pPr>
              <w:pStyle w:val="TableContents"/>
              <w:pBdr>
                <w:top w:val="single" w:sz="2" w:space="1" w:color="000000"/>
              </w:pBdr>
              <w:bidi w:val="0"/>
              <w:spacing w:before="0" w:after="0"/>
              <w:jc w:val="left"/>
              <w:rPr/>
            </w:pPr>
            <w:r>
              <w:rPr/>
              <w:t> </w:t>
            </w:r>
          </w:p>
        </w:tc>
        <w:tc>
          <w:tcPr>
            <w:tcW w:w="30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single" w:sz="2" w:space="1" w:color="000000"/>
              </w:pBdr>
              <w:bidi w:val="0"/>
              <w:spacing w:before="0" w:after="0"/>
              <w:jc w:val="left"/>
              <w:rPr/>
            </w:pPr>
            <w:r>
              <w:rPr/>
              <w:t> </w:t>
            </w:r>
          </w:p>
        </w:tc>
        <w:tc>
          <w:tcPr>
            <w:tcW w:w="1093"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19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Less Ancillary Services</w:t>
            </w:r>
          </w:p>
        </w:tc>
        <w:tc>
          <w:tcPr>
            <w:tcW w:w="15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427" w:type="dxa"/>
            <w:tcBorders/>
            <w:shd w:fill="CCEEFF" w:val="clear"/>
            <w:vAlign w:val="bottom"/>
          </w:tcPr>
          <w:p>
            <w:pPr>
              <w:pStyle w:val="TableContents"/>
              <w:bidi w:val="0"/>
              <w:spacing w:before="0" w:after="283"/>
              <w:jc w:val="right"/>
              <w:rPr/>
            </w:pPr>
            <w:r>
              <w:rPr/>
              <w:t>116.0</w:t>
            </w:r>
          </w:p>
        </w:tc>
        <w:tc>
          <w:tcPr>
            <w:tcW w:w="395"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431" w:type="dxa"/>
            <w:tcBorders/>
            <w:shd w:fill="CCEEFF" w:val="clear"/>
            <w:vAlign w:val="bottom"/>
          </w:tcPr>
          <w:p>
            <w:pPr>
              <w:pStyle w:val="TableContents"/>
              <w:bidi w:val="0"/>
              <w:spacing w:before="0" w:after="283"/>
              <w:jc w:val="right"/>
              <w:rPr/>
            </w:pPr>
            <w:r>
              <w:rPr/>
              <w:t>122.0</w:t>
            </w:r>
          </w:p>
        </w:tc>
        <w:tc>
          <w:tcPr>
            <w:tcW w:w="15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089" w:type="dxa"/>
            <w:tcBorders/>
            <w:shd w:fill="CCEEFF" w:val="clear"/>
            <w:vAlign w:val="bottom"/>
          </w:tcPr>
          <w:p>
            <w:pPr>
              <w:pStyle w:val="TableContents"/>
              <w:bidi w:val="0"/>
              <w:spacing w:before="0" w:after="283"/>
              <w:jc w:val="right"/>
              <w:rPr/>
            </w:pPr>
            <w:r>
              <w:rPr/>
              <w:t>372.0</w:t>
            </w:r>
          </w:p>
        </w:tc>
        <w:tc>
          <w:tcPr>
            <w:tcW w:w="300" w:type="dxa"/>
            <w:tcBorders/>
            <w:shd w:fill="CCEEFF" w:val="clear"/>
            <w:vAlign w:val="bottom"/>
          </w:tcPr>
          <w:p>
            <w:pPr>
              <w:pStyle w:val="TableContents"/>
              <w:bidi w:val="0"/>
              <w:spacing w:before="0" w:after="283"/>
              <w:jc w:val="left"/>
              <w:rPr/>
            </w:pPr>
            <w:r>
              <w:rPr/>
              <w:t> </w:t>
            </w:r>
          </w:p>
        </w:tc>
        <w:tc>
          <w:tcPr>
            <w:tcW w:w="258" w:type="dxa"/>
            <w:tcBorders/>
            <w:shd w:fill="CCEEFF" w:val="clear"/>
            <w:vAlign w:val="bottom"/>
          </w:tcPr>
          <w:p>
            <w:pPr>
              <w:pStyle w:val="TableContents"/>
              <w:bidi w:val="0"/>
              <w:spacing w:before="0" w:after="283"/>
              <w:jc w:val="left"/>
              <w:rPr/>
            </w:pPr>
            <w:r>
              <w:rPr/>
              <w:t>  </w:t>
            </w:r>
          </w:p>
        </w:tc>
        <w:tc>
          <w:tcPr>
            <w:tcW w:w="272"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380.0</w:t>
            </w:r>
          </w:p>
        </w:tc>
        <w:tc>
          <w:tcPr>
            <w:tcW w:w="162" w:type="dxa"/>
            <w:tcBorders/>
            <w:shd w:fill="CCEEFF" w:val="clear"/>
            <w:vAlign w:val="bottom"/>
          </w:tcPr>
          <w:p>
            <w:pPr>
              <w:pStyle w:val="TableContents"/>
              <w:bidi w:val="0"/>
              <w:spacing w:before="0" w:after="283"/>
              <w:jc w:val="left"/>
              <w:rPr/>
            </w:pPr>
            <w:r>
              <w:rPr/>
              <w:t> </w:t>
            </w:r>
          </w:p>
        </w:tc>
      </w:tr>
      <w:tr>
        <w:trPr/>
        <w:tc>
          <w:tcPr>
            <w:tcW w:w="1195" w:type="dxa"/>
            <w:tcBorders/>
            <w:vAlign w:val="bottom"/>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1427" w:type="dxa"/>
            <w:tcBorders/>
            <w:vAlign w:val="bottom"/>
          </w:tcPr>
          <w:p>
            <w:pPr>
              <w:pStyle w:val="TableContents"/>
              <w:pBdr>
                <w:top w:val="double" w:sz="6" w:space="1" w:color="000000"/>
              </w:pBdr>
              <w:bidi w:val="0"/>
              <w:spacing w:before="0" w:after="0"/>
              <w:jc w:val="left"/>
              <w:rPr/>
            </w:pPr>
            <w:r>
              <w:rPr/>
              <w:t> </w:t>
            </w:r>
          </w:p>
        </w:tc>
        <w:tc>
          <w:tcPr>
            <w:tcW w:w="395" w:type="dxa"/>
            <w:tcBorders/>
            <w:vAlign w:val="center"/>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143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1089" w:type="dxa"/>
            <w:tcBorders/>
            <w:vAlign w:val="bottom"/>
          </w:tcPr>
          <w:p>
            <w:pPr>
              <w:pStyle w:val="TableContents"/>
              <w:pBdr>
                <w:top w:val="double" w:sz="6" w:space="1" w:color="000000"/>
              </w:pBdr>
              <w:bidi w:val="0"/>
              <w:spacing w:before="0" w:after="0"/>
              <w:jc w:val="left"/>
              <w:rPr/>
            </w:pPr>
            <w:r>
              <w:rPr/>
              <w:t> </w:t>
            </w:r>
          </w:p>
        </w:tc>
        <w:tc>
          <w:tcPr>
            <w:tcW w:w="300" w:type="dxa"/>
            <w:tcBorders/>
            <w:vAlign w:val="center"/>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pBdr>
                <w:top w:val="double" w:sz="6" w:space="1" w:color="000000"/>
              </w:pBdr>
              <w:bidi w:val="0"/>
              <w:spacing w:before="0" w:after="0"/>
              <w:jc w:val="left"/>
              <w:rPr/>
            </w:pPr>
            <w:r>
              <w:rPr/>
              <w:t> </w:t>
            </w:r>
          </w:p>
        </w:tc>
        <w:tc>
          <w:tcPr>
            <w:tcW w:w="1093"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1195" w:type="dxa"/>
            <w:tcBorders/>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5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1427" w:type="dxa"/>
            <w:tcBorders/>
            <w:vAlign w:val="bottom"/>
          </w:tcPr>
          <w:p>
            <w:pPr>
              <w:pStyle w:val="TableContents"/>
              <w:bidi w:val="0"/>
              <w:spacing w:before="0" w:after="283"/>
              <w:jc w:val="right"/>
              <w:rPr/>
            </w:pPr>
            <w:r>
              <w:rPr/>
              <w:t>24.0</w:t>
            </w:r>
          </w:p>
        </w:tc>
        <w:tc>
          <w:tcPr>
            <w:tcW w:w="395"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w:t>
            </w:r>
          </w:p>
        </w:tc>
        <w:tc>
          <w:tcPr>
            <w:tcW w:w="1431" w:type="dxa"/>
            <w:tcBorders/>
            <w:vAlign w:val="bottom"/>
          </w:tcPr>
          <w:p>
            <w:pPr>
              <w:pStyle w:val="TableContents"/>
              <w:bidi w:val="0"/>
              <w:spacing w:before="0" w:after="283"/>
              <w:jc w:val="right"/>
              <w:rPr/>
            </w:pPr>
            <w:r>
              <w:rPr/>
              <w:t>28.0</w:t>
            </w:r>
          </w:p>
        </w:tc>
        <w:tc>
          <w:tcPr>
            <w:tcW w:w="15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89" w:type="dxa"/>
            <w:tcBorders/>
            <w:vAlign w:val="bottom"/>
          </w:tcPr>
          <w:p>
            <w:pPr>
              <w:pStyle w:val="TableContents"/>
              <w:bidi w:val="0"/>
              <w:spacing w:before="0" w:after="283"/>
              <w:jc w:val="right"/>
              <w:rPr/>
            </w:pPr>
            <w:r>
              <w:rPr/>
              <w:t>33.0</w:t>
            </w:r>
          </w:p>
        </w:tc>
        <w:tc>
          <w:tcPr>
            <w:tcW w:w="300" w:type="dxa"/>
            <w:tcBorders/>
            <w:vAlign w:val="bottom"/>
          </w:tcPr>
          <w:p>
            <w:pPr>
              <w:pStyle w:val="TableContents"/>
              <w:bidi w:val="0"/>
              <w:spacing w:before="0" w:after="283"/>
              <w:jc w:val="left"/>
              <w:rPr/>
            </w:pPr>
            <w:r>
              <w:rPr/>
              <w:t> </w:t>
            </w:r>
          </w:p>
        </w:tc>
        <w:tc>
          <w:tcPr>
            <w:tcW w:w="258" w:type="dxa"/>
            <w:tcBorders/>
            <w:vAlign w:val="bottom"/>
          </w:tcPr>
          <w:p>
            <w:pPr>
              <w:pStyle w:val="TableContents"/>
              <w:bidi w:val="0"/>
              <w:spacing w:before="0" w:after="283"/>
              <w:jc w:val="left"/>
              <w:rPr/>
            </w:pPr>
            <w:r>
              <w:rPr/>
              <w:t>  </w:t>
            </w:r>
          </w:p>
        </w:tc>
        <w:tc>
          <w:tcPr>
            <w:tcW w:w="272"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39.0</w:t>
            </w:r>
          </w:p>
        </w:tc>
        <w:tc>
          <w:tcPr>
            <w:tcW w:w="162" w:type="dxa"/>
            <w:tcBorders/>
            <w:vAlign w:val="bottom"/>
          </w:tcPr>
          <w:p>
            <w:pPr>
              <w:pStyle w:val="TableContents"/>
              <w:bidi w:val="0"/>
              <w:spacing w:before="0" w:after="283"/>
              <w:jc w:val="left"/>
              <w:rPr/>
            </w:pPr>
            <w:r>
              <w:rPr/>
              <w:t> </w:t>
            </w:r>
          </w:p>
        </w:tc>
      </w:tr>
    </w:tbl>
    <w:p>
      <w:pPr>
        <w:pStyle w:val="TextBody"/>
        <w:bidi w:val="0"/>
        <w:jc w:val="center"/>
        <w:rPr/>
      </w:pPr>
      <w:bookmarkStart w:id="4" w:name="d498799dex992.htm"/>
      <w:bookmarkStart w:id="5" w:name="ksd498799dex992"/>
      <w:bookmarkEnd w:id="4"/>
      <w:bookmarkEnd w:id="5"/>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Q2 2023 Earnings Supplement August 8,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Disclosures This presentation includes forward-looking statements within the meaning of the Private Securities Litigation Reform Act of 1995 and Section 21E of the Securities Exchange Act of 1934, as amended. All statements other than statements of historical facts contained in this presentation, including statements regarding Flywire’s ability to successfully implement Flywire’s business plan, future results of operations and financial position, business strategy and plans and Flywire’s objectives for future operations, are forward -looking statements. The words “believe,” “may,” “will,” “estimate,” “continue,” “anticipate,” “intend,” “expect,” “plans,” “potential,” “seeks,” “projects,” “should,” “could” and “would” and similar expressions are intended to identify forward -looking statements, although not all forward-looking statements contain these identifying words. Flywire has based these forward- looking statements largely on Flywire’s current expectations and projections about future events and financial trends that Flywire believes may affect Flywire’s financial condition, results of operations, business strategy, short-term and long-term business operations and objectives, and financial needs. These forward-looking statements are subject to a number of risks, uncertainties and assumptions that are described in the Risk Factors and Management's Discussion and Analysis of Financial Condition and Results of Operations sections of Flywire's Annual Report on Form 10-K for the year ended December 31, 2022 and Quarterly Report on Form 10-Q for the quarter ended March 31, 2023, which are on file with the Securities and Exchange Commission (SEC) and available on the SEC's website at www.sec.gov. Additional factors may be described in those sections of Flywire’s Quarterly Report on Form 10-Q for the quarter ended June 30, 2023, expected to be filed with the SEC in the third quarter of 2023. In light of these risks, uncertainties and assumptions, the forward -looking events and circumstances discussed in this presentation may not occur and actual results could differ materially and adversely from those anticipated or implied in the forward-looking statements. You should not rely upon forward-looking statements as predictions of future events or performance. In addition, projections, assumptions and estimates of the future performance of the industries in which Flywire operates and the markets it serves are inherently imprecise and subject to a high degree of uncertainty and risk. All financial projections contained in this presentation are forward -looking statements and are based on Flywire’s management’s assessment of such matters. It is unlikely, however, that the assumptions on which Flywire has based its projections will prove to be fully correct or that the projected figures will be attained. Flywire’s actual future results may differ materially from Flywire’s projections, and it makes no express or implied representation or warranty as to attainability of the results reflected in these projections. Investments in Flywire’s securities involve a high degree of risk and should be regarded as speculative. Certain information contained in this presentation relates to or is based on studies, publications, surveys and other data obtained from third-party sources and Flywire’s own internal estimates and research. While Flywire believes these third-party sources to be reliable as of the date of this presentation, it has not independently verified, and makes no representation as to the adequacy, fairness, accuracy or completeness of any information obtained from third-party sources. In addition, all of the market data included in this presentation involves a number of assumptions and limitations, and there can be no guarantee as to the accuracy or reliability of such assumptions. Finally, while Flywire believes its own internal research is reliable, such research has not been verified by any independent source. The information in this presentation is provided only as of Augsut 8, 2023, and Flywire undertakes no obligation to update any forward-looking statements contained in this presentation on account of new information, future events, or otherwise, except as required by law. This presentation contains certain non-GAAP financial measures as defined by SEC rules. Flywire has provided a reconciliation of those measures to the most directly comparable GAAP measures, which is available in the Appendix. The company has relied upon the exception in item 10(e)(1)(i)(B) of Regulation S-K and has not provided a quantitative reconciliation from forecasted adjusted EBITDA to forecasted GAAP net income (loss) or to forecasted GAAP income (loss) before income taxes, because it is unable without making unreasonable efforts, to calculate certain reconciling items with confidence. These items include but are not limited to income taxes which are directly impacted by unpredictable fluctuations in the market price of the company's stock. 2</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Execution Fulfillment Our mission is to deliver the most important and complex payments 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Q2 2023 Performance 4</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GAAP Financial Highlights Q2 2023 $84.9 M 57.5% $(16.8)M Revenue Gross Margin Net Loss 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Key Operating Metrics (Non-GAAP) Q2 2023 ($0.1M) $4.1B $79.5M 63.5% 1 1 1,2 +54.4% (330) bps +43.0% Total Revenue Less Adjusted Adjusted Payment Ancillary Gross EBITDA Volume Services Margin 1. Represents Y-o-Y Growth as compared to Q2 2022. 2. Prior year Adjusted Gross Profit and Adjusted Gross Margin have been recast to align with the updated methodology as described in the Appendix. See appendix for reconciliation to GAAP amounts 6</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Growth Strategies Grow with Grow with Expand our Expand to Pursue strategic existing new ecosystem new industries, &amp; value- clients clients through channel geographies &amp; enhancing partnerships products acquisitions 124% 165+ 2022 average New clients in Q2 annual dollar-based 2023 net retention rate 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GROWTH with NEW CLIENTS What I love about the Flywire platform is that it is very easy to use and comprehensive. You are able to see your Overview payments quickly, and there’s so much detail provided. That ● A global software leader in is a major gain when you are doing cash application and digital insights and research technology trying to get details on a client quickly. It’s very efficient. ● Founded in 1998 with 18 global And the customer service has been great, very responsive. offices ● Over 3,200 companies use Cint to gather consumer insights Chelsea Holmes Flywire Solution Treasury Department Implemented Flywire is contracted exclusively for all cross-border payments coming into Cint’s global business lines. Flywire’s solution is seamlessly integrated with NetSuite and Quadient AR by YayPay</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EXPAND ECOSYSTEM through CHANNEL PARTNERS + Flywire stood out not only for its powerful Channel Partner Overview payment technology and seamless integration, but also for its knowledge of the ● Headquartered in Tokyo, DISCO is one of the leading student application solutions for the National / Public university Japanese higher education sector. Flywire's system in Japan, providing more than 1,000 universities, colleges and vocational schools with a variety of services innovative payment processing combined from student recruitment and marketing, to professional with our additional services will enhance the training and consulting payment experience for our customers and Flywire Relationship their students. ● As the exclusive international payments provider for DISCO, Flywire integrates directly into DISCO’s e-apply system, which Masaro Niidome streamlines the application and enrollment payment President experience for international students, and improves operational efficiencies for university administrators ● DISCO customers wanted to provide their students with more payment options, and were looking for ways to reduce the manual reconciliation process for administrators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Outlook 10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Q3 2023 Outlook* $116 – $122M $24 - $28M 1 Revenue Less Adjusted EBITDA Ancillary Services 1. Flywire has relied upon the exception in item 10(e)(1)(i)(B) of Regulation S-K and has not provided a quantitative reconciliation of forecasted Adjusted EBITDA to forecasted GAAP net income (loss) or to forecasted GAAP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*Assumes foreign exchange rates prevailing as of June 30, 2023 11</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FY 2023 Outlook* $372 - $380M $33 - 39M 1 Revenue Less Adjusted EBITDA Ancillary Services 1. Flywire has relied upon the exception in item 10(e)(1)(i)(B) of Regulation S-K and has not provided a quantitative reconciliation of forecasted Adjusted EBITDA to forecasted GAAP net income (loss) or to forecasted GAAP income (loss) before income taxes within this presentation because Flywire is unable, without making unreasonable efforts, to calculate certain reconciling items with confidence. These items include, but are not limited to income taxes which are directly impacted by unpredictable fluctuations in the market price of Flywire's stock. 12 *Assumes foreign exchange rates prevailing as of June 30, 2023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 13</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at Constant Currency* $USD in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Less Ancillary Services &amp; Adjusted Gross Margin Reconciliations * *Beginning with the quarter ended December 31, 2022, we have excluded depreciation and amortization from the calculation of our adjusted gross profit, which we believe enhances the understanding of the Company’s operating performance and enables more meaningful period to period comparisons. $USD in Millions 15</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Revenue Disaggregation by Revenue Type 16 $USD in Millions</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Net Loss to Adjusted EBITDA Reconciliation $USD in Millions 17</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Reconciliation of Revenue to Revenue Less Ancillary Services Guidance $USD in Millions 18</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7391</Words>
  <Characters>40399</Characters>
  <CharactersWithSpaces>49237</CharactersWithSpaces>
  <Paragraphs>3485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