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June 30, 2025</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3" w:lineRule="exact"/>
        <w:rPr>
          <w:sz w:val="24"/>
          <w:szCs w:val="24"/>
          <w:color w:val="auto"/>
        </w:rPr>
      </w:pPr>
    </w:p>
    <w:p>
      <w:pPr>
        <w:ind w:left="36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123825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FLYWIRE CORPORATION</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500" w:type="dxa"/>
            <w:vAlign w:val="bottom"/>
            <w:gridSpan w:val="3"/>
          </w:tcPr>
          <w:p>
            <w:pPr>
              <w:jc w:val="center"/>
              <w:ind w:left="106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Pr>
          <w:p>
            <w:pPr>
              <w:jc w:val="right"/>
              <w:ind w:right="230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62"/>
        </w:trPr>
        <w:tc>
          <w:tcPr>
            <w:tcW w:w="450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50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79"/>
        </w:trPr>
        <w:tc>
          <w:tcPr>
            <w:tcW w:w="4500" w:type="dxa"/>
            <w:vAlign w:val="bottom"/>
            <w:gridSpan w:val="3"/>
          </w:tcPr>
          <w:p>
            <w:pPr>
              <w:jc w:val="center"/>
              <w:ind w:left="106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Boston, MA</w:t>
            </w: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jc w:val="right"/>
              <w:ind w:right="250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96"/>
        </w:trPr>
        <w:tc>
          <w:tcPr>
            <w:tcW w:w="4500" w:type="dxa"/>
            <w:vAlign w:val="bottom"/>
            <w:gridSpan w:val="3"/>
          </w:tcPr>
          <w:p>
            <w:pPr>
              <w:jc w:val="center"/>
              <w:ind w:left="106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91"/>
        </w:trPr>
        <w:tc>
          <w:tcPr>
            <w:tcW w:w="1124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820" w:type="dxa"/>
            <w:vAlign w:val="bottom"/>
            <w:gridSpan w:val="7"/>
          </w:tcPr>
          <w:p>
            <w:pPr>
              <w:jc w:val="center"/>
              <w:ind w:left="330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33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ind w:right="14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350"/>
        </w:trPr>
        <w:tc>
          <w:tcPr>
            <w:tcW w:w="450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jc w:val="center"/>
              <w:ind w:right="1100"/>
              <w:spacing w:after="0"/>
              <w:rPr>
                <w:sz w:val="20"/>
                <w:szCs w:val="20"/>
                <w:color w:val="auto"/>
              </w:rPr>
            </w:pPr>
            <w:r>
              <w:rPr>
                <w:rFonts w:ascii="Arial" w:cs="Arial" w:eastAsia="Arial" w:hAnsi="Arial"/>
                <w:sz w:val="16"/>
                <w:szCs w:val="16"/>
                <w:b w:val="1"/>
                <w:bCs w:val="1"/>
                <w:color w:val="auto"/>
              </w:rPr>
              <w:t>FLYW</w:t>
            </w:r>
          </w:p>
        </w:tc>
        <w:tc>
          <w:tcPr>
            <w:tcW w:w="342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23"/>
        </w:trPr>
        <w:tc>
          <w:tcPr>
            <w:tcW w:w="450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2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80" w:firstLine="50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32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right="14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93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120" w:firstLine="509"/>
        <w:spacing w:after="0" w:line="286" w:lineRule="auto"/>
        <w:rPr>
          <w:sz w:val="20"/>
          <w:szCs w:val="20"/>
          <w:color w:val="auto"/>
        </w:rPr>
      </w:pPr>
      <w:r>
        <w:rPr>
          <w:rFonts w:ascii="Arial" w:cs="Arial" w:eastAsia="Arial" w:hAnsi="Arial"/>
          <w:sz w:val="16"/>
          <w:szCs w:val="16"/>
          <w:color w:val="auto"/>
        </w:rPr>
        <w:t>As of July 31, 2025, the registrant had 120,437,014 shares of voting common stock, $0.0001 par value per share, outstanding and 1,873,320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60" w:type="dxa"/>
            <w:vAlign w:val="bottom"/>
            <w:gridSpan w:val="15"/>
          </w:tcPr>
          <w:p>
            <w:pPr>
              <w:ind w:left="2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37"/>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20" w:type="dxa"/>
            <w:vAlign w:val="bottom"/>
            <w:gridSpan w:val="3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85"/>
        </w:trPr>
        <w:tc>
          <w:tcPr>
            <w:tcW w:w="1140" w:type="dxa"/>
            <w:vAlign w:val="bottom"/>
            <w:gridSpan w:val="7"/>
          </w:tcPr>
          <w:p>
            <w:pPr>
              <w:spacing w:after="0"/>
              <w:rPr>
                <w:sz w:val="20"/>
                <w:szCs w:val="20"/>
                <w:color w:val="auto"/>
              </w:rPr>
            </w:pPr>
            <w:r>
              <w:rPr>
                <w:rFonts w:ascii="Arial" w:cs="Arial" w:eastAsia="Arial" w:hAnsi="Arial"/>
                <w:sz w:val="18"/>
                <w:szCs w:val="18"/>
                <w:b w:val="1"/>
                <w:bCs w:val="1"/>
                <w:color w:val="0000FF"/>
              </w:rPr>
              <w:t>PART I</w:t>
            </w:r>
            <w:r>
              <w:rPr>
                <w:rFonts w:ascii="Arial" w:cs="Arial" w:eastAsia="Arial" w:hAnsi="Arial"/>
                <w:sz w:val="18"/>
                <w:szCs w:val="18"/>
                <w:b w:val="1"/>
                <w:bCs w:val="1"/>
                <w:color w:val="000000"/>
              </w:rPr>
              <w:t>.</w:t>
            </w:r>
          </w:p>
        </w:tc>
        <w:tc>
          <w:tcPr>
            <w:tcW w:w="426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FINANCIAL INFORMATION</w:t>
            </w:r>
          </w:p>
        </w:tc>
        <w:tc>
          <w:tcPr>
            <w:tcW w:w="50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600" w:type="dxa"/>
            <w:vAlign w:val="bottom"/>
            <w:gridSpan w:val="3"/>
          </w:tcPr>
          <w:p>
            <w:pPr>
              <w:spacing w:after="0" w:line="182" w:lineRule="exact"/>
              <w:rPr>
                <w:sz w:val="20"/>
                <w:szCs w:val="20"/>
                <w:color w:val="auto"/>
              </w:rPr>
            </w:pPr>
            <w:r>
              <w:rPr>
                <w:rFonts w:ascii="Arial" w:cs="Arial" w:eastAsia="Arial" w:hAnsi="Arial"/>
                <w:sz w:val="18"/>
                <w:szCs w:val="18"/>
                <w:color w:val="0000FF"/>
              </w:rPr>
              <w:t>Item 1.</w:t>
            </w: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320" w:type="dxa"/>
            <w:vAlign w:val="bottom"/>
            <w:gridSpan w:val="37"/>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7"/>
              </w:rPr>
              <w:t>Condensed Consolidated Balance</w:t>
            </w:r>
          </w:p>
        </w:tc>
        <w:tc>
          <w:tcPr>
            <w:tcW w:w="40" w:type="dxa"/>
            <w:vAlign w:val="bottom"/>
          </w:tcPr>
          <w:p>
            <w:pPr>
              <w:spacing w:after="0"/>
              <w:rPr>
                <w:sz w:val="15"/>
                <w:szCs w:val="15"/>
                <w:color w:val="auto"/>
              </w:rPr>
            </w:pPr>
          </w:p>
        </w:tc>
        <w:tc>
          <w:tcPr>
            <w:tcW w:w="6600" w:type="dxa"/>
            <w:vAlign w:val="bottom"/>
            <w:gridSpan w:val="23"/>
          </w:tcPr>
          <w:p>
            <w:pPr>
              <w:jc w:val="center"/>
              <w:ind w:right="5920"/>
              <w:spacing w:after="0" w:line="182" w:lineRule="exact"/>
              <w:rPr>
                <w:sz w:val="20"/>
                <w:szCs w:val="20"/>
                <w:color w:val="auto"/>
              </w:rPr>
            </w:pPr>
            <w:r>
              <w:rPr>
                <w:rFonts w:ascii="Arial" w:cs="Arial" w:eastAsia="Arial" w:hAnsi="Arial"/>
                <w:sz w:val="18"/>
                <w:szCs w:val="18"/>
                <w:color w:val="0000FF"/>
                <w:w w:val="99"/>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18"/>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Borders>
              <w:top w:val="single" w:sz="8" w:color="0000FF"/>
            </w:tcBorders>
            <w:gridSpan w:val="34"/>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24"/>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80" w:type="dxa"/>
            <w:vAlign w:val="bottom"/>
            <w:tcBorders>
              <w:top w:val="single" w:sz="8" w:color="0000FF"/>
            </w:tcBorders>
            <w:gridSpan w:val="8"/>
          </w:tcPr>
          <w:p>
            <w:pPr>
              <w:spacing w:after="0"/>
              <w:rPr>
                <w:sz w:val="15"/>
                <w:szCs w:val="15"/>
                <w:color w:val="auto"/>
              </w:rPr>
            </w:pPr>
          </w:p>
        </w:tc>
        <w:tc>
          <w:tcPr>
            <w:tcW w:w="15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Borders>
              <w:bottom w:val="single" w:sz="8" w:color="0000FF"/>
            </w:tcBorders>
            <w:gridSpan w:val="28"/>
          </w:tcPr>
          <w:p>
            <w:pPr>
              <w:spacing w:after="0" w:line="182" w:lineRule="exact"/>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15"/>
                <w:szCs w:val="15"/>
                <w:color w:val="auto"/>
              </w:rPr>
            </w:pPr>
          </w:p>
        </w:tc>
        <w:tc>
          <w:tcPr>
            <w:tcW w:w="482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1.</w:t>
            </w:r>
          </w:p>
        </w:tc>
        <w:tc>
          <w:tcPr>
            <w:tcW w:w="8300" w:type="dxa"/>
            <w:vAlign w:val="bottom"/>
            <w:gridSpan w:val="33"/>
          </w:tcPr>
          <w:p>
            <w:pPr>
              <w:ind w:left="40"/>
              <w:spacing w:after="0" w:line="182" w:lineRule="exact"/>
              <w:rPr>
                <w:sz w:val="20"/>
                <w:szCs w:val="20"/>
                <w:color w:val="auto"/>
              </w:rPr>
            </w:pPr>
            <w:r>
              <w:rPr>
                <w:rFonts w:ascii="Arial" w:cs="Arial" w:eastAsia="Arial" w:hAnsi="Arial"/>
                <w:sz w:val="18"/>
                <w:szCs w:val="18"/>
                <w:color w:val="0000FF"/>
              </w:rPr>
              <w:t>Business Overview and Summary of Significant Accounting Policies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2.</w:t>
            </w:r>
          </w:p>
        </w:tc>
        <w:tc>
          <w:tcPr>
            <w:tcW w:w="5420" w:type="dxa"/>
            <w:vAlign w:val="bottom"/>
            <w:gridSpan w:val="31"/>
          </w:tcPr>
          <w:p>
            <w:pPr>
              <w:ind w:left="40"/>
              <w:spacing w:after="0" w:line="182" w:lineRule="exact"/>
              <w:rPr>
                <w:sz w:val="20"/>
                <w:szCs w:val="20"/>
                <w:color w:val="auto"/>
              </w:rPr>
            </w:pPr>
            <w:r>
              <w:rPr>
                <w:rFonts w:ascii="Arial" w:cs="Arial" w:eastAsia="Arial" w:hAnsi="Arial"/>
                <w:sz w:val="18"/>
                <w:szCs w:val="18"/>
                <w:color w:val="0000FF"/>
              </w:rPr>
              <w:t>Revenue and Recognition</w:t>
            </w:r>
          </w:p>
        </w:tc>
        <w:tc>
          <w:tcPr>
            <w:tcW w:w="64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3.</w:t>
            </w:r>
          </w:p>
        </w:tc>
        <w:tc>
          <w:tcPr>
            <w:tcW w:w="2120" w:type="dxa"/>
            <w:vAlign w:val="bottom"/>
            <w:gridSpan w:val="14"/>
          </w:tcPr>
          <w:p>
            <w:pPr>
              <w:ind w:left="40"/>
              <w:spacing w:after="0" w:line="182" w:lineRule="exact"/>
              <w:rPr>
                <w:sz w:val="20"/>
                <w:szCs w:val="20"/>
                <w:color w:val="auto"/>
              </w:rPr>
            </w:pPr>
            <w:r>
              <w:rPr>
                <w:rFonts w:ascii="Arial" w:cs="Arial" w:eastAsia="Arial" w:hAnsi="Arial"/>
                <w:sz w:val="18"/>
                <w:szCs w:val="18"/>
                <w:color w:val="0000FF"/>
              </w:rPr>
              <w:t>Segment Information</w:t>
            </w:r>
          </w:p>
        </w:tc>
        <w:tc>
          <w:tcPr>
            <w:tcW w:w="2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4.</w:t>
            </w:r>
          </w:p>
        </w:tc>
        <w:tc>
          <w:tcPr>
            <w:tcW w:w="1700" w:type="dxa"/>
            <w:vAlign w:val="bottom"/>
            <w:gridSpan w:val="10"/>
          </w:tcPr>
          <w:p>
            <w:pPr>
              <w:ind w:left="40"/>
              <w:spacing w:after="0" w:line="182" w:lineRule="exact"/>
              <w:rPr>
                <w:sz w:val="20"/>
                <w:szCs w:val="20"/>
                <w:color w:val="auto"/>
              </w:rPr>
            </w:pPr>
            <w:r>
              <w:rPr>
                <w:rFonts w:ascii="Arial" w:cs="Arial" w:eastAsia="Arial" w:hAnsi="Arial"/>
                <w:sz w:val="18"/>
                <w:szCs w:val="18"/>
                <w:color w:val="0000FF"/>
              </w:rPr>
              <w:t>Investments</w:t>
            </w:r>
          </w:p>
        </w:tc>
        <w:tc>
          <w:tcPr>
            <w:tcW w:w="1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7300" w:type="dxa"/>
            <w:vAlign w:val="bottom"/>
            <w:gridSpan w:val="29"/>
            <w:vMerge w:val="restart"/>
          </w:tcPr>
          <w:p>
            <w:pPr>
              <w:jc w:val="center"/>
              <w:ind w:right="6200"/>
              <w:spacing w:after="0" w:line="202" w:lineRule="exact"/>
              <w:rPr>
                <w:sz w:val="20"/>
                <w:szCs w:val="20"/>
                <w:color w:val="auto"/>
              </w:rPr>
            </w:pPr>
            <w:r>
              <w:rPr>
                <w:rFonts w:ascii="Arial" w:cs="Arial" w:eastAsia="Arial" w:hAnsi="Arial"/>
                <w:sz w:val="18"/>
                <w:szCs w:val="18"/>
                <w:color w:val="0000FF"/>
                <w:w w:val="92"/>
              </w:rPr>
              <w:t>Measurements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5.</w:t>
            </w:r>
          </w:p>
        </w:tc>
        <w:tc>
          <w:tcPr>
            <w:tcW w:w="1000" w:type="dxa"/>
            <w:vAlign w:val="bottom"/>
            <w:gridSpan w:val="4"/>
          </w:tcPr>
          <w:p>
            <w:pPr>
              <w:ind w:left="40"/>
              <w:spacing w:after="0" w:line="182" w:lineRule="exact"/>
              <w:rPr>
                <w:sz w:val="20"/>
                <w:szCs w:val="20"/>
                <w:color w:val="auto"/>
              </w:rPr>
            </w:pPr>
            <w:r>
              <w:rPr>
                <w:rFonts w:ascii="Arial" w:cs="Arial" w:eastAsia="Arial" w:hAnsi="Arial"/>
                <w:sz w:val="18"/>
                <w:szCs w:val="18"/>
                <w:color w:val="0000FF"/>
              </w:rPr>
              <w:t>Fair Value</w:t>
            </w:r>
          </w:p>
        </w:tc>
        <w:tc>
          <w:tcPr>
            <w:tcW w:w="7300" w:type="dxa"/>
            <w:vAlign w:val="bottom"/>
            <w:gridSpan w:val="2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6.</w:t>
            </w:r>
          </w:p>
        </w:tc>
        <w:tc>
          <w:tcPr>
            <w:tcW w:w="2100" w:type="dxa"/>
            <w:vAlign w:val="bottom"/>
            <w:gridSpan w:val="13"/>
          </w:tcPr>
          <w:p>
            <w:pPr>
              <w:ind w:left="40"/>
              <w:spacing w:after="0" w:line="182" w:lineRule="exact"/>
              <w:rPr>
                <w:sz w:val="20"/>
                <w:szCs w:val="20"/>
                <w:color w:val="auto"/>
              </w:rPr>
            </w:pPr>
            <w:r>
              <w:rPr>
                <w:rFonts w:ascii="Arial" w:cs="Arial" w:eastAsia="Arial" w:hAnsi="Arial"/>
                <w:sz w:val="18"/>
                <w:szCs w:val="18"/>
                <w:color w:val="0000FF"/>
              </w:rPr>
              <w:t>Derivative Instruments</w:t>
            </w:r>
          </w:p>
        </w:tc>
        <w:tc>
          <w:tcPr>
            <w:tcW w:w="2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420" w:type="dxa"/>
            <w:vAlign w:val="bottom"/>
            <w:gridSpan w:val="22"/>
            <w:vMerge w:val="restart"/>
          </w:tcPr>
          <w:p>
            <w:pPr>
              <w:ind w:left="60"/>
              <w:spacing w:after="0" w:line="202" w:lineRule="exact"/>
              <w:rPr>
                <w:sz w:val="20"/>
                <w:szCs w:val="20"/>
                <w:color w:val="auto"/>
              </w:rPr>
            </w:pPr>
            <w:r>
              <w:rPr>
                <w:rFonts w:ascii="Arial" w:cs="Arial" w:eastAsia="Arial" w:hAnsi="Arial"/>
                <w:sz w:val="18"/>
                <w:szCs w:val="18"/>
                <w:color w:val="0000FF"/>
              </w:rPr>
              <w:t>Other Current Liabilities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7.</w:t>
            </w:r>
          </w:p>
        </w:tc>
        <w:tc>
          <w:tcPr>
            <w:tcW w:w="1880" w:type="dxa"/>
            <w:vAlign w:val="bottom"/>
            <w:gridSpan w:val="11"/>
          </w:tcPr>
          <w:p>
            <w:pPr>
              <w:ind w:left="40"/>
              <w:spacing w:after="0" w:line="182" w:lineRule="exact"/>
              <w:rPr>
                <w:sz w:val="20"/>
                <w:szCs w:val="20"/>
                <w:color w:val="auto"/>
              </w:rPr>
            </w:pPr>
            <w:r>
              <w:rPr>
                <w:rFonts w:ascii="Arial" w:cs="Arial" w:eastAsia="Arial" w:hAnsi="Arial"/>
                <w:sz w:val="18"/>
                <w:szCs w:val="18"/>
                <w:color w:val="0000FF"/>
                <w:w w:val="97"/>
              </w:rPr>
              <w:t>Accrued Expenses and</w:t>
            </w:r>
          </w:p>
        </w:tc>
        <w:tc>
          <w:tcPr>
            <w:tcW w:w="6420" w:type="dxa"/>
            <w:vAlign w:val="bottom"/>
            <w:gridSpan w:val="2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8.</w:t>
            </w:r>
          </w:p>
        </w:tc>
        <w:tc>
          <w:tcPr>
            <w:tcW w:w="3820" w:type="dxa"/>
            <w:vAlign w:val="bottom"/>
            <w:gridSpan w:val="27"/>
          </w:tcPr>
          <w:p>
            <w:pPr>
              <w:ind w:left="40"/>
              <w:spacing w:after="0" w:line="182" w:lineRule="exact"/>
              <w:rPr>
                <w:sz w:val="20"/>
                <w:szCs w:val="20"/>
                <w:color w:val="auto"/>
              </w:rPr>
            </w:pPr>
            <w:r>
              <w:rPr>
                <w:rFonts w:ascii="Arial" w:cs="Arial" w:eastAsia="Arial" w:hAnsi="Arial"/>
                <w:sz w:val="18"/>
                <w:szCs w:val="18"/>
                <w:color w:val="0000FF"/>
              </w:rPr>
              <w:t>Property and Equipment, net</w:t>
            </w: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9.</w:t>
            </w:r>
          </w:p>
        </w:tc>
        <w:tc>
          <w:tcPr>
            <w:tcW w:w="2320" w:type="dxa"/>
            <w:vAlign w:val="bottom"/>
            <w:gridSpan w:val="15"/>
          </w:tcPr>
          <w:p>
            <w:pPr>
              <w:ind w:left="40"/>
              <w:spacing w:after="0" w:line="182" w:lineRule="exact"/>
              <w:rPr>
                <w:sz w:val="20"/>
                <w:szCs w:val="20"/>
                <w:color w:val="auto"/>
              </w:rPr>
            </w:pPr>
            <w:r>
              <w:rPr>
                <w:rFonts w:ascii="Arial" w:cs="Arial" w:eastAsia="Arial" w:hAnsi="Arial"/>
                <w:sz w:val="18"/>
                <w:szCs w:val="18"/>
                <w:color w:val="0000FF"/>
              </w:rPr>
              <w:t>Restructuring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180" w:type="dxa"/>
            <w:vAlign w:val="bottom"/>
            <w:gridSpan w:val="28"/>
            <w:vMerge w:val="restart"/>
          </w:tcPr>
          <w:p>
            <w:pPr>
              <w:jc w:val="center"/>
              <w:ind w:right="6280"/>
              <w:spacing w:after="0" w:line="202" w:lineRule="exact"/>
              <w:rPr>
                <w:sz w:val="20"/>
                <w:szCs w:val="20"/>
                <w:color w:val="auto"/>
              </w:rPr>
            </w:pPr>
            <w:r>
              <w:rPr>
                <w:rFonts w:ascii="Arial" w:cs="Arial" w:eastAsia="Arial" w:hAnsi="Arial"/>
                <w:sz w:val="18"/>
                <w:szCs w:val="18"/>
                <w:color w:val="0000FF"/>
                <w:w w:val="81"/>
              </w:rPr>
              <w:t>Combinations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8"/>
          </w:tcPr>
          <w:p>
            <w:pPr>
              <w:spacing w:after="0" w:line="182" w:lineRule="exact"/>
              <w:rPr>
                <w:sz w:val="20"/>
                <w:szCs w:val="20"/>
                <w:color w:val="auto"/>
              </w:rPr>
            </w:pPr>
            <w:r>
              <w:rPr>
                <w:rFonts w:ascii="Arial" w:cs="Arial" w:eastAsia="Arial" w:hAnsi="Arial"/>
                <w:sz w:val="18"/>
                <w:szCs w:val="18"/>
                <w:color w:val="0000FF"/>
              </w:rPr>
              <w:t>Note 10. Business</w:t>
            </w:r>
          </w:p>
        </w:tc>
        <w:tc>
          <w:tcPr>
            <w:tcW w:w="7180" w:type="dxa"/>
            <w:vAlign w:val="bottom"/>
            <w:gridSpan w:val="2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80" w:type="dxa"/>
            <w:vAlign w:val="bottom"/>
            <w:gridSpan w:val="21"/>
            <w:vMerge w:val="restart"/>
          </w:tcPr>
          <w:p>
            <w:pPr>
              <w:spacing w:after="0" w:line="202" w:lineRule="exact"/>
              <w:rPr>
                <w:sz w:val="20"/>
                <w:szCs w:val="20"/>
                <w:color w:val="auto"/>
              </w:rPr>
            </w:pPr>
            <w:r>
              <w:rPr>
                <w:rFonts w:ascii="Arial" w:cs="Arial" w:eastAsia="Arial" w:hAnsi="Arial"/>
                <w:sz w:val="18"/>
                <w:szCs w:val="18"/>
                <w:color w:val="0000FF"/>
              </w:rPr>
              <w:t>Intangible Assets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60" w:type="dxa"/>
            <w:vAlign w:val="bottom"/>
            <w:gridSpan w:val="15"/>
          </w:tcPr>
          <w:p>
            <w:pPr>
              <w:spacing w:after="0" w:line="182" w:lineRule="exact"/>
              <w:rPr>
                <w:sz w:val="20"/>
                <w:szCs w:val="20"/>
                <w:color w:val="auto"/>
              </w:rPr>
            </w:pPr>
            <w:r>
              <w:rPr>
                <w:rFonts w:ascii="Arial" w:cs="Arial" w:eastAsia="Arial" w:hAnsi="Arial"/>
                <w:sz w:val="18"/>
                <w:szCs w:val="18"/>
                <w:color w:val="0000FF"/>
              </w:rPr>
              <w:t>Note 11. Goodwill and Acquired</w:t>
            </w:r>
          </w:p>
        </w:tc>
        <w:tc>
          <w:tcPr>
            <w:tcW w:w="6280" w:type="dxa"/>
            <w:vAlign w:val="bottom"/>
            <w:gridSpan w:val="2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00" w:type="dxa"/>
            <w:vAlign w:val="bottom"/>
            <w:gridSpan w:val="26"/>
          </w:tcPr>
          <w:p>
            <w:pPr>
              <w:spacing w:after="0" w:line="182" w:lineRule="exact"/>
              <w:rPr>
                <w:sz w:val="20"/>
                <w:szCs w:val="20"/>
                <w:color w:val="auto"/>
              </w:rPr>
            </w:pPr>
            <w:r>
              <w:rPr>
                <w:rFonts w:ascii="Arial" w:cs="Arial" w:eastAsia="Arial" w:hAnsi="Arial"/>
                <w:sz w:val="18"/>
                <w:szCs w:val="18"/>
                <w:color w:val="0000FF"/>
              </w:rPr>
              <w:t>Note 12. Debt</w:t>
            </w:r>
          </w:p>
        </w:tc>
        <w:tc>
          <w:tcPr>
            <w:tcW w:w="340" w:type="dxa"/>
            <w:vAlign w:val="bottom"/>
            <w:gridSpan w:val="3"/>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tcBorders>
              <w:bottom w:val="single" w:sz="8" w:color="0000EE"/>
            </w:tcBorders>
            <w:gridSpan w:val="14"/>
          </w:tcPr>
          <w:p>
            <w:pPr>
              <w:spacing w:after="0" w:line="182" w:lineRule="exact"/>
              <w:rPr>
                <w:sz w:val="20"/>
                <w:szCs w:val="20"/>
                <w:color w:val="auto"/>
              </w:rPr>
            </w:pPr>
            <w:r>
              <w:rPr>
                <w:rFonts w:ascii="Arial" w:cs="Arial" w:eastAsia="Arial" w:hAnsi="Arial"/>
                <w:sz w:val="18"/>
                <w:szCs w:val="18"/>
                <w:color w:val="0000FF"/>
              </w:rPr>
              <w:t>Note 13. Stockholders’ Equity</w:t>
            </w:r>
          </w:p>
        </w:tc>
        <w:tc>
          <w:tcPr>
            <w:tcW w:w="6420" w:type="dxa"/>
            <w:vAlign w:val="bottom"/>
            <w:gridSpan w:val="22"/>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40" w:type="dxa"/>
            <w:vAlign w:val="bottom"/>
            <w:gridSpan w:val="36"/>
          </w:tcPr>
          <w:p>
            <w:pPr>
              <w:spacing w:after="0" w:line="182" w:lineRule="exact"/>
              <w:rPr>
                <w:sz w:val="20"/>
                <w:szCs w:val="20"/>
                <w:color w:val="auto"/>
              </w:rPr>
            </w:pPr>
            <w:r>
              <w:rPr>
                <w:rFonts w:ascii="Arial" w:cs="Arial" w:eastAsia="Arial" w:hAnsi="Arial"/>
                <w:sz w:val="18"/>
                <w:szCs w:val="18"/>
                <w:color w:val="0000FF"/>
              </w:rPr>
              <w:t>Note 14. Stock-Based Compensation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gridSpan w:val="8"/>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20" w:type="dxa"/>
            <w:vAlign w:val="bottom"/>
            <w:gridSpan w:val="7"/>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20" w:type="dxa"/>
            <w:vAlign w:val="bottom"/>
            <w:gridSpan w:val="19"/>
          </w:tcPr>
          <w:p>
            <w:pPr>
              <w:spacing w:after="0" w:line="182" w:lineRule="exact"/>
              <w:rPr>
                <w:sz w:val="20"/>
                <w:szCs w:val="20"/>
                <w:color w:val="auto"/>
              </w:rPr>
            </w:pPr>
            <w:r>
              <w:rPr>
                <w:rFonts w:ascii="Arial" w:cs="Arial" w:eastAsia="Arial" w:hAnsi="Arial"/>
                <w:sz w:val="18"/>
                <w:szCs w:val="18"/>
                <w:color w:val="0000FF"/>
                <w:w w:val="94"/>
              </w:rPr>
              <w:t>Note 15. Net Income (Loss) per Share</w:t>
            </w:r>
          </w:p>
        </w:tc>
        <w:tc>
          <w:tcPr>
            <w:tcW w:w="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gridSpan w:val="7"/>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Note 16. Income Taxes</w:t>
            </w:r>
          </w:p>
        </w:tc>
        <w:tc>
          <w:tcPr>
            <w:tcW w:w="340" w:type="dxa"/>
            <w:vAlign w:val="bottom"/>
          </w:tcPr>
          <w:p>
            <w:pPr>
              <w:spacing w:after="0"/>
              <w:rPr>
                <w:sz w:val="15"/>
                <w:szCs w:val="15"/>
                <w:color w:val="auto"/>
              </w:rPr>
            </w:pPr>
          </w:p>
        </w:tc>
        <w:tc>
          <w:tcPr>
            <w:tcW w:w="920" w:type="dxa"/>
            <w:vAlign w:val="bottom"/>
            <w:gridSpan w:val="7"/>
          </w:tcPr>
          <w:p>
            <w:pPr>
              <w:spacing w:after="0"/>
              <w:rPr>
                <w:sz w:val="15"/>
                <w:szCs w:val="15"/>
                <w:color w:val="auto"/>
              </w:rPr>
            </w:pPr>
          </w:p>
        </w:tc>
        <w:tc>
          <w:tcPr>
            <w:tcW w:w="140" w:type="dxa"/>
            <w:vAlign w:val="bottom"/>
            <w:gridSpan w:val="2"/>
          </w:tcPr>
          <w:p>
            <w:pPr>
              <w:spacing w:after="0"/>
              <w:rPr>
                <w:sz w:val="15"/>
                <w:szCs w:val="15"/>
                <w:color w:val="auto"/>
              </w:rPr>
            </w:pPr>
          </w:p>
        </w:tc>
        <w:tc>
          <w:tcPr>
            <w:tcW w:w="2220" w:type="dxa"/>
            <w:vAlign w:val="bottom"/>
            <w:gridSpan w:val="4"/>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7"/>
              </w:rPr>
              <w:t>Note 17. Commitments</w:t>
            </w:r>
          </w:p>
        </w:tc>
        <w:tc>
          <w:tcPr>
            <w:tcW w:w="7020" w:type="dxa"/>
            <w:vAlign w:val="bottom"/>
            <w:gridSpan w:val="26"/>
          </w:tcPr>
          <w:p>
            <w:pPr>
              <w:jc w:val="center"/>
              <w:ind w:right="5500"/>
              <w:spacing w:after="0" w:line="182" w:lineRule="exact"/>
              <w:rPr>
                <w:sz w:val="20"/>
                <w:szCs w:val="20"/>
                <w:color w:val="auto"/>
              </w:rPr>
            </w:pPr>
            <w:r>
              <w:rPr>
                <w:rFonts w:ascii="Arial" w:cs="Arial" w:eastAsia="Arial" w:hAnsi="Arial"/>
                <w:sz w:val="18"/>
                <w:szCs w:val="18"/>
                <w:color w:val="0000FF"/>
                <w:w w:val="99"/>
              </w:rPr>
              <w:t>and Contingencies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1160" w:type="dxa"/>
            <w:vAlign w:val="bottom"/>
            <w:gridSpan w:val="11"/>
            <w:shd w:val="clear" w:color="auto" w:fill="0000FF"/>
          </w:tcPr>
          <w:p>
            <w:pPr>
              <w:spacing w:after="0" w:line="20" w:lineRule="exact"/>
              <w:rPr>
                <w:sz w:val="1"/>
                <w:szCs w:val="1"/>
                <w:color w:val="auto"/>
              </w:rPr>
            </w:pPr>
          </w:p>
        </w:tc>
        <w:tc>
          <w:tcPr>
            <w:tcW w:w="920" w:type="dxa"/>
            <w:vAlign w:val="bottom"/>
            <w:gridSpan w:val="7"/>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20" w:type="dxa"/>
            <w:vAlign w:val="bottom"/>
            <w:gridSpan w:val="22"/>
          </w:tcPr>
          <w:p>
            <w:pPr>
              <w:spacing w:after="0" w:line="182" w:lineRule="exact"/>
              <w:rPr>
                <w:sz w:val="20"/>
                <w:szCs w:val="20"/>
                <w:color w:val="auto"/>
              </w:rPr>
            </w:pPr>
            <w:r>
              <w:rPr>
                <w:rFonts w:ascii="Arial" w:cs="Arial" w:eastAsia="Arial" w:hAnsi="Arial"/>
                <w:sz w:val="18"/>
                <w:szCs w:val="18"/>
                <w:color w:val="0000FF"/>
              </w:rPr>
              <w:t>Note 18. Subsequent Event</w:t>
            </w:r>
          </w:p>
        </w:tc>
        <w:tc>
          <w:tcPr>
            <w:tcW w:w="920" w:type="dxa"/>
            <w:vAlign w:val="bottom"/>
            <w:gridSpan w:val="7"/>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line="202" w:lineRule="exact"/>
              <w:rPr>
                <w:sz w:val="20"/>
                <w:szCs w:val="20"/>
                <w:color w:val="auto"/>
              </w:rPr>
            </w:pPr>
            <w:r>
              <w:rPr>
                <w:rFonts w:ascii="Arial" w:cs="Arial" w:eastAsia="Arial" w:hAnsi="Arial"/>
                <w:sz w:val="18"/>
                <w:szCs w:val="18"/>
                <w:color w:val="0000FF"/>
              </w:rPr>
              <w:t>Item 2.</w:t>
            </w: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gridSpan w:val="4"/>
            <w:shd w:val="clear" w:color="auto" w:fill="0000FF"/>
          </w:tcPr>
          <w:p>
            <w:pPr>
              <w:spacing w:after="0" w:line="20" w:lineRule="exact"/>
              <w:rPr>
                <w:sz w:val="1"/>
                <w:szCs w:val="1"/>
                <w:color w:val="auto"/>
              </w:rPr>
            </w:pPr>
          </w:p>
        </w:tc>
        <w:tc>
          <w:tcPr>
            <w:tcW w:w="6680" w:type="dxa"/>
            <w:vAlign w:val="bottom"/>
            <w:gridSpan w:val="25"/>
            <w:vMerge w:val="restart"/>
          </w:tcPr>
          <w:p>
            <w:pPr>
              <w:spacing w:after="0" w:line="202" w:lineRule="exact"/>
              <w:rPr>
                <w:sz w:val="20"/>
                <w:szCs w:val="20"/>
                <w:color w:val="auto"/>
              </w:rPr>
            </w:pPr>
            <w:r>
              <w:rPr>
                <w:rFonts w:ascii="Arial" w:cs="Arial" w:eastAsia="Arial" w:hAnsi="Arial"/>
                <w:sz w:val="18"/>
                <w:szCs w:val="18"/>
                <w:color w:val="0000FF"/>
              </w:rPr>
              <w:t>Analysis of Financial Condition and 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40" w:type="dxa"/>
            <w:vAlign w:val="bottom"/>
            <w:gridSpan w:val="7"/>
            <w:vMerge w:val="continue"/>
          </w:tcPr>
          <w:p>
            <w:pPr>
              <w:spacing w:after="0"/>
              <w:rPr>
                <w:sz w:val="15"/>
                <w:szCs w:val="15"/>
                <w:color w:val="auto"/>
              </w:rPr>
            </w:pPr>
          </w:p>
        </w:tc>
        <w:tc>
          <w:tcPr>
            <w:tcW w:w="2640" w:type="dxa"/>
            <w:vAlign w:val="bottom"/>
            <w:gridSpan w:val="12"/>
          </w:tcPr>
          <w:p>
            <w:pPr>
              <w:spacing w:after="0" w:line="182" w:lineRule="exact"/>
              <w:rPr>
                <w:sz w:val="20"/>
                <w:szCs w:val="20"/>
                <w:color w:val="auto"/>
              </w:rPr>
            </w:pPr>
            <w:r>
              <w:rPr>
                <w:rFonts w:ascii="Arial" w:cs="Arial" w:eastAsia="Arial" w:hAnsi="Arial"/>
                <w:sz w:val="18"/>
                <w:szCs w:val="18"/>
                <w:color w:val="0000FF"/>
              </w:rPr>
              <w:t>Management’s Discussion and</w:t>
            </w:r>
          </w:p>
        </w:tc>
        <w:tc>
          <w:tcPr>
            <w:tcW w:w="6680" w:type="dxa"/>
            <w:vAlign w:val="bottom"/>
            <w:gridSpan w:val="2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3.</w:t>
            </w:r>
          </w:p>
        </w:tc>
        <w:tc>
          <w:tcPr>
            <w:tcW w:w="4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Borders>
              <w:top w:val="single" w:sz="8" w:color="0000FF"/>
              <w:bottom w:val="single" w:sz="8" w:color="0000FF"/>
            </w:tcBorders>
            <w:gridSpan w:val="30"/>
          </w:tcPr>
          <w:p>
            <w:pPr>
              <w:spacing w:after="0" w:line="182"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6"/>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4.</w:t>
            </w:r>
          </w:p>
        </w:tc>
        <w:tc>
          <w:tcPr>
            <w:tcW w:w="4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00" w:type="dxa"/>
            <w:vAlign w:val="bottom"/>
            <w:gridSpan w:val="22"/>
          </w:tcPr>
          <w:p>
            <w:pPr>
              <w:spacing w:after="0"/>
              <w:rPr>
                <w:sz w:val="15"/>
                <w:szCs w:val="15"/>
                <w:color w:val="auto"/>
              </w:rPr>
            </w:pPr>
          </w:p>
        </w:tc>
        <w:tc>
          <w:tcPr>
            <w:tcW w:w="140" w:type="dxa"/>
            <w:vAlign w:val="bottom"/>
            <w:gridSpan w:val="2"/>
          </w:tcPr>
          <w:p>
            <w:pPr>
              <w:spacing w:after="0"/>
              <w:rPr>
                <w:sz w:val="15"/>
                <w:szCs w:val="15"/>
                <w:color w:val="auto"/>
              </w:rPr>
            </w:pP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85"/>
        </w:trPr>
        <w:tc>
          <w:tcPr>
            <w:tcW w:w="1140" w:type="dxa"/>
            <w:vAlign w:val="bottom"/>
            <w:gridSpan w:val="7"/>
          </w:tcPr>
          <w:p>
            <w:pPr>
              <w:spacing w:after="0"/>
              <w:rPr>
                <w:sz w:val="20"/>
                <w:szCs w:val="20"/>
                <w:color w:val="auto"/>
              </w:rPr>
            </w:pPr>
            <w:r>
              <w:rPr>
                <w:rFonts w:ascii="Arial" w:cs="Arial" w:eastAsia="Arial" w:hAnsi="Arial"/>
                <w:sz w:val="18"/>
                <w:szCs w:val="18"/>
                <w:color w:val="0000FF"/>
              </w:rPr>
              <w:t>PART II.</w:t>
            </w:r>
          </w:p>
        </w:tc>
        <w:tc>
          <w:tcPr>
            <w:tcW w:w="9320" w:type="dxa"/>
            <w:vAlign w:val="bottom"/>
            <w:gridSpan w:val="37"/>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1.</w:t>
            </w:r>
          </w:p>
        </w:tc>
        <w:tc>
          <w:tcPr>
            <w:tcW w:w="40" w:type="dxa"/>
            <w:vAlign w:val="bottom"/>
            <w:tcBorders>
              <w:top w:val="single" w:sz="8" w:color="0000FF"/>
              <w:bottom w:val="single" w:sz="8" w:color="0000EE"/>
            </w:tcBorders>
          </w:tcPr>
          <w:p>
            <w:pPr>
              <w:spacing w:after="0"/>
              <w:rPr>
                <w:sz w:val="15"/>
                <w:szCs w:val="15"/>
                <w:color w:val="auto"/>
              </w:rPr>
            </w:pPr>
          </w:p>
        </w:tc>
        <w:tc>
          <w:tcPr>
            <w:tcW w:w="100" w:type="dxa"/>
            <w:vAlign w:val="bottom"/>
            <w:tcBorders>
              <w:top w:val="single" w:sz="8" w:color="0000FF"/>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Legal Proceedings</w:t>
            </w:r>
          </w:p>
        </w:tc>
        <w:tc>
          <w:tcPr>
            <w:tcW w:w="460" w:type="dxa"/>
            <w:vAlign w:val="bottom"/>
            <w:tcBorders>
              <w:top w:val="single" w:sz="8" w:color="0000FF"/>
            </w:tcBorders>
            <w:gridSpan w:val="2"/>
          </w:tcPr>
          <w:p>
            <w:pPr>
              <w:spacing w:after="0"/>
              <w:rPr>
                <w:sz w:val="15"/>
                <w:szCs w:val="15"/>
                <w:color w:val="auto"/>
              </w:rPr>
            </w:pPr>
          </w:p>
        </w:tc>
        <w:tc>
          <w:tcPr>
            <w:tcW w:w="620" w:type="dxa"/>
            <w:vAlign w:val="bottom"/>
            <w:gridSpan w:val="4"/>
          </w:tcPr>
          <w:p>
            <w:pPr>
              <w:spacing w:after="0"/>
              <w:rPr>
                <w:sz w:val="15"/>
                <w:szCs w:val="15"/>
                <w:color w:val="auto"/>
              </w:rPr>
            </w:pPr>
          </w:p>
        </w:tc>
        <w:tc>
          <w:tcPr>
            <w:tcW w:w="2220" w:type="dxa"/>
            <w:vAlign w:val="bottom"/>
            <w:gridSpan w:val="20"/>
          </w:tcPr>
          <w:p>
            <w:pPr>
              <w:spacing w:after="0"/>
              <w:rPr>
                <w:sz w:val="15"/>
                <w:szCs w:val="15"/>
                <w:color w:val="auto"/>
              </w:rPr>
            </w:pP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1140" w:type="dxa"/>
            <w:vAlign w:val="bottom"/>
            <w:gridSpan w:val="7"/>
          </w:tcPr>
          <w:p>
            <w:pPr>
              <w:spacing w:after="0" w:line="182" w:lineRule="exact"/>
              <w:rPr>
                <w:sz w:val="20"/>
                <w:szCs w:val="20"/>
                <w:color w:val="auto"/>
              </w:rPr>
            </w:pPr>
            <w:r>
              <w:rPr>
                <w:rFonts w:ascii="Arial" w:cs="Arial" w:eastAsia="Arial" w:hAnsi="Arial"/>
                <w:sz w:val="18"/>
                <w:szCs w:val="18"/>
                <w:color w:val="0000FF"/>
              </w:rPr>
              <w:t>Item 1A.</w:t>
            </w:r>
          </w:p>
        </w:tc>
        <w:tc>
          <w:tcPr>
            <w:tcW w:w="1020" w:type="dxa"/>
            <w:vAlign w:val="bottom"/>
            <w:gridSpan w:val="4"/>
          </w:tcPr>
          <w:p>
            <w:pPr>
              <w:spacing w:after="0" w:line="182" w:lineRule="exact"/>
              <w:rPr>
                <w:sz w:val="20"/>
                <w:szCs w:val="20"/>
                <w:color w:val="auto"/>
              </w:rPr>
            </w:pPr>
            <w:r>
              <w:rPr>
                <w:rFonts w:ascii="Arial" w:cs="Arial" w:eastAsia="Arial" w:hAnsi="Arial"/>
                <w:sz w:val="18"/>
                <w:szCs w:val="18"/>
                <w:color w:val="0000FF"/>
                <w:w w:val="99"/>
              </w:rPr>
              <w:t>Risk Factors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2.</w:t>
            </w:r>
          </w:p>
        </w:tc>
        <w:tc>
          <w:tcPr>
            <w:tcW w:w="40" w:type="dxa"/>
            <w:vAlign w:val="bottom"/>
            <w:tcBorders>
              <w:top w:val="single" w:sz="8" w:color="0000FF"/>
              <w:bottom w:val="single" w:sz="8" w:color="0000EE"/>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3860" w:type="dxa"/>
            <w:vAlign w:val="bottom"/>
            <w:tcBorders>
              <w:bottom w:val="single" w:sz="8" w:color="0000FF"/>
            </w:tcBorders>
            <w:gridSpan w:val="29"/>
          </w:tcPr>
          <w:p>
            <w:pPr>
              <w:ind w:left="80"/>
              <w:spacing w:after="0" w:line="182" w:lineRule="exact"/>
              <w:rPr>
                <w:sz w:val="20"/>
                <w:szCs w:val="20"/>
                <w:color w:val="auto"/>
              </w:rPr>
            </w:pPr>
            <w:r>
              <w:rPr>
                <w:rFonts w:ascii="Arial" w:cs="Arial" w:eastAsia="Arial" w:hAnsi="Arial"/>
                <w:sz w:val="18"/>
                <w:szCs w:val="18"/>
                <w:color w:val="0000FF"/>
                <w:w w:val="99"/>
              </w:rPr>
              <w:t>Sales of Equity Securities and Use of Proceeds</w:t>
            </w: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3.</w:t>
            </w:r>
          </w:p>
        </w:tc>
        <w:tc>
          <w:tcPr>
            <w:tcW w:w="40" w:type="dxa"/>
            <w:vAlign w:val="bottom"/>
            <w:tcBorders>
              <w:bottom w:val="single" w:sz="8" w:color="0000EE"/>
            </w:tcBorders>
          </w:tcPr>
          <w:p>
            <w:pPr>
              <w:spacing w:after="0"/>
              <w:rPr>
                <w:sz w:val="15"/>
                <w:szCs w:val="15"/>
                <w:color w:val="auto"/>
              </w:rPr>
            </w:pPr>
          </w:p>
        </w:tc>
        <w:tc>
          <w:tcPr>
            <w:tcW w:w="26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2220" w:type="dxa"/>
            <w:vAlign w:val="bottom"/>
            <w:gridSpan w:val="20"/>
          </w:tcPr>
          <w:p>
            <w:pPr>
              <w:spacing w:after="0"/>
              <w:rPr>
                <w:sz w:val="15"/>
                <w:szCs w:val="15"/>
                <w:color w:val="auto"/>
              </w:rPr>
            </w:pP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4.</w:t>
            </w:r>
          </w:p>
        </w:tc>
        <w:tc>
          <w:tcPr>
            <w:tcW w:w="40" w:type="dxa"/>
            <w:vAlign w:val="bottom"/>
            <w:tcBorders>
              <w:bottom w:val="single" w:sz="8" w:color="0000EE"/>
            </w:tcBorders>
          </w:tcPr>
          <w:p>
            <w:pPr>
              <w:spacing w:after="0"/>
              <w:rPr>
                <w:sz w:val="15"/>
                <w:szCs w:val="15"/>
                <w:color w:val="auto"/>
              </w:rPr>
            </w:pPr>
          </w:p>
        </w:tc>
        <w:tc>
          <w:tcPr>
            <w:tcW w:w="26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Mine Safety Disclosures</w:t>
            </w:r>
          </w:p>
        </w:tc>
        <w:tc>
          <w:tcPr>
            <w:tcW w:w="700" w:type="dxa"/>
            <w:vAlign w:val="bottom"/>
            <w:gridSpan w:val="5"/>
          </w:tcPr>
          <w:p>
            <w:pPr>
              <w:spacing w:after="0"/>
              <w:rPr>
                <w:sz w:val="15"/>
                <w:szCs w:val="15"/>
                <w:color w:val="auto"/>
              </w:rPr>
            </w:pPr>
          </w:p>
        </w:tc>
        <w:tc>
          <w:tcPr>
            <w:tcW w:w="6680" w:type="dxa"/>
            <w:vAlign w:val="bottom"/>
            <w:gridSpan w:val="2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0000FF"/>
                <w:w w:val="98"/>
              </w:rPr>
              <w:t>Item 5.</w:t>
            </w:r>
          </w:p>
        </w:tc>
        <w:tc>
          <w:tcPr>
            <w:tcW w:w="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3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6</w:t>
            </w:r>
            <w:r>
              <w:rPr>
                <w:rFonts w:ascii="Arial" w:cs="Arial" w:eastAsia="Arial" w:hAnsi="Arial"/>
                <w:sz w:val="18"/>
                <w:szCs w:val="18"/>
                <w:color w:val="000000"/>
                <w:w w:val="98"/>
              </w:rPr>
              <w:t>.</w:t>
            </w:r>
          </w:p>
        </w:tc>
        <w:tc>
          <w:tcPr>
            <w:tcW w:w="40" w:type="dxa"/>
            <w:vAlign w:val="bottom"/>
            <w:tcBorders>
              <w:top w:val="single" w:sz="8" w:color="0000EE"/>
            </w:tcBorders>
          </w:tcPr>
          <w:p>
            <w:pPr>
              <w:spacing w:after="0"/>
              <w:rPr>
                <w:sz w:val="15"/>
                <w:szCs w:val="15"/>
                <w:color w:val="auto"/>
              </w:rPr>
            </w:pPr>
          </w:p>
        </w:tc>
        <w:tc>
          <w:tcPr>
            <w:tcW w:w="26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3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183"/>
        </w:trPr>
        <w:tc>
          <w:tcPr>
            <w:tcW w:w="1140" w:type="dxa"/>
            <w:vAlign w:val="bottom"/>
            <w:gridSpan w:val="7"/>
          </w:tcPr>
          <w:p>
            <w:pPr>
              <w:spacing w:after="0" w:line="182" w:lineRule="exact"/>
              <w:rPr>
                <w:sz w:val="20"/>
                <w:szCs w:val="20"/>
                <w:color w:val="auto"/>
              </w:rPr>
            </w:pPr>
            <w:r>
              <w:rPr>
                <w:rFonts w:ascii="Arial" w:cs="Arial" w:eastAsia="Arial" w:hAnsi="Arial"/>
                <w:sz w:val="18"/>
                <w:szCs w:val="18"/>
                <w:color w:val="0000FF"/>
              </w:rPr>
              <w:t>Signatures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8"/>
        </w:trPr>
        <w:tc>
          <w:tcPr>
            <w:tcW w:w="5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40" w:lineRule="exact"/>
        <w:rPr>
          <w:sz w:val="20"/>
          <w:szCs w:val="20"/>
          <w:color w:val="auto"/>
        </w:rPr>
      </w:pPr>
    </w:p>
    <w:p>
      <w:pPr>
        <w:ind w:left="1020" w:right="36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6" w:lineRule="exact"/>
        <w:rPr>
          <w:rFonts w:ascii="Times New Roman" w:cs="Times New Roman" w:eastAsia="Times New Roman" w:hAnsi="Times New Roman"/>
          <w:sz w:val="18"/>
          <w:szCs w:val="18"/>
          <w:color w:val="auto"/>
        </w:rPr>
      </w:pPr>
    </w:p>
    <w:p>
      <w:pPr>
        <w:ind w:left="1020" w:right="136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tariffs and international trade conflict, banking, legal, immigration, social and health risks and public health measures that may affect cross-border commerce, education and travel, our business or the global economy;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beliefs and objectives for future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enhance and protect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and cost-effective manner;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recent and future acquisitions or investments in complementary companies, products, services, or technologies, including the expected benefits and synergies of the acquisition of Sertifi LLC (Sertifi), including the potential benefits of Sertifi’s platform, financial results and margins;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and sub-verticals, including our relatively new business-to-business (B2B) sector;</w:t>
      </w:r>
    </w:p>
    <w:p>
      <w:pPr>
        <w:spacing w:after="0" w:line="11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6" w:lineRule="exact"/>
        <w:rPr>
          <w:rFonts w:ascii="Times New Roman" w:cs="Times New Roman" w:eastAsia="Times New Roman" w:hAnsi="Times New Roman"/>
          <w:sz w:val="18"/>
          <w:szCs w:val="18"/>
          <w:color w:val="auto"/>
        </w:rPr>
      </w:pPr>
    </w:p>
    <w:p>
      <w:pPr>
        <w:jc w:val="both"/>
        <w:ind w:left="1020" w:right="8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6" w:right="439" w:bottom="1440" w:gutter="0" w:footer="0" w:header="0"/>
        </w:sectPr>
      </w:pPr>
    </w:p>
    <w:bookmarkStart w:id="3" w:name="page4"/>
    <w:bookmarkEnd w:id="3"/>
    <w:p>
      <w:pPr>
        <w:ind w:left="1020" w:right="6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global events and geopolitical conflict, including without limitation the continuing hostilities in Ukraine and involving Israel, Hamas and Iran;</w:t>
      </w:r>
    </w:p>
    <w:p>
      <w:pPr>
        <w:spacing w:after="0" w:line="46" w:lineRule="exact"/>
        <w:rPr>
          <w:rFonts w:ascii="Times New Roman" w:cs="Times New Roman" w:eastAsia="Times New Roman" w:hAnsi="Times New Roman"/>
          <w:sz w:val="18"/>
          <w:szCs w:val="18"/>
          <w:color w:val="auto"/>
        </w:rPr>
      </w:pPr>
    </w:p>
    <w:p>
      <w:pPr>
        <w:ind w:left="1020" w:right="24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recommended or implemented U.S. policy changes, in particular those that impact higher education, the desire for foreign students to study in the U.S., immigration and visa policy, and changes to regulatory agencies and depth of enforcement of regulations;</w:t>
      </w:r>
    </w:p>
    <w:p>
      <w:pPr>
        <w:spacing w:after="0" w:line="62"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Inflation Reduction Act of 2022 and The One Big Beautiful Bill Act of 2025;</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6"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 to our voting common stock.</w:t>
      </w:r>
    </w:p>
    <w:p>
      <w:pPr>
        <w:spacing w:after="0" w:line="12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(formerly known as Twitter)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(Unaudited) (Amounts in thousands, except par value per share and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249,686</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495,242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24,545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115,848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Accounts receivable, net of allowance of $553 and $410, respectively</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rPr>
                <w:sz w:val="20"/>
                <w:szCs w:val="20"/>
                <w:color w:val="auto"/>
              </w:rPr>
            </w:pPr>
            <w:r>
              <w:rPr>
                <w:rFonts w:ascii="Arial" w:cs="Arial" w:eastAsia="Arial" w:hAnsi="Arial"/>
                <w:sz w:val="17"/>
                <w:szCs w:val="17"/>
                <w:color w:val="auto"/>
              </w:rPr>
              <w:t>Unbilled receivables, net of allowance of $38 and $36, respectively</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17,732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15,453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Funds receivable from payment partners</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88,236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448,756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762,884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Long-term investments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14,885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50,125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18,884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17,160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199,587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118,684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406,439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149,558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assets</w:t>
            </w:r>
          </w:p>
        </w:tc>
        <w:tc>
          <w:tcPr>
            <w:tcW w:w="11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1,114,347</w:t>
            </w:r>
          </w:p>
        </w:tc>
        <w:tc>
          <w:tcPr>
            <w:tcW w:w="1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1,122,446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17,484</w:t>
            </w:r>
          </w:p>
        </w:tc>
        <w:tc>
          <w:tcPr>
            <w:tcW w:w="180" w:type="dxa"/>
            <w:vAlign w:val="bottom"/>
          </w:tcPr>
          <w:p>
            <w:pPr>
              <w:spacing w:after="0"/>
              <w:rPr>
                <w:sz w:val="17"/>
                <w:szCs w:val="17"/>
                <w:color w:val="auto"/>
              </w:rPr>
            </w:pPr>
          </w:p>
        </w:tc>
        <w:tc>
          <w:tcPr>
            <w:tcW w:w="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15,353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Funds payable to clients</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154,029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217,788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49,507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49,297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Deferred revenue</w:t>
            </w:r>
          </w:p>
        </w:tc>
        <w:tc>
          <w:tcPr>
            <w:tcW w:w="8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19,220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240,240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289,775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14,504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12,643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7,180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5,261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321,924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307,679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17)</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6840" w:type="dxa"/>
            <w:vAlign w:val="bottom"/>
            <w:shd w:val="clear" w:color="auto" w:fill="CFF0FC"/>
          </w:tcPr>
          <w:p>
            <w:pPr>
              <w:ind w:left="200"/>
              <w:spacing w:after="0" w:line="167" w:lineRule="exact"/>
              <w:rPr>
                <w:sz w:val="20"/>
                <w:szCs w:val="20"/>
                <w:color w:val="auto"/>
              </w:rPr>
            </w:pPr>
            <w:r>
              <w:rPr>
                <w:rFonts w:ascii="Arial" w:cs="Arial" w:eastAsia="Arial" w:hAnsi="Arial"/>
                <w:sz w:val="17"/>
                <w:szCs w:val="17"/>
                <w:color w:val="auto"/>
              </w:rPr>
              <w:t>Preferred stock, $0.0001 par value; 10,000,000 shares authorized as</w:t>
            </w: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ind w:left="340"/>
              <w:spacing w:after="0" w:line="189" w:lineRule="exact"/>
              <w:rPr>
                <w:sz w:val="20"/>
                <w:szCs w:val="20"/>
                <w:color w:val="auto"/>
              </w:rPr>
            </w:pPr>
            <w:r>
              <w:rPr>
                <w:rFonts w:ascii="Arial" w:cs="Arial" w:eastAsia="Arial" w:hAnsi="Arial"/>
                <w:sz w:val="17"/>
                <w:szCs w:val="17"/>
                <w:color w:val="auto"/>
              </w:rPr>
              <w:t>of June 30, 2025 and December 31, 2024; and no shares issued</w:t>
            </w: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ind w:left="340"/>
              <w:spacing w:after="0"/>
              <w:rPr>
                <w:sz w:val="20"/>
                <w:szCs w:val="20"/>
                <w:color w:val="auto"/>
              </w:rPr>
            </w:pPr>
            <w:r>
              <w:rPr>
                <w:rFonts w:ascii="Arial" w:cs="Arial" w:eastAsia="Arial" w:hAnsi="Arial"/>
                <w:sz w:val="17"/>
                <w:szCs w:val="17"/>
                <w:color w:val="auto"/>
              </w:rPr>
              <w:t>and outstanding as of June 30, 2025 and December 31, 2024</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840" w:type="dxa"/>
            <w:vAlign w:val="bottom"/>
          </w:tcPr>
          <w:p>
            <w:pPr>
              <w:ind w:left="200"/>
              <w:spacing w:after="0" w:line="167" w:lineRule="exact"/>
              <w:rPr>
                <w:sz w:val="20"/>
                <w:szCs w:val="20"/>
                <w:color w:val="auto"/>
              </w:rPr>
            </w:pPr>
            <w:r>
              <w:rPr>
                <w:rFonts w:ascii="Arial" w:cs="Arial" w:eastAsia="Arial" w:hAnsi="Arial"/>
                <w:sz w:val="17"/>
                <w:szCs w:val="17"/>
                <w:color w:val="auto"/>
              </w:rPr>
              <w:t>Voting common stock, $0.0001 par value; 2,000,000,000 shares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340"/>
              <w:spacing w:after="0" w:line="189" w:lineRule="exact"/>
              <w:rPr>
                <w:sz w:val="20"/>
                <w:szCs w:val="20"/>
                <w:color w:val="auto"/>
              </w:rPr>
            </w:pPr>
            <w:r>
              <w:rPr>
                <w:rFonts w:ascii="Arial" w:cs="Arial" w:eastAsia="Arial" w:hAnsi="Arial"/>
                <w:sz w:val="17"/>
                <w:szCs w:val="17"/>
                <w:color w:val="auto"/>
              </w:rPr>
              <w:t>authorized as of June 30, 2025 and December 31, 2024; 129,076,628</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340"/>
              <w:spacing w:after="0" w:line="189" w:lineRule="exact"/>
              <w:rPr>
                <w:sz w:val="20"/>
                <w:szCs w:val="20"/>
                <w:color w:val="auto"/>
              </w:rPr>
            </w:pPr>
            <w:r>
              <w:rPr>
                <w:rFonts w:ascii="Arial" w:cs="Arial" w:eastAsia="Arial" w:hAnsi="Arial"/>
                <w:sz w:val="17"/>
                <w:szCs w:val="17"/>
                <w:color w:val="auto"/>
              </w:rPr>
              <w:t>shares issued and 120,307,481 shares outstanding as of June 30, 2025;</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ind w:left="340"/>
              <w:spacing w:after="0" w:line="189" w:lineRule="exact"/>
              <w:rPr>
                <w:sz w:val="20"/>
                <w:szCs w:val="20"/>
                <w:color w:val="auto"/>
              </w:rPr>
            </w:pPr>
            <w:r>
              <w:rPr>
                <w:rFonts w:ascii="Arial" w:cs="Arial" w:eastAsia="Arial" w:hAnsi="Arial"/>
                <w:sz w:val="17"/>
                <w:szCs w:val="17"/>
                <w:color w:val="auto"/>
              </w:rPr>
              <w:t>126,853,852 shares issued and 122,182,878 shares outstanding as</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340"/>
              <w:spacing w:after="0"/>
              <w:rPr>
                <w:sz w:val="20"/>
                <w:szCs w:val="20"/>
                <w:color w:val="auto"/>
              </w:rPr>
            </w:pPr>
            <w:r>
              <w:rPr>
                <w:rFonts w:ascii="Arial" w:cs="Arial" w:eastAsia="Arial" w:hAnsi="Arial"/>
                <w:sz w:val="17"/>
                <w:szCs w:val="17"/>
                <w:color w:val="auto"/>
              </w:rPr>
              <w:t>of December 31, 2024</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840" w:type="dxa"/>
            <w:vAlign w:val="bottom"/>
            <w:shd w:val="clear" w:color="auto" w:fill="CFF0FC"/>
          </w:tcPr>
          <w:p>
            <w:pPr>
              <w:ind w:left="200"/>
              <w:spacing w:after="0" w:line="167" w:lineRule="exact"/>
              <w:rPr>
                <w:sz w:val="20"/>
                <w:szCs w:val="20"/>
                <w:color w:val="auto"/>
              </w:rPr>
            </w:pPr>
            <w:r>
              <w:rPr>
                <w:rFonts w:ascii="Arial" w:cs="Arial" w:eastAsia="Arial" w:hAnsi="Arial"/>
                <w:sz w:val="17"/>
                <w:szCs w:val="17"/>
                <w:color w:val="auto"/>
              </w:rPr>
              <w:t>Non-voting common stock, $0.0001 par value; 10,000,000 shares</w:t>
            </w: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ind w:left="340"/>
              <w:spacing w:after="0" w:line="189" w:lineRule="exact"/>
              <w:rPr>
                <w:sz w:val="20"/>
                <w:szCs w:val="20"/>
                <w:color w:val="auto"/>
              </w:rPr>
            </w:pPr>
            <w:r>
              <w:rPr>
                <w:rFonts w:ascii="Arial" w:cs="Arial" w:eastAsia="Arial" w:hAnsi="Arial"/>
                <w:sz w:val="17"/>
                <w:szCs w:val="17"/>
                <w:color w:val="auto"/>
              </w:rPr>
              <w:t>authorized as of June 30, 2025 and December 31, 2024; 1,873,320 shares</w:t>
            </w: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ind w:left="340"/>
              <w:spacing w:after="0"/>
              <w:rPr>
                <w:sz w:val="20"/>
                <w:szCs w:val="20"/>
                <w:color w:val="auto"/>
              </w:rPr>
            </w:pPr>
            <w:r>
              <w:rPr>
                <w:rFonts w:ascii="Arial" w:cs="Arial" w:eastAsia="Arial" w:hAnsi="Arial"/>
                <w:sz w:val="17"/>
                <w:szCs w:val="17"/>
                <w:color w:val="auto"/>
              </w:rPr>
              <w:t>issued and outstanding as of June 30, 2025 and December 31, 2024</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840" w:type="dxa"/>
            <w:vAlign w:val="bottom"/>
          </w:tcPr>
          <w:p>
            <w:pPr>
              <w:ind w:left="200"/>
              <w:spacing w:after="0" w:line="167" w:lineRule="exact"/>
              <w:rPr>
                <w:sz w:val="20"/>
                <w:szCs w:val="20"/>
                <w:color w:val="auto"/>
              </w:rPr>
            </w:pPr>
            <w:r>
              <w:rPr>
                <w:rFonts w:ascii="Arial" w:cs="Arial" w:eastAsia="Arial" w:hAnsi="Arial"/>
                <w:sz w:val="17"/>
                <w:szCs w:val="17"/>
                <w:color w:val="auto"/>
              </w:rPr>
              <w:t>Treasury voting common stock, 8,769,147 and 4,670,974 shares as of</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(98,739)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11"/>
        </w:trPr>
        <w:tc>
          <w:tcPr>
            <w:tcW w:w="6840" w:type="dxa"/>
            <w:vAlign w:val="bottom"/>
          </w:tcPr>
          <w:p>
            <w:pPr>
              <w:ind w:left="340"/>
              <w:spacing w:after="0"/>
              <w:rPr>
                <w:sz w:val="20"/>
                <w:szCs w:val="20"/>
                <w:color w:val="auto"/>
              </w:rPr>
            </w:pPr>
            <w:r>
              <w:rPr>
                <w:rFonts w:ascii="Arial" w:cs="Arial" w:eastAsia="Arial" w:hAnsi="Arial"/>
                <w:sz w:val="17"/>
                <w:szCs w:val="17"/>
                <w:color w:val="auto"/>
              </w:rPr>
              <w:t>June 30, 2025 and December 31, 2024, respectively, held at cost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1,071,085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1,033,958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7,101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(187,037)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(170,870)</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ind w:left="300"/>
              <w:spacing w:after="0" w:line="196" w:lineRule="exact"/>
              <w:rPr>
                <w:sz w:val="20"/>
                <w:szCs w:val="20"/>
                <w:color w:val="auto"/>
              </w:rPr>
            </w:pPr>
            <w:r>
              <w:rPr>
                <w:rFonts w:ascii="Arial" w:cs="Arial" w:eastAsia="Arial" w:hAnsi="Arial"/>
                <w:sz w:val="18"/>
                <w:szCs w:val="18"/>
                <w:color w:val="auto"/>
              </w:rPr>
              <w:t>Total stockholders’ equity</w:t>
            </w:r>
          </w:p>
        </w:tc>
        <w:tc>
          <w:tcPr>
            <w:tcW w:w="8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792,423</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814,767</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1,114,347</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1,122,446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-3968115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-3950970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-3968115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-3950970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-3171190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-3171190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-2647950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-299085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131,891</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103,676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265,343</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217,779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Payment processing services costs</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53,887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39,899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104,450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81,549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80"/>
              <w:spacing w:after="0" w:line="202" w:lineRule="exact"/>
              <w:rPr>
                <w:sz w:val="20"/>
                <w:szCs w:val="20"/>
                <w:color w:val="auto"/>
              </w:rPr>
            </w:pPr>
            <w:r>
              <w:rPr>
                <w:rFonts w:ascii="Arial" w:cs="Arial" w:eastAsia="Arial" w:hAnsi="Arial"/>
                <w:sz w:val="18"/>
                <w:szCs w:val="18"/>
                <w:color w:val="auto"/>
              </w:rPr>
              <w:t>Technology and development</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17,106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15,834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34,017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32,571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Selling and marketing</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38,377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31,771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74,946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30,175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31,959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63,233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63,555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Restructuring</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ind w:left="160"/>
              <w:spacing w:after="0" w:line="196" w:lineRule="exact"/>
              <w:rPr>
                <w:sz w:val="20"/>
                <w:szCs w:val="20"/>
                <w:color w:val="auto"/>
              </w:rPr>
            </w:pPr>
            <w:r>
              <w:rPr>
                <w:rFonts w:ascii="Arial" w:cs="Arial" w:eastAsia="Arial" w:hAnsi="Arial"/>
                <w:sz w:val="18"/>
                <w:szCs w:val="18"/>
                <w:color w:val="auto"/>
              </w:rPr>
              <w:t>Total costs and operating expenses</w:t>
            </w: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140,896</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119,463</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285,336</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239,529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(9,005)</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(15,787)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(19,993)</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(21,750)</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(1,065)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(1,789)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5780" w:type="dxa"/>
            <w:vAlign w:val="bottom"/>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Gain (loss) from remeasurement of foreign currency</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7,523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03"/>
        </w:trPr>
        <w:tc>
          <w:tcPr>
            <w:tcW w:w="5780" w:type="dxa"/>
            <w:vAlign w:val="bottom"/>
          </w:tcPr>
          <w:p>
            <w:pPr>
              <w:ind w:left="80"/>
              <w:spacing w:after="0" w:line="202" w:lineRule="exact"/>
              <w:rPr>
                <w:sz w:val="20"/>
                <w:szCs w:val="20"/>
                <w:color w:val="auto"/>
              </w:rPr>
            </w:pPr>
            <w:r>
              <w:rPr>
                <w:rFonts w:ascii="Arial" w:cs="Arial" w:eastAsia="Arial" w:hAnsi="Arial"/>
                <w:sz w:val="18"/>
                <w:szCs w:val="18"/>
                <w:color w:val="auto"/>
              </w:rPr>
              <w:t>Gain on available-for-sale debt securities</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3,979</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9,923</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7"/>
                <w:szCs w:val="17"/>
                <w:color w:val="auto"/>
              </w:rPr>
            </w:pP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(9,203)</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(13,805)</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6,981</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4,677</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6,097</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6,292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(12,007)</w:t>
            </w: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(13,880)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(16,167)</w:t>
            </w: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9,332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Unrealized losses on available-for-sale debt securities, net of taxes</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Pr>
          <w:p>
            <w:pPr>
              <w:ind w:left="160"/>
              <w:spacing w:after="0" w:line="196" w:lineRule="exact"/>
              <w:rPr>
                <w:sz w:val="20"/>
                <w:szCs w:val="20"/>
                <w:color w:val="auto"/>
              </w:rPr>
            </w:pPr>
            <w:r>
              <w:rPr>
                <w:rFonts w:ascii="Arial" w:cs="Arial" w:eastAsia="Arial" w:hAnsi="Arial"/>
                <w:sz w:val="18"/>
                <w:szCs w:val="18"/>
                <w:color w:val="auto"/>
              </w:rPr>
              <w:t>Total other comprehensive income (loss)</w:t>
            </w: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6,619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9,167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loss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(5,388)</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(13,740)</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(7,000)</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(21,318)</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8"/>
                <w:szCs w:val="18"/>
                <w:color w:val="auto"/>
              </w:rPr>
              <w:t>Net loss attributable to common stockholders – basic and diluted</w:t>
            </w:r>
          </w:p>
        </w:tc>
        <w:tc>
          <w:tcPr>
            <w:tcW w:w="14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(12,007)</w:t>
            </w: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(13,880)</w:t>
            </w: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(16,167)</w:t>
            </w: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78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Net loss per share attributable to common stockholders – basic and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(0.10)</w:t>
            </w:r>
          </w:p>
        </w:tc>
        <w:tc>
          <w:tcPr>
            <w:tcW w:w="2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(0.11)</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(0.13)</w:t>
            </w:r>
          </w:p>
        </w:tc>
        <w:tc>
          <w:tcPr>
            <w:tcW w:w="2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1"/>
        </w:trPr>
        <w:tc>
          <w:tcPr>
            <w:tcW w:w="5780" w:type="dxa"/>
            <w:vAlign w:val="bottom"/>
            <w:shd w:val="clear" w:color="auto" w:fill="CFF0FC"/>
          </w:tcPr>
          <w:p>
            <w:pPr>
              <w:spacing w:after="0" w:line="161" w:lineRule="exact"/>
              <w:rPr>
                <w:sz w:val="20"/>
                <w:szCs w:val="20"/>
                <w:color w:val="auto"/>
              </w:rPr>
            </w:pPr>
            <w:r>
              <w:rPr>
                <w:rFonts w:ascii="Arial" w:cs="Arial" w:eastAsia="Arial" w:hAnsi="Arial"/>
                <w:sz w:val="18"/>
                <w:szCs w:val="18"/>
                <w:color w:val="auto"/>
              </w:rPr>
              <w:t>diluted</w:t>
            </w:r>
          </w:p>
        </w:tc>
        <w:tc>
          <w:tcPr>
            <w:tcW w:w="140" w:type="dxa"/>
            <w:vAlign w:val="bottom"/>
            <w:vMerge w:val="continue"/>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200" w:type="dxa"/>
            <w:vAlign w:val="bottom"/>
            <w:gridSpan w:val="2"/>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00" w:type="dxa"/>
            <w:vAlign w:val="bottom"/>
            <w:gridSpan w:val="2"/>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7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 average common shares outstanding – basic and diluted</w:t>
            </w: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121,852,349</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124,562,015</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7"/>
              </w:rPr>
              <w:t>122,539,986</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123,859,762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-2742565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-2742565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-2742565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-2468245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-2468245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-2468245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-1679575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-1679575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-1679575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-1413510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-1413510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-1413510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-864870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-864870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-590550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-573405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-590550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-573405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-590550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-573405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-161925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-161925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ind w:left="4560"/>
        <w:spacing w:after="0"/>
        <w:rPr>
          <w:sz w:val="20"/>
          <w:szCs w:val="20"/>
          <w:color w:val="auto"/>
        </w:rPr>
      </w:pPr>
      <w:r>
        <w:rPr>
          <w:rFonts w:ascii="Arial" w:cs="Arial" w:eastAsia="Arial" w:hAnsi="Arial"/>
          <w:sz w:val="17"/>
          <w:szCs w:val="17"/>
          <w:b w:val="1"/>
          <w:bCs w:val="1"/>
          <w:color w:val="auto"/>
        </w:rPr>
        <w:t>FLYWIRE CORPORATION</w:t>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jc w:val="center"/>
        <w:ind w:right="40"/>
        <w:spacing w:after="0"/>
        <w:rPr>
          <w:sz w:val="20"/>
          <w:szCs w:val="20"/>
          <w:color w:val="auto"/>
        </w:rPr>
      </w:pPr>
      <w:r>
        <w:rPr>
          <w:rFonts w:ascii="Arial" w:cs="Arial" w:eastAsia="Arial" w:hAnsi="Arial"/>
          <w:sz w:val="17"/>
          <w:szCs w:val="17"/>
          <w:color w:val="auto"/>
        </w:rPr>
        <w:t>(Unaudited) (Amounts in thousands,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1"/>
                <w:szCs w:val="11"/>
                <w:b w:val="1"/>
                <w:bCs w:val="1"/>
                <w:color w:val="auto"/>
              </w:rPr>
              <w:t>Three Months Ended June 30, 2025</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9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5"/>
            <w:vMerge w:val="restart"/>
          </w:tcPr>
          <w:p>
            <w:pPr>
              <w:jc w:val="right"/>
              <w:ind w:right="200"/>
              <w:spacing w:after="0"/>
              <w:rPr>
                <w:sz w:val="20"/>
                <w:szCs w:val="20"/>
                <w:color w:val="auto"/>
              </w:rPr>
            </w:pPr>
            <w:r>
              <w:rPr>
                <w:rFonts w:ascii="Arial" w:cs="Arial" w:eastAsia="Arial" w:hAnsi="Arial"/>
                <w:sz w:val="11"/>
                <w:szCs w:val="11"/>
                <w:b w:val="1"/>
                <w:bCs w:val="1"/>
                <w:color w:val="auto"/>
              </w:rPr>
              <w:t>Treasury Voting Common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tcPr>
          <w:p>
            <w:pPr>
              <w:jc w:val="right"/>
              <w:ind w:right="200"/>
              <w:spacing w:after="0" w:line="108"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9"/>
                <w:szCs w:val="9"/>
                <w:color w:val="auto"/>
              </w:rPr>
            </w:pPr>
          </w:p>
        </w:tc>
        <w:tc>
          <w:tcPr>
            <w:tcW w:w="1140" w:type="dxa"/>
            <w:vAlign w:val="bottom"/>
            <w:gridSpan w:val="3"/>
          </w:tcPr>
          <w:p>
            <w:pPr>
              <w:jc w:val="center"/>
              <w:ind w:right="260"/>
              <w:spacing w:after="0" w:line="108" w:lineRule="exact"/>
              <w:rPr>
                <w:sz w:val="20"/>
                <w:szCs w:val="20"/>
                <w:color w:val="auto"/>
              </w:rPr>
            </w:pPr>
            <w:r>
              <w:rPr>
                <w:rFonts w:ascii="Arial" w:cs="Arial" w:eastAsia="Arial" w:hAnsi="Arial"/>
                <w:sz w:val="11"/>
                <w:szCs w:val="11"/>
                <w:b w:val="1"/>
                <w:bCs w:val="1"/>
                <w:color w:val="auto"/>
                <w:w w:val="96"/>
              </w:rPr>
              <w:t>Comprehensive</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Voting Common Stock</w:t>
            </w:r>
          </w:p>
        </w:tc>
        <w:tc>
          <w:tcPr>
            <w:tcW w:w="240" w:type="dxa"/>
            <w:vAlign w:val="bottom"/>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7"/>
              </w:rPr>
              <w:t>Non-Voting Common Stock</w:t>
            </w:r>
          </w:p>
        </w:tc>
        <w:tc>
          <w:tcPr>
            <w:tcW w:w="220" w:type="dxa"/>
            <w:vAlign w:val="bottom"/>
          </w:tcPr>
          <w:p>
            <w:pPr>
              <w:spacing w:after="0"/>
              <w:rPr>
                <w:sz w:val="11"/>
                <w:szCs w:val="1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Stock</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Income</w:t>
            </w:r>
          </w:p>
        </w:tc>
        <w:tc>
          <w:tcPr>
            <w:tcW w:w="100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19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auto"/>
            </w:tcBorders>
          </w:tcPr>
          <w:p>
            <w:pPr>
              <w:ind w:left="220"/>
              <w:spacing w:after="0" w:line="115" w:lineRule="exact"/>
              <w:rPr>
                <w:sz w:val="20"/>
                <w:szCs w:val="20"/>
                <w:color w:val="auto"/>
              </w:rPr>
            </w:pPr>
            <w:r>
              <w:rPr>
                <w:rFonts w:ascii="Arial" w:cs="Arial" w:eastAsia="Arial" w:hAnsi="Arial"/>
                <w:sz w:val="11"/>
                <w:szCs w:val="11"/>
                <w:b w:val="1"/>
                <w:bCs w:val="1"/>
                <w:color w:val="auto"/>
              </w:rPr>
              <w:t>Shares</w:t>
            </w:r>
          </w:p>
        </w:tc>
        <w:tc>
          <w:tcPr>
            <w:tcW w:w="300" w:type="dxa"/>
            <w:vAlign w:val="bottom"/>
          </w:tcPr>
          <w:p>
            <w:pPr>
              <w:spacing w:after="0"/>
              <w:rPr>
                <w:sz w:val="10"/>
                <w:szCs w:val="10"/>
                <w:color w:val="auto"/>
              </w:rPr>
            </w:pPr>
          </w:p>
        </w:tc>
        <w:tc>
          <w:tcPr>
            <w:tcW w:w="50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0"/>
                <w:szCs w:val="10"/>
                <w:color w:val="auto"/>
              </w:rPr>
            </w:pPr>
          </w:p>
        </w:tc>
        <w:tc>
          <w:tcPr>
            <w:tcW w:w="6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96"/>
              </w:rPr>
              <w:t>(Loss)</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Deficit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right w:val="single" w:sz="8" w:color="auto"/>
            </w:tcBorders>
            <w:shd w:val="clear" w:color="auto" w:fill="CFF0FC"/>
          </w:tcPr>
          <w:p>
            <w:pPr>
              <w:spacing w:after="0" w:line="115" w:lineRule="exact"/>
              <w:rPr>
                <w:sz w:val="20"/>
                <w:szCs w:val="20"/>
                <w:color w:val="auto"/>
              </w:rPr>
            </w:pPr>
            <w:r>
              <w:rPr>
                <w:rFonts w:ascii="Arial" w:cs="Arial" w:eastAsia="Arial" w:hAnsi="Arial"/>
                <w:sz w:val="11"/>
                <w:szCs w:val="11"/>
                <w:b w:val="1"/>
                <w:bCs w:val="1"/>
                <w:color w:val="auto"/>
              </w:rPr>
              <w:t>Balances at March 31, 2025</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128,419,082</w:t>
            </w:r>
          </w:p>
        </w:tc>
        <w:tc>
          <w:tcPr>
            <w:tcW w:w="30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13</w:t>
            </w:r>
          </w:p>
        </w:tc>
        <w:tc>
          <w:tcPr>
            <w:tcW w:w="90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1,873,320</w:t>
            </w:r>
          </w:p>
        </w:tc>
        <w:tc>
          <w:tcPr>
            <w:tcW w:w="28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1100" w:type="dxa"/>
            <w:vAlign w:val="bottom"/>
            <w:gridSpan w:val="3"/>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(8,214,435)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80"/>
              <w:spacing w:after="0" w:line="115" w:lineRule="exact"/>
              <w:rPr>
                <w:sz w:val="20"/>
                <w:szCs w:val="20"/>
                <w:color w:val="auto"/>
              </w:rPr>
            </w:pPr>
            <w:r>
              <w:rPr>
                <w:rFonts w:ascii="Arial" w:cs="Arial" w:eastAsia="Arial" w:hAnsi="Arial"/>
                <w:sz w:val="11"/>
                <w:szCs w:val="11"/>
                <w:color w:val="auto"/>
              </w:rPr>
              <w:t>(94,489)</w:t>
            </w:r>
          </w:p>
        </w:tc>
        <w:tc>
          <w:tcPr>
            <w:tcW w:w="1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1,053,289</w:t>
            </w: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84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482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(175,030)</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784,265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exercise of stock options, net of</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tax</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withheld</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136,079</w:t>
            </w:r>
          </w:p>
        </w:tc>
        <w:tc>
          <w:tcPr>
            <w:tcW w:w="3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settlement of restricted stock</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units, net</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of tax withheld</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521,467</w:t>
            </w:r>
          </w:p>
        </w:tc>
        <w:tc>
          <w:tcPr>
            <w:tcW w:w="3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(688)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(688)</w:t>
            </w: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Issuance of treasury stock</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9,330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107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Common stock repurchases,</w:t>
            </w: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including related costs</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(564,042)</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(4,357)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(4,357)</w:t>
            </w: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Foreign currency translation</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adjustment</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6,655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6,655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Unrealized losses on available-</w:t>
            </w: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for-sale debt securities, net of</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0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taxes</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(36)</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18,215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18,215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Net loss</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0"/>
              <w:spacing w:after="0" w:line="122" w:lineRule="exact"/>
              <w:rPr>
                <w:sz w:val="20"/>
                <w:szCs w:val="20"/>
                <w:color w:val="auto"/>
              </w:rPr>
            </w:pPr>
            <w:r>
              <w:rPr>
                <w:rFonts w:ascii="Arial" w:cs="Arial" w:eastAsia="Arial" w:hAnsi="Arial"/>
                <w:sz w:val="11"/>
                <w:szCs w:val="11"/>
                <w:color w:val="auto"/>
              </w:rPr>
              <w:t>(12,007)</w:t>
            </w:r>
          </w:p>
        </w:tc>
        <w:tc>
          <w:tcPr>
            <w:tcW w:w="10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80"/>
              <w:spacing w:after="0" w:line="122" w:lineRule="exact"/>
              <w:rPr>
                <w:sz w:val="20"/>
                <w:szCs w:val="20"/>
                <w:color w:val="auto"/>
              </w:rPr>
            </w:pPr>
            <w:r>
              <w:rPr>
                <w:rFonts w:ascii="Arial" w:cs="Arial" w:eastAsia="Arial" w:hAnsi="Arial"/>
                <w:sz w:val="11"/>
                <w:szCs w:val="11"/>
                <w:color w:val="auto"/>
              </w:rPr>
              <w:t>(12,007)</w:t>
            </w: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00" w:type="dxa"/>
            <w:vAlign w:val="bottom"/>
            <w:tcBorders>
              <w:right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Balances at June 30, 2025</w:t>
            </w:r>
          </w:p>
        </w:tc>
        <w:tc>
          <w:tcPr>
            <w:tcW w:w="120" w:type="dxa"/>
            <w:vAlign w:val="bottom"/>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color w:val="auto"/>
              </w:rPr>
              <w:t>129,076,628</w:t>
            </w:r>
          </w:p>
        </w:tc>
        <w:tc>
          <w:tcPr>
            <w:tcW w:w="3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13</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1,873,320</w:t>
            </w:r>
          </w:p>
        </w:tc>
        <w:tc>
          <w:tcPr>
            <w:tcW w:w="2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(8,769,147)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(98,739 )</w:t>
            </w:r>
          </w:p>
        </w:tc>
        <w:tc>
          <w:tcPr>
            <w:tcW w:w="1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1,071,085</w:t>
            </w:r>
          </w:p>
        </w:tc>
        <w:tc>
          <w:tcPr>
            <w:tcW w:w="120" w:type="dxa"/>
            <w:vAlign w:val="bottom"/>
          </w:tcPr>
          <w:p>
            <w:pPr>
              <w:spacing w:after="0"/>
              <w:rPr>
                <w:sz w:val="10"/>
                <w:szCs w:val="10"/>
                <w:color w:val="auto"/>
              </w:rPr>
            </w:pPr>
          </w:p>
        </w:tc>
        <w:tc>
          <w:tcPr>
            <w:tcW w:w="1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15" w:lineRule="exact"/>
              <w:rPr>
                <w:sz w:val="20"/>
                <w:szCs w:val="20"/>
                <w:color w:val="auto"/>
              </w:rPr>
            </w:pPr>
            <w:r>
              <w:rPr>
                <w:rFonts w:ascii="Arial" w:cs="Arial" w:eastAsia="Arial" w:hAnsi="Arial"/>
                <w:sz w:val="11"/>
                <w:szCs w:val="11"/>
                <w:color w:val="auto"/>
              </w:rPr>
              <w:t>7,101</w:t>
            </w:r>
          </w:p>
        </w:tc>
        <w:tc>
          <w:tcPr>
            <w:tcW w:w="220" w:type="dxa"/>
            <w:vAlign w:val="bottom"/>
          </w:tcPr>
          <w:p>
            <w:pPr>
              <w:spacing w:after="0"/>
              <w:rPr>
                <w:sz w:val="10"/>
                <w:szCs w:val="10"/>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line="115" w:lineRule="exact"/>
              <w:rPr>
                <w:sz w:val="20"/>
                <w:szCs w:val="20"/>
                <w:color w:val="auto"/>
              </w:rPr>
            </w:pPr>
            <w:r>
              <w:rPr>
                <w:rFonts w:ascii="Arial" w:cs="Arial" w:eastAsia="Arial" w:hAnsi="Arial"/>
                <w:sz w:val="11"/>
                <w:szCs w:val="11"/>
                <w:color w:val="auto"/>
              </w:rPr>
              <w:t>(187,037)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792,423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-111125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-111125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-111125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-111125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-111125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-111125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-111125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-111125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-111125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1"/>
                <w:szCs w:val="11"/>
                <w:b w:val="1"/>
                <w:bCs w:val="1"/>
                <w:color w:val="auto"/>
              </w:rPr>
              <w:t>Three Months Ended June 30, 2024</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9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5"/>
            <w:vMerge w:val="restart"/>
          </w:tcPr>
          <w:p>
            <w:pPr>
              <w:jc w:val="right"/>
              <w:ind w:right="200"/>
              <w:spacing w:after="0"/>
              <w:rPr>
                <w:sz w:val="20"/>
                <w:szCs w:val="20"/>
                <w:color w:val="auto"/>
              </w:rPr>
            </w:pPr>
            <w:r>
              <w:rPr>
                <w:rFonts w:ascii="Arial" w:cs="Arial" w:eastAsia="Arial" w:hAnsi="Arial"/>
                <w:sz w:val="11"/>
                <w:szCs w:val="11"/>
                <w:b w:val="1"/>
                <w:bCs w:val="1"/>
                <w:color w:val="auto"/>
              </w:rPr>
              <w:t>Treasury Voting Common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tcPr>
          <w:p>
            <w:pPr>
              <w:jc w:val="right"/>
              <w:ind w:right="200"/>
              <w:spacing w:after="0" w:line="108"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9"/>
                <w:szCs w:val="9"/>
                <w:color w:val="auto"/>
              </w:rPr>
            </w:pPr>
          </w:p>
        </w:tc>
        <w:tc>
          <w:tcPr>
            <w:tcW w:w="1140" w:type="dxa"/>
            <w:vAlign w:val="bottom"/>
            <w:gridSpan w:val="3"/>
          </w:tcPr>
          <w:p>
            <w:pPr>
              <w:jc w:val="center"/>
              <w:ind w:right="260"/>
              <w:spacing w:after="0" w:line="108" w:lineRule="exact"/>
              <w:rPr>
                <w:sz w:val="20"/>
                <w:szCs w:val="20"/>
                <w:color w:val="auto"/>
              </w:rPr>
            </w:pPr>
            <w:r>
              <w:rPr>
                <w:rFonts w:ascii="Arial" w:cs="Arial" w:eastAsia="Arial" w:hAnsi="Arial"/>
                <w:sz w:val="11"/>
                <w:szCs w:val="11"/>
                <w:b w:val="1"/>
                <w:bCs w:val="1"/>
                <w:color w:val="auto"/>
                <w:w w:val="96"/>
              </w:rPr>
              <w:t>Comprehensive</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Voting Common Stock</w:t>
            </w:r>
          </w:p>
        </w:tc>
        <w:tc>
          <w:tcPr>
            <w:tcW w:w="240" w:type="dxa"/>
            <w:vAlign w:val="bottom"/>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7"/>
              </w:rPr>
              <w:t>Non-Voting Common Stock</w:t>
            </w:r>
          </w:p>
        </w:tc>
        <w:tc>
          <w:tcPr>
            <w:tcW w:w="220" w:type="dxa"/>
            <w:vAlign w:val="bottom"/>
          </w:tcPr>
          <w:p>
            <w:pPr>
              <w:spacing w:after="0"/>
              <w:rPr>
                <w:sz w:val="11"/>
                <w:szCs w:val="1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Stock</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Income</w:t>
            </w:r>
          </w:p>
        </w:tc>
        <w:tc>
          <w:tcPr>
            <w:tcW w:w="100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19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auto"/>
            </w:tcBorders>
          </w:tcPr>
          <w:p>
            <w:pPr>
              <w:ind w:left="220"/>
              <w:spacing w:after="0" w:line="115" w:lineRule="exact"/>
              <w:rPr>
                <w:sz w:val="20"/>
                <w:szCs w:val="20"/>
                <w:color w:val="auto"/>
              </w:rPr>
            </w:pPr>
            <w:r>
              <w:rPr>
                <w:rFonts w:ascii="Arial" w:cs="Arial" w:eastAsia="Arial" w:hAnsi="Arial"/>
                <w:sz w:val="11"/>
                <w:szCs w:val="11"/>
                <w:b w:val="1"/>
                <w:bCs w:val="1"/>
                <w:color w:val="auto"/>
              </w:rPr>
              <w:t>Shares</w:t>
            </w:r>
          </w:p>
        </w:tc>
        <w:tc>
          <w:tcPr>
            <w:tcW w:w="300" w:type="dxa"/>
            <w:vAlign w:val="bottom"/>
          </w:tcPr>
          <w:p>
            <w:pPr>
              <w:spacing w:after="0"/>
              <w:rPr>
                <w:sz w:val="10"/>
                <w:szCs w:val="10"/>
                <w:color w:val="auto"/>
              </w:rPr>
            </w:pPr>
          </w:p>
        </w:tc>
        <w:tc>
          <w:tcPr>
            <w:tcW w:w="50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0"/>
                <w:szCs w:val="10"/>
                <w:color w:val="auto"/>
              </w:rPr>
            </w:pPr>
          </w:p>
        </w:tc>
        <w:tc>
          <w:tcPr>
            <w:tcW w:w="6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96"/>
              </w:rPr>
              <w:t>(Loss)</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Deficit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right w:val="single" w:sz="8" w:color="auto"/>
            </w:tcBorders>
            <w:shd w:val="clear" w:color="auto" w:fill="CFF0FC"/>
          </w:tcPr>
          <w:p>
            <w:pPr>
              <w:spacing w:after="0" w:line="115" w:lineRule="exact"/>
              <w:rPr>
                <w:sz w:val="20"/>
                <w:szCs w:val="20"/>
                <w:color w:val="auto"/>
              </w:rPr>
            </w:pPr>
            <w:r>
              <w:rPr>
                <w:rFonts w:ascii="Arial" w:cs="Arial" w:eastAsia="Arial" w:hAnsi="Arial"/>
                <w:sz w:val="11"/>
                <w:szCs w:val="11"/>
                <w:b w:val="1"/>
                <w:bCs w:val="1"/>
                <w:color w:val="auto"/>
              </w:rPr>
              <w:t>Balances at March 31, 2024</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124,555,591</w:t>
            </w:r>
          </w:p>
        </w:tc>
        <w:tc>
          <w:tcPr>
            <w:tcW w:w="30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11</w:t>
            </w:r>
          </w:p>
        </w:tc>
        <w:tc>
          <w:tcPr>
            <w:tcW w:w="90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1,873,320</w:t>
            </w:r>
          </w:p>
        </w:tc>
        <w:tc>
          <w:tcPr>
            <w:tcW w:w="28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w:t>
            </w:r>
          </w:p>
        </w:tc>
        <w:tc>
          <w:tcPr>
            <w:tcW w:w="1100" w:type="dxa"/>
            <w:vAlign w:val="bottom"/>
            <w:gridSpan w:val="3"/>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(2,300,541)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80"/>
              <w:spacing w:after="0" w:line="115" w:lineRule="exact"/>
              <w:rPr>
                <w:sz w:val="20"/>
                <w:szCs w:val="20"/>
                <w:color w:val="auto"/>
              </w:rPr>
            </w:pPr>
            <w:r>
              <w:rPr>
                <w:rFonts w:ascii="Arial" w:cs="Arial" w:eastAsia="Arial" w:hAnsi="Arial"/>
                <w:sz w:val="11"/>
                <w:szCs w:val="11"/>
                <w:color w:val="auto"/>
              </w:rPr>
              <w:t>(742)</w:t>
            </w:r>
          </w:p>
        </w:tc>
        <w:tc>
          <w:tcPr>
            <w:tcW w:w="1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977,743</w:t>
            </w: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(41)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(179,987)</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796,985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exercise of stock options</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593,673</w:t>
            </w:r>
          </w:p>
        </w:tc>
        <w:tc>
          <w:tcPr>
            <w:tcW w:w="3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settlement of restricted stock units</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379,727</w:t>
            </w:r>
          </w:p>
        </w:tc>
        <w:tc>
          <w:tcPr>
            <w:tcW w:w="3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Issuance of treasury stock</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5,503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Foreign currency translation</w:t>
            </w: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00" w:type="dxa"/>
            <w:vAlign w:val="bottom"/>
            <w:tcBorders>
              <w:right w:val="single" w:sz="8" w:color="CFF0FC"/>
            </w:tcBorders>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adjustment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Unrealized losses on available-</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for-sale debt securities, net of</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taxes</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(53)</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Stock-based compensation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17,706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17,706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Net loss</w:t>
            </w: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(13,880)</w:t>
            </w:r>
          </w:p>
        </w:tc>
        <w:tc>
          <w:tcPr>
            <w:tcW w:w="10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(13,880)</w:t>
            </w: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900" w:type="dxa"/>
            <w:vAlign w:val="bottom"/>
            <w:tcBorders>
              <w:right w:val="single" w:sz="8" w:color="auto"/>
            </w:tcBorders>
            <w:shd w:val="clear" w:color="auto" w:fill="CFF0FC"/>
          </w:tcPr>
          <w:p>
            <w:pPr>
              <w:spacing w:after="0" w:line="115" w:lineRule="exact"/>
              <w:rPr>
                <w:sz w:val="20"/>
                <w:szCs w:val="20"/>
                <w:color w:val="auto"/>
              </w:rPr>
            </w:pPr>
            <w:r>
              <w:rPr>
                <w:rFonts w:ascii="Arial" w:cs="Arial" w:eastAsia="Arial" w:hAnsi="Arial"/>
                <w:sz w:val="11"/>
                <w:szCs w:val="11"/>
                <w:b w:val="1"/>
                <w:bCs w:val="1"/>
                <w:color w:val="auto"/>
              </w:rPr>
              <w:t>Balances at June 30, 2024</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125,528,991</w:t>
            </w:r>
          </w:p>
        </w:tc>
        <w:tc>
          <w:tcPr>
            <w:tcW w:w="30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11</w:t>
            </w:r>
          </w:p>
        </w:tc>
        <w:tc>
          <w:tcPr>
            <w:tcW w:w="90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1,873,320</w:t>
            </w:r>
          </w:p>
        </w:tc>
        <w:tc>
          <w:tcPr>
            <w:tcW w:w="28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w:t>
            </w:r>
          </w:p>
        </w:tc>
        <w:tc>
          <w:tcPr>
            <w:tcW w:w="1100" w:type="dxa"/>
            <w:vAlign w:val="bottom"/>
            <w:gridSpan w:val="3"/>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(2,295,038)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80"/>
              <w:spacing w:after="0" w:line="115" w:lineRule="exact"/>
              <w:rPr>
                <w:sz w:val="20"/>
                <w:szCs w:val="20"/>
                <w:color w:val="auto"/>
              </w:rPr>
            </w:pPr>
            <w:r>
              <w:rPr>
                <w:rFonts w:ascii="Arial" w:cs="Arial" w:eastAsia="Arial" w:hAnsi="Arial"/>
                <w:sz w:val="11"/>
                <w:szCs w:val="11"/>
                <w:color w:val="auto"/>
              </w:rPr>
              <w:t>(741)</w:t>
            </w:r>
          </w:p>
        </w:tc>
        <w:tc>
          <w:tcPr>
            <w:tcW w:w="1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997,057</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84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99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(193,867)</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802,560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-25400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-8255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-25400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-8255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5"/>
        </w:trPr>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1"/>
                <w:szCs w:val="11"/>
                <w:b w:val="1"/>
                <w:bCs w:val="1"/>
                <w:color w:val="auto"/>
              </w:rPr>
              <w:t>Six Months Ended June 30, 2025</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9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5"/>
              </w:rPr>
              <w:t>Accumulated</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580"/>
              <w:spacing w:after="0" w:line="122" w:lineRule="exact"/>
              <w:rPr>
                <w:sz w:val="20"/>
                <w:szCs w:val="20"/>
                <w:color w:val="auto"/>
              </w:rPr>
            </w:pPr>
            <w:r>
              <w:rPr>
                <w:rFonts w:ascii="Arial" w:cs="Arial" w:eastAsia="Arial" w:hAnsi="Arial"/>
                <w:sz w:val="11"/>
                <w:szCs w:val="11"/>
                <w:b w:val="1"/>
                <w:bCs w:val="1"/>
                <w:color w:val="auto"/>
              </w:rPr>
              <w:t>Voting</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rPr>
              <w:t>Common</w:t>
            </w:r>
          </w:p>
        </w:tc>
        <w:tc>
          <w:tcPr>
            <w:tcW w:w="200" w:type="dxa"/>
            <w:vAlign w:val="bottom"/>
          </w:tcPr>
          <w:p>
            <w:pPr>
              <w:spacing w:after="0"/>
              <w:rPr>
                <w:sz w:val="10"/>
                <w:szCs w:val="10"/>
                <w:color w:val="auto"/>
              </w:rPr>
            </w:pPr>
          </w:p>
        </w:tc>
        <w:tc>
          <w:tcPr>
            <w:tcW w:w="1700" w:type="dxa"/>
            <w:vAlign w:val="bottom"/>
            <w:gridSpan w:val="5"/>
          </w:tcPr>
          <w:p>
            <w:pPr>
              <w:jc w:val="right"/>
              <w:ind w:right="560"/>
              <w:spacing w:after="0" w:line="122" w:lineRule="exact"/>
              <w:rPr>
                <w:sz w:val="20"/>
                <w:szCs w:val="20"/>
                <w:color w:val="auto"/>
              </w:rPr>
            </w:pPr>
            <w:r>
              <w:rPr>
                <w:rFonts w:ascii="Arial" w:cs="Arial" w:eastAsia="Arial" w:hAnsi="Arial"/>
                <w:sz w:val="11"/>
                <w:szCs w:val="11"/>
                <w:b w:val="1"/>
                <w:bCs w:val="1"/>
                <w:color w:val="auto"/>
              </w:rPr>
              <w:t>Treasury Voting</w:t>
            </w:r>
          </w:p>
        </w:tc>
        <w:tc>
          <w:tcPr>
            <w:tcW w:w="880" w:type="dxa"/>
            <w:vAlign w:val="bottom"/>
            <w:gridSpan w:val="3"/>
          </w:tcPr>
          <w:p>
            <w:pPr>
              <w:jc w:val="right"/>
              <w:ind w:right="300"/>
              <w:spacing w:after="0" w:line="122" w:lineRule="exact"/>
              <w:rPr>
                <w:sz w:val="20"/>
                <w:szCs w:val="20"/>
                <w:color w:val="auto"/>
              </w:rPr>
            </w:pPr>
            <w:r>
              <w:rPr>
                <w:rFonts w:ascii="Arial" w:cs="Arial" w:eastAsia="Arial" w:hAnsi="Arial"/>
                <w:sz w:val="11"/>
                <w:szCs w:val="11"/>
                <w:b w:val="1"/>
                <w:bCs w:val="1"/>
                <w:color w:val="auto"/>
              </w:rPr>
              <w:t>Additional</w:t>
            </w:r>
          </w:p>
        </w:tc>
        <w:tc>
          <w:tcPr>
            <w:tcW w:w="108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right"/>
              <w:ind w:right="32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1"/>
                <w:szCs w:val="11"/>
                <w:color w:val="auto"/>
              </w:rPr>
            </w:pPr>
          </w:p>
        </w:tc>
        <w:tc>
          <w:tcPr>
            <w:tcW w:w="840" w:type="dxa"/>
            <w:vAlign w:val="bottom"/>
            <w:gridSpan w:val="2"/>
          </w:tcPr>
          <w:p>
            <w:pPr>
              <w:jc w:val="center"/>
              <w:ind w:left="446"/>
              <w:spacing w:after="0"/>
              <w:rPr>
                <w:sz w:val="20"/>
                <w:szCs w:val="20"/>
                <w:color w:val="auto"/>
              </w:rPr>
            </w:pPr>
            <w:r>
              <w:rPr>
                <w:rFonts w:ascii="Arial" w:cs="Arial" w:eastAsia="Arial" w:hAnsi="Arial"/>
                <w:sz w:val="11"/>
                <w:szCs w:val="11"/>
                <w:b w:val="1"/>
                <w:bCs w:val="1"/>
                <w:color w:val="auto"/>
                <w:w w:val="99"/>
              </w:rPr>
              <w:t>Stock</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19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96"/>
              </w:rPr>
              <w:t>Amount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5"/>
              </w:rPr>
              <w:t>(loss)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right w:val="single" w:sz="8" w:color="auto"/>
            </w:tcBorders>
            <w:shd w:val="clear" w:color="auto" w:fill="CFF0FC"/>
          </w:tcPr>
          <w:p>
            <w:pPr>
              <w:spacing w:after="0" w:line="115" w:lineRule="exact"/>
              <w:rPr>
                <w:sz w:val="20"/>
                <w:szCs w:val="20"/>
                <w:color w:val="auto"/>
              </w:rPr>
            </w:pPr>
            <w:r>
              <w:rPr>
                <w:rFonts w:ascii="Arial" w:cs="Arial" w:eastAsia="Arial" w:hAnsi="Arial"/>
                <w:sz w:val="11"/>
                <w:szCs w:val="11"/>
                <w:b w:val="1"/>
                <w:bCs w:val="1"/>
                <w:color w:val="auto"/>
              </w:rPr>
              <w:t>Balances at December 31, 2024</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126,853,852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13</w:t>
            </w:r>
          </w:p>
        </w:tc>
        <w:tc>
          <w:tcPr>
            <w:tcW w:w="84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ind w:left="360"/>
              <w:spacing w:after="0" w:line="115" w:lineRule="exact"/>
              <w:rPr>
                <w:sz w:val="20"/>
                <w:szCs w:val="20"/>
                <w:color w:val="auto"/>
              </w:rPr>
            </w:pPr>
            <w:r>
              <w:rPr>
                <w:rFonts w:ascii="Arial" w:cs="Arial" w:eastAsia="Arial" w:hAnsi="Arial"/>
                <w:sz w:val="11"/>
                <w:szCs w:val="11"/>
                <w:color w:val="auto"/>
                <w:w w:val="90"/>
              </w:rPr>
              <w:t>—</w:t>
            </w:r>
          </w:p>
        </w:tc>
        <w:tc>
          <w:tcPr>
            <w:tcW w:w="1100" w:type="dxa"/>
            <w:vAlign w:val="bottom"/>
            <w:gridSpan w:val="3"/>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(4,670,974)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(46,268)</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1,033,958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00"/>
              <w:spacing w:after="0" w:line="115" w:lineRule="exact"/>
              <w:rPr>
                <w:sz w:val="20"/>
                <w:szCs w:val="20"/>
                <w:color w:val="auto"/>
              </w:rPr>
            </w:pPr>
            <w:r>
              <w:rPr>
                <w:rFonts w:ascii="Arial" w:cs="Arial" w:eastAsia="Arial" w:hAnsi="Arial"/>
                <w:sz w:val="11"/>
                <w:szCs w:val="11"/>
                <w:color w:val="auto"/>
              </w:rPr>
              <w:t>(2,066)</w:t>
            </w: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ind w:right="80"/>
              <w:spacing w:after="0" w:line="115" w:lineRule="exact"/>
              <w:rPr>
                <w:sz w:val="20"/>
                <w:szCs w:val="20"/>
                <w:color w:val="auto"/>
              </w:rPr>
            </w:pPr>
            <w:r>
              <w:rPr>
                <w:rFonts w:ascii="Arial" w:cs="Arial" w:eastAsia="Arial" w:hAnsi="Arial"/>
                <w:sz w:val="11"/>
                <w:szCs w:val="11"/>
                <w:color w:val="auto"/>
              </w:rPr>
              <w:t>(170,870)</w:t>
            </w:r>
          </w:p>
        </w:tc>
        <w:tc>
          <w:tcPr>
            <w:tcW w:w="200" w:type="dxa"/>
            <w:vAlign w:val="bottom"/>
            <w:gridSpan w:val="2"/>
            <w:shd w:val="clear" w:color="auto" w:fill="CFF0FC"/>
          </w:tcPr>
          <w:p>
            <w:pPr>
              <w:jc w:val="right"/>
              <w:ind w:right="40"/>
              <w:spacing w:after="0" w:line="115" w:lineRule="exact"/>
              <w:rPr>
                <w:sz w:val="20"/>
                <w:szCs w:val="20"/>
                <w:color w:val="auto"/>
              </w:rPr>
            </w:pPr>
            <w:r>
              <w:rPr>
                <w:rFonts w:ascii="Arial" w:cs="Arial" w:eastAsia="Arial" w:hAnsi="Arial"/>
                <w:sz w:val="11"/>
                <w:szCs w:val="11"/>
                <w:color w:val="auto"/>
              </w:rPr>
              <w:t>$</w:t>
            </w:r>
          </w:p>
        </w:tc>
        <w:tc>
          <w:tcPr>
            <w:tcW w:w="94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814,767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exercise of stock options, net of</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tax</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withheld</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662,467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ind w:left="36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1,753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1,753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settlement of restricted stock</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 net of tax withheld</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1,429,513</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(2,364)</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(2,364)</w:t>
            </w: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Issuance of treasury stock</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28,512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297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(297)</w:t>
            </w:r>
          </w:p>
        </w:tc>
        <w:tc>
          <w:tcPr>
            <w:tcW w:w="80" w:type="dxa"/>
            <w:vAlign w:val="bottom"/>
          </w:tcPr>
          <w:p>
            <w:pPr>
              <w:spacing w:after="0"/>
              <w:rPr>
                <w:sz w:val="10"/>
                <w:szCs w:val="10"/>
                <w:color w:val="auto"/>
              </w:rPr>
            </w:pPr>
          </w:p>
        </w:tc>
        <w:tc>
          <w:tcPr>
            <w:tcW w:w="10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Issuance of common stock under</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employee stock purchase plan</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88,798</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Issuance of common stock for</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retention bonus</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41,998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ind w:left="36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Common stock repurchases,</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including related costs</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(4,126,685)</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(52,768)</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(52,768)</w:t>
            </w: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Foreign currency translation</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adjustment</w:t>
            </w:r>
          </w:p>
        </w:tc>
        <w:tc>
          <w:tcPr>
            <w:tcW w:w="10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ind w:left="360"/>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9,332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0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Unrealized losses on available-</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for-sale debt securities, net of</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Borders>
              <w:right w:val="single" w:sz="8" w:color="auto"/>
            </w:tcBorders>
            <w:shd w:val="clear" w:color="auto" w:fill="CFF0FC"/>
          </w:tcPr>
          <w:p>
            <w:pPr>
              <w:ind w:left="160"/>
              <w:spacing w:after="0"/>
              <w:rPr>
                <w:sz w:val="20"/>
                <w:szCs w:val="20"/>
                <w:color w:val="auto"/>
              </w:rPr>
            </w:pPr>
            <w:r>
              <w:rPr>
                <w:rFonts w:ascii="Arial" w:cs="Arial" w:eastAsia="Arial" w:hAnsi="Arial"/>
                <w:sz w:val="11"/>
                <w:szCs w:val="11"/>
                <w:color w:val="auto"/>
              </w:rPr>
              <w:t>taxes</w:t>
            </w:r>
          </w:p>
        </w:tc>
        <w:tc>
          <w:tcPr>
            <w:tcW w:w="1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(165)</w:t>
            </w:r>
          </w:p>
        </w:tc>
        <w:tc>
          <w:tcPr>
            <w:tcW w:w="140" w:type="dxa"/>
            <w:vAlign w:val="bottom"/>
            <w:tcBorders>
              <w:right w:val="single" w:sz="8" w:color="CFF0FC"/>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Stock-based compensation</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ind w:left="360"/>
              <w:spacing w:after="0" w:line="122"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0"/>
                <w:szCs w:val="10"/>
                <w:color w:val="auto"/>
              </w:rPr>
            </w:pPr>
          </w:p>
        </w:tc>
        <w:tc>
          <w:tcPr>
            <w:tcW w:w="90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36,793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36,793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Net loss</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ind w:left="360"/>
              <w:spacing w:after="0" w:line="122" w:lineRule="exact"/>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line="122" w:lineRule="exact"/>
              <w:rPr>
                <w:sz w:val="20"/>
                <w:szCs w:val="20"/>
                <w:color w:val="auto"/>
              </w:rPr>
            </w:pPr>
            <w:r>
              <w:rPr>
                <w:rFonts w:ascii="Arial" w:cs="Arial" w:eastAsia="Arial" w:hAnsi="Arial"/>
                <w:sz w:val="11"/>
                <w:szCs w:val="11"/>
                <w:color w:val="auto"/>
              </w:rPr>
              <w:t>(16,167)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80"/>
              <w:spacing w:after="0" w:line="122" w:lineRule="exact"/>
              <w:rPr>
                <w:sz w:val="20"/>
                <w:szCs w:val="20"/>
                <w:color w:val="auto"/>
              </w:rPr>
            </w:pPr>
            <w:r>
              <w:rPr>
                <w:rFonts w:ascii="Arial" w:cs="Arial" w:eastAsia="Arial" w:hAnsi="Arial"/>
                <w:sz w:val="11"/>
                <w:szCs w:val="11"/>
                <w:color w:val="auto"/>
              </w:rPr>
              <w:t>(16,167)</w:t>
            </w: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00" w:type="dxa"/>
            <w:vAlign w:val="bottom"/>
            <w:tcBorders>
              <w:right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Balances at June 30, 2025</w:t>
            </w:r>
          </w:p>
        </w:tc>
        <w:tc>
          <w:tcPr>
            <w:tcW w:w="10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129,076,628</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13</w:t>
            </w:r>
          </w:p>
        </w:tc>
        <w:tc>
          <w:tcPr>
            <w:tcW w:w="22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1,873,320</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ind w:left="360"/>
              <w:spacing w:after="0" w:line="115" w:lineRule="exact"/>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0"/>
                <w:szCs w:val="10"/>
                <w:color w:val="auto"/>
              </w:rPr>
            </w:pPr>
          </w:p>
        </w:tc>
        <w:tc>
          <w:tcPr>
            <w:tcW w:w="900" w:type="dxa"/>
            <w:vAlign w:val="bottom"/>
            <w:gridSpan w:val="2"/>
          </w:tcPr>
          <w:p>
            <w:pPr>
              <w:jc w:val="right"/>
              <w:ind w:right="180"/>
              <w:spacing w:after="0" w:line="115" w:lineRule="exact"/>
              <w:rPr>
                <w:sz w:val="20"/>
                <w:szCs w:val="20"/>
                <w:color w:val="auto"/>
              </w:rPr>
            </w:pPr>
            <w:r>
              <w:rPr>
                <w:rFonts w:ascii="Arial" w:cs="Arial" w:eastAsia="Arial" w:hAnsi="Arial"/>
                <w:sz w:val="11"/>
                <w:szCs w:val="11"/>
                <w:color w:val="auto"/>
              </w:rPr>
              <w:t>(8,769,147)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15" w:lineRule="exact"/>
              <w:rPr>
                <w:sz w:val="20"/>
                <w:szCs w:val="20"/>
                <w:color w:val="auto"/>
              </w:rPr>
            </w:pPr>
            <w:r>
              <w:rPr>
                <w:rFonts w:ascii="Arial" w:cs="Arial" w:eastAsia="Arial" w:hAnsi="Arial"/>
                <w:sz w:val="11"/>
                <w:szCs w:val="11"/>
                <w:color w:val="auto"/>
              </w:rPr>
              <w:t>(98,739 )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1,071,085</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7,101</w:t>
            </w:r>
          </w:p>
        </w:tc>
        <w:tc>
          <w:tcPr>
            <w:tcW w:w="120" w:type="dxa"/>
            <w:vAlign w:val="bottom"/>
          </w:tcPr>
          <w:p>
            <w:pPr>
              <w:spacing w:after="0"/>
              <w:rPr>
                <w:sz w:val="10"/>
                <w:szCs w:val="10"/>
                <w:color w:val="auto"/>
              </w:rPr>
            </w:pPr>
          </w:p>
        </w:tc>
        <w:tc>
          <w:tcPr>
            <w:tcW w:w="1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(187,037)</w:t>
            </w:r>
          </w:p>
        </w:tc>
        <w:tc>
          <w:tcPr>
            <w:tcW w:w="200" w:type="dxa"/>
            <w:vAlign w:val="bottom"/>
            <w:gridSpan w:val="2"/>
          </w:tcPr>
          <w:p>
            <w:pPr>
              <w:jc w:val="right"/>
              <w:ind w:right="40"/>
              <w:spacing w:after="0" w:line="11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792,423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-110490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-110490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-110490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-110490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-110490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-110490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-110490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-110490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-110490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1"/>
                <w:szCs w:val="11"/>
                <w:b w:val="1"/>
                <w:bCs w:val="1"/>
                <w:color w:val="auto"/>
              </w:rPr>
              <w:t>Six Months Ended June 30, 2024</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8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5"/>
              </w:rPr>
              <w:t>Accumulated</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Non-Voting Common</w:t>
            </w:r>
          </w:p>
        </w:tc>
        <w:tc>
          <w:tcPr>
            <w:tcW w:w="220" w:type="dxa"/>
            <w:vAlign w:val="bottom"/>
          </w:tcPr>
          <w:p>
            <w:pPr>
              <w:spacing w:after="0"/>
              <w:rPr>
                <w:sz w:val="10"/>
                <w:szCs w:val="10"/>
                <w:color w:val="auto"/>
              </w:rPr>
            </w:pPr>
          </w:p>
        </w:tc>
        <w:tc>
          <w:tcPr>
            <w:tcW w:w="1700" w:type="dxa"/>
            <w:vAlign w:val="bottom"/>
            <w:gridSpan w:val="5"/>
            <w:vMerge w:val="restart"/>
          </w:tcPr>
          <w:p>
            <w:pPr>
              <w:jc w:val="right"/>
              <w:ind w:right="320"/>
              <w:spacing w:after="0"/>
              <w:rPr>
                <w:sz w:val="20"/>
                <w:szCs w:val="20"/>
                <w:color w:val="auto"/>
              </w:rPr>
            </w:pPr>
            <w:r>
              <w:rPr>
                <w:rFonts w:ascii="Arial" w:cs="Arial" w:eastAsia="Arial" w:hAnsi="Arial"/>
                <w:sz w:val="11"/>
                <w:szCs w:val="11"/>
                <w:b w:val="1"/>
                <w:bCs w:val="1"/>
                <w:color w:val="auto"/>
              </w:rPr>
              <w:t>Treasury Voting Common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880" w:type="dxa"/>
            <w:vAlign w:val="bottom"/>
            <w:gridSpan w:val="3"/>
          </w:tcPr>
          <w:p>
            <w:pPr>
              <w:jc w:val="right"/>
              <w:ind w:right="300"/>
              <w:spacing w:after="0" w:line="108" w:lineRule="exact"/>
              <w:rPr>
                <w:sz w:val="20"/>
                <w:szCs w:val="20"/>
                <w:color w:val="auto"/>
              </w:rPr>
            </w:pPr>
            <w:r>
              <w:rPr>
                <w:rFonts w:ascii="Arial" w:cs="Arial" w:eastAsia="Arial" w:hAnsi="Arial"/>
                <w:sz w:val="11"/>
                <w:szCs w:val="11"/>
                <w:b w:val="1"/>
                <w:bCs w:val="1"/>
                <w:color w:val="auto"/>
              </w:rPr>
              <w:t>Additional</w:t>
            </w:r>
          </w:p>
        </w:tc>
        <w:tc>
          <w:tcPr>
            <w:tcW w:w="1080" w:type="dxa"/>
            <w:vAlign w:val="bottom"/>
            <w:gridSpan w:val="3"/>
          </w:tcPr>
          <w:p>
            <w:pPr>
              <w:jc w:val="center"/>
              <w:ind w:right="18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18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1"/>
                <w:szCs w:val="11"/>
                <w:b w:val="1"/>
                <w:bCs w:val="1"/>
                <w:color w:val="auto"/>
              </w:rPr>
              <w:t>Voting Common Stock</w:t>
            </w:r>
          </w:p>
        </w:tc>
        <w:tc>
          <w:tcPr>
            <w:tcW w:w="220" w:type="dxa"/>
            <w:vAlign w:val="bottom"/>
          </w:tcPr>
          <w:p>
            <w:pPr>
              <w:spacing w:after="0"/>
              <w:rPr>
                <w:sz w:val="11"/>
                <w:szCs w:val="11"/>
                <w:color w:val="auto"/>
              </w:rPr>
            </w:pPr>
          </w:p>
        </w:tc>
        <w:tc>
          <w:tcPr>
            <w:tcW w:w="840" w:type="dxa"/>
            <w:vAlign w:val="bottom"/>
            <w:tcBorders>
              <w:bottom w:val="single" w:sz="8" w:color="auto"/>
            </w:tcBorders>
            <w:gridSpan w:val="2"/>
          </w:tcPr>
          <w:p>
            <w:pPr>
              <w:ind w:left="540"/>
              <w:spacing w:after="0"/>
              <w:rPr>
                <w:sz w:val="20"/>
                <w:szCs w:val="20"/>
                <w:color w:val="auto"/>
              </w:rPr>
            </w:pPr>
            <w:r>
              <w:rPr>
                <w:rFonts w:ascii="Arial" w:cs="Arial" w:eastAsia="Arial" w:hAnsi="Arial"/>
                <w:sz w:val="11"/>
                <w:szCs w:val="11"/>
                <w:b w:val="1"/>
                <w:bCs w:val="1"/>
                <w:color w:val="auto"/>
                <w:w w:val="93"/>
              </w:rPr>
              <w:t>Stock</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Stock</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18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0"/>
                <w:szCs w:val="10"/>
                <w:color w:val="auto"/>
              </w:rPr>
            </w:pPr>
          </w:p>
        </w:tc>
        <w:tc>
          <w:tcPr>
            <w:tcW w:w="620" w:type="dxa"/>
            <w:vAlign w:val="bottom"/>
            <w:tcBorders>
              <w:bottom w:val="single" w:sz="8" w:color="auto"/>
            </w:tcBorders>
          </w:tcPr>
          <w:p>
            <w:pPr>
              <w:ind w:left="120"/>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10"/>
                <w:szCs w:val="10"/>
                <w:color w:val="auto"/>
              </w:rPr>
            </w:pPr>
          </w:p>
        </w:tc>
        <w:tc>
          <w:tcPr>
            <w:tcW w:w="68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96"/>
              </w:rPr>
              <w:t>Amount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6"/>
              </w:rPr>
              <w:t>(Loss)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right w:val="single" w:sz="8" w:color="auto"/>
            </w:tcBorders>
            <w:shd w:val="clear" w:color="auto" w:fill="CFF0FC"/>
          </w:tcPr>
          <w:p>
            <w:pPr>
              <w:spacing w:after="0" w:line="115" w:lineRule="exact"/>
              <w:rPr>
                <w:sz w:val="20"/>
                <w:szCs w:val="20"/>
                <w:color w:val="auto"/>
              </w:rPr>
            </w:pPr>
            <w:r>
              <w:rPr>
                <w:rFonts w:ascii="Arial" w:cs="Arial" w:eastAsia="Arial" w:hAnsi="Arial"/>
                <w:sz w:val="11"/>
                <w:szCs w:val="11"/>
                <w:b w:val="1"/>
                <w:bCs w:val="1"/>
                <w:color w:val="auto"/>
              </w:rPr>
              <w:t>Balances at December 31, 2023</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123,010,207</w:t>
            </w:r>
          </w:p>
        </w:tc>
        <w:tc>
          <w:tcPr>
            <w:tcW w:w="28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11</w:t>
            </w:r>
          </w:p>
        </w:tc>
        <w:tc>
          <w:tcPr>
            <w:tcW w:w="84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w:t>
            </w:r>
          </w:p>
        </w:tc>
        <w:tc>
          <w:tcPr>
            <w:tcW w:w="1120" w:type="dxa"/>
            <w:vAlign w:val="bottom"/>
            <w:gridSpan w:val="3"/>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(2,315,045)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(747)</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959,302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1,320</w:t>
            </w: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ind w:right="80"/>
              <w:spacing w:after="0" w:line="115" w:lineRule="exact"/>
              <w:rPr>
                <w:sz w:val="20"/>
                <w:szCs w:val="20"/>
                <w:color w:val="auto"/>
              </w:rPr>
            </w:pPr>
            <w:r>
              <w:rPr>
                <w:rFonts w:ascii="Arial" w:cs="Arial" w:eastAsia="Arial" w:hAnsi="Arial"/>
                <w:sz w:val="11"/>
                <w:szCs w:val="11"/>
                <w:color w:val="auto"/>
              </w:rPr>
              <w:t>(173,770)</w:t>
            </w:r>
          </w:p>
        </w:tc>
        <w:tc>
          <w:tcPr>
            <w:tcW w:w="200" w:type="dxa"/>
            <w:vAlign w:val="bottom"/>
            <w:gridSpan w:val="2"/>
            <w:shd w:val="clear" w:color="auto" w:fill="CFF0FC"/>
          </w:tcPr>
          <w:p>
            <w:pPr>
              <w:jc w:val="right"/>
              <w:ind w:right="40"/>
              <w:spacing w:after="0" w:line="115" w:lineRule="exact"/>
              <w:rPr>
                <w:sz w:val="20"/>
                <w:szCs w:val="20"/>
                <w:color w:val="auto"/>
              </w:rPr>
            </w:pPr>
            <w:r>
              <w:rPr>
                <w:rFonts w:ascii="Arial" w:cs="Arial" w:eastAsia="Arial" w:hAnsi="Arial"/>
                <w:sz w:val="11"/>
                <w:szCs w:val="11"/>
                <w:color w:val="auto"/>
              </w:rPr>
              <w:t>$</w:t>
            </w:r>
          </w:p>
        </w:tc>
        <w:tc>
          <w:tcPr>
            <w:tcW w:w="92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786,117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exercise of stock options</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1,304,373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Issuance of common stock upon</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settlement of restricted stock units</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1,128,349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88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Issuance of common stock under</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employee stock purchase plan</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71,896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Issuance of common stock for</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retention bonus</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14,166</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Issuance of treasury stock</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20,007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w:t>
            </w:r>
          </w:p>
        </w:tc>
        <w:tc>
          <w:tcPr>
            <w:tcW w:w="80" w:type="dxa"/>
            <w:vAlign w:val="bottom"/>
          </w:tcPr>
          <w:p>
            <w:pPr>
              <w:spacing w:after="0"/>
              <w:rPr>
                <w:sz w:val="10"/>
                <w:szCs w:val="10"/>
                <w:color w:val="auto"/>
              </w:rPr>
            </w:pPr>
          </w:p>
        </w:tc>
        <w:tc>
          <w:tcPr>
            <w:tcW w:w="10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880" w:type="dxa"/>
            <w:vAlign w:val="bottom"/>
            <w:tcBorders>
              <w:right w:val="single" w:sz="8" w:color="auto"/>
            </w:tcBorders>
            <w:shd w:val="clear" w:color="auto" w:fill="CFF0FC"/>
          </w:tcPr>
          <w:p>
            <w:pPr>
              <w:spacing w:after="0" w:line="109" w:lineRule="exact"/>
              <w:rPr>
                <w:sz w:val="20"/>
                <w:szCs w:val="20"/>
                <w:color w:val="auto"/>
              </w:rPr>
            </w:pPr>
            <w:r>
              <w:rPr>
                <w:rFonts w:ascii="Arial" w:cs="Arial" w:eastAsia="Arial" w:hAnsi="Arial"/>
                <w:sz w:val="11"/>
                <w:szCs w:val="11"/>
                <w:color w:val="auto"/>
              </w:rPr>
              <w:t>Foreign currency translation</w:t>
            </w: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1"/>
                <w:szCs w:val="11"/>
                <w:color w:val="auto"/>
              </w:rPr>
              <w:t>adjustment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(1,168)</w:t>
            </w:r>
          </w:p>
        </w:tc>
        <w:tc>
          <w:tcPr>
            <w:tcW w:w="140" w:type="dxa"/>
            <w:vAlign w:val="bottom"/>
            <w:tcBorders>
              <w:right w:val="single" w:sz="8" w:color="CFF0FC"/>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(1,168)</w:t>
            </w:r>
          </w:p>
        </w:tc>
        <w:tc>
          <w:tcPr>
            <w:tcW w:w="0" w:type="dxa"/>
            <w:vAlign w:val="bottom"/>
          </w:tcPr>
          <w:p>
            <w:pPr>
              <w:spacing w:after="0"/>
              <w:rPr>
                <w:sz w:val="1"/>
                <w:szCs w:val="1"/>
                <w:color w:val="auto"/>
              </w:rPr>
            </w:pPr>
          </w:p>
        </w:tc>
      </w:tr>
      <w:tr>
        <w:trPr>
          <w:trHeight w:val="108"/>
        </w:trPr>
        <w:tc>
          <w:tcPr>
            <w:tcW w:w="188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Unrealized losses on available-</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for-sale debt securities, net of</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taxes</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(53)</w:t>
            </w:r>
          </w:p>
        </w:tc>
        <w:tc>
          <w:tcPr>
            <w:tcW w:w="14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21"/>
        </w:trPr>
        <w:tc>
          <w:tcPr>
            <w:tcW w:w="1880" w:type="dxa"/>
            <w:vAlign w:val="bottom"/>
            <w:tcBorders>
              <w:right w:val="single" w:sz="8" w:color="auto"/>
            </w:tcBorders>
            <w:shd w:val="clear" w:color="auto" w:fill="CFF0FC"/>
          </w:tcPr>
          <w:p>
            <w:pPr>
              <w:spacing w:after="0" w:line="122" w:lineRule="exact"/>
              <w:rPr>
                <w:sz w:val="20"/>
                <w:szCs w:val="20"/>
                <w:color w:val="auto"/>
              </w:rPr>
            </w:pPr>
            <w:r>
              <w:rPr>
                <w:rFonts w:ascii="Arial" w:cs="Arial" w:eastAsia="Arial" w:hAnsi="Arial"/>
                <w:sz w:val="11"/>
                <w:szCs w:val="11"/>
                <w:color w:val="auto"/>
              </w:rPr>
              <w:t>Stock-based compensation</w:t>
            </w: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32,795</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32,795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Net loss</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(20,097)</w:t>
            </w:r>
          </w:p>
        </w:tc>
        <w:tc>
          <w:tcPr>
            <w:tcW w:w="0" w:type="dxa"/>
            <w:vAlign w:val="bottom"/>
          </w:tcPr>
          <w:p>
            <w:pPr>
              <w:spacing w:after="0"/>
              <w:rPr>
                <w:sz w:val="1"/>
                <w:szCs w:val="1"/>
                <w:color w:val="auto"/>
              </w:rPr>
            </w:pPr>
          </w:p>
        </w:tc>
      </w:tr>
      <w:tr>
        <w:trPr>
          <w:trHeight w:val="20"/>
        </w:trPr>
        <w:tc>
          <w:tcPr>
            <w:tcW w:w="18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80" w:type="dxa"/>
            <w:vAlign w:val="bottom"/>
            <w:tcBorders>
              <w:right w:val="single" w:sz="8" w:color="auto"/>
            </w:tcBorders>
            <w:shd w:val="clear" w:color="auto" w:fill="CFF0FC"/>
          </w:tcPr>
          <w:p>
            <w:pPr>
              <w:spacing w:after="0" w:line="115" w:lineRule="exact"/>
              <w:rPr>
                <w:sz w:val="20"/>
                <w:szCs w:val="20"/>
                <w:color w:val="auto"/>
              </w:rPr>
            </w:pPr>
            <w:r>
              <w:rPr>
                <w:rFonts w:ascii="Arial" w:cs="Arial" w:eastAsia="Arial" w:hAnsi="Arial"/>
                <w:sz w:val="11"/>
                <w:szCs w:val="11"/>
                <w:b w:val="1"/>
                <w:bCs w:val="1"/>
                <w:color w:val="auto"/>
              </w:rPr>
              <w:t>Balances at June 30, 2024</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125,528,991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11</w:t>
            </w: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(2,295,038)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1"/>
                <w:szCs w:val="11"/>
                <w:color w:val="auto"/>
              </w:rPr>
              <w:t>(741)</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997,057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99</w:t>
            </w: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ind w:right="80"/>
              <w:spacing w:after="0" w:line="115" w:lineRule="exact"/>
              <w:rPr>
                <w:sz w:val="20"/>
                <w:szCs w:val="20"/>
                <w:color w:val="auto"/>
              </w:rPr>
            </w:pPr>
            <w:r>
              <w:rPr>
                <w:rFonts w:ascii="Arial" w:cs="Arial" w:eastAsia="Arial" w:hAnsi="Arial"/>
                <w:sz w:val="11"/>
                <w:szCs w:val="11"/>
                <w:color w:val="auto"/>
              </w:rPr>
              <w:t>(193,867)</w:t>
            </w:r>
          </w:p>
        </w:tc>
        <w:tc>
          <w:tcPr>
            <w:tcW w:w="200" w:type="dxa"/>
            <w:vAlign w:val="bottom"/>
            <w:gridSpan w:val="2"/>
            <w:shd w:val="clear" w:color="auto" w:fill="CFF0FC"/>
          </w:tcPr>
          <w:p>
            <w:pPr>
              <w:jc w:val="right"/>
              <w:ind w:right="40"/>
              <w:spacing w:after="0" w:line="115" w:lineRule="exact"/>
              <w:rPr>
                <w:sz w:val="20"/>
                <w:szCs w:val="20"/>
                <w:color w:val="auto"/>
              </w:rPr>
            </w:pPr>
            <w:r>
              <w:rPr>
                <w:rFonts w:ascii="Arial" w:cs="Arial" w:eastAsia="Arial" w:hAnsi="Arial"/>
                <w:sz w:val="11"/>
                <w:szCs w:val="11"/>
                <w:color w:val="auto"/>
              </w:rPr>
              <w:t>$</w:t>
            </w:r>
          </w:p>
        </w:tc>
        <w:tc>
          <w:tcPr>
            <w:tcW w:w="92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802,560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77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(16,167)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(20,097)</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12,270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8,463</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35,740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31,903</w:t>
            </w: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ind w:left="80"/>
              <w:spacing w:after="0"/>
              <w:rPr>
                <w:sz w:val="20"/>
                <w:szCs w:val="20"/>
                <w:color w:val="auto"/>
              </w:rPr>
            </w:pPr>
            <w:r>
              <w:rPr>
                <w:rFonts w:ascii="Arial" w:cs="Arial" w:eastAsia="Arial" w:hAnsi="Arial"/>
                <w:sz w:val="16"/>
                <w:szCs w:val="16"/>
                <w:color w:val="auto"/>
              </w:rPr>
              <w:t>Amortization of deferred contract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 in fair value of contingent consideration</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(894)</w:t>
            </w:r>
          </w:p>
        </w:tc>
      </w:tr>
      <w:tr>
        <w:trPr>
          <w:trHeight w:val="189"/>
        </w:trPr>
        <w:tc>
          <w:tcPr>
            <w:tcW w:w="7700" w:type="dxa"/>
            <w:vAlign w:val="bottom"/>
          </w:tcPr>
          <w:p>
            <w:pPr>
              <w:ind w:left="80"/>
              <w:spacing w:after="0"/>
              <w:rPr>
                <w:sz w:val="20"/>
                <w:szCs w:val="20"/>
                <w:color w:val="auto"/>
              </w:rPr>
            </w:pPr>
            <w:r>
              <w:rPr>
                <w:rFonts w:ascii="Arial" w:cs="Arial" w:eastAsia="Arial" w:hAnsi="Arial"/>
                <w:sz w:val="16"/>
                <w:szCs w:val="16"/>
                <w:color w:val="auto"/>
              </w:rPr>
              <w:t>Deferred tax provision (benefit)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(1,045)</w:t>
            </w:r>
          </w:p>
        </w:tc>
      </w:tr>
      <w:tr>
        <w:trPr>
          <w:trHeight w:val="189"/>
        </w:trPr>
        <w:tc>
          <w:tcPr>
            <w:tcW w:w="77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 in provision for uncollectible accounts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w:t>
            </w:r>
          </w:p>
        </w:tc>
      </w:tr>
      <w:tr>
        <w:trPr>
          <w:trHeight w:val="189"/>
        </w:trPr>
        <w:tc>
          <w:tcPr>
            <w:tcW w:w="7700" w:type="dxa"/>
            <w:vAlign w:val="bottom"/>
          </w:tcPr>
          <w:p>
            <w:pPr>
              <w:ind w:left="8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accretion of discounts and amortization of premiums on investments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r>
      <w:tr>
        <w:trPr>
          <w:trHeight w:val="189"/>
        </w:trPr>
        <w:tc>
          <w:tcPr>
            <w:tcW w:w="7700" w:type="dxa"/>
            <w:vAlign w:val="bottom"/>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Changes in operating assets and liabilities, net of acquisitions:</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(1,939)</w:t>
            </w: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Unbilled receivables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(2,233)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(2,363)</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Funds receivable from payment partners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28,971</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(17,868)</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(4,421)</w:t>
            </w: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Funds payable to clients</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(63,759)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(94,730)</w:t>
            </w: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payable, accrued expenses and other current liabilities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(2,657)</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(675)</w:t>
            </w:r>
          </w:p>
        </w:tc>
      </w:tr>
      <w:tr>
        <w:trPr>
          <w:trHeight w:val="18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(2,640)</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(2,785)</w:t>
            </w: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7700" w:type="dxa"/>
            <w:vAlign w:val="bottom"/>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5"/>
                <w:szCs w:val="15"/>
                <w:color w:val="auto"/>
              </w:rPr>
            </w:pPr>
          </w:p>
        </w:tc>
        <w:tc>
          <w:tcPr>
            <w:tcW w:w="138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(54,811)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(57,414)</w:t>
            </w:r>
          </w:p>
        </w:tc>
      </w:tr>
      <w:tr>
        <w:trPr>
          <w:trHeight w:val="182"/>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Acquisitions of businesses, net of cash acquired</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(319,835)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Purchase of short-term and long-term investments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(14,802)</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(58,491)</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Proceeds from the maturity and sale of short-term and long-term investments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142,334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Capitalization of internally developed software</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(3,392)</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(3,304)</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(604)</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(196,429)</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(62,234)</w:t>
            </w:r>
          </w:p>
        </w:tc>
      </w:tr>
      <w:tr>
        <w:trPr>
          <w:trHeight w:val="183"/>
        </w:trPr>
        <w:tc>
          <w:tcPr>
            <w:tcW w:w="77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revolving credit facility</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Payment of revolving credit facility</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(65,000)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Payment of debt issuance costs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(783)</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Contingent consideration paid for acquisitions</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(2,710)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Payments of tax withholdings for net settled equity awards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(2,364)</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3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(54,304)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the issuance of stock under Employee Stock Purchase Plan</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16"/>
                <w:szCs w:val="16"/>
                <w:color w:val="auto"/>
              </w:rPr>
            </w:pPr>
          </w:p>
        </w:tc>
      </w:tr>
      <w:tr>
        <w:trPr>
          <w:trHeight w:val="183"/>
        </w:trPr>
        <w:tc>
          <w:tcPr>
            <w:tcW w:w="770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3,617</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3,859</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700" w:type="dxa"/>
            <w:vAlign w:val="bottom"/>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2,067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w:t>
            </w:r>
          </w:p>
        </w:tc>
        <w:tc>
          <w:tcPr>
            <w:tcW w:w="120" w:type="dxa"/>
            <w:vAlign w:val="bottom"/>
          </w:tcPr>
          <w:p>
            <w:pPr>
              <w:spacing w:after="0"/>
              <w:rPr>
                <w:sz w:val="15"/>
                <w:szCs w:val="15"/>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Net decrease in cash and cash equivalents</w:t>
            </w: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(245,556)</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(115,308)</w:t>
            </w:r>
          </w:p>
        </w:tc>
      </w:tr>
      <w:tr>
        <w:trPr>
          <w:trHeight w:val="189"/>
        </w:trPr>
        <w:tc>
          <w:tcPr>
            <w:tcW w:w="7700" w:type="dxa"/>
            <w:vAlign w:val="bottom"/>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495,242</w:t>
            </w:r>
          </w:p>
        </w:tc>
        <w:tc>
          <w:tcPr>
            <w:tcW w:w="180" w:type="dxa"/>
            <w:vAlign w:val="bottom"/>
          </w:tcPr>
          <w:p>
            <w:pPr>
              <w:spacing w:after="0"/>
              <w:rPr>
                <w:sz w:val="16"/>
                <w:szCs w:val="16"/>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654,608</w:t>
            </w:r>
          </w:p>
        </w:tc>
        <w:tc>
          <w:tcPr>
            <w:tcW w:w="120" w:type="dxa"/>
            <w:vAlign w:val="bottom"/>
          </w:tcPr>
          <w:p>
            <w:pPr>
              <w:spacing w:after="0"/>
              <w:rPr>
                <w:sz w:val="16"/>
                <w:szCs w:val="16"/>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and cash equivalents, end of period</w:t>
            </w: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249,686</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539,300</w:t>
            </w:r>
          </w:p>
        </w:tc>
        <w:tc>
          <w:tcPr>
            <w:tcW w:w="120" w:type="dxa"/>
            <w:vAlign w:val="bottom"/>
            <w:shd w:val="clear" w:color="auto" w:fill="CFF0FC"/>
          </w:tcPr>
          <w:p>
            <w:pPr>
              <w:spacing w:after="0"/>
              <w:rPr>
                <w:sz w:val="19"/>
                <w:szCs w:val="19"/>
                <w:color w:val="auto"/>
              </w:rPr>
            </w:pPr>
          </w:p>
        </w:tc>
      </w:tr>
      <w:tr>
        <w:trPr>
          <w:trHeight w:val="170"/>
        </w:trPr>
        <w:tc>
          <w:tcPr>
            <w:tcW w:w="770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Supplemental disclosures of cash flow and noncash information</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 in accounts payable</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Issuance of common stock upon settlement of restricted stock units</w:t>
            </w:r>
          </w:p>
        </w:tc>
        <w:tc>
          <w:tcPr>
            <w:tcW w:w="36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50,115</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for retention bonus</w:t>
            </w: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FF0FC"/>
          </w:tcPr>
          <w:p>
            <w:pPr>
              <w:spacing w:after="0"/>
              <w:rPr>
                <w:sz w:val="16"/>
                <w:szCs w:val="16"/>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Accrued excise tax related to common stock repurchased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-3350260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-3350260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-2364740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-2364740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-1147445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-1147445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-641350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-624205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-641350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-624205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30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Overview and Summary of Significant Accounting Policies</w:t>
      </w:r>
    </w:p>
    <w:p>
      <w:pPr>
        <w:spacing w:after="0" w:line="171"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spacing w:after="0" w:line="142"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income (loss), changes in stockholders’ equity, and its cash flows for the periods presented.</w:t>
      </w:r>
    </w:p>
    <w:p>
      <w:pPr>
        <w:spacing w:after="0" w:line="15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results of operations for the three and six months ended June 30, 2025, are not necessarily indicative of results to be expected for the year ended December 31, 2025, any other interim periods or any future year or period. The accompanying consolidated balance sheet as of December 31, 2024 was derived from the Company’s audited consolidated financial statements for the year ended December 31, 2024.</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3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year ended December 31, 2024.</w:t>
      </w:r>
    </w:p>
    <w:p>
      <w:pPr>
        <w:spacing w:after="0" w:line="113"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condensed consolidated financial statements include the accounts of Flywire and its wholly owned subsidiaries. All intercompany accounts and transactions have been eliminated upon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Company has a single operating and reportable segment. See Note 3 – Segment Information for additional details regarding the Company's significant segment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stock-based compensation, fair value of contingent consideration and acquired intangible assets and their useful lives, valuation allowances against deferred tax assets and allowance for credit losses on accounts receivable, unbilled receivables, and available-for-sale debt securities.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83" w:lineRule="exact"/>
        <w:rPr>
          <w:sz w:val="20"/>
          <w:szCs w:val="20"/>
          <w:color w:val="auto"/>
        </w:rPr>
      </w:pPr>
    </w:p>
    <w:p>
      <w:pPr>
        <w:ind w:right="60" w:firstLine="509"/>
        <w:spacing w:after="0" w:line="301" w:lineRule="auto"/>
        <w:rPr>
          <w:sz w:val="20"/>
          <w:szCs w:val="20"/>
          <w:color w:val="auto"/>
        </w:rPr>
      </w:pPr>
      <w:r>
        <w:rPr>
          <w:rFonts w:ascii="Arial" w:cs="Arial" w:eastAsia="Arial" w:hAnsi="Arial"/>
          <w:sz w:val="17"/>
          <w:szCs w:val="17"/>
          <w:color w:val="auto"/>
        </w:rPr>
        <w:t>Financial instruments that potentially subject the Company to concentration of credit risk consists principally of cash, cash equivalents, investments in available-for-sale debt securities, accounts receivable, unbilled receivables and funds receivable from payment partners.</w:t>
      </w:r>
    </w:p>
    <w:p>
      <w:pPr>
        <w:spacing w:after="0" w:line="90"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The Company maintains its cash and cash equivalents with financial institutions that management believes are of high credit quality. Our cash equivalents include money market funds, which are AAA-rated and comprised of liquid, high 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our concentration in government money market funds.</w:t>
      </w:r>
    </w:p>
    <w:p>
      <w:pPr>
        <w:spacing w:after="0" w:line="143"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To manage credit risk associated with investments in available-for-sale debt securities, the Company monitors credit ratings of the issuers of the securities and diversifies its investments by limiting its holding in any one security or issuer.</w:t>
      </w:r>
    </w:p>
    <w:p>
      <w:pPr>
        <w:spacing w:after="0" w:line="127"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and six months ended June 30, 2025 and 2024.</w:t>
      </w:r>
    </w:p>
    <w:p>
      <w:pPr>
        <w:spacing w:after="0" w:line="136"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There were no clients that represented 10% or more of the accounts receivable balance at June 30, 2025 or December 31, 2024.</w:t>
      </w:r>
    </w:p>
    <w:p>
      <w:pPr>
        <w:spacing w:after="0" w:line="113"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Funds receivable from payment partners consists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60" w:type="dxa"/>
            <w:vAlign w:val="bottom"/>
          </w:tcPr>
          <w:p>
            <w:pPr>
              <w:spacing w:after="0"/>
              <w:rPr>
                <w:sz w:val="14"/>
                <w:szCs w:val="14"/>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r>
      <w:tr>
        <w:trPr>
          <w:trHeight w:val="196"/>
        </w:trPr>
        <w:tc>
          <w:tcPr>
            <w:tcW w:w="87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Partner A</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Partner B</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87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Partner C</w:t>
            </w:r>
          </w:p>
        </w:tc>
        <w:tc>
          <w:tcPr>
            <w:tcW w:w="7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49%</w:t>
            </w:r>
          </w:p>
        </w:tc>
        <w:tc>
          <w:tcPr>
            <w:tcW w:w="1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w:t>
            </w:r>
          </w:p>
        </w:tc>
      </w:tr>
    </w:tbl>
    <w:p>
      <w:pPr>
        <w:spacing w:after="0"/>
        <w:rPr>
          <w:sz w:val="20"/>
          <w:szCs w:val="20"/>
          <w:color w:val="auto"/>
        </w:rPr>
      </w:pPr>
      <w:r>
        <w:rPr>
          <w:rFonts w:ascii="Arial" w:cs="Arial" w:eastAsia="Arial" w:hAnsi="Arial"/>
          <w:sz w:val="14"/>
          <w:szCs w:val="14"/>
          <w:color w:val="auto"/>
        </w:rPr>
        <w:t>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53" w:lineRule="exact"/>
        <w:rPr>
          <w:sz w:val="20"/>
          <w:szCs w:val="20"/>
          <w:color w:val="auto"/>
        </w:rPr>
      </w:pPr>
    </w:p>
    <w:p>
      <w:pPr>
        <w:ind w:right="1300" w:firstLine="509"/>
        <w:spacing w:after="0" w:line="446" w:lineRule="auto"/>
        <w:rPr>
          <w:sz w:val="20"/>
          <w:szCs w:val="20"/>
          <w:color w:val="auto"/>
        </w:rPr>
      </w:pPr>
      <w:r>
        <w:rPr>
          <w:rFonts w:ascii="Arial" w:cs="Arial" w:eastAsia="Arial" w:hAnsi="Arial"/>
          <w:sz w:val="18"/>
          <w:szCs w:val="18"/>
          <w:color w:val="auto"/>
        </w:rPr>
        <w:t xml:space="preserve">During the three and six months ended June 30, 2025 and 2024, no client accounted for 10% or more of total revenue. </w:t>
      </w:r>
      <w:r>
        <w:rPr>
          <w:rFonts w:ascii="Arial" w:cs="Arial" w:eastAsia="Arial" w:hAnsi="Arial"/>
          <w:sz w:val="18"/>
          <w:szCs w:val="18"/>
          <w:b w:val="1"/>
          <w:bCs w:val="1"/>
          <w:i w:val="1"/>
          <w:iCs w:val="1"/>
          <w:color w:val="auto"/>
        </w:rPr>
        <w:t>Summary of Significant Accounting Policies</w:t>
      </w:r>
    </w:p>
    <w:p>
      <w:pPr>
        <w:ind w:right="240" w:firstLine="509"/>
        <w:spacing w:after="0" w:line="253"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notes to the audited consolidated financial statements in the Company’s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69"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loss. Advertising expenses for the three months ended June 30, 2025 and 2024 were $2.2 million and $2.1 million, respectively. Advertising expenses for the six months ended June 30, 2025 and 2024 were $4.0 million and $3.7 million,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recent accounting pronouncements adopted by Flywire during the quarter ended June 30,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Accounting Standards Updates (ASUs) were issued by the Financial Accounting Standards Board but not yet adopted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Flywire as of June 30, 2025:</w:t>
      </w:r>
    </w:p>
    <w:p>
      <w:pPr>
        <w:spacing w:after="0" w:line="16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ASU 2023-09 should be applied on a prospective basis. However, companies have the option to apply the standard retrospectively. The adoption of this standard will require certain additional disclosures in the notes to the consolidated financial statements. The adoption of this standard will require certain additional disclosures in the notes to the consolidated financial statements in our annual report on Form 10-K for 2025.</w:t>
      </w:r>
    </w:p>
    <w:p>
      <w:pPr>
        <w:spacing w:after="0" w:line="13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 - Reporting Comprehensive Income - 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of Income Statement Expenses: </w:t>
      </w:r>
      <w:r>
        <w:rPr>
          <w:rFonts w:ascii="Arial" w:cs="Arial" w:eastAsia="Arial" w:hAnsi="Arial"/>
          <w:sz w:val="18"/>
          <w:szCs w:val="18"/>
          <w:color w:val="auto"/>
        </w:rPr>
        <w:t>ASU 2024-03 is intended to improve the disclosures of expenses by providing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2025-01, </w:t>
      </w:r>
      <w:r>
        <w:rPr>
          <w:rFonts w:ascii="Arial" w:cs="Arial" w:eastAsia="Arial" w:hAnsi="Arial"/>
          <w:sz w:val="18"/>
          <w:szCs w:val="18"/>
          <w:i w:val="1"/>
          <w:iCs w:val="1"/>
          <w:color w:val="auto"/>
        </w:rPr>
        <w:t>Income Statement - Reporting Comprehensive Income - Expense Disaggregation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220-40): Clarifying the Effective Date, </w:t>
      </w:r>
      <w:r>
        <w:rPr>
          <w:rFonts w:ascii="Arial" w:cs="Arial" w:eastAsia="Arial" w:hAnsi="Arial"/>
          <w:sz w:val="18"/>
          <w:szCs w:val="18"/>
          <w:color w:val="auto"/>
        </w:rPr>
        <w:t>clarifies the amendments in ASU 2024-03 are effective for the Company for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period beginning on January 1, 2027, and interim reporting periods within annual reporting periods beginning January 1, 2028. The Company is currently evaluating the impact of this standard on its consolidated financial statements and disclosures.</w:t>
      </w:r>
    </w:p>
    <w:p>
      <w:pPr>
        <w:spacing w:after="0" w:line="1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Revenue and Recognition</w:t>
      </w:r>
    </w:p>
    <w:p>
      <w:pPr>
        <w:spacing w:after="0" w:line="185"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40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780" w:type="dxa"/>
            <w:vAlign w:val="bottom"/>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Primary geographical markets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Americas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55,836</w:t>
            </w:r>
          </w:p>
        </w:tc>
        <w:tc>
          <w:tcPr>
            <w:tcW w:w="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41,961</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119,218</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EMEA</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54,777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42,871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102,225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APAC</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21,278</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18,844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43,900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131,891</w:t>
            </w:r>
          </w:p>
        </w:tc>
        <w:tc>
          <w:tcPr>
            <w:tcW w:w="5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103,676</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265,343</w:t>
            </w:r>
          </w:p>
        </w:tc>
        <w:tc>
          <w:tcPr>
            <w:tcW w:w="5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217,779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Major solutions</w:t>
            </w: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100,574</w:t>
            </w:r>
          </w:p>
        </w:tc>
        <w:tc>
          <w:tcPr>
            <w:tcW w:w="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85,298</w:t>
            </w:r>
          </w:p>
        </w:tc>
        <w:tc>
          <w:tcPr>
            <w:tcW w:w="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209,064</w:t>
            </w:r>
          </w:p>
        </w:tc>
        <w:tc>
          <w:tcPr>
            <w:tcW w:w="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180,498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Platform and other revenues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31,317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18,378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56,279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131,891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103,676</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265,343</w:t>
            </w:r>
          </w:p>
        </w:tc>
        <w:tc>
          <w:tcPr>
            <w:tcW w:w="5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217,779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-574040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-556895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-574040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-556895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-574040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-556895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For the three months ended June 30, 2025 and 2024, the Company recognized $2.4 million and $1.8 million in revenue from amounts that were included in deferred revenue as of December 31, 2024 and 2023, respectively. For the six months ended June 30, 2025 and 2024, the Company recognized $5.7 million and $4.9 million in revenue from amounts that were included in deferred revenue as of December 31, 2024 and 2023,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 has performance obligations associated with certain clients' contracts for future services that have not yet been recognized as revenue. As of June 30, 2025, the aggregate amount of transaction price allocated to performance obligations that are unsatisfied or partially unsatisfied, including deferred revenue, was approximately $16.1 million. Of the total remaining performance obligations, the Company expects to recognize approximately 50.0% within the next year, 28.3% after one year through year two and 21.7% over the next three to five years thereafter. Actual amounts and timing of revenue recognized may differ due to subsequent contract modifications, renewals and/or terminations.</w:t>
      </w:r>
    </w:p>
    <w:p>
      <w:pPr>
        <w:spacing w:after="0" w:line="13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Segment Information</w:t>
      </w:r>
    </w:p>
    <w:p>
      <w:pPr>
        <w:spacing w:after="0" w:line="171"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 Company has a single operating and reportable segment. Operating segments are defined as components of an enterprise for which separate financial information is regularly evaluated by the Company’s chief operating decision maker (CODM). The Company’s CODM is its Chief Executive Officer, who reviews financial information presented on a consolidated basis for purposes of making operating decisions, assessing financial performance and allocating resources. The Company's CODM evaluates company-wide performance based on multiple performance measures, including, but not limited to net income (loss).</w:t>
      </w:r>
    </w:p>
    <w:p>
      <w:pPr>
        <w:spacing w:after="0" w:line="14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following table presents the Company's significant segment expenses and other segment items for the six months ended June 30, 2025 and 2024. The CODM does not regularly review segment asset information, which is total assets, for the purpose of assessing performance and making resource allocation decisions; therefore, such information is not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131,891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103,676</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265,343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217,779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Less: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Payment processing services costs</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49,636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36,540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95,778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74,710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7"/>
                <w:szCs w:val="17"/>
                <w:color w:val="auto"/>
              </w:rPr>
              <w:t xml:space="preserve">Personnel expense </w:t>
            </w:r>
            <w:r>
              <w:rPr>
                <w:rFonts w:ascii="Arial" w:cs="Arial" w:eastAsia="Arial" w:hAnsi="Arial"/>
                <w:sz w:val="23"/>
                <w:szCs w:val="23"/>
                <w:color w:val="auto"/>
                <w:vertAlign w:val="superscript"/>
              </w:rPr>
              <w:t>(a)</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41,296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38,381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82,422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78,434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3"/>
                <w:szCs w:val="23"/>
                <w:color w:val="auto"/>
                <w:vertAlign w:val="superscript"/>
              </w:rPr>
              <w:t>(b)</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24,124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22,648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52,157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7,161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13,038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3"/>
                <w:szCs w:val="23"/>
                <w:color w:val="auto"/>
                <w:vertAlign w:val="superscript"/>
              </w:rPr>
              <w:t>(c)</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17,328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33,251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32,596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1,351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8,690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(1,089)</w:t>
            </w:r>
          </w:p>
        </w:tc>
        <w:tc>
          <w:tcPr>
            <w:tcW w:w="26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(4,023)</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(Gain) loss from remeasurement of foreign currency</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(3,947)</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(7,523)</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Gain on available-for-sale debt securities</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(166)</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6,981</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4,677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6,097</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6,292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ind w:left="300"/>
              <w:spacing w:after="0" w:line="196" w:lineRule="exact"/>
              <w:rPr>
                <w:sz w:val="20"/>
                <w:szCs w:val="20"/>
                <w:color w:val="auto"/>
              </w:rPr>
            </w:pPr>
            <w:r>
              <w:rPr>
                <w:rFonts w:ascii="Arial" w:cs="Arial" w:eastAsia="Arial" w:hAnsi="Arial"/>
                <w:sz w:val="18"/>
                <w:szCs w:val="18"/>
                <w:color w:val="auto"/>
              </w:rPr>
              <w:t>Segment loss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(12,007)</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(13,880)</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(16,167)</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-161925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-161925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____________________________</w:t>
      </w:r>
    </w:p>
    <w:p>
      <w:pPr>
        <w:spacing w:after="0" w:line="42" w:lineRule="exact"/>
        <w:rPr>
          <w:sz w:val="20"/>
          <w:szCs w:val="20"/>
          <w:color w:val="auto"/>
        </w:rPr>
      </w:pPr>
    </w:p>
    <w:p>
      <w:pPr>
        <w:ind w:right="300" w:firstLine="8"/>
        <w:spacing w:after="0"/>
        <w:tabs>
          <w:tab w:leader="none" w:pos="144"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Personnel expense includes employees' and contractors' compensation in Technology and development, Selling and marketing and General and administrative operating expenses.</w:t>
      </w:r>
    </w:p>
    <w:p>
      <w:pPr>
        <w:spacing w:after="0" w:line="207" w:lineRule="exact"/>
        <w:rPr>
          <w:rFonts w:ascii="Arial" w:cs="Arial" w:eastAsia="Arial" w:hAnsi="Arial"/>
          <w:sz w:val="16"/>
          <w:szCs w:val="16"/>
          <w:color w:val="1F1F1F"/>
          <w:vertAlign w:val="superscript"/>
        </w:rPr>
      </w:pPr>
    </w:p>
    <w:p>
      <w:pPr>
        <w:ind w:right="100" w:firstLine="8"/>
        <w:spacing w:after="0" w:line="278" w:lineRule="auto"/>
        <w:tabs>
          <w:tab w:leader="none" w:pos="144"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Other segment items in segment income (loss) includes the following expenses: professional fees, marketing, travel, facilities, software, ancillary services, acquisition related transaction costs and other general and administrative.</w:t>
      </w:r>
    </w:p>
    <w:p>
      <w:pPr>
        <w:spacing w:after="0"/>
        <w:rPr>
          <w:sz w:val="20"/>
          <w:szCs w:val="20"/>
          <w:color w:val="auto"/>
        </w:rPr>
      </w:pPr>
      <w:r>
        <w:rPr>
          <w:rFonts w:ascii="Arial" w:cs="Arial" w:eastAsia="Arial" w:hAnsi="Arial"/>
          <w:sz w:val="19"/>
          <w:szCs w:val="19"/>
          <w:color w:val="1F1F1F"/>
          <w:vertAlign w:val="superscript"/>
        </w:rPr>
        <w:t>(c)</w:t>
      </w:r>
      <w:r>
        <w:rPr>
          <w:rFonts w:ascii="Arial" w:cs="Arial" w:eastAsia="Arial" w:hAnsi="Arial"/>
          <w:sz w:val="14"/>
          <w:szCs w:val="14"/>
          <w:color w:val="1F1F1F"/>
        </w:rPr>
        <w:t>Stock-based compensation expense includes employer payroll taxes and excludes stock-based compensation relating to restructuring.</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7"/>
          <w:szCs w:val="17"/>
          <w:color w:val="1F1F1F"/>
        </w:rPr>
        <w:t>See Note 2 - Revenue and Recognition for information regarding the Company's revenue by geographic area.</w:t>
      </w:r>
    </w:p>
    <w:p>
      <w:pPr>
        <w:spacing w:after="0" w:line="200" w:lineRule="exact"/>
        <w:rPr>
          <w:sz w:val="20"/>
          <w:szCs w:val="20"/>
          <w:color w:val="auto"/>
        </w:rPr>
      </w:pPr>
    </w:p>
    <w:p>
      <w:pPr>
        <w:spacing w:after="0" w:line="35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Investments</w:t>
      </w:r>
    </w:p>
    <w:p>
      <w:pPr>
        <w:spacing w:after="0" w:line="17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and long-term investments as of June 30, 2025 (in thousands):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rPr>
              <w:t>June 30, 2025</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14"/>
              <w:spacing w:after="0" w:line="147" w:lineRule="exact"/>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8"/>
              </w:rPr>
              <w:t>Gross</w:t>
            </w:r>
          </w:p>
        </w:tc>
        <w:tc>
          <w:tcPr>
            <w:tcW w:w="9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Accrued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Unrealized</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4"/>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4"/>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Losses</w:t>
            </w:r>
          </w:p>
        </w:tc>
        <w:tc>
          <w:tcPr>
            <w:tcW w:w="700" w:type="dxa"/>
            <w:vAlign w:val="bottom"/>
          </w:tcPr>
          <w:p>
            <w:pPr>
              <w:jc w:val="center"/>
              <w:ind w:left="118"/>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Receivable</w:t>
            </w:r>
          </w:p>
        </w:tc>
        <w:tc>
          <w:tcPr>
            <w:tcW w:w="22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5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60"/>
              <w:spacing w:after="0" w:line="202" w:lineRule="exact"/>
              <w:rPr>
                <w:sz w:val="20"/>
                <w:szCs w:val="20"/>
                <w:color w:val="auto"/>
              </w:rPr>
            </w:pPr>
            <w:r>
              <w:rPr>
                <w:rFonts w:ascii="Arial" w:cs="Arial" w:eastAsia="Arial" w:hAnsi="Arial"/>
                <w:sz w:val="18"/>
                <w:szCs w:val="18"/>
                <w:color w:val="auto"/>
              </w:rPr>
              <w:t>Corporate bonds</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10,589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700" w:type="dxa"/>
            <w:vAlign w:val="bottom"/>
          </w:tcPr>
          <w:p>
            <w:pPr>
              <w:jc w:val="right"/>
              <w:ind w:right="518"/>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10,677</w:t>
            </w:r>
          </w:p>
        </w:tc>
        <w:tc>
          <w:tcPr>
            <w:tcW w:w="100" w:type="dxa"/>
            <w:vAlign w:val="bottom"/>
          </w:tcPr>
          <w:p>
            <w:pPr>
              <w:spacing w:after="0"/>
              <w:rPr>
                <w:sz w:val="17"/>
                <w:szCs w:val="17"/>
                <w:color w:val="auto"/>
              </w:rPr>
            </w:pPr>
          </w:p>
        </w:tc>
      </w:tr>
      <w:tr>
        <w:trPr>
          <w:trHeight w:val="203"/>
        </w:trPr>
        <w:tc>
          <w:tcPr>
            <w:tcW w:w="45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13,618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13,818</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60"/>
              <w:spacing w:after="0" w:line="202" w:lineRule="exact"/>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r>
      <w:tr>
        <w:trPr>
          <w:trHeight w:val="236"/>
        </w:trPr>
        <w:tc>
          <w:tcPr>
            <w:tcW w:w="45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short-term investments</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24,257</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(3)</w:t>
            </w:r>
          </w:p>
        </w:tc>
        <w:tc>
          <w:tcPr>
            <w:tcW w:w="700" w:type="dxa"/>
            <w:vAlign w:val="bottom"/>
            <w:shd w:val="clear" w:color="auto" w:fill="CFF0FC"/>
          </w:tcPr>
          <w:p>
            <w:pPr>
              <w:jc w:val="right"/>
              <w:ind w:right="518"/>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w:t>
            </w:r>
          </w:p>
        </w:tc>
        <w:tc>
          <w:tcPr>
            <w:tcW w:w="44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24,545</w:t>
            </w:r>
          </w:p>
        </w:tc>
        <w:tc>
          <w:tcPr>
            <w:tcW w:w="100" w:type="dxa"/>
            <w:vAlign w:val="bottom"/>
            <w:shd w:val="clear" w:color="auto" w:fill="CFF0FC"/>
          </w:tcPr>
          <w:p>
            <w:pPr>
              <w:spacing w:after="0"/>
              <w:rPr>
                <w:sz w:val="20"/>
                <w:szCs w:val="20"/>
                <w:color w:val="auto"/>
              </w:rPr>
            </w:pPr>
          </w:p>
        </w:tc>
      </w:tr>
      <w:tr>
        <w:trPr>
          <w:trHeight w:val="183"/>
        </w:trPr>
        <w:tc>
          <w:tcPr>
            <w:tcW w:w="4500" w:type="dxa"/>
            <w:vAlign w:val="bottom"/>
            <w:tcBorders>
              <w:top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3"/>
        </w:trPr>
        <w:tc>
          <w:tcPr>
            <w:tcW w:w="4500" w:type="dxa"/>
            <w:vAlign w:val="bottom"/>
          </w:tcPr>
          <w:p>
            <w:pPr>
              <w:ind w:left="60"/>
              <w:spacing w:after="0" w:line="202" w:lineRule="exact"/>
              <w:rPr>
                <w:sz w:val="20"/>
                <w:szCs w:val="20"/>
                <w:color w:val="auto"/>
              </w:rPr>
            </w:pPr>
            <w:r>
              <w:rPr>
                <w:rFonts w:ascii="Arial" w:cs="Arial" w:eastAsia="Arial" w:hAnsi="Arial"/>
                <w:sz w:val="18"/>
                <w:szCs w:val="18"/>
                <w:color w:val="auto"/>
              </w:rPr>
              <w:t>Corporate bonds</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3,568</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18"/>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3,610</w:t>
            </w:r>
          </w:p>
        </w:tc>
        <w:tc>
          <w:tcPr>
            <w:tcW w:w="100" w:type="dxa"/>
            <w:vAlign w:val="bottom"/>
          </w:tcPr>
          <w:p>
            <w:pPr>
              <w:spacing w:after="0"/>
              <w:rPr>
                <w:sz w:val="17"/>
                <w:szCs w:val="17"/>
                <w:color w:val="auto"/>
              </w:rPr>
            </w:pPr>
          </w:p>
        </w:tc>
      </w:tr>
      <w:tr>
        <w:trPr>
          <w:trHeight w:val="203"/>
        </w:trPr>
        <w:tc>
          <w:tcPr>
            <w:tcW w:w="45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10,949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11,055</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ind w:left="60"/>
              <w:spacing w:after="0" w:line="202" w:lineRule="exact"/>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r>
      <w:tr>
        <w:trPr>
          <w:trHeight w:val="216"/>
        </w:trPr>
        <w:tc>
          <w:tcPr>
            <w:tcW w:w="45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14,736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8"/>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w:t>
            </w:r>
          </w:p>
        </w:tc>
        <w:tc>
          <w:tcPr>
            <w:tcW w:w="44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14,885</w:t>
            </w:r>
          </w:p>
        </w:tc>
        <w:tc>
          <w:tcPr>
            <w:tcW w:w="100" w:type="dxa"/>
            <w:vAlign w:val="bottom"/>
            <w:shd w:val="clear" w:color="auto" w:fill="CFF0FC"/>
          </w:tcPr>
          <w:p>
            <w:pPr>
              <w:spacing w:after="0"/>
              <w:rPr>
                <w:sz w:val="18"/>
                <w:szCs w:val="18"/>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-702310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-685165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-702310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-685165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-702310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-685165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-702310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-685165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-702310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-685165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-25400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53" w:lineRule="exact"/>
        <w:rPr>
          <w:sz w:val="20"/>
          <w:szCs w:val="20"/>
          <w:color w:val="auto"/>
        </w:rPr>
      </w:pPr>
    </w:p>
    <w:p>
      <w:pPr>
        <w:jc w:val="both"/>
        <w:ind w:right="20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and long-term investments as of December 31, 2024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33"/>
              <w:spacing w:after="0" w:line="147"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8"/>
              </w:rPr>
              <w:t>Gross</w:t>
            </w:r>
          </w:p>
        </w:tc>
        <w:tc>
          <w:tcPr>
            <w:tcW w:w="9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73"/>
              <w:spacing w:after="0" w:line="147" w:lineRule="exact"/>
              <w:rPr>
                <w:sz w:val="20"/>
                <w:szCs w:val="20"/>
                <w:color w:val="auto"/>
              </w:rPr>
            </w:pPr>
            <w:r>
              <w:rPr>
                <w:rFonts w:ascii="Arial" w:cs="Arial" w:eastAsia="Arial" w:hAnsi="Arial"/>
                <w:sz w:val="14"/>
                <w:szCs w:val="14"/>
                <w:b w:val="1"/>
                <w:bCs w:val="1"/>
                <w:color w:val="auto"/>
              </w:rPr>
              <w:t>Accrued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Unrealized</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4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Losses</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center"/>
              <w:ind w:left="118"/>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Receivable</w:t>
            </w: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96"/>
        </w:trPr>
        <w:tc>
          <w:tcPr>
            <w:tcW w:w="46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61,941</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700" w:type="dxa"/>
            <w:vAlign w:val="bottom"/>
          </w:tcPr>
          <w:p>
            <w:pPr>
              <w:jc w:val="right"/>
              <w:ind w:right="518"/>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62,625</w:t>
            </w: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rPr>
              <w:t>U.S. Government obligations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36,358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36,755</w:t>
            </w:r>
          </w:p>
        </w:tc>
        <w:tc>
          <w:tcPr>
            <w:tcW w:w="100" w:type="dxa"/>
            <w:vAlign w:val="bottom"/>
            <w:shd w:val="clear" w:color="auto" w:fill="CFF0FC"/>
          </w:tcPr>
          <w:p>
            <w:pPr>
              <w:spacing w:after="0"/>
              <w:rPr>
                <w:sz w:val="17"/>
                <w:szCs w:val="17"/>
                <w:color w:val="auto"/>
              </w:rPr>
            </w:pPr>
          </w:p>
        </w:tc>
      </w:tr>
      <w:tr>
        <w:trPr>
          <w:trHeight w:val="202"/>
        </w:trPr>
        <w:tc>
          <w:tcPr>
            <w:tcW w:w="4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Treasury Bill</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6,979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6,983</w:t>
            </w: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rPr>
              <w:t>Foreign Agency Securities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2,607</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6,877</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6,878</w:t>
            </w:r>
          </w:p>
        </w:tc>
        <w:tc>
          <w:tcPr>
            <w:tcW w:w="100" w:type="dxa"/>
            <w:vAlign w:val="bottom"/>
          </w:tcPr>
          <w:p>
            <w:pPr>
              <w:spacing w:after="0"/>
              <w:rPr>
                <w:sz w:val="17"/>
                <w:szCs w:val="17"/>
                <w:color w:val="auto"/>
              </w:rPr>
            </w:pPr>
          </w:p>
        </w:tc>
      </w:tr>
      <w:tr>
        <w:trPr>
          <w:trHeight w:val="236"/>
        </w:trPr>
        <w:tc>
          <w:tcPr>
            <w:tcW w:w="46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short-term investments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114,738</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(7)</w:t>
            </w:r>
          </w:p>
        </w:tc>
        <w:tc>
          <w:tcPr>
            <w:tcW w:w="700" w:type="dxa"/>
            <w:vAlign w:val="bottom"/>
            <w:shd w:val="clear" w:color="auto" w:fill="CFF0FC"/>
          </w:tcPr>
          <w:p>
            <w:pPr>
              <w:jc w:val="right"/>
              <w:ind w:right="518"/>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115,848</w:t>
            </w:r>
          </w:p>
        </w:tc>
        <w:tc>
          <w:tcPr>
            <w:tcW w:w="100" w:type="dxa"/>
            <w:vAlign w:val="bottom"/>
            <w:shd w:val="clear" w:color="auto" w:fill="CFF0FC"/>
          </w:tcPr>
          <w:p>
            <w:pPr>
              <w:spacing w:after="0"/>
              <w:rPr>
                <w:sz w:val="20"/>
                <w:szCs w:val="20"/>
                <w:color w:val="auto"/>
              </w:rPr>
            </w:pPr>
          </w:p>
        </w:tc>
      </w:tr>
      <w:tr>
        <w:trPr>
          <w:trHeight w:val="183"/>
        </w:trPr>
        <w:tc>
          <w:tcPr>
            <w:tcW w:w="4620" w:type="dxa"/>
            <w:vAlign w:val="bottom"/>
            <w:tcBorders>
              <w:top w:val="single" w:sz="8" w:color="CFF0FC"/>
            </w:tcBorders>
            <w:gridSpan w:val="2"/>
          </w:tcPr>
          <w:p>
            <w:pPr>
              <w:spacing w:after="0" w:line="183" w:lineRule="exact"/>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462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22,797</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(23)</w:t>
            </w:r>
          </w:p>
        </w:tc>
        <w:tc>
          <w:tcPr>
            <w:tcW w:w="700" w:type="dxa"/>
            <w:vAlign w:val="bottom"/>
            <w:shd w:val="clear" w:color="auto" w:fill="CFF0FC"/>
          </w:tcPr>
          <w:p>
            <w:pPr>
              <w:jc w:val="right"/>
              <w:ind w:right="518"/>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23,100</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21,174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w:t>
            </w: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21,384</w:t>
            </w:r>
          </w:p>
        </w:tc>
        <w:tc>
          <w:tcPr>
            <w:tcW w:w="100" w:type="dxa"/>
            <w:vAlign w:val="bottom"/>
          </w:tcPr>
          <w:p>
            <w:pPr>
              <w:spacing w:after="0"/>
              <w:rPr>
                <w:sz w:val="17"/>
                <w:szCs w:val="17"/>
                <w:color w:val="auto"/>
              </w:rPr>
            </w:pPr>
          </w:p>
        </w:tc>
      </w:tr>
      <w:tr>
        <w:trPr>
          <w:trHeight w:val="203"/>
        </w:trPr>
        <w:tc>
          <w:tcPr>
            <w:tcW w:w="462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rPr>
              <w:t>Agency bond</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3,172</w:t>
            </w:r>
          </w:p>
        </w:tc>
        <w:tc>
          <w:tcPr>
            <w:tcW w:w="10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long-term investments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49,592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(92)</w:t>
            </w:r>
          </w:p>
        </w:tc>
        <w:tc>
          <w:tcPr>
            <w:tcW w:w="700" w:type="dxa"/>
            <w:vAlign w:val="bottom"/>
            <w:shd w:val="clear" w:color="auto" w:fill="CFF0FC"/>
          </w:tcPr>
          <w:p>
            <w:pPr>
              <w:jc w:val="right"/>
              <w:ind w:right="518"/>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545</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50,125</w:t>
            </w:r>
          </w:p>
        </w:tc>
        <w:tc>
          <w:tcPr>
            <w:tcW w:w="100" w:type="dxa"/>
            <w:vAlign w:val="bottom"/>
            <w:shd w:val="clear" w:color="auto" w:fill="CFF0FC"/>
          </w:tcPr>
          <w:p>
            <w:pPr>
              <w:spacing w:after="0"/>
              <w:rPr>
                <w:sz w:val="18"/>
                <w:szCs w:val="18"/>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-830580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-814070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-830580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-814070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-830580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-814070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-830580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-814070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-830580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-814070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following table summarizes the fair value of the Company's available-for-sale debt securities by remaining contractual maturity as of June 30, 2025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Due within one year</w:t>
            </w:r>
          </w:p>
        </w:tc>
        <w:tc>
          <w:tcPr>
            <w:tcW w:w="37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24,545</w:t>
            </w:r>
          </w:p>
        </w:tc>
        <w:tc>
          <w:tcPr>
            <w:tcW w:w="100" w:type="dxa"/>
            <w:vAlign w:val="bottom"/>
            <w:shd w:val="clear" w:color="auto" w:fill="CFF0FC"/>
          </w:tcPr>
          <w:p>
            <w:pPr>
              <w:spacing w:after="0"/>
              <w:rPr>
                <w:sz w:val="18"/>
                <w:szCs w:val="18"/>
                <w:color w:val="auto"/>
              </w:rPr>
            </w:pPr>
          </w:p>
        </w:tc>
      </w:tr>
      <w:tr>
        <w:trPr>
          <w:trHeight w:val="203"/>
        </w:trPr>
        <w:tc>
          <w:tcPr>
            <w:tcW w:w="6160" w:type="dxa"/>
            <w:vAlign w:val="bottom"/>
            <w:tcBorders>
              <w:bottom w:val="single" w:sz="8" w:color="CFF0FC"/>
            </w:tcBorders>
          </w:tcPr>
          <w:p>
            <w:pPr>
              <w:ind w:left="120"/>
              <w:spacing w:after="0" w:line="202" w:lineRule="exact"/>
              <w:rPr>
                <w:sz w:val="20"/>
                <w:szCs w:val="20"/>
                <w:color w:val="auto"/>
              </w:rPr>
            </w:pPr>
            <w:r>
              <w:rPr>
                <w:rFonts w:ascii="Arial" w:cs="Arial" w:eastAsia="Arial" w:hAnsi="Arial"/>
                <w:sz w:val="18"/>
                <w:szCs w:val="18"/>
                <w:color w:val="auto"/>
              </w:rPr>
              <w:t>Due after one year through five years</w:t>
            </w:r>
          </w:p>
        </w:tc>
        <w:tc>
          <w:tcPr>
            <w:tcW w:w="306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14,885</w:t>
            </w:r>
          </w:p>
        </w:tc>
        <w:tc>
          <w:tcPr>
            <w:tcW w:w="100" w:type="dxa"/>
            <w:vAlign w:val="bottom"/>
            <w:tcBorders>
              <w:bottom w:val="single" w:sz="8" w:color="CFF0FC"/>
            </w:tcBorders>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investments</w:t>
            </w:r>
          </w:p>
        </w:tc>
        <w:tc>
          <w:tcPr>
            <w:tcW w:w="30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39,430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As of June 30, 2025, approximately 7 out of approximately 30 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as of June 30, 2025 (in thousands):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12 Months or Longer</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left="81"/>
              <w:spacing w:after="0" w:line="147"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left="64"/>
              <w:spacing w:after="0" w:line="147"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700" w:type="dxa"/>
            <w:vAlign w:val="bottom"/>
          </w:tcPr>
          <w:p>
            <w:pPr>
              <w:jc w:val="center"/>
              <w:ind w:left="121"/>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700" w:type="dxa"/>
            <w:vAlign w:val="bottom"/>
          </w:tcPr>
          <w:p>
            <w:pPr>
              <w:jc w:val="center"/>
              <w:ind w:left="104"/>
              <w:spacing w:after="0"/>
              <w:rPr>
                <w:sz w:val="20"/>
                <w:szCs w:val="20"/>
                <w:color w:val="auto"/>
              </w:rPr>
            </w:pPr>
            <w:r>
              <w:rPr>
                <w:rFonts w:ascii="Arial" w:cs="Arial" w:eastAsia="Arial" w:hAnsi="Arial"/>
                <w:sz w:val="14"/>
                <w:szCs w:val="14"/>
                <w:b w:val="1"/>
                <w:bCs w:val="1"/>
                <w:color w:val="auto"/>
                <w:w w:val="99"/>
              </w:rPr>
              <w:t>Losses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60"/>
              <w:spacing w:after="0"/>
              <w:rPr>
                <w:sz w:val="20"/>
                <w:szCs w:val="20"/>
                <w:color w:val="auto"/>
              </w:rPr>
            </w:pPr>
            <w:r>
              <w:rPr>
                <w:rFonts w:ascii="Arial" w:cs="Arial" w:eastAsia="Arial" w:hAnsi="Arial"/>
                <w:sz w:val="18"/>
                <w:szCs w:val="18"/>
                <w:color w:val="auto"/>
              </w:rPr>
              <w:t>Corporate bonds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2,151</w:t>
            </w:r>
          </w:p>
        </w:tc>
        <w:tc>
          <w:tcPr>
            <w:tcW w:w="92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Arial" w:cs="Arial" w:eastAsia="Arial" w:hAnsi="Arial"/>
                <w:sz w:val="18"/>
                <w:szCs w:val="18"/>
                <w:color w:val="auto"/>
              </w:rPr>
              <w:t>U.S. Government obligations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60"/>
              <w:spacing w:after="0" w:line="202" w:lineRule="exact"/>
              <w:rPr>
                <w:sz w:val="20"/>
                <w:szCs w:val="20"/>
                <w:color w:val="auto"/>
              </w:rPr>
            </w:pPr>
            <w:r>
              <w:rPr>
                <w:rFonts w:ascii="Arial" w:cs="Arial" w:eastAsia="Arial" w:hAnsi="Arial"/>
                <w:sz w:val="18"/>
                <w:szCs w:val="18"/>
                <w:color w:val="auto"/>
              </w:rPr>
              <w:t>Foreign Agency Securities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20"/>
              <w:spacing w:after="0"/>
              <w:rPr>
                <w:sz w:val="20"/>
                <w:szCs w:val="20"/>
                <w:color w:val="auto"/>
              </w:rPr>
            </w:pPr>
            <w:r>
              <w:rPr>
                <w:rFonts w:ascii="Arial" w:cs="Arial" w:eastAsia="Arial" w:hAnsi="Arial"/>
                <w:sz w:val="18"/>
                <w:szCs w:val="18"/>
                <w:color w:val="auto"/>
              </w:rPr>
              <w:t>Total short-term investments</w:t>
            </w: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7,212</w:t>
            </w:r>
          </w:p>
        </w:tc>
        <w:tc>
          <w:tcPr>
            <w:tcW w:w="220" w:type="dxa"/>
            <w:vAlign w:val="bottom"/>
            <w:vMerge w:val="continue"/>
          </w:tcPr>
          <w:p>
            <w:pPr>
              <w:spacing w:after="0"/>
              <w:rPr>
                <w:sz w:val="17"/>
                <w:szCs w:val="17"/>
                <w:color w:val="auto"/>
              </w:rPr>
            </w:pPr>
          </w:p>
        </w:tc>
        <w:tc>
          <w:tcPr>
            <w:tcW w:w="700" w:type="dxa"/>
            <w:vAlign w:val="bottom"/>
          </w:tcPr>
          <w:p>
            <w:pPr>
              <w:jc w:val="right"/>
              <w:ind w:right="521"/>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7"/>
                <w:szCs w:val="17"/>
                <w:color w:val="auto"/>
              </w:rPr>
            </w:pPr>
          </w:p>
        </w:tc>
        <w:tc>
          <w:tcPr>
            <w:tcW w:w="700" w:type="dxa"/>
            <w:vAlign w:val="bottom"/>
          </w:tcPr>
          <w:p>
            <w:pPr>
              <w:jc w:val="right"/>
              <w:ind w:right="524"/>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7"/>
                <w:szCs w:val="17"/>
                <w:color w:val="auto"/>
              </w:rPr>
            </w:pPr>
          </w:p>
        </w:tc>
        <w:tc>
          <w:tcPr>
            <w:tcW w:w="280" w:type="dxa"/>
            <w:vAlign w:val="bottom"/>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7,212</w:t>
            </w:r>
          </w:p>
        </w:tc>
        <w:tc>
          <w:tcPr>
            <w:tcW w:w="2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6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1"/>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ind w:right="52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60"/>
              <w:spacing w:after="0" w:line="202" w:lineRule="exact"/>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5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21"/>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FF0FC"/>
          </w:tcPr>
          <w:p>
            <w:pPr>
              <w:jc w:val="right"/>
              <w:ind w:right="524"/>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99"/>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5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Unrealized losses have not been recognized into income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impairments.</w:t>
      </w:r>
    </w:p>
    <w:p>
      <w:pPr>
        <w:spacing w:after="0" w:line="147"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During the three and six months ended June 30, 2025, the Company received proceeds of $43.6 million and $142.3 million, respectively, from the sale of short-term and long-term investments, primarily used to partially pay down the outstanding debt under the Company's revolving credit facility used for the Sertifi acquisition. Realized gains on the sale of available-for-sale debt securities during the three and six months ended June 30, 2025 were less than $0.1 million and $0.2 million, respectively.</w:t>
      </w:r>
    </w:p>
    <w:p>
      <w:pPr>
        <w:spacing w:after="0" w:line="1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Fair Value Measurements</w:t>
      </w:r>
    </w:p>
    <w:p>
      <w:pPr>
        <w:spacing w:after="0" w:line="17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8"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2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Company's investments in available-for-sale debt securities are carried at fair value, determined using Level 2 inputs in the fair value hierarchy as quoted prices are available to support the valuation. The carrying values of accounts receivable, funds receivable from payment partners, unbilled receivables,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8"/>
          <w:szCs w:val="18"/>
          <w:color w:val="auto"/>
        </w:rPr>
        <w:t>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4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June 30, 2025 and December 31, 2024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Measured at NAV</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80" w:type="dxa"/>
            <w:vAlign w:val="bottom"/>
            <w:gridSpan w:val="9"/>
            <w:vMerge w:val="restart"/>
          </w:tcPr>
          <w:p>
            <w:pPr>
              <w:ind w:left="640"/>
              <w:spacing w:after="0"/>
              <w:rPr>
                <w:sz w:val="20"/>
                <w:szCs w:val="20"/>
                <w:color w:val="auto"/>
              </w:rPr>
            </w:pPr>
            <w:r>
              <w:rPr>
                <w:rFonts w:ascii="Arial" w:cs="Arial" w:eastAsia="Arial" w:hAnsi="Arial"/>
                <w:sz w:val="14"/>
                <w:szCs w:val="14"/>
                <w:b w:val="1"/>
                <w:bCs w:val="1"/>
                <w:color w:val="auto"/>
              </w:rPr>
              <w:t>Measured at Fair Value as of June 30, 2025:</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rPr>
              <w:t>as of June 30,</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9"/>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Money market funds</w:t>
            </w:r>
          </w:p>
        </w:tc>
        <w:tc>
          <w:tcPr>
            <w:tcW w:w="1460" w:type="dxa"/>
            <w:vAlign w:val="bottom"/>
            <w:gridSpan w:val="2"/>
            <w:shd w:val="clear" w:color="auto" w:fill="CFF0FC"/>
          </w:tcPr>
          <w:p>
            <w:pPr>
              <w:ind w:left="134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16,019</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investments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Corporate bonds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10,677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10,677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U.S. Government obligations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Foreign Agency Securities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Commercial paper</w:t>
            </w:r>
          </w:p>
        </w:tc>
        <w:tc>
          <w:tcPr>
            <w:tcW w:w="13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24,545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investments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Corporate bonds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U.S. Government obligations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Asset-backed Securities</w:t>
            </w:r>
          </w:p>
        </w:tc>
        <w:tc>
          <w:tcPr>
            <w:tcW w:w="1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long-term investments</w:t>
            </w:r>
          </w:p>
        </w:tc>
        <w:tc>
          <w:tcPr>
            <w:tcW w:w="1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6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14,885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14,885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rPr>
              <w:t>Total financial assets</w:t>
            </w:r>
          </w:p>
        </w:tc>
        <w:tc>
          <w:tcPr>
            <w:tcW w:w="1460" w:type="dxa"/>
            <w:vAlign w:val="bottom"/>
            <w:gridSpan w:val="2"/>
          </w:tcPr>
          <w:p>
            <w:pPr>
              <w:ind w:left="134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16,019</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620"/>
              <w:spacing w:after="0" w:line="196" w:lineRule="exact"/>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39,430</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55,525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Financial Liabilities:</w:t>
            </w: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134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4,946</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financial liabilities</w:t>
            </w: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6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4,946</w:t>
            </w:r>
          </w:p>
        </w:tc>
        <w:tc>
          <w:tcPr>
            <w:tcW w:w="4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60"/>
        </w:trPr>
        <w:tc>
          <w:tcPr>
            <w:tcW w:w="370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Measured at NAV</w:t>
            </w: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of December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gridSpan w:val="11"/>
            <w:vMerge w:val="restart"/>
          </w:tcPr>
          <w:p>
            <w:pPr>
              <w:ind w:left="460"/>
              <w:spacing w:after="0"/>
              <w:rPr>
                <w:sz w:val="20"/>
                <w:szCs w:val="20"/>
                <w:color w:val="auto"/>
              </w:rPr>
            </w:pPr>
            <w:r>
              <w:rPr>
                <w:rFonts w:ascii="Arial" w:cs="Arial" w:eastAsia="Arial" w:hAnsi="Arial"/>
                <w:sz w:val="14"/>
                <w:szCs w:val="14"/>
                <w:b w:val="1"/>
                <w:bCs w:val="1"/>
                <w:color w:val="auto"/>
              </w:rPr>
              <w:t>Measured at Fair Value as of December 31, 2024:</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Money market funds</w:t>
            </w:r>
          </w:p>
        </w:tc>
        <w:tc>
          <w:tcPr>
            <w:tcW w:w="1460" w:type="dxa"/>
            <w:vAlign w:val="bottom"/>
            <w:gridSpan w:val="2"/>
            <w:shd w:val="clear" w:color="auto" w:fill="CFF0FC"/>
          </w:tcPr>
          <w:p>
            <w:pPr>
              <w:ind w:left="134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139,545</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139,545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Foreign exchange contracts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investments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Corporate bonds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62,625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62,625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U.S. Government obligations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36,755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Treasury Bill</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Agency Securities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Commercial paper</w:t>
            </w:r>
          </w:p>
        </w:tc>
        <w:tc>
          <w:tcPr>
            <w:tcW w:w="1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6,878</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6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115,848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115,848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rPr>
              <w:t>Long-term investments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Corporate bonds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U.S. Government obligations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21,384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21,384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Agency bond</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80"/>
              <w:spacing w:after="0" w:line="202" w:lineRule="exact"/>
              <w:rPr>
                <w:sz w:val="20"/>
                <w:szCs w:val="20"/>
                <w:color w:val="auto"/>
              </w:rPr>
            </w:pPr>
            <w:r>
              <w:rPr>
                <w:rFonts w:ascii="Arial" w:cs="Arial" w:eastAsia="Arial" w:hAnsi="Arial"/>
                <w:sz w:val="18"/>
                <w:szCs w:val="18"/>
                <w:color w:val="auto"/>
              </w:rPr>
              <w:t>Asset-backed Securities</w:t>
            </w:r>
          </w:p>
        </w:tc>
        <w:tc>
          <w:tcPr>
            <w:tcW w:w="1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long-term investments</w:t>
            </w:r>
          </w:p>
        </w:tc>
        <w:tc>
          <w:tcPr>
            <w:tcW w:w="1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6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50,125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50,125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rPr>
              <w:t>Total financial assets</w:t>
            </w:r>
          </w:p>
        </w:tc>
        <w:tc>
          <w:tcPr>
            <w:tcW w:w="1460" w:type="dxa"/>
            <w:vAlign w:val="bottom"/>
            <w:gridSpan w:val="2"/>
          </w:tcPr>
          <w:p>
            <w:pPr>
              <w:ind w:left="134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139,545</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620"/>
              <w:spacing w:after="0" w:line="196" w:lineRule="exact"/>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165,973</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305,567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Contingent consideration</w:t>
            </w: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620"/>
              <w:spacing w:after="0" w:line="183"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5,094</w:t>
            </w:r>
          </w:p>
        </w:tc>
        <w:tc>
          <w:tcPr>
            <w:tcW w:w="4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5,094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rPr>
              <w:t>Total financial liabilities</w:t>
            </w:r>
          </w:p>
        </w:tc>
        <w:tc>
          <w:tcPr>
            <w:tcW w:w="134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5,094</w:t>
            </w:r>
          </w:p>
        </w:tc>
        <w:tc>
          <w:tcPr>
            <w:tcW w:w="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5,094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12"/>
              <w:spacing w:after="0"/>
              <w:rPr>
                <w:sz w:val="20"/>
                <w:szCs w:val="20"/>
                <w:color w:val="auto"/>
              </w:rPr>
            </w:pPr>
            <w:r>
              <w:rPr>
                <w:rFonts w:ascii="Arial" w:cs="Arial" w:eastAsia="Arial" w:hAnsi="Arial"/>
                <w:sz w:val="18"/>
                <w:szCs w:val="18"/>
                <w:color w:val="auto"/>
                <w:w w:val="99"/>
              </w:rPr>
              <w:t>14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3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-5575300</wp:posOffset>
            </wp:positionV>
            <wp:extent cx="939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-5575300</wp:posOffset>
            </wp:positionV>
            <wp:extent cx="939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-5575300</wp:posOffset>
            </wp:positionV>
            <wp:extent cx="939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-5575300</wp:posOffset>
            </wp:positionV>
            <wp:extent cx="939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-5575300</wp:posOffset>
            </wp:positionV>
            <wp:extent cx="10287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-4765675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-4765675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-4765675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-4765675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-4765675</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-4208145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-4191000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-4208145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-4191000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-4208145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-4191000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-4208145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-4191000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-4208145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-4191000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-2005330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-2005330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-2005330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-2005330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-1216660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-1216660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-1216660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-1216660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-925195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-925195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-925195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-925195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6" w:name="page17"/>
    <w:bookmarkEnd w:id="16"/>
    <w:p>
      <w:pPr>
        <w:ind w:right="120" w:firstLine="509"/>
        <w:spacing w:after="0" w:line="271" w:lineRule="auto"/>
        <w:rPr>
          <w:sz w:val="20"/>
          <w:szCs w:val="20"/>
          <w:color w:val="auto"/>
        </w:rPr>
      </w:pPr>
      <w:r>
        <w:rPr>
          <w:rFonts w:ascii="Arial" w:cs="Arial" w:eastAsia="Arial" w:hAnsi="Arial"/>
          <w:sz w:val="18"/>
          <w:szCs w:val="18"/>
          <w:color w:val="auto"/>
        </w:rPr>
        <w:t>During the six months ended June 30, 2025 and year ended December 31, 2024, there were no transfers between Level 1, Level 2 or Level 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Sertifi LLC (Sertifi)</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The fair value of the contingent consideration related to the gross profit milestones from the Company’s acquisition of Sertifi in February 2025 was determined using an option pricing model and the fair value of the contingent consideration related to the technology and security milestones was determined using a scenario-based method. Refer to </w:t>
      </w:r>
      <w:r>
        <w:rPr>
          <w:rFonts w:ascii="Arial" w:cs="Arial" w:eastAsia="Arial" w:hAnsi="Arial"/>
          <w:sz w:val="18"/>
          <w:szCs w:val="18"/>
          <w:i w:val="1"/>
          <w:iCs w:val="1"/>
          <w:color w:val="auto"/>
        </w:rPr>
        <w:t>Note 10 - Business Combinations</w:t>
      </w:r>
      <w:r>
        <w:rPr>
          <w:rFonts w:ascii="Arial" w:cs="Arial" w:eastAsia="Arial" w:hAnsi="Arial"/>
          <w:sz w:val="18"/>
          <w:szCs w:val="18"/>
          <w:color w:val="auto"/>
        </w:rPr>
        <w:t xml:space="preserve"> for additional details on the Sertifi acquisition. The following table presents the unobservable inputs incorporated into the fair value of the contingent consideration liability as of June 30,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4"/>
                <w:szCs w:val="14"/>
                <w:color w:val="auto"/>
              </w:rPr>
            </w:pPr>
          </w:p>
        </w:tc>
      </w:tr>
      <w:tr>
        <w:trPr>
          <w:trHeight w:val="196"/>
        </w:trPr>
        <w:tc>
          <w:tcPr>
            <w:tcW w:w="8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Discount rate</w:t>
            </w:r>
          </w:p>
        </w:tc>
        <w:tc>
          <w:tcPr>
            <w:tcW w:w="24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6.6%</w:t>
            </w:r>
          </w:p>
        </w:tc>
      </w:tr>
      <w:tr>
        <w:trPr>
          <w:trHeight w:val="207"/>
        </w:trPr>
        <w:tc>
          <w:tcPr>
            <w:tcW w:w="8760" w:type="dxa"/>
            <w:vAlign w:val="bottom"/>
          </w:tcPr>
          <w:p>
            <w:pPr>
              <w:spacing w:after="0"/>
              <w:rPr>
                <w:sz w:val="20"/>
                <w:szCs w:val="20"/>
                <w:color w:val="auto"/>
              </w:rPr>
            </w:pPr>
            <w:r>
              <w:rPr>
                <w:rFonts w:ascii="Arial" w:cs="Arial" w:eastAsia="Arial" w:hAnsi="Arial"/>
                <w:sz w:val="18"/>
                <w:szCs w:val="18"/>
                <w:color w:val="auto"/>
              </w:rPr>
              <w:t>Probability of successful achievement *</w:t>
            </w:r>
          </w:p>
        </w:tc>
        <w:tc>
          <w:tcPr>
            <w:tcW w:w="2300" w:type="dxa"/>
            <w:vAlign w:val="bottom"/>
          </w:tcPr>
          <w:p>
            <w:pPr>
              <w:jc w:val="right"/>
              <w:spacing w:after="0"/>
              <w:rPr>
                <w:sz w:val="20"/>
                <w:szCs w:val="20"/>
                <w:color w:val="auto"/>
              </w:rPr>
            </w:pPr>
            <w:r>
              <w:rPr>
                <w:rFonts w:ascii="Arial" w:cs="Arial" w:eastAsia="Arial" w:hAnsi="Arial"/>
                <w:sz w:val="18"/>
                <w:szCs w:val="18"/>
                <w:color w:val="auto"/>
              </w:rPr>
              <w:t>28% - 60%</w:t>
            </w:r>
          </w:p>
        </w:tc>
        <w:tc>
          <w:tcPr>
            <w:tcW w:w="18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4"/>
          <w:szCs w:val="14"/>
          <w:color w:val="auto"/>
        </w:rPr>
        <w:t>_____________________________</w:t>
      </w:r>
    </w:p>
    <w:p>
      <w:pPr>
        <w:spacing w:after="0" w:line="41" w:lineRule="exact"/>
        <w:rPr>
          <w:sz w:val="20"/>
          <w:szCs w:val="20"/>
          <w:color w:val="auto"/>
        </w:rPr>
      </w:pPr>
    </w:p>
    <w:p>
      <w:pPr>
        <w:ind w:right="440" w:firstLine="8"/>
        <w:spacing w:after="0" w:line="285"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as of June 30, 2025 was 37.7%.</w:t>
      </w:r>
    </w:p>
    <w:p>
      <w:pPr>
        <w:spacing w:after="0" w:line="121"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gross profit, technology and security milestones are expected to be achieved would result in higher or lower fair value measurement,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Invoiced Inc. (Invoiced)</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 xml:space="preserve">The fair value of the contingent consideration related to the revenue milestones from the Company’s acquisition of Invoiced in August 2024 was determined using an option pricing model and the fair value of the contingent consideration related to the cross-selling, product and security and information technology (IT) milestones was determined using a scenario-based method. Refer to </w:t>
      </w:r>
      <w:r>
        <w:rPr>
          <w:rFonts w:ascii="Arial" w:cs="Arial" w:eastAsia="Arial" w:hAnsi="Arial"/>
          <w:sz w:val="18"/>
          <w:szCs w:val="18"/>
          <w:i w:val="1"/>
          <w:iCs w:val="1"/>
          <w:color w:val="auto"/>
        </w:rPr>
        <w:t>Note 10 -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for additional details on the Invoiced acquisition. The following table presents the unobservable inputs incorporated into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contingent consideration liability as of June 30, 2025 and December 31,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Discount rate</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 - 6.6%</w:t>
            </w:r>
          </w:p>
        </w:tc>
        <w:tc>
          <w:tcPr>
            <w:tcW w:w="17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6.5% - 6.6%</w:t>
            </w:r>
          </w:p>
        </w:tc>
      </w:tr>
      <w:tr>
        <w:trPr>
          <w:trHeight w:val="207"/>
        </w:trPr>
        <w:tc>
          <w:tcPr>
            <w:tcW w:w="7460" w:type="dxa"/>
            <w:vAlign w:val="bottom"/>
          </w:tcPr>
          <w:p>
            <w:pPr>
              <w:spacing w:after="0"/>
              <w:rPr>
                <w:sz w:val="20"/>
                <w:szCs w:val="20"/>
                <w:color w:val="auto"/>
              </w:rPr>
            </w:pPr>
            <w:r>
              <w:rPr>
                <w:rFonts w:ascii="Arial" w:cs="Arial" w:eastAsia="Arial" w:hAnsi="Arial"/>
                <w:sz w:val="18"/>
                <w:szCs w:val="18"/>
                <w:color w:val="auto"/>
              </w:rPr>
              <w:t>Probability of successful achievement *</w:t>
            </w:r>
          </w:p>
        </w:tc>
        <w:tc>
          <w:tcPr>
            <w:tcW w:w="2000" w:type="dxa"/>
            <w:vAlign w:val="bottom"/>
          </w:tcPr>
          <w:p>
            <w:pPr>
              <w:jc w:val="right"/>
              <w:spacing w:after="0"/>
              <w:rPr>
                <w:sz w:val="20"/>
                <w:szCs w:val="20"/>
                <w:color w:val="auto"/>
              </w:rPr>
            </w:pPr>
            <w:r>
              <w:rPr>
                <w:rFonts w:ascii="Arial" w:cs="Arial" w:eastAsia="Arial" w:hAnsi="Arial"/>
                <w:sz w:val="18"/>
                <w:szCs w:val="18"/>
                <w:color w:val="auto"/>
              </w:rPr>
              <w:t>0% - 100%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 - 100%</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41" w:lineRule="exact"/>
        <w:rPr>
          <w:sz w:val="20"/>
          <w:szCs w:val="20"/>
          <w:color w:val="auto"/>
        </w:rPr>
      </w:pPr>
    </w:p>
    <w:p>
      <w:pPr>
        <w:ind w:right="440" w:firstLine="8"/>
        <w:spacing w:after="0" w:line="285"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as of June 30, 2025 was 28.6%.</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top customers, product and IT milestones are expected to be achieved would result in higher or lower fair value measurement,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 Information Systems Pty Ltd. (StudyLink)</w:t>
      </w:r>
    </w:p>
    <w:p>
      <w:pPr>
        <w:spacing w:after="0" w:line="16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 xml:space="preserve">The fair value of the contingent consideration related to the revenue milestone from the Company’s acquisition of StudyLink in November 2023 was determined using an option pricing model and the fair value of the contingent consideration related to the volume of money movement, cross-selling and engineering implementation milestones was determined using a scenario-based method. Refer to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10 - Business Combinations </w:t>
      </w:r>
      <w:r>
        <w:rPr>
          <w:rFonts w:ascii="Arial" w:cs="Arial" w:eastAsia="Arial" w:hAnsi="Arial"/>
          <w:sz w:val="18"/>
          <w:szCs w:val="18"/>
          <w:color w:val="auto"/>
        </w:rPr>
        <w:t>for additional details on the StudyLink acquisition. The following table presents the unobservable inputs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into the fair value of the contingent consideration liability as of June 30, 2025 and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June 30, 2025</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89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Discount rate</w:t>
            </w:r>
          </w:p>
        </w:tc>
        <w:tc>
          <w:tcPr>
            <w:tcW w:w="7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7.5%</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- 8.2%</w:t>
            </w:r>
          </w:p>
        </w:tc>
      </w:tr>
      <w:tr>
        <w:trPr>
          <w:trHeight w:val="207"/>
        </w:trPr>
        <w:tc>
          <w:tcPr>
            <w:tcW w:w="8920" w:type="dxa"/>
            <w:vAlign w:val="bottom"/>
            <w:gridSpan w:val="2"/>
          </w:tcPr>
          <w:p>
            <w:pPr>
              <w:spacing w:after="0"/>
              <w:rPr>
                <w:sz w:val="20"/>
                <w:szCs w:val="20"/>
                <w:color w:val="auto"/>
              </w:rPr>
            </w:pPr>
            <w:r>
              <w:rPr>
                <w:rFonts w:ascii="Arial" w:cs="Arial" w:eastAsia="Arial" w:hAnsi="Arial"/>
                <w:sz w:val="18"/>
                <w:szCs w:val="18"/>
                <w:color w:val="auto"/>
              </w:rPr>
              <w:t>Probability of successful achievement *</w:t>
            </w:r>
          </w:p>
        </w:tc>
        <w:tc>
          <w:tcPr>
            <w:tcW w:w="380" w:type="dxa"/>
            <w:vAlign w:val="bottom"/>
          </w:tcPr>
          <w:p>
            <w:pPr>
              <w:ind w:left="100"/>
              <w:spacing w:after="0"/>
              <w:rPr>
                <w:sz w:val="20"/>
                <w:szCs w:val="20"/>
                <w:color w:val="auto"/>
              </w:rPr>
            </w:pPr>
            <w:r>
              <w:rPr>
                <w:rFonts w:ascii="Arial" w:cs="Arial" w:eastAsia="Arial" w:hAnsi="Arial"/>
                <w:sz w:val="18"/>
                <w:szCs w:val="18"/>
                <w:color w:val="auto"/>
                <w:w w:val="99"/>
              </w:rPr>
              <w:t>0%</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w w:val="99"/>
              </w:rPr>
              <w:t>-100%</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41" w:lineRule="exact"/>
        <w:rPr>
          <w:sz w:val="20"/>
          <w:szCs w:val="20"/>
          <w:color w:val="auto"/>
        </w:rPr>
      </w:pPr>
    </w:p>
    <w:p>
      <w:pPr>
        <w:ind w:right="440" w:firstLine="8"/>
        <w:spacing w:after="0" w:line="285"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as of June 30, 2025 was 0%.</w:t>
      </w:r>
    </w:p>
    <w:p>
      <w:pPr>
        <w:spacing w:after="0" w:line="121"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volume, cross-selling and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engineering implementation milestones are expected to be achieved would result in higher or lower fair value measurement, respectively.</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Changes in the fair value of contingent consideration are included as a component of general and administrative expense within the condensed consolidated statements of operations and comprehensive loss. At June 30, 2025, $1.5 million and $3.5 million of contingent consideration are reflected in the Company's balance sheet in accrued expenses and other current liabilities and other liabilities, respectively. The following table summarizes the changes in the carrying value of the contingent consideration for the periods presented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312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60" w:type="dxa"/>
            <w:vAlign w:val="bottom"/>
          </w:tcPr>
          <w:p>
            <w:pPr>
              <w:spacing w:after="0"/>
              <w:rPr>
                <w:sz w:val="13"/>
                <w:szCs w:val="13"/>
                <w:color w:val="auto"/>
              </w:rPr>
            </w:pPr>
          </w:p>
        </w:tc>
        <w:tc>
          <w:tcPr>
            <w:tcW w:w="122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74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1220" w:type="dxa"/>
            <w:vAlign w:val="bottom"/>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5,094</w:t>
            </w: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2,882</w:t>
            </w:r>
          </w:p>
        </w:tc>
        <w:tc>
          <w:tcPr>
            <w:tcW w:w="12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1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w:t>
            </w:r>
          </w:p>
        </w:tc>
        <w:tc>
          <w:tcPr>
            <w:tcW w:w="1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(894)</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 *</w:t>
            </w:r>
          </w:p>
        </w:tc>
        <w:tc>
          <w:tcPr>
            <w:tcW w:w="12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(71)</w:t>
            </w:r>
          </w:p>
        </w:tc>
      </w:tr>
      <w:tr>
        <w:trPr>
          <w:trHeight w:val="20"/>
        </w:trPr>
        <w:tc>
          <w:tcPr>
            <w:tcW w:w="7460" w:type="dxa"/>
            <w:vAlign w:val="bottom"/>
            <w:tcBorders>
              <w:right w:val="single" w:sz="8" w:color="CFF0FC"/>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46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4,946</w:t>
            </w:r>
          </w:p>
        </w:tc>
        <w:tc>
          <w:tcPr>
            <w:tcW w:w="160" w:type="dxa"/>
            <w:vAlign w:val="bottom"/>
          </w:tcPr>
          <w:p>
            <w:pPr>
              <w:spacing w:after="0"/>
              <w:rPr>
                <w:sz w:val="17"/>
                <w:szCs w:val="17"/>
                <w:color w:val="auto"/>
              </w:rPr>
            </w:pPr>
          </w:p>
        </w:tc>
        <w:tc>
          <w:tcPr>
            <w:tcW w:w="1080" w:type="dxa"/>
            <w:vAlign w:val="bottom"/>
            <w:gridSpan w:val="2"/>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1,917</w:t>
            </w:r>
          </w:p>
        </w:tc>
        <w:tc>
          <w:tcPr>
            <w:tcW w:w="120" w:type="dxa"/>
            <w:vAlign w:val="bottom"/>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-162560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4" w:lineRule="exact"/>
        <w:rPr>
          <w:sz w:val="20"/>
          <w:szCs w:val="20"/>
          <w:color w:val="auto"/>
        </w:rPr>
      </w:pPr>
    </w:p>
    <w:p>
      <w:pPr>
        <w:ind w:right="20" w:firstLine="8"/>
        <w:spacing w:after="0" w:line="263"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Contingent consideration when paid is bifurcated between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spacing w:after="0" w:line="1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Derivative Instruments</w:t>
      </w:r>
    </w:p>
    <w:p>
      <w:pPr>
        <w:spacing w:after="0" w:line="17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condensed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June 30, 2025 and December 31, 2024, the Company had 11,041 and 18,858 open foreign exchange contracts, respectively. As of June 30, 2025 and December 31, 2024, the Company had foreign currency forward contracts outstanding with a notional amount of $38.2 million and $43.3 million, respectively.</w:t>
      </w:r>
    </w:p>
    <w:p>
      <w:pPr>
        <w:spacing w:after="0" w:line="140"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The Company recorded an asset of $0.1 million and less than $ 0.1 million related to outstanding foreign exchange contracts at June 30, 2025 and December 31, 2024, respectively. The Company recognized gains of $0.6 million during the three and six months ended June 30, 2025, and losses of $0.1 million during the three and six months ended June 30, 2024. Gains and losses are included as a component of general and administrative expense within the condensed consolidated statements of operations and comprehensive loss.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8" w:name="page19"/>
    <w:bookmarkEnd w:id="18"/>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Accrued Expenses and Other Current Liabilities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13"/>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19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13,662</w:t>
            </w:r>
          </w:p>
        </w:tc>
        <w:tc>
          <w:tcPr>
            <w:tcW w:w="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17,950</w:t>
            </w:r>
          </w:p>
        </w:tc>
        <w:tc>
          <w:tcPr>
            <w:tcW w:w="120" w:type="dxa"/>
            <w:vAlign w:val="bottom"/>
            <w:shd w:val="clear" w:color="auto" w:fill="CFF0FC"/>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Accrued income and other non-employee related taxes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8,652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8,699</w:t>
            </w:r>
          </w:p>
        </w:tc>
        <w:tc>
          <w:tcPr>
            <w:tcW w:w="1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Acquisition consideration payable, including holdbacks</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Accrued vendor liabilities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4,008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3,992</w:t>
            </w:r>
          </w:p>
        </w:tc>
        <w:tc>
          <w:tcPr>
            <w:tcW w:w="1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2,085</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1,879</w:t>
            </w:r>
          </w:p>
        </w:tc>
        <w:tc>
          <w:tcPr>
            <w:tcW w:w="120" w:type="dxa"/>
            <w:vAlign w:val="bottom"/>
            <w:shd w:val="clear" w:color="auto" w:fill="CFF0FC"/>
          </w:tcPr>
          <w:p>
            <w:pPr>
              <w:spacing w:after="0"/>
              <w:rPr>
                <w:sz w:val="17"/>
                <w:szCs w:val="17"/>
                <w:color w:val="auto"/>
              </w:rPr>
            </w:pPr>
          </w:p>
        </w:tc>
      </w:tr>
      <w:tr>
        <w:trPr>
          <w:trHeight w:val="202"/>
        </w:trPr>
        <w:tc>
          <w:tcPr>
            <w:tcW w:w="6040" w:type="dxa"/>
            <w:vAlign w:val="bottom"/>
          </w:tcPr>
          <w:p>
            <w:pPr>
              <w:spacing w:after="0" w:line="202" w:lineRule="exact"/>
              <w:rPr>
                <w:sz w:val="20"/>
                <w:szCs w:val="20"/>
                <w:color w:val="auto"/>
              </w:rPr>
            </w:pPr>
            <w:r>
              <w:rPr>
                <w:rFonts w:ascii="Arial" w:cs="Arial" w:eastAsia="Arial" w:hAnsi="Arial"/>
                <w:sz w:val="18"/>
                <w:szCs w:val="18"/>
                <w:color w:val="auto"/>
              </w:rPr>
              <w:t>Sales tax payable</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2,047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Restructuring</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Current portion of contingent consideration</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1,480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4,113</w:t>
            </w:r>
          </w:p>
        </w:tc>
        <w:tc>
          <w:tcPr>
            <w:tcW w:w="1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1,719</w:t>
            </w:r>
          </w:p>
        </w:tc>
        <w:tc>
          <w:tcPr>
            <w:tcW w:w="120" w:type="dxa"/>
            <w:vAlign w:val="bottom"/>
            <w:shd w:val="clear" w:color="auto" w:fill="CFF0FC"/>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8,521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10,945</w:t>
            </w:r>
          </w:p>
        </w:tc>
        <w:tc>
          <w:tcPr>
            <w:tcW w:w="120" w:type="dxa"/>
            <w:vAlign w:val="bottom"/>
          </w:tcPr>
          <w:p>
            <w:pPr>
              <w:spacing w:after="0"/>
              <w:rPr>
                <w:sz w:val="17"/>
                <w:szCs w:val="17"/>
                <w:color w:val="auto"/>
              </w:rPr>
            </w:pPr>
          </w:p>
        </w:tc>
      </w:tr>
      <w:tr>
        <w:trPr>
          <w:trHeight w:val="216"/>
        </w:trPr>
        <w:tc>
          <w:tcPr>
            <w:tcW w:w="60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49,507</w:t>
            </w:r>
          </w:p>
        </w:tc>
        <w:tc>
          <w:tcPr>
            <w:tcW w:w="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49,297</w:t>
            </w:r>
          </w:p>
        </w:tc>
        <w:tc>
          <w:tcPr>
            <w:tcW w:w="120" w:type="dxa"/>
            <w:vAlign w:val="bottom"/>
            <w:shd w:val="clear" w:color="auto" w:fill="CFF0FC"/>
          </w:tcPr>
          <w:p>
            <w:pPr>
              <w:spacing w:after="0"/>
              <w:rPr>
                <w:sz w:val="18"/>
                <w:szCs w:val="18"/>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Property and Equipment, net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4,325</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3,907</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Internal-use software</w:t>
            </w:r>
          </w:p>
        </w:tc>
        <w:tc>
          <w:tcPr>
            <w:tcW w:w="30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26,522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23,378</w:t>
            </w:r>
          </w:p>
        </w:tc>
      </w:tr>
      <w:tr>
        <w:trPr>
          <w:trHeight w:val="203"/>
        </w:trPr>
        <w:tc>
          <w:tcPr>
            <w:tcW w:w="7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904</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5,456</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35,804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33,645</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(16,485)</w:t>
            </w:r>
          </w:p>
        </w:tc>
      </w:tr>
      <w:tr>
        <w:trPr>
          <w:trHeight w:val="20"/>
        </w:trPr>
        <w:tc>
          <w:tcPr>
            <w:tcW w:w="7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7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18,884</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17,160</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0"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Depreciation of property and equipment and amortization of internal-use software for the three months ended June 30, 2025 and 2024 was $1.5 million and $1.2 million, respectively. Depreciation of property and equipment and amortization of internal-use software for the six months ended June 30, 2025 and 2024 was $2.9 million and $2.5 million, respectively.</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capitalized $3.9 million in costs related to internal-use software during the six months ended June 30, 2025 and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developed for internal use is amortized on a straight-line basis over its estimated useful life of five years.</w:t>
      </w:r>
    </w:p>
    <w:p>
      <w:pPr>
        <w:spacing w:after="0" w:line="15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As of June 30, 2025 and December 31, 2024, the carrying value of internal-use software was $17.0 million and $15.4 million, respectively. Amortization expense related to internal-use software for the three months ended June 30, 2025 and 2024 was $1.2 million and $0.9 million, respectively. Amortization expense related to internal-use software for the six months ended June 30, 2025 and 2024 was $2.3 million and $1.8 million, respectively.</w:t>
      </w:r>
    </w:p>
    <w:p>
      <w:pPr>
        <w:spacing w:after="0" w:line="200" w:lineRule="exact"/>
        <w:rPr>
          <w:sz w:val="20"/>
          <w:szCs w:val="20"/>
          <w:color w:val="auto"/>
        </w:rPr>
      </w:pP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Restructuring</w:t>
      </w:r>
    </w:p>
    <w:p>
      <w:pPr>
        <w:spacing w:after="0" w:line="17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February 2025, the Company announced a restructuring plan that is designed to improve operational efficiencies, reduce operating costs and better align the Company’s workforce with current business needs, top strategic priorities and key growth opportunities (collectively, the Restructuring Plan). In connection with the Restructuring Plan, the Company incurred restructuring and restructuring-related charges of $1.4 million and $8.7 million during the three and six months ended June 30, 2025, respectively, recorded within restructuring expenses on the condensed consolidated statements of operations and comprehensive loss, primarily consisting of cash expenditures for severance payments and related expenses of $1.2 million and $6.3 million, respectively, for the three and six months ended June 30, 2025 as well as non-cash expenditures related to acceleration of vesting of share-based awards of $0.2 million and $2.4 million for the three and six months ended June 30, 2025, respectively. As of June 30, 2025, the accrued restructuring liability was $1.6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800" w:firstLine="50"/>
        <w:spacing w:after="0" w:line="271" w:lineRule="auto"/>
        <w:rPr>
          <w:sz w:val="20"/>
          <w:szCs w:val="20"/>
          <w:color w:val="auto"/>
        </w:rPr>
      </w:pPr>
      <w:r>
        <w:rPr>
          <w:rFonts w:ascii="Arial" w:cs="Arial" w:eastAsia="Arial" w:hAnsi="Arial"/>
          <w:sz w:val="18"/>
          <w:szCs w:val="18"/>
          <w:color w:val="auto"/>
        </w:rPr>
        <w:t>million, which is included within accrued expenses and other current liabilities in the condensed consolidated balance sheets. Total restructuring costs were complete as of June 30, 2025.</w:t>
      </w:r>
    </w:p>
    <w:p>
      <w:pPr>
        <w:spacing w:after="0" w:line="1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Business Combinations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Sertifi</w:t>
      </w:r>
    </w:p>
    <w:p>
      <w:pPr>
        <w:spacing w:after="0" w:line="169"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On February 24, 2025, Flywire acquired all of the issued and outstanding membership interests of Sertifi LLC (Sertifi) for upfront cash consideration of $330.0 million, subject to certain post-closing adjustments set forth in the Purchase and Sale Agreement (the Agreement), and contingent consideration of up to $10 million upon the completion or satisfaction of certain technical and commercial milestones by Sertifi. Sertifi is a vertical software and payments platform digitizing hospitality-specific workflows and associated payments. The acquisition of Sertifi was intended to accelerate the Company’s travel business and expand Flywire’s offerings to support over 20,000 hotel locations globally.</w:t>
      </w:r>
    </w:p>
    <w:p>
      <w:pPr>
        <w:spacing w:after="0" w:line="152"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The Company paid the upfront cash consideration through a combination of cash on hand and $125.0 million borrowed from its existing 2024 Revolving Credit Facility.</w:t>
      </w:r>
    </w:p>
    <w:p>
      <w:pPr>
        <w:spacing w:after="0" w:line="113" w:lineRule="exact"/>
        <w:rPr>
          <w:sz w:val="20"/>
          <w:szCs w:val="20"/>
          <w:color w:val="auto"/>
        </w:rPr>
      </w:pPr>
    </w:p>
    <w:p>
      <w:pPr>
        <w:ind w:right="900" w:firstLine="559"/>
        <w:spacing w:after="0" w:line="253" w:lineRule="auto"/>
        <w:rPr>
          <w:sz w:val="20"/>
          <w:szCs w:val="20"/>
          <w:color w:val="auto"/>
        </w:rPr>
      </w:pPr>
      <w:r>
        <w:rPr>
          <w:rFonts w:ascii="Arial" w:cs="Arial" w:eastAsia="Arial" w:hAnsi="Arial"/>
          <w:sz w:val="18"/>
          <w:szCs w:val="18"/>
          <w:color w:val="auto"/>
        </w:rPr>
        <w:t>During the three months ending June 30, 2025, the company completed its purchase accounting. The Company recorded measurement period adjustments that increased Goodwill by $0.1 million due to changes in acquired intangible assets, contingent consideration, and a working capital adjustment.</w:t>
      </w:r>
    </w:p>
    <w:p>
      <w:pPr>
        <w:spacing w:after="0" w:line="128"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Pursuant to the terms of the Agreement, the Company acquired Sertifi for total purchase consideration of approximately $336.1 million or $328.0 million, net of cash acquired, which consisted of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net of cash acquired</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319,844</w:t>
            </w:r>
          </w:p>
        </w:tc>
        <w:tc>
          <w:tcPr>
            <w:tcW w:w="100" w:type="dxa"/>
            <w:vAlign w:val="bottom"/>
            <w:shd w:val="clear" w:color="auto" w:fill="CFF0FC"/>
          </w:tcPr>
          <w:p>
            <w:pPr>
              <w:spacing w:after="0"/>
              <w:rPr>
                <w:sz w:val="17"/>
                <w:szCs w:val="17"/>
                <w:color w:val="auto"/>
              </w:rPr>
            </w:pPr>
          </w:p>
        </w:tc>
      </w:tr>
      <w:tr>
        <w:trPr>
          <w:trHeight w:val="203"/>
        </w:trPr>
        <w:tc>
          <w:tcPr>
            <w:tcW w:w="8760" w:type="dxa"/>
            <w:vAlign w:val="bottom"/>
          </w:tcPr>
          <w:p>
            <w:pPr>
              <w:spacing w:after="0" w:line="202" w:lineRule="exact"/>
              <w:rPr>
                <w:sz w:val="20"/>
                <w:szCs w:val="20"/>
                <w:color w:val="auto"/>
              </w:rPr>
            </w:pPr>
            <w:r>
              <w:rPr>
                <w:rFonts w:ascii="Arial" w:cs="Arial" w:eastAsia="Arial" w:hAnsi="Arial"/>
                <w:sz w:val="18"/>
                <w:szCs w:val="18"/>
                <w:color w:val="auto"/>
              </w:rPr>
              <w:t>Consideration payable</w:t>
            </w:r>
          </w:p>
        </w:tc>
        <w:tc>
          <w:tcPr>
            <w:tcW w:w="9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5,077</w:t>
            </w:r>
          </w:p>
        </w:tc>
        <w:tc>
          <w:tcPr>
            <w:tcW w:w="100" w:type="dxa"/>
            <w:vAlign w:val="bottom"/>
          </w:tcPr>
          <w:p>
            <w:pPr>
              <w:spacing w:after="0"/>
              <w:rPr>
                <w:sz w:val="17"/>
                <w:szCs w:val="17"/>
                <w:color w:val="auto"/>
              </w:rPr>
            </w:pPr>
          </w:p>
        </w:tc>
      </w:tr>
      <w:tr>
        <w:trPr>
          <w:trHeight w:val="203"/>
        </w:trPr>
        <w:tc>
          <w:tcPr>
            <w:tcW w:w="8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9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760" w:type="dxa"/>
            <w:vAlign w:val="bottom"/>
          </w:tcPr>
          <w:p>
            <w:pPr>
              <w:spacing w:after="0" w:line="196" w:lineRule="exact"/>
              <w:rPr>
                <w:sz w:val="20"/>
                <w:szCs w:val="20"/>
                <w:color w:val="auto"/>
              </w:rPr>
            </w:pPr>
            <w:r>
              <w:rPr>
                <w:rFonts w:ascii="Arial" w:cs="Arial" w:eastAsia="Arial" w:hAnsi="Arial"/>
                <w:sz w:val="18"/>
                <w:szCs w:val="18"/>
                <w:color w:val="auto"/>
              </w:rPr>
              <w:t>Total purchase consideration, net of cash acquired</w:t>
            </w:r>
          </w:p>
        </w:tc>
        <w:tc>
          <w:tcPr>
            <w:tcW w:w="9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328,028</w:t>
            </w:r>
          </w:p>
        </w:tc>
        <w:tc>
          <w:tcPr>
            <w:tcW w:w="100" w:type="dxa"/>
            <w:vAlign w:val="bottom"/>
          </w:tcPr>
          <w:p>
            <w:pPr>
              <w:spacing w:after="0"/>
              <w:rPr>
                <w:sz w:val="17"/>
                <w:szCs w:val="17"/>
                <w:color w:val="auto"/>
              </w:rPr>
            </w:pPr>
          </w:p>
        </w:tc>
      </w:tr>
      <w:tr>
        <w:trPr>
          <w:trHeight w:val="20"/>
        </w:trPr>
        <w:tc>
          <w:tcPr>
            <w:tcW w:w="8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consideration payable of $5.1 million is for post-closing adjustments is finalized and has been recorded to other current liabilities in the condensed consolidated balance sheets. The Agreement provides for contingent consideration of up to $10.0 million, with an estimated fair value of $3.1 million on the date of acquisition, and represents additional payments that Flywire may be required to make in the future which are dependent upon the successful achievement of certain targets related to gross profit as well as milestones related to the Sertifi's technology and security integration.</w:t>
      </w:r>
    </w:p>
    <w:p>
      <w:pPr>
        <w:spacing w:after="0" w:line="13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During the three and six months ended June 30, 2025, the Company incurred $0.1 million and $2.6 million, respectively, in transaction costs in connection with the Sertifi acquisition, which are included in general and administrative expenses in the condensed consolidated statements of operations and comprehensive loss.</w:t>
      </w:r>
    </w:p>
    <w:p>
      <w:pPr>
        <w:spacing w:after="0" w:line="14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table summarizes the allocation of the purchase consideration to the fair value of the assets acquired and liabilities assumed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5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8,109</w:t>
            </w:r>
          </w:p>
        </w:tc>
        <w:tc>
          <w:tcPr>
            <w:tcW w:w="100" w:type="dxa"/>
            <w:vAlign w:val="bottom"/>
            <w:shd w:val="clear" w:color="auto" w:fill="CFF0FC"/>
          </w:tcPr>
          <w:p>
            <w:pPr>
              <w:spacing w:after="0"/>
              <w:rPr>
                <w:sz w:val="18"/>
                <w:szCs w:val="18"/>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6,418</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6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251,569</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86,700</w:t>
            </w:r>
          </w:p>
        </w:tc>
        <w:tc>
          <w:tcPr>
            <w:tcW w:w="100" w:type="dxa"/>
            <w:vAlign w:val="bottom"/>
          </w:tcPr>
          <w:p>
            <w:pPr>
              <w:spacing w:after="0"/>
              <w:rPr>
                <w:sz w:val="17"/>
                <w:szCs w:val="17"/>
                <w:color w:val="auto"/>
              </w:rPr>
            </w:pPr>
          </w:p>
        </w:tc>
      </w:tr>
      <w:tr>
        <w:trPr>
          <w:trHeight w:val="196"/>
        </w:trPr>
        <w:tc>
          <w:tcPr>
            <w:tcW w:w="610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assets acquired</w:t>
            </w:r>
          </w:p>
        </w:tc>
        <w:tc>
          <w:tcPr>
            <w:tcW w:w="26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354,099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spacing w:after="0" w:line="196" w:lineRule="exact"/>
              <w:rPr>
                <w:sz w:val="20"/>
                <w:szCs w:val="20"/>
                <w:color w:val="auto"/>
              </w:rPr>
            </w:pPr>
            <w:r>
              <w:rPr>
                <w:rFonts w:ascii="Arial" w:cs="Arial" w:eastAsia="Arial" w:hAnsi="Arial"/>
                <w:sz w:val="18"/>
                <w:szCs w:val="18"/>
                <w:color w:val="auto"/>
              </w:rPr>
              <w:t>Deferred revenue</w:t>
            </w:r>
          </w:p>
        </w:tc>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14,347</w:t>
            </w:r>
          </w:p>
        </w:tc>
        <w:tc>
          <w:tcPr>
            <w:tcW w:w="100" w:type="dxa"/>
            <w:vAlign w:val="bottom"/>
          </w:tcPr>
          <w:p>
            <w:pPr>
              <w:spacing w:after="0"/>
              <w:rPr>
                <w:sz w:val="17"/>
                <w:szCs w:val="17"/>
                <w:color w:val="auto"/>
              </w:rPr>
            </w:pPr>
          </w:p>
        </w:tc>
      </w:tr>
      <w:tr>
        <w:trPr>
          <w:trHeight w:val="203"/>
        </w:trPr>
        <w:tc>
          <w:tcPr>
            <w:tcW w:w="6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26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assumed</w:t>
            </w:r>
          </w:p>
        </w:tc>
        <w:tc>
          <w:tcPr>
            <w:tcW w:w="2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17,962</w:t>
            </w:r>
          </w:p>
        </w:tc>
        <w:tc>
          <w:tcPr>
            <w:tcW w:w="100" w:type="dxa"/>
            <w:vAlign w:val="bottom"/>
          </w:tcPr>
          <w:p>
            <w:pPr>
              <w:spacing w:after="0"/>
              <w:rPr>
                <w:sz w:val="17"/>
                <w:szCs w:val="17"/>
                <w:color w:val="auto"/>
              </w:rPr>
            </w:pPr>
          </w:p>
        </w:tc>
      </w:tr>
      <w:tr>
        <w:trPr>
          <w:trHeight w:val="196"/>
        </w:trPr>
        <w:tc>
          <w:tcPr>
            <w:tcW w:w="6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assets acquired</w:t>
            </w:r>
          </w:p>
        </w:tc>
        <w:tc>
          <w:tcPr>
            <w:tcW w:w="26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336,137</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20"/>
              <w:spacing w:after="0" w:line="202" w:lineRule="exact"/>
              <w:rPr>
                <w:sz w:val="20"/>
                <w:szCs w:val="20"/>
                <w:color w:val="auto"/>
              </w:rPr>
            </w:pPr>
            <w:r>
              <w:rPr>
                <w:rFonts w:ascii="Arial" w:cs="Arial" w:eastAsia="Arial" w:hAnsi="Arial"/>
                <w:sz w:val="18"/>
                <w:szCs w:val="18"/>
                <w:color w:val="auto"/>
              </w:rPr>
              <w:t>Less: cash acquired</w:t>
            </w:r>
          </w:p>
        </w:tc>
        <w:tc>
          <w:tcPr>
            <w:tcW w:w="2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8,109</w:t>
            </w:r>
          </w:p>
        </w:tc>
        <w:tc>
          <w:tcPr>
            <w:tcW w:w="100" w:type="dxa"/>
            <w:vAlign w:val="bottom"/>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assets, less cash acquired</w:t>
            </w:r>
          </w:p>
        </w:tc>
        <w:tc>
          <w:tcPr>
            <w:tcW w:w="26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328,028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goodwill of $251.6 million arising from the acquisition of Sertifi can be attributed to a number of business factors, including an assembled workforce, and revenue and cost synergies expected to be realized. Goodwill from this acquisition is deductible for income tax purposes.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0" w:name="page21"/>
    <w:bookmarkEnd w:id="20"/>
    <w:p>
      <w:pPr>
        <w:ind w:right="96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Sertifi and their respective weighted-average amortization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ind w:right="476"/>
              <w:spacing w:after="0"/>
              <w:rPr>
                <w:sz w:val="20"/>
                <w:szCs w:val="20"/>
                <w:color w:val="auto"/>
              </w:rPr>
            </w:pPr>
            <w:r>
              <w:rPr>
                <w:rFonts w:ascii="Arial" w:cs="Arial" w:eastAsia="Arial" w:hAnsi="Arial"/>
                <w:sz w:val="14"/>
                <w:szCs w:val="14"/>
                <w:b w:val="1"/>
                <w:bCs w:val="1"/>
                <w:color w:val="auto"/>
              </w:rPr>
              <w:t>Fair Values</w:t>
            </w:r>
          </w:p>
        </w:tc>
        <w:tc>
          <w:tcPr>
            <w:tcW w:w="32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Periods</w:t>
            </w:r>
          </w:p>
        </w:tc>
      </w:tr>
      <w:tr>
        <w:trPr>
          <w:trHeight w:val="156"/>
        </w:trPr>
        <w:tc>
          <w:tcPr>
            <w:tcW w:w="7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29,000</w:t>
            </w:r>
          </w:p>
        </w:tc>
        <w:tc>
          <w:tcPr>
            <w:tcW w:w="2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Acquired relationships</w:t>
            </w:r>
          </w:p>
        </w:tc>
        <w:tc>
          <w:tcPr>
            <w:tcW w:w="2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53,100</w:t>
            </w:r>
          </w:p>
        </w:tc>
        <w:tc>
          <w:tcPr>
            <w:tcW w:w="2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r>
      <w:tr>
        <w:trPr>
          <w:trHeight w:val="203"/>
        </w:trPr>
        <w:tc>
          <w:tcPr>
            <w:tcW w:w="7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name/Trademark</w:t>
            </w:r>
          </w:p>
        </w:tc>
        <w:tc>
          <w:tcPr>
            <w:tcW w:w="2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4,600</w:t>
            </w:r>
          </w:p>
        </w:tc>
        <w:tc>
          <w:tcPr>
            <w:tcW w:w="22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86,700</w:t>
            </w: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-162560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results of Sertifi have been included in the condensed consolidated financial statements since the date of the acquisition. Sertifi contributed $7.7 million in platform revenue and $4.7 million in transactional revenue during the three months ended June 30, 2025, and $10.7 million in platform revenue and $6.4 million in transactional revenue during the six months ended June 30, 2025. The Company has not disclosed net income or loss since the acquisition date as the business was fully integrated into the consolidated Company's operations and therefore it was impracticable to determine this amount.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85"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and six months ended June 30, 2024 as if the acquisition had occurred on January 1, 2024.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Sertifi. The unaudited pro forma information reflects the effects of applying the Company’s accounting policies and certain pro forma adjustments to the combined historical financial information of the Company and Sertifi. The pro forma adjustments include:</w:t>
      </w:r>
    </w:p>
    <w:p>
      <w:pPr>
        <w:spacing w:after="0" w:line="7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fair value of identified intangible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Sertifi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Interest expense for borrowings related to the acquisition;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348"/>
              <w:spacing w:after="0"/>
              <w:rPr>
                <w:sz w:val="20"/>
                <w:szCs w:val="20"/>
                <w:color w:val="auto"/>
              </w:rPr>
            </w:pPr>
            <w:r>
              <w:rPr>
                <w:rFonts w:ascii="Arial" w:cs="Arial" w:eastAsia="Arial" w:hAnsi="Arial"/>
                <w:sz w:val="14"/>
                <w:szCs w:val="14"/>
                <w:b w:val="1"/>
                <w:bCs w:val="1"/>
                <w:color w:val="auto"/>
              </w:rPr>
              <w:t>June 30, 2025</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128"/>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Revenue</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265,343</w:t>
            </w: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272,101</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103,676</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112,763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217,779</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235,239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4"/>
                <w:szCs w:val="14"/>
                <w:color w:val="auto"/>
              </w:rPr>
              <w:t>Net loss</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(16,167)</w:t>
            </w:r>
          </w:p>
        </w:tc>
        <w:tc>
          <w:tcPr>
            <w:tcW w:w="520" w:type="dxa"/>
            <w:vAlign w:val="bottom"/>
            <w:gridSpan w:val="2"/>
            <w:vMerge w:val="restart"/>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(16,847)</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(13,880)</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(16,017)</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(20,097)</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(26,346)</w:t>
            </w:r>
          </w:p>
        </w:tc>
        <w:tc>
          <w:tcPr>
            <w:tcW w:w="0" w:type="dxa"/>
            <w:vAlign w:val="bottom"/>
          </w:tcPr>
          <w:p>
            <w:pPr>
              <w:spacing w:after="0"/>
              <w:rPr>
                <w:sz w:val="1"/>
                <w:szCs w:val="1"/>
                <w:color w:val="auto"/>
              </w:rPr>
            </w:pPr>
          </w:p>
        </w:tc>
      </w:tr>
      <w:tr>
        <w:trPr>
          <w:trHeight w:val="46"/>
        </w:trPr>
        <w:tc>
          <w:tcPr>
            <w:tcW w:w="39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Invoiced</w:t>
      </w:r>
    </w:p>
    <w:p>
      <w:pPr>
        <w:spacing w:after="0" w:line="16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On August 2, 2024, Flywire acquired all of the issued and outstanding shares of Invoiced, a U.S.-based software as a service (SaaS) B2B company that provides accounts receivable software that automates all aspects of billing, collections, payments, reporting and forecasting within a single online platform. The acquisition of Invoiced was intended to accelerate the Company's global expansion in its B2B vertical. The acquisition of Invoiced has been accounted for as a business combination.</w:t>
      </w:r>
    </w:p>
    <w:p>
      <w:pPr>
        <w:spacing w:after="0" w:line="147" w:lineRule="exact"/>
        <w:rPr>
          <w:sz w:val="20"/>
          <w:szCs w:val="20"/>
          <w:color w:val="auto"/>
        </w:rPr>
      </w:pPr>
    </w:p>
    <w:p>
      <w:pPr>
        <w:ind w:right="92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Invoiced for estimated total purchase consideration of approximately $53.2 million or $51.7 million, net of cash acquired, which consisted of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net of cash acquired</w:t>
            </w:r>
          </w:p>
        </w:tc>
        <w:tc>
          <w:tcPr>
            <w:tcW w:w="51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47,229</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44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4,508</w:t>
            </w:r>
          </w:p>
        </w:tc>
        <w:tc>
          <w:tcPr>
            <w:tcW w:w="100" w:type="dxa"/>
            <w:vAlign w:val="bottom"/>
          </w:tcPr>
          <w:p>
            <w:pPr>
              <w:spacing w:after="0"/>
              <w:rPr>
                <w:sz w:val="17"/>
                <w:szCs w:val="17"/>
                <w:color w:val="auto"/>
              </w:rPr>
            </w:pPr>
          </w:p>
        </w:tc>
      </w:tr>
      <w:tr>
        <w:trPr>
          <w:trHeight w:val="23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purchase consideration, net of cash acquired</w:t>
            </w:r>
          </w:p>
        </w:tc>
        <w:tc>
          <w:tcPr>
            <w:tcW w:w="5180" w:type="dxa"/>
            <w:vAlign w:val="bottom"/>
            <w:gridSpan w:val="2"/>
            <w:shd w:val="clear" w:color="auto" w:fill="CFF0FC"/>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51,737</w:t>
            </w:r>
          </w:p>
        </w:tc>
      </w:tr>
      <w:tr>
        <w:trPr>
          <w:trHeight w:val="416"/>
        </w:trPr>
        <w:tc>
          <w:tcPr>
            <w:tcW w:w="4780" w:type="dxa"/>
            <w:vAlign w:val="bottom"/>
            <w:tcBorders>
              <w:top w:val="single" w:sz="8" w:color="CFF0FC"/>
            </w:tcBorders>
          </w:tcPr>
          <w:p>
            <w:pPr>
              <w:spacing w:after="0"/>
              <w:rPr>
                <w:sz w:val="24"/>
                <w:szCs w:val="24"/>
                <w:color w:val="auto"/>
              </w:rPr>
            </w:pPr>
          </w:p>
        </w:tc>
        <w:tc>
          <w:tcPr>
            <w:tcW w:w="4460" w:type="dxa"/>
            <w:vAlign w:val="bottom"/>
            <w:tcBorders>
              <w:top w:val="single" w:sz="8" w:color="CFF0FC"/>
            </w:tcBorders>
          </w:tcPr>
          <w:p>
            <w:pPr>
              <w:jc w:val="right"/>
              <w:ind w:right="3430"/>
              <w:spacing w:after="0"/>
              <w:rPr>
                <w:sz w:val="20"/>
                <w:szCs w:val="20"/>
                <w:color w:val="auto"/>
              </w:rPr>
            </w:pPr>
            <w:r>
              <w:rPr>
                <w:rFonts w:ascii="Arial" w:cs="Arial" w:eastAsia="Arial" w:hAnsi="Arial"/>
                <w:sz w:val="18"/>
                <w:szCs w:val="18"/>
                <w:color w:val="auto"/>
              </w:rPr>
              <w:t>19</w:t>
            </w:r>
          </w:p>
        </w:tc>
        <w:tc>
          <w:tcPr>
            <w:tcW w:w="7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1" w:name="page22"/>
    <w:bookmarkEnd w:id="21"/>
    <w:p>
      <w:pPr>
        <w:ind w:right="380" w:firstLine="509"/>
        <w:spacing w:after="0" w:line="271" w:lineRule="auto"/>
        <w:rPr>
          <w:sz w:val="20"/>
          <w:szCs w:val="20"/>
          <w:color w:val="auto"/>
        </w:rPr>
      </w:pPr>
      <w:r>
        <w:rPr>
          <w:rFonts w:ascii="Arial" w:cs="Arial" w:eastAsia="Arial" w:hAnsi="Arial"/>
          <w:sz w:val="18"/>
          <w:szCs w:val="18"/>
          <w:color w:val="auto"/>
        </w:rPr>
        <w:t>The purchase consideration includes $2.0 million of acquisition holdback payments payable to former Invoiced shareholders in the absence of pending claims, $1.0 million on each of the first and second anniversary dates of the acquisition.</w:t>
      </w:r>
    </w:p>
    <w:p>
      <w:pPr>
        <w:spacing w:after="0" w:line="127"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The business combination agreement provides for contingent consideration of up to $7.5 million, with an estimated fair value of $4.5 million on the date of acquisition, and represents additional payments that Flywire may be required to make in the future which are dependent upon the successful achievement of certain targets related to revenue and cross-selling of the Invoiced software as well as milestones related to the Invoiced software product and security and IT integration. As of June 30, 2025, the fair value of contingent consideration was $1.5 million, all of which related to software product and security and IT integration milestones achieved during the six months ended June 30, 2025. During the six months ended June 30, 2025, the Company paid $1.1 million related to a product integration milestone achieved. During the year end December 31, 2024, the Company paid $1.1 million related to a product integration milestone achieved.</w:t>
      </w:r>
    </w:p>
    <w:p>
      <w:pPr>
        <w:spacing w:after="0" w:line="140" w:lineRule="exact"/>
        <w:rPr>
          <w:sz w:val="20"/>
          <w:szCs w:val="20"/>
          <w:color w:val="auto"/>
        </w:rPr>
      </w:pPr>
    </w:p>
    <w:p>
      <w:pPr>
        <w:jc w:val="both"/>
        <w:ind w:right="400" w:firstLine="509"/>
        <w:spacing w:after="0" w:line="253" w:lineRule="auto"/>
        <w:rPr>
          <w:sz w:val="20"/>
          <w:szCs w:val="20"/>
          <w:color w:val="auto"/>
        </w:rPr>
      </w:pPr>
      <w:r>
        <w:rPr>
          <w:rFonts w:ascii="Arial" w:cs="Arial" w:eastAsia="Arial" w:hAnsi="Arial"/>
          <w:sz w:val="18"/>
          <w:szCs w:val="18"/>
          <w:color w:val="auto"/>
        </w:rPr>
        <w:t>During the year ended December 31, 2024, the Company incurred $0.6 million in transaction costs in connection with the Invoiced acquisition, which are included in general and administrative expenses in the consolidated statements of operations and comprehensive income (loss).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6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7"/>
                <w:szCs w:val="17"/>
                <w:color w:val="auto"/>
              </w:rPr>
            </w:pPr>
          </w:p>
        </w:tc>
      </w:tr>
      <w:tr>
        <w:trPr>
          <w:trHeight w:val="203"/>
        </w:trPr>
        <w:tc>
          <w:tcPr>
            <w:tcW w:w="6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2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26,100</w:t>
            </w:r>
          </w:p>
        </w:tc>
        <w:tc>
          <w:tcPr>
            <w:tcW w:w="100" w:type="dxa"/>
            <w:vAlign w:val="bottom"/>
          </w:tcPr>
          <w:p>
            <w:pPr>
              <w:spacing w:after="0"/>
              <w:rPr>
                <w:sz w:val="17"/>
                <w:szCs w:val="17"/>
                <w:color w:val="auto"/>
              </w:rPr>
            </w:pPr>
          </w:p>
        </w:tc>
      </w:tr>
      <w:tr>
        <w:trPr>
          <w:trHeight w:val="203"/>
        </w:trPr>
        <w:tc>
          <w:tcPr>
            <w:tcW w:w="6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6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31,818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20"/>
              <w:spacing w:after="0" w:line="196" w:lineRule="exact"/>
              <w:rPr>
                <w:sz w:val="20"/>
                <w:szCs w:val="20"/>
                <w:color w:val="auto"/>
              </w:rPr>
            </w:pPr>
            <w:r>
              <w:rPr>
                <w:rFonts w:ascii="Arial" w:cs="Arial" w:eastAsia="Arial" w:hAnsi="Arial"/>
                <w:sz w:val="18"/>
                <w:szCs w:val="18"/>
                <w:color w:val="auto"/>
              </w:rPr>
              <w:t>Total assets acquired</w:t>
            </w:r>
          </w:p>
        </w:tc>
        <w:tc>
          <w:tcPr>
            <w:tcW w:w="26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59,566</w:t>
            </w:r>
          </w:p>
        </w:tc>
        <w:tc>
          <w:tcPr>
            <w:tcW w:w="100" w:type="dxa"/>
            <w:vAlign w:val="bottom"/>
          </w:tcPr>
          <w:p>
            <w:pPr>
              <w:spacing w:after="0"/>
              <w:rPr>
                <w:sz w:val="17"/>
                <w:szCs w:val="17"/>
                <w:color w:val="auto"/>
              </w:rPr>
            </w:pPr>
          </w:p>
        </w:tc>
      </w:tr>
      <w:tr>
        <w:trPr>
          <w:trHeight w:val="196"/>
        </w:trPr>
        <w:tc>
          <w:tcPr>
            <w:tcW w:w="6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liabilities</w:t>
            </w:r>
          </w:p>
        </w:tc>
        <w:tc>
          <w:tcPr>
            <w:tcW w:w="2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4,923</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100" w:type="dxa"/>
            <w:vAlign w:val="bottom"/>
          </w:tcPr>
          <w:p>
            <w:pPr>
              <w:spacing w:after="0"/>
              <w:rPr>
                <w:sz w:val="17"/>
                <w:szCs w:val="17"/>
                <w:color w:val="auto"/>
              </w:rPr>
            </w:pPr>
          </w:p>
        </w:tc>
      </w:tr>
      <w:tr>
        <w:trPr>
          <w:trHeight w:val="203"/>
        </w:trPr>
        <w:tc>
          <w:tcPr>
            <w:tcW w:w="6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26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assumed</w:t>
            </w:r>
          </w:p>
        </w:tc>
        <w:tc>
          <w:tcPr>
            <w:tcW w:w="26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6,411</w:t>
            </w:r>
          </w:p>
        </w:tc>
        <w:tc>
          <w:tcPr>
            <w:tcW w:w="100" w:type="dxa"/>
            <w:vAlign w:val="bottom"/>
          </w:tcPr>
          <w:p>
            <w:pPr>
              <w:spacing w:after="0"/>
              <w:rPr>
                <w:sz w:val="17"/>
                <w:szCs w:val="17"/>
                <w:color w:val="auto"/>
              </w:rPr>
            </w:pPr>
          </w:p>
        </w:tc>
      </w:tr>
      <w:tr>
        <w:trPr>
          <w:trHeight w:val="196"/>
        </w:trPr>
        <w:tc>
          <w:tcPr>
            <w:tcW w:w="6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assets acquired</w:t>
            </w:r>
          </w:p>
        </w:tc>
        <w:tc>
          <w:tcPr>
            <w:tcW w:w="2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53,155</w:t>
            </w:r>
          </w:p>
        </w:tc>
        <w:tc>
          <w:tcPr>
            <w:tcW w:w="100" w:type="dxa"/>
            <w:vAlign w:val="bottom"/>
            <w:shd w:val="clear" w:color="auto" w:fill="CFF0FC"/>
          </w:tcPr>
          <w:p>
            <w:pPr>
              <w:spacing w:after="0"/>
              <w:rPr>
                <w:sz w:val="17"/>
                <w:szCs w:val="17"/>
                <w:color w:val="auto"/>
              </w:rPr>
            </w:pPr>
          </w:p>
        </w:tc>
      </w:tr>
      <w:tr>
        <w:trPr>
          <w:trHeight w:val="203"/>
        </w:trPr>
        <w:tc>
          <w:tcPr>
            <w:tcW w:w="6100" w:type="dxa"/>
            <w:vAlign w:val="bottom"/>
          </w:tcPr>
          <w:p>
            <w:pPr>
              <w:ind w:left="220"/>
              <w:spacing w:after="0" w:line="202" w:lineRule="exact"/>
              <w:rPr>
                <w:sz w:val="20"/>
                <w:szCs w:val="20"/>
                <w:color w:val="auto"/>
              </w:rPr>
            </w:pPr>
            <w:r>
              <w:rPr>
                <w:rFonts w:ascii="Arial" w:cs="Arial" w:eastAsia="Arial" w:hAnsi="Arial"/>
                <w:sz w:val="18"/>
                <w:szCs w:val="18"/>
                <w:color w:val="auto"/>
              </w:rPr>
              <w:t>Less: cash acquired</w:t>
            </w:r>
          </w:p>
        </w:tc>
        <w:tc>
          <w:tcPr>
            <w:tcW w:w="26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1,418</w:t>
            </w:r>
          </w:p>
        </w:tc>
        <w:tc>
          <w:tcPr>
            <w:tcW w:w="100" w:type="dxa"/>
            <w:vAlign w:val="bottom"/>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assets, less cash acquired</w:t>
            </w:r>
          </w:p>
        </w:tc>
        <w:tc>
          <w:tcPr>
            <w:tcW w:w="26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51,737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The goodwill of $31.8 million arising from the acquisition of Invoiced can be attributed to a number of business factors, including an assembled workforce, and revenue and cost synergies expected to be realized. No goodwill from this acquisition will be deductible for income tax purposes.</w:t>
      </w:r>
    </w:p>
    <w:p>
      <w:pPr>
        <w:spacing w:after="0" w:line="128" w:lineRule="exact"/>
        <w:rPr>
          <w:sz w:val="20"/>
          <w:szCs w:val="20"/>
          <w:color w:val="auto"/>
        </w:rPr>
      </w:pPr>
    </w:p>
    <w:p>
      <w:pPr>
        <w:ind w:right="74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Invoiced and their respective weighted-average amortization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Values</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Periods</w:t>
            </w:r>
          </w:p>
        </w:tc>
      </w:tr>
      <w:tr>
        <w:trPr>
          <w:trHeight w:val="155"/>
        </w:trPr>
        <w:tc>
          <w:tcPr>
            <w:tcW w:w="77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3"/>
                <w:szCs w:val="13"/>
                <w:color w:val="auto"/>
              </w:rPr>
            </w:pPr>
          </w:p>
        </w:tc>
      </w:tr>
      <w:tr>
        <w:trPr>
          <w:trHeight w:val="203"/>
        </w:trPr>
        <w:tc>
          <w:tcPr>
            <w:tcW w:w="7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7,100</w:t>
            </w:r>
          </w:p>
        </w:tc>
        <w:tc>
          <w:tcPr>
            <w:tcW w:w="2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18,600</w:t>
            </w:r>
          </w:p>
        </w:tc>
        <w:tc>
          <w:tcPr>
            <w:tcW w:w="24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7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400</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720" w:type="dxa"/>
            <w:vAlign w:val="bottom"/>
            <w:tcBorders>
              <w:bottom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w:t>
            </w:r>
          </w:p>
        </w:tc>
      </w:tr>
      <w:tr>
        <w:trPr>
          <w:trHeight w:val="196"/>
        </w:trPr>
        <w:tc>
          <w:tcPr>
            <w:tcW w:w="77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26,100</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-161925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right="560"/>
        <w:spacing w:after="0" w:line="446" w:lineRule="auto"/>
        <w:rPr>
          <w:sz w:val="20"/>
          <w:szCs w:val="20"/>
          <w:color w:val="auto"/>
        </w:rPr>
      </w:pPr>
      <w:r>
        <w:rPr>
          <w:rFonts w:ascii="Arial" w:cs="Arial" w:eastAsia="Arial" w:hAnsi="Arial"/>
          <w:sz w:val="18"/>
          <w:szCs w:val="18"/>
          <w:color w:val="auto"/>
        </w:rPr>
        <w:t>The results of Invoiced have been included in the condensed consolidated financial statements since the date of the acquisition. Unaudited Pro Forma Financial Information</w:t>
      </w:r>
    </w:p>
    <w:p>
      <w:pPr>
        <w:ind w:right="360" w:firstLine="509"/>
        <w:spacing w:after="0" w:line="253"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months ended June 30, 2024 as if the acquisition had occurred on January 1, 2023. The unaudited pro forma financial information is presented for information purposes only and is not necessarily indicative of what would have occurred if the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2" w:name="page23"/>
    <w:bookmarkEnd w:id="22"/>
    <w:p>
      <w:pPr>
        <w:ind w:right="80"/>
        <w:spacing w:after="0" w:line="247" w:lineRule="auto"/>
        <w:rPr>
          <w:sz w:val="20"/>
          <w:szCs w:val="20"/>
          <w:color w:val="auto"/>
        </w:rPr>
      </w:pPr>
      <w:r>
        <w:rPr>
          <w:rFonts w:ascii="Arial" w:cs="Arial" w:eastAsia="Arial" w:hAnsi="Arial"/>
          <w:sz w:val="18"/>
          <w:szCs w:val="18"/>
          <w:color w:val="auto"/>
        </w:rPr>
        <w:t>acquisition had occurred as of that date. The unaudited pro forma information is also not intended to be a projection of future results due to the integration of the acquired operations of Invoiced. The unaudited pro forma information reflects the effects of applying the Company’s accounting policies and certain pro forma adjustments to the combined historical financial information of the Company and Invoiced. The pro forma adjustments include:</w:t>
      </w:r>
    </w:p>
    <w:p>
      <w:pPr>
        <w:spacing w:after="0" w:line="6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Invoiced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center"/>
              <w:ind w:right="208"/>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Revenue</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103,676</w:t>
            </w:r>
          </w:p>
        </w:tc>
        <w:tc>
          <w:tcPr>
            <w:tcW w:w="2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105,064</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217,779</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220,582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(13,880)</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(14,677)</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(20,097)</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(21,309)</w:t>
            </w:r>
          </w:p>
        </w:tc>
        <w:tc>
          <w:tcPr>
            <w:tcW w:w="0" w:type="dxa"/>
            <w:vAlign w:val="bottom"/>
          </w:tcPr>
          <w:p>
            <w:pPr>
              <w:spacing w:after="0"/>
              <w:rPr>
                <w:sz w:val="1"/>
                <w:szCs w:val="1"/>
                <w:color w:val="auto"/>
              </w:rPr>
            </w:pPr>
          </w:p>
        </w:tc>
      </w:tr>
      <w:tr>
        <w:trPr>
          <w:trHeight w:val="46"/>
        </w:trPr>
        <w:tc>
          <w:tcPr>
            <w:tcW w:w="50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Goodwill and Acquired Intangible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as of the dates presented (in thousands):</w:t>
      </w:r>
    </w:p>
    <w:p>
      <w:pPr>
        <w:spacing w:after="0" w:line="181"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-1905</wp:posOffset>
            </wp:positionV>
            <wp:extent cx="120015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Goodwill related to acquisitions</w:t>
      </w:r>
    </w:p>
    <w:p>
      <w:pPr>
        <w:spacing w:after="0" w:line="235" w:lineRule="auto"/>
        <w:rPr>
          <w:sz w:val="20"/>
          <w:szCs w:val="20"/>
          <w:color w:val="auto"/>
        </w:rPr>
      </w:pPr>
      <w:r>
        <w:rPr>
          <w:rFonts w:ascii="Arial" w:cs="Arial" w:eastAsia="Arial" w:hAnsi="Arial"/>
          <w:sz w:val="18"/>
          <w:szCs w:val="18"/>
          <w:color w:val="auto"/>
        </w:rPr>
        <w:t>Measurement 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Foreign currency translation adjustment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32" w:hanging="1232"/>
        <w:spacing w:after="0"/>
        <w:tabs>
          <w:tab w:leader="none" w:pos="1232" w:val="left"/>
        </w:tabs>
        <w:numPr>
          <w:ilvl w:val="0"/>
          <w:numId w:val="12"/>
        </w:numPr>
        <w:rPr>
          <w:rFonts w:ascii="Arial" w:cs="Arial" w:eastAsia="Arial" w:hAnsi="Arial"/>
          <w:sz w:val="17"/>
          <w:szCs w:val="17"/>
          <w:color w:val="auto"/>
        </w:rPr>
      </w:pPr>
      <w:r>
        <w:rPr>
          <w:rFonts w:ascii="Arial" w:cs="Arial" w:eastAsia="Arial" w:hAnsi="Arial"/>
          <w:sz w:val="17"/>
          <w:szCs w:val="17"/>
          <w:color w:val="auto"/>
        </w:rPr>
        <w:t>149,558</w:t>
      </w:r>
    </w:p>
    <w:p>
      <w:pPr>
        <w:spacing w:after="0" w:line="7" w:lineRule="exact"/>
        <w:rPr>
          <w:rFonts w:ascii="Arial" w:cs="Arial" w:eastAsia="Arial" w:hAnsi="Arial"/>
          <w:sz w:val="17"/>
          <w:szCs w:val="17"/>
          <w:color w:val="auto"/>
        </w:rPr>
      </w:pPr>
    </w:p>
    <w:p>
      <w:pPr>
        <w:ind w:left="1232"/>
        <w:spacing w:after="0"/>
        <w:rPr>
          <w:rFonts w:ascii="Arial" w:cs="Arial" w:eastAsia="Arial" w:hAnsi="Arial"/>
          <w:sz w:val="17"/>
          <w:szCs w:val="17"/>
          <w:color w:val="auto"/>
        </w:rPr>
      </w:pPr>
      <w:r>
        <w:rPr>
          <w:rFonts w:ascii="Arial" w:cs="Arial" w:eastAsia="Arial" w:hAnsi="Arial"/>
          <w:sz w:val="17"/>
          <w:szCs w:val="17"/>
          <w:color w:val="auto"/>
        </w:rPr>
        <w:t>251,517</w:t>
      </w:r>
    </w:p>
    <w:p>
      <w:pPr>
        <w:spacing w:after="0" w:line="7" w:lineRule="exact"/>
        <w:rPr>
          <w:rFonts w:ascii="Arial" w:cs="Arial" w:eastAsia="Arial" w:hAnsi="Arial"/>
          <w:sz w:val="17"/>
          <w:szCs w:val="17"/>
          <w:color w:val="auto"/>
        </w:rPr>
      </w:pPr>
    </w:p>
    <w:p>
      <w:pPr>
        <w:ind w:left="1672"/>
        <w:spacing w:after="0"/>
        <w:rPr>
          <w:rFonts w:ascii="Arial" w:cs="Arial" w:eastAsia="Arial" w:hAnsi="Arial"/>
          <w:sz w:val="17"/>
          <w:szCs w:val="17"/>
          <w:color w:val="auto"/>
        </w:rPr>
      </w:pPr>
      <w:r>
        <w:rPr>
          <w:rFonts w:ascii="Arial" w:cs="Arial" w:eastAsia="Arial" w:hAnsi="Arial"/>
          <w:sz w:val="17"/>
          <w:szCs w:val="17"/>
          <w:color w:val="auto"/>
        </w:rPr>
        <w:t>57</w:t>
      </w:r>
    </w:p>
    <w:p>
      <w:pPr>
        <w:spacing w:after="0" w:line="7" w:lineRule="exact"/>
        <w:rPr>
          <w:rFonts w:ascii="Arial" w:cs="Arial" w:eastAsia="Arial" w:hAnsi="Arial"/>
          <w:sz w:val="17"/>
          <w:szCs w:val="17"/>
          <w:color w:val="auto"/>
        </w:rPr>
      </w:pPr>
    </w:p>
    <w:p>
      <w:pPr>
        <w:ind w:left="1432"/>
        <w:spacing w:after="0"/>
        <w:rPr>
          <w:rFonts w:ascii="Arial" w:cs="Arial" w:eastAsia="Arial" w:hAnsi="Arial"/>
          <w:sz w:val="17"/>
          <w:szCs w:val="17"/>
          <w:color w:val="auto"/>
        </w:rPr>
      </w:pPr>
      <w:r>
        <w:rPr>
          <w:rFonts w:ascii="Arial" w:cs="Arial" w:eastAsia="Arial" w:hAnsi="Arial"/>
          <w:sz w:val="17"/>
          <w:szCs w:val="17"/>
          <w:color w:val="auto"/>
        </w:rPr>
        <w:t>5,307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2001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1232" w:hanging="1232"/>
        <w:spacing w:after="0"/>
        <w:tabs>
          <w:tab w:leader="none" w:pos="1232" w:val="left"/>
        </w:tabs>
        <w:numPr>
          <w:ilvl w:val="0"/>
          <w:numId w:val="13"/>
        </w:numPr>
        <w:rPr>
          <w:rFonts w:ascii="Arial" w:cs="Arial" w:eastAsia="Arial" w:hAnsi="Arial"/>
          <w:sz w:val="17"/>
          <w:szCs w:val="17"/>
          <w:color w:val="auto"/>
        </w:rPr>
      </w:pPr>
      <w:r>
        <w:rPr>
          <w:rFonts w:ascii="Arial" w:cs="Arial" w:eastAsia="Arial" w:hAnsi="Arial"/>
          <w:sz w:val="17"/>
          <w:szCs w:val="17"/>
          <w:color w:val="auto"/>
        </w:rPr>
        <w:t>406,439</w:t>
      </w:r>
    </w:p>
    <w:p>
      <w:pPr>
        <w:spacing w:after="0" w:line="211" w:lineRule="exact"/>
        <w:rPr>
          <w:sz w:val="20"/>
          <w:szCs w:val="20"/>
          <w:color w:val="auto"/>
        </w:rPr>
      </w:pPr>
    </w:p>
    <w:p>
      <w:pPr>
        <w:sectPr>
          <w:pgSz w:w="11900" w:h="16838" w:orient="portrait"/>
          <w:cols w:equalWidth="0" w:num="2">
            <w:col w:w="8508" w:space="720"/>
            <w:col w:w="2012"/>
          </w:cols>
          <w:pgMar w:left="320" w:top="1376"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75,270</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(30,639)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44,631</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Acquired Relationships</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176,886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(26,791)</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150,095</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Name/Trademark</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4,861</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257,286</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(57,699)</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199,587</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-161925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-161925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3742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Includes $156 thousand of 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Includes $(461) thousand of foreign currency translation adjustments.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78"/>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45,546</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(26,312)</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19,234</w:t>
            </w:r>
          </w:p>
        </w:tc>
        <w:tc>
          <w:tcPr>
            <w:tcW w:w="12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120,119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(21,104)</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99,015</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435</w:t>
            </w:r>
          </w:p>
        </w:tc>
        <w:tc>
          <w:tcPr>
            <w:tcW w:w="12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166,189</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(47,505)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118,684</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-162560</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-162560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23742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right="6600" w:firstLine="8"/>
        <w:spacing w:after="0" w:line="345"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$(4,394) thousand of foreign currency translation adjustments. ** Includes $410 thousand of foreign currency translation adjustments.</w:t>
      </w:r>
    </w:p>
    <w:p>
      <w:pPr>
        <w:spacing w:after="0" w:line="6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Amortization expense for the three months ended June 30, 2025 and 2024 was $5.3 million and $3.0 million, respectively. Amortization expense for the six months ended June 30, 2025 and 2024 was $9.4 million and $5.9 million, respectively.</w:t>
      </w:r>
    </w:p>
    <w:p>
      <w:pPr>
        <w:spacing w:after="0" w:line="11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As of June 30, 2025, the estimated annual amortization expense of intangible assets for each of the next five years and thereafter is expected to be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9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9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Remaining of fiscal year 2025</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10,592</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jc w:val="right"/>
              <w:ind w:right="8690"/>
              <w:spacing w:after="0" w:line="202" w:lineRule="exact"/>
              <w:rPr>
                <w:sz w:val="20"/>
                <w:szCs w:val="20"/>
                <w:color w:val="auto"/>
              </w:rPr>
            </w:pPr>
            <w:r>
              <w:rPr>
                <w:rFonts w:ascii="Arial" w:cs="Arial" w:eastAsia="Arial" w:hAnsi="Arial"/>
                <w:sz w:val="18"/>
                <w:szCs w:val="18"/>
                <w:color w:val="auto"/>
              </w:rPr>
              <w:t>2026</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21,443</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jc w:val="right"/>
              <w:ind w:right="8690"/>
              <w:spacing w:after="0" w:line="202" w:lineRule="exact"/>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21,470</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jc w:val="right"/>
              <w:ind w:right="8690"/>
              <w:spacing w:after="0" w:line="202" w:lineRule="exact"/>
              <w:rPr>
                <w:sz w:val="20"/>
                <w:szCs w:val="20"/>
                <w:color w:val="auto"/>
              </w:rPr>
            </w:pPr>
            <w:r>
              <w:rPr>
                <w:rFonts w:ascii="Arial" w:cs="Arial" w:eastAsia="Arial" w:hAnsi="Arial"/>
                <w:sz w:val="18"/>
                <w:szCs w:val="18"/>
                <w:color w:val="auto"/>
              </w:rPr>
              <w:t>2028</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21,126</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jc w:val="right"/>
              <w:ind w:right="8690"/>
              <w:spacing w:after="0" w:line="202" w:lineRule="exact"/>
              <w:rPr>
                <w:sz w:val="20"/>
                <w:szCs w:val="20"/>
                <w:color w:val="auto"/>
              </w:rPr>
            </w:pPr>
            <w:r>
              <w:rPr>
                <w:rFonts w:ascii="Arial" w:cs="Arial" w:eastAsia="Arial" w:hAnsi="Arial"/>
                <w:sz w:val="18"/>
                <w:szCs w:val="18"/>
                <w:color w:val="auto"/>
              </w:rPr>
              <w:t>2029</w:t>
            </w: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20,202</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jc w:val="right"/>
              <w:ind w:right="8690"/>
              <w:spacing w:after="0" w:line="202" w:lineRule="exact"/>
              <w:rPr>
                <w:sz w:val="20"/>
                <w:szCs w:val="20"/>
                <w:color w:val="auto"/>
              </w:rPr>
            </w:pPr>
            <w:r>
              <w:rPr>
                <w:rFonts w:ascii="Arial" w:cs="Arial" w:eastAsia="Arial" w:hAnsi="Arial"/>
                <w:sz w:val="18"/>
                <w:szCs w:val="18"/>
                <w:color w:val="auto"/>
              </w:rPr>
              <w:t>2030</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18,243</w:t>
            </w:r>
          </w:p>
        </w:tc>
        <w:tc>
          <w:tcPr>
            <w:tcW w:w="120" w:type="dxa"/>
            <w:vAlign w:val="bottom"/>
          </w:tcPr>
          <w:p>
            <w:pPr>
              <w:spacing w:after="0"/>
              <w:rPr>
                <w:sz w:val="17"/>
                <w:szCs w:val="17"/>
                <w:color w:val="auto"/>
              </w:rPr>
            </w:pPr>
          </w:p>
        </w:tc>
      </w:tr>
      <w:tr>
        <w:trPr>
          <w:trHeight w:val="203"/>
        </w:trPr>
        <w:tc>
          <w:tcPr>
            <w:tcW w:w="9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86,511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199,587</w:t>
            </w:r>
          </w:p>
        </w:tc>
        <w:tc>
          <w:tcPr>
            <w:tcW w:w="12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Revolving Credit Facility</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February 23, 2024, the Company entered into an Amended and Restated Credit Agreement for a five-year senior secured revolving credit syndication loan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w:t>
      </w:r>
    </w:p>
    <w:p>
      <w:pPr>
        <w:spacing w:after="0" w:line="15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2024 Revolving Credit Facility replaced the three-year senior secured revolving credit syndication loan (2021 Revolving Credit Facility) of $50.0 million entered into in July 2021, under which $50.0 million was available to Flywire as of December 31, 2023. Three of the lenders under the 2024 Revolving Credit Facility were existing lenders under the 2021 Revolving Credit Facility.</w:t>
      </w:r>
    </w:p>
    <w:p>
      <w:pPr>
        <w:spacing w:after="0" w:line="128"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In connection with the 2024 Revolving Credit Facility, the Company incurred debt issuance costs of $ 0.8 million. Debt issuance costs related to the 2024 Revolving Credit Facility are amortized on a straight-line basis over the contractual term of the agreement and are presented as a component of other assets on the Company's condensed consolidated balance sheets. Debt issuance costs of $0.1 million related to the 2021 Revolving Credit Facility will continue to be amortized on a straight-line basis over the contractual term of the new agreement and are presented as a component of other assets on the Company's condensed consolidated balance sheets. The exchange of the 2021 Revolving Credit Facility with the 2024 Revolving Credit Facility from the same lenders was accounted for as a modification.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4" w:name="page25"/>
    <w:bookmarkEnd w:id="24"/>
    <w:p>
      <w:pPr>
        <w:ind w:right="440" w:firstLine="509"/>
        <w:spacing w:after="0" w:line="271" w:lineRule="auto"/>
        <w:rPr>
          <w:sz w:val="20"/>
          <w:szCs w:val="20"/>
          <w:color w:val="auto"/>
        </w:rPr>
      </w:pPr>
      <w:r>
        <w:rPr>
          <w:rFonts w:ascii="Arial" w:cs="Arial" w:eastAsia="Arial" w:hAnsi="Arial"/>
          <w:sz w:val="18"/>
          <w:szCs w:val="18"/>
          <w:color w:val="auto"/>
        </w:rPr>
        <w:t>The 2024 Revolving Credit Facility consists of Alternate Base Rate (ABR) borrowings or Term Secured Overnight Financing Rate (SOFR) borrowings, at the Company’s option.</w:t>
      </w:r>
    </w:p>
    <w:p>
      <w:pPr>
        <w:spacing w:after="0" w:line="12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 The 2024 Revolving Credit Facility incurs a commitment fee ranging from 0.25% to 0.35% based upon the Company’s consolidated total net leverage ratio as of the most recent consolidated financial information assessed on the average available commitment.</w:t>
      </w:r>
    </w:p>
    <w:p>
      <w:pPr>
        <w:spacing w:after="0" w:line="1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2024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Revolving Credit Facility becoming immediately due and payable and termination of the commitments. The Company was in compliance with all covenants associated with the 2024 Revolving Credit Facility as of June 30, 2025.</w:t>
      </w:r>
    </w:p>
    <w:p>
      <w:pPr>
        <w:spacing w:after="0" w:line="144" w:lineRule="exact"/>
        <w:rPr>
          <w:sz w:val="20"/>
          <w:szCs w:val="20"/>
          <w:color w:val="auto"/>
        </w:rPr>
      </w:pPr>
    </w:p>
    <w:p>
      <w:pPr>
        <w:ind w:right="280" w:firstLine="509"/>
        <w:spacing w:after="0" w:line="244" w:lineRule="auto"/>
        <w:rPr>
          <w:sz w:val="20"/>
          <w:szCs w:val="20"/>
          <w:color w:val="auto"/>
        </w:rPr>
      </w:pPr>
      <w:r>
        <w:rPr>
          <w:rFonts w:ascii="Arial" w:cs="Arial" w:eastAsia="Arial" w:hAnsi="Arial"/>
          <w:sz w:val="18"/>
          <w:szCs w:val="18"/>
          <w:color w:val="auto"/>
        </w:rPr>
        <w:t>During the six months ended June 30, 2025, the Company drew down $125.0 million under the 2024 Revolving Credit Facility in connection with the acquisition of Sertifi. During the six months ended June 30, 2025, the Company also repaid $65.0 million against the 2024 Revolving Credit Facility. The outstanding balance of the 2024 Revolving Credit Facility was $60.0 million at June 30, 2025, which is due and payable in February 2029 and is classified as long-term debt on the condensed consolidated balance sheet. There was no outstanding balance of the 2024 Revolving Credit Facility at December 31, 2024.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Revolving Credit Facility</w:t>
      </w:r>
    </w:p>
    <w:p>
      <w:pPr>
        <w:spacing w:after="0" w:line="169"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On July 29, 2021, the Company entered into the 2021 Revolving Credit Facility with three banks for a total commitment of $50.0 million. The 2021 Revolving Credit Facility included a $5.0 million letter of credit sub-facility and a $5.0 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2021 Revolving Credit Facility consisted of ABR loans or Eurodollar Borrowings, at the Company’s option.</w:t>
      </w:r>
    </w:p>
    <w:p>
      <w:pPr>
        <w:spacing w:after="0" w:line="18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On June 23, 2023, the Company executed the First Amendment to the 2021 Revolving Credit Facility to transition determination of the interest rate from the LIBOR benchmark rate to the SOFR benchmark rate effective June 30, 2023.</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June 30, 2025 and December 31, 2024, there was no outstanding indebtedness under the 2021 Revolving Credit Facility.</w:t>
      </w:r>
    </w:p>
    <w:p>
      <w:pPr>
        <w:spacing w:after="0" w:line="17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Interest expense for the three months ended June 30, 2025 and 2024 was $1.1 million and $0.1 million, respectively. Included in interest expense for each of the three months ended June 30, 2025 and 2024 is less than $0.1 million of amortization of debt issuance costs. Interest expense for the six months ended June 30, 2025 and 2024 was $1.8 million and $0.3 million, respectively. Included in interest expense for each of the six months ended June 30, 2025 and 2024 is $0.1 million of amortization of debt issuance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69"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As of June 30, 2025 and December 31, 2024, the Company had outstanding and unused letters of credit in the amount of approximately $6.6 million and $2.5 million, respectively, for the purpose of protecting third-party service providers against defaults. The letters of credit may be terminated at any time by the Company upon notice.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25" w:name="page26"/>
    <w:bookmarkEnd w:id="25"/>
    <w:p>
      <w:pPr>
        <w:spacing w:after="0" w:line="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5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On August 6, 2024, the Company announced a share repurchase program of up to $150 million of outstanding voting and non-voting common stock for an indefinite period as part of the Company’s capital deployment strategy (Repurchase Program).</w:t>
      </w:r>
    </w:p>
    <w:p>
      <w:pPr>
        <w:spacing w:after="0" w:line="127"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spacing w:after="0" w:line="14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During the three and six months ended June 30, 2025, the Company repurchased 564,042 and 4,126,685 shares of its common stock for an aggregate amount, including commissions and accrued excise tax, of $5.0 million and $53.5 million under the Repurchase Program, respectively. The repurchased shares are held as treasury stock. As of June 30, 2025, approximately $52.0 million of the $150 million originally authorized amount under the Repurchase Program remained available for future repurchases.</w:t>
      </w:r>
    </w:p>
    <w:p>
      <w:pPr>
        <w:spacing w:after="0" w:line="13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All of the Company’s repurchases are subject to a one percent excise tax enacted by the Inflation Reduction Act of 2022 (the IRA). The amount of share repurchases subject to the excise tax are reduced by the fair market value of any shares issued during the taxable year. As of June 30, 2025, the accrued excise tax liability pursuant to the IRA was $0.3 million, which is included in the cost of treasury stock and accrued expenses and other current liabilities on the Company's condensed consolidated balance sheet.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may issue treasury stock upon the exercise of stock options and vesting of restricted stock units granted under its equity incentive plans. The Company issued 9,330 and 28,512 treasury shares at average cost of $11.50 and $10.43 per share during the three and six months ended June 30, 2025, respectively. The Company issued 5,503 and 20,007 treasury shares at an average cost of $0.32 per share during the three and six months ended June 30, 2024, respectively. The Company intends to issue treasury shares as long as an adequate number of those shares are available.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6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Comprehensive income (loss) includes all changes in equity during the period and is comprised of net income (loss) and other comprehensive income (loss). Accumulated other comprehensive income (AOCI) reported on the Company's condensed consolidated balance sheets for the period ending June 30, 2025 consists of foreign currency translation adjustment and the unrealized gains and losses, net of applicable taxes, on available-for-sale debt securities.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changes in AOCI for the three and six months ended June 30, 2025 and 2024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14"/>
          </w:tcPr>
          <w:p>
            <w:pPr>
              <w:jc w:val="center"/>
              <w:ind w:right="280"/>
              <w:spacing w:after="0"/>
              <w:rPr>
                <w:sz w:val="20"/>
                <w:szCs w:val="20"/>
                <w:color w:val="auto"/>
              </w:rPr>
            </w:pPr>
            <w:r>
              <w:rPr>
                <w:rFonts w:ascii="Arial" w:cs="Arial" w:eastAsia="Arial" w:hAnsi="Arial"/>
                <w:sz w:val="13"/>
                <w:szCs w:val="13"/>
                <w:b w:val="1"/>
                <w:bCs w:val="1"/>
                <w:color w:val="auto"/>
                <w:w w:val="96"/>
              </w:rPr>
              <w:t>Three Months Ended June 30, 2025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gridSpan w:val="13"/>
          </w:tcPr>
          <w:p>
            <w:pPr>
              <w:jc w:val="center"/>
              <w:ind w:right="220"/>
              <w:spacing w:after="0"/>
              <w:rPr>
                <w:sz w:val="20"/>
                <w:szCs w:val="20"/>
                <w:color w:val="auto"/>
              </w:rPr>
            </w:pPr>
            <w:r>
              <w:rPr>
                <w:rFonts w:ascii="Arial" w:cs="Arial" w:eastAsia="Arial" w:hAnsi="Arial"/>
                <w:sz w:val="13"/>
                <w:szCs w:val="13"/>
                <w:b w:val="1"/>
                <w:bCs w:val="1"/>
                <w:color w:val="auto"/>
                <w:w w:val="96"/>
              </w:rPr>
              <w:t>Three Months Ended June 30, 2024</w:t>
            </w:r>
          </w:p>
        </w:tc>
        <w:tc>
          <w:tcPr>
            <w:tcW w:w="0" w:type="dxa"/>
            <w:vAlign w:val="bottom"/>
          </w:tcPr>
          <w:p>
            <w:pPr>
              <w:spacing w:after="0"/>
              <w:rPr>
                <w:sz w:val="1"/>
                <w:szCs w:val="1"/>
                <w:color w:val="auto"/>
              </w:rPr>
            </w:pPr>
          </w:p>
        </w:tc>
      </w:tr>
      <w:tr>
        <w:trPr>
          <w:trHeight w:val="111"/>
        </w:trPr>
        <w:tc>
          <w:tcPr>
            <w:tcW w:w="4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3"/>
          </w:tcPr>
          <w:p>
            <w:pPr>
              <w:jc w:val="center"/>
              <w:ind w:right="280"/>
              <w:spacing w:after="0" w:line="111" w:lineRule="exact"/>
              <w:rPr>
                <w:sz w:val="20"/>
                <w:szCs w:val="20"/>
                <w:color w:val="auto"/>
              </w:rPr>
            </w:pPr>
            <w:r>
              <w:rPr>
                <w:rFonts w:ascii="Arial" w:cs="Arial" w:eastAsia="Arial" w:hAnsi="Arial"/>
                <w:sz w:val="12"/>
                <w:szCs w:val="12"/>
                <w:b w:val="1"/>
                <w:bCs w:val="1"/>
                <w:color w:val="auto"/>
              </w:rPr>
              <w:t>Unrealized</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4"/>
              </w:rPr>
              <w:t>Unrealized</w:t>
            </w: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9"/>
              </w:rPr>
              <w:t>Gains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center"/>
              <w:ind w:right="380"/>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(Losses) 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Losses 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Currency</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4"/>
          </w:tcPr>
          <w:p>
            <w:pPr>
              <w:jc w:val="right"/>
              <w:ind w:right="180"/>
              <w:spacing w:after="0" w:line="135" w:lineRule="exact"/>
              <w:rPr>
                <w:sz w:val="20"/>
                <w:szCs w:val="20"/>
                <w:color w:val="auto"/>
              </w:rPr>
            </w:pPr>
            <w:r>
              <w:rPr>
                <w:rFonts w:ascii="Arial" w:cs="Arial" w:eastAsia="Arial" w:hAnsi="Arial"/>
                <w:sz w:val="13"/>
                <w:szCs w:val="13"/>
                <w:b w:val="1"/>
                <w:bCs w:val="1"/>
                <w:color w:val="auto"/>
                <w:w w:val="98"/>
              </w:rPr>
              <w:t>Available-for-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94"/>
              </w:rPr>
              <w:t>Currency</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Sale Debt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1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rPr>
              <w:t>Sale Debt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Securities, net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7"/>
              </w:rPr>
              <w:t>Adjustment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6"/>
              </w:rPr>
              <w:t>Securities, net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Adjustment</w:t>
            </w:r>
          </w:p>
        </w:tc>
        <w:tc>
          <w:tcPr>
            <w:tcW w:w="22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7"/>
                <w:szCs w:val="17"/>
                <w:color w:val="auto"/>
              </w:rPr>
            </w:pPr>
          </w:p>
        </w:tc>
        <w:tc>
          <w:tcPr>
            <w:tcW w:w="2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403</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482</w:t>
            </w:r>
          </w:p>
        </w:tc>
        <w:tc>
          <w:tcPr>
            <w:tcW w:w="160" w:type="dxa"/>
            <w:vAlign w:val="bottom"/>
            <w:shd w:val="clear" w:color="auto" w:fill="CFF0FC"/>
          </w:tcPr>
          <w:p>
            <w:pPr>
              <w:spacing w:after="0"/>
              <w:rPr>
                <w:sz w:val="17"/>
                <w:szCs w:val="17"/>
                <w:color w:val="auto"/>
              </w:rPr>
            </w:pPr>
          </w:p>
        </w:tc>
        <w:tc>
          <w:tcPr>
            <w:tcW w:w="140" w:type="dxa"/>
            <w:vAlign w:val="bottom"/>
            <w:gridSpan w:val="2"/>
            <w:shd w:val="clear" w:color="auto" w:fill="CFF0FC"/>
          </w:tcPr>
          <w:p>
            <w:pPr>
              <w:ind w:left="4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(41)</w:t>
            </w:r>
          </w:p>
        </w:tc>
        <w:tc>
          <w:tcPr>
            <w:tcW w:w="2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4"/>
        </w:trPr>
        <w:tc>
          <w:tcPr>
            <w:tcW w:w="4540" w:type="dxa"/>
            <w:vAlign w:val="bottom"/>
            <w:gridSpan w:val="2"/>
          </w:tcPr>
          <w:p>
            <w:pPr>
              <w:spacing w:after="0" w:line="183" w:lineRule="exact"/>
              <w:rPr>
                <w:sz w:val="20"/>
                <w:szCs w:val="20"/>
                <w:color w:val="auto"/>
              </w:rPr>
            </w:pPr>
            <w:r>
              <w:rPr>
                <w:rFonts w:ascii="Arial" w:cs="Arial" w:eastAsia="Arial" w:hAnsi="Arial"/>
                <w:sz w:val="18"/>
                <w:szCs w:val="18"/>
                <w:color w:val="auto"/>
              </w:rPr>
              <w:t>Other comprehensive (loss) income before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6,619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FF0FC"/>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6,655</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6,619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w:t>
            </w:r>
          </w:p>
        </w:tc>
        <w:tc>
          <w:tcPr>
            <w:tcW w:w="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gridSpan w:val="2"/>
          </w:tcPr>
          <w:p>
            <w:pPr>
              <w:spacing w:after="0" w:line="196" w:lineRule="exact"/>
              <w:rPr>
                <w:sz w:val="20"/>
                <w:szCs w:val="20"/>
                <w:color w:val="auto"/>
              </w:rPr>
            </w:pPr>
            <w:r>
              <w:rPr>
                <w:rFonts w:ascii="Arial" w:cs="Arial" w:eastAsia="Arial" w:hAnsi="Arial"/>
                <w:sz w:val="18"/>
                <w:szCs w:val="18"/>
                <w:color w:val="auto"/>
              </w:rPr>
              <w:t>Ending balance</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2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7,058</w:t>
            </w:r>
          </w:p>
        </w:tc>
        <w:tc>
          <w:tcPr>
            <w:tcW w:w="200" w:type="dxa"/>
            <w:vAlign w:val="bottom"/>
          </w:tcPr>
          <w:p>
            <w:pPr>
              <w:spacing w:after="0"/>
              <w:rPr>
                <w:sz w:val="17"/>
                <w:szCs w:val="17"/>
                <w:color w:val="auto"/>
              </w:rPr>
            </w:pPr>
          </w:p>
        </w:tc>
        <w:tc>
          <w:tcPr>
            <w:tcW w:w="2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7,101</w:t>
            </w:r>
          </w:p>
        </w:tc>
        <w:tc>
          <w:tcPr>
            <w:tcW w:w="160" w:type="dxa"/>
            <w:vAlign w:val="bottom"/>
          </w:tcPr>
          <w:p>
            <w:pPr>
              <w:spacing w:after="0"/>
              <w:rPr>
                <w:sz w:val="17"/>
                <w:szCs w:val="17"/>
                <w:color w:val="auto"/>
              </w:rPr>
            </w:pPr>
          </w:p>
        </w:tc>
        <w:tc>
          <w:tcPr>
            <w:tcW w:w="14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(53)</w:t>
            </w:r>
          </w:p>
        </w:tc>
        <w:tc>
          <w:tcPr>
            <w:tcW w:w="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ind w:left="420"/>
              <w:spacing w:after="0"/>
              <w:rPr>
                <w:sz w:val="20"/>
                <w:szCs w:val="20"/>
                <w:color w:val="auto"/>
              </w:rPr>
            </w:pPr>
            <w:r>
              <w:rPr>
                <w:rFonts w:ascii="Arial" w:cs="Arial" w:eastAsia="Arial" w:hAnsi="Arial"/>
                <w:sz w:val="13"/>
                <w:szCs w:val="13"/>
                <w:b w:val="1"/>
                <w:bCs w:val="1"/>
                <w:color w:val="auto"/>
                <w:w w:val="96"/>
              </w:rPr>
              <w:t>Six Months Ended June 30, 2025</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jc w:val="right"/>
              <w:spacing w:after="0"/>
              <w:rPr>
                <w:sz w:val="20"/>
                <w:szCs w:val="20"/>
                <w:color w:val="auto"/>
              </w:rPr>
            </w:pPr>
            <w:r>
              <w:rPr>
                <w:rFonts w:ascii="Arial" w:cs="Arial" w:eastAsia="Arial" w:hAnsi="Arial"/>
                <w:sz w:val="13"/>
                <w:szCs w:val="13"/>
                <w:b w:val="1"/>
                <w:bCs w:val="1"/>
                <w:color w:val="auto"/>
              </w:rPr>
              <w:t>Six Months Ended June 30, 2024</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4"/>
          </w:tcPr>
          <w:p>
            <w:pPr>
              <w:jc w:val="center"/>
              <w:ind w:right="340"/>
              <w:spacing w:after="0" w:line="111" w:lineRule="exact"/>
              <w:rPr>
                <w:sz w:val="20"/>
                <w:szCs w:val="20"/>
                <w:color w:val="auto"/>
              </w:rPr>
            </w:pPr>
            <w:r>
              <w:rPr>
                <w:rFonts w:ascii="Arial" w:cs="Arial" w:eastAsia="Arial" w:hAnsi="Arial"/>
                <w:sz w:val="12"/>
                <w:szCs w:val="12"/>
                <w:b w:val="1"/>
                <w:bCs w:val="1"/>
                <w:color w:val="auto"/>
              </w:rPr>
              <w:t>Unrealized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4"/>
          </w:tcPr>
          <w:p>
            <w:pPr>
              <w:jc w:val="center"/>
              <w:ind w:right="220"/>
              <w:spacing w:after="0" w:line="111" w:lineRule="exact"/>
              <w:rPr>
                <w:sz w:val="20"/>
                <w:szCs w:val="20"/>
                <w:color w:val="auto"/>
              </w:rPr>
            </w:pPr>
            <w:r>
              <w:rPr>
                <w:rFonts w:ascii="Arial" w:cs="Arial" w:eastAsia="Arial" w:hAnsi="Arial"/>
                <w:sz w:val="12"/>
                <w:szCs w:val="12"/>
                <w:b w:val="1"/>
                <w:bCs w:val="1"/>
                <w:color w:val="auto"/>
              </w:rPr>
              <w:t>Unrealized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400"/>
              <w:spacing w:after="0" w:line="135" w:lineRule="exact"/>
              <w:rPr>
                <w:sz w:val="20"/>
                <w:szCs w:val="20"/>
                <w:color w:val="auto"/>
              </w:rPr>
            </w:pPr>
            <w:r>
              <w:rPr>
                <w:rFonts w:ascii="Arial" w:cs="Arial" w:eastAsia="Arial" w:hAnsi="Arial"/>
                <w:sz w:val="13"/>
                <w:szCs w:val="13"/>
                <w:b w:val="1"/>
                <w:bCs w:val="1"/>
                <w:color w:val="auto"/>
                <w:w w:val="99"/>
              </w:rPr>
              <w:t>Gains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right"/>
              <w:ind w:right="480"/>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Losses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center"/>
              <w:ind w:right="340"/>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(Losses) 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on Available-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8"/>
              </w:rPr>
              <w:t>Currency</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rPr>
              <w:t>for-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Currency</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Sale Debt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w w:val="96"/>
              </w:rPr>
              <w:t>Total</w:t>
            </w:r>
          </w:p>
        </w:tc>
        <w:tc>
          <w:tcPr>
            <w:tcW w:w="22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Sale Debt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Securities, net</w:t>
            </w: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Adjustment</w:t>
            </w:r>
          </w:p>
        </w:tc>
        <w:tc>
          <w:tcPr>
            <w:tcW w:w="22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Securities, net</w:t>
            </w: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5"/>
              </w:rPr>
              <w:t>Adjustment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gridSpan w:val="3"/>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(2,274)</w:t>
            </w:r>
          </w:p>
        </w:tc>
        <w:tc>
          <w:tcPr>
            <w:tcW w:w="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(2,066)</w:t>
            </w:r>
          </w:p>
        </w:tc>
        <w:tc>
          <w:tcPr>
            <w:tcW w:w="1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1,320</w:t>
            </w:r>
          </w:p>
        </w:tc>
        <w:tc>
          <w:tcPr>
            <w:tcW w:w="1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540" w:type="dxa"/>
            <w:vAlign w:val="bottom"/>
            <w:gridSpan w:val="2"/>
          </w:tcPr>
          <w:p>
            <w:pPr>
              <w:spacing w:after="0" w:line="183" w:lineRule="exact"/>
              <w:rPr>
                <w:sz w:val="20"/>
                <w:szCs w:val="20"/>
                <w:color w:val="auto"/>
              </w:rPr>
            </w:pPr>
            <w:r>
              <w:rPr>
                <w:rFonts w:ascii="Arial" w:cs="Arial" w:eastAsia="Arial" w:hAnsi="Arial"/>
                <w:sz w:val="18"/>
                <w:szCs w:val="18"/>
                <w:color w:val="auto"/>
              </w:rPr>
              <w:t>Other comprehensive (loss) income before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96"/>
        </w:trPr>
        <w:tc>
          <w:tcPr>
            <w:tcW w:w="4540" w:type="dxa"/>
            <w:vAlign w:val="bottom"/>
            <w:tcBorders>
              <w:top w:val="single" w:sz="8" w:color="CFF0FC"/>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9,332</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9,167</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(1,168)</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gridSpan w:val="2"/>
          </w:tcPr>
          <w:p>
            <w:pPr>
              <w:spacing w:after="0" w:line="196" w:lineRule="exact"/>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3"/>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7,058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7,101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(53)</w:t>
            </w:r>
          </w:p>
        </w:tc>
        <w:tc>
          <w:tcPr>
            <w:tcW w:w="2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152</w:t>
            </w:r>
          </w:p>
        </w:tc>
        <w:tc>
          <w:tcPr>
            <w:tcW w:w="180" w:type="dxa"/>
            <w:vAlign w:val="bottom"/>
          </w:tcPr>
          <w:p>
            <w:pPr>
              <w:spacing w:after="0"/>
              <w:rPr>
                <w:sz w:val="17"/>
                <w:szCs w:val="17"/>
                <w:color w:val="auto"/>
              </w:rPr>
            </w:pPr>
          </w:p>
        </w:tc>
        <w:tc>
          <w:tcPr>
            <w:tcW w:w="2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-2018030</wp:posOffset>
            </wp:positionV>
            <wp:extent cx="102870" cy="1708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-2018030</wp:posOffset>
            </wp:positionV>
            <wp:extent cx="93980" cy="1708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-2018030</wp:posOffset>
            </wp:positionV>
            <wp:extent cx="93980" cy="1708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-2018030</wp:posOffset>
            </wp:positionV>
            <wp:extent cx="93980" cy="1708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-2018030</wp:posOffset>
            </wp:positionV>
            <wp:extent cx="93980" cy="1708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-311785</wp:posOffset>
            </wp:positionV>
            <wp:extent cx="102870" cy="1708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-311785</wp:posOffset>
            </wp:positionV>
            <wp:extent cx="93980" cy="1708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-311785</wp:posOffset>
            </wp:positionV>
            <wp:extent cx="93980" cy="1708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Reserved Shares of Common Stock for Future Issuance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2025, the Company had reserved shares of common stock for future issuance as follows: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Issued and outstanding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Issued and outstanding restricted stock units</w:t>
      </w:r>
    </w:p>
    <w:p>
      <w:pPr>
        <w:spacing w:after="0" w:line="234" w:lineRule="auto"/>
        <w:rPr>
          <w:sz w:val="20"/>
          <w:szCs w:val="20"/>
          <w:color w:val="auto"/>
        </w:rPr>
      </w:pPr>
      <w:r>
        <w:rPr>
          <w:rFonts w:ascii="Arial" w:cs="Arial" w:eastAsia="Arial" w:hAnsi="Arial"/>
          <w:sz w:val="18"/>
          <w:szCs w:val="18"/>
          <w:color w:val="auto"/>
        </w:rPr>
        <w:t>Available for issuance under the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Available for issuance under Employee Stock Purchase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Available for conversion of non-voting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5,466,330</w:t>
      </w:r>
    </w:p>
    <w:p>
      <w:pPr>
        <w:spacing w:after="0" w:line="14"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12,174,304</w:t>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15,021,878</w:t>
      </w:r>
    </w:p>
    <w:p>
      <w:pPr>
        <w:spacing w:after="0" w:line="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5,750,600</w:t>
      </w:r>
    </w:p>
    <w:p>
      <w:pPr>
        <w:jc w:val="right"/>
        <w:ind w:right="120"/>
        <w:spacing w:after="0"/>
        <w:rPr>
          <w:sz w:val="20"/>
          <w:szCs w:val="20"/>
          <w:color w:val="auto"/>
        </w:rPr>
      </w:pPr>
      <w:r>
        <w:rPr>
          <w:rFonts w:ascii="Arial" w:cs="Arial" w:eastAsia="Arial" w:hAnsi="Arial"/>
          <w:sz w:val="18"/>
          <w:szCs w:val="18"/>
          <w:color w:val="auto"/>
        </w:rPr>
        <w:t>1,873,320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40,286,432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5080</wp:posOffset>
            </wp:positionV>
            <wp:extent cx="12344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22225</wp:posOffset>
            </wp:positionV>
            <wp:extent cx="12344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2">
            <w:col w:w="9500" w:space="720"/>
            <w:col w:w="1020"/>
          </w:cols>
          <w:pgMar w:left="320" w:top="1378" w:right="339" w:bottom="1440" w:gutter="0" w:footer="0" w:header="0"/>
          <w:type w:val="continuous"/>
        </w:sectPr>
      </w:pPr>
    </w:p>
    <w:bookmarkStart w:id="27" w:name="page28"/>
    <w:bookmarkEnd w:id="27"/>
    <w:p>
      <w:pPr>
        <w:spacing w:after="0" w:line="8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w:t>
      </w:r>
    </w:p>
    <w:p>
      <w:pPr>
        <w:spacing w:after="0" w:line="11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3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26,116,754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for grant under the 2021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Stock options granted under the 2021 Plan generally vest based on continued service over four years and expire within ten years from the date of grant. Any options that are canceled or forfeited before expiration become available for future grants.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three and six months ended June 30, 2025.</w:t>
      </w:r>
    </w:p>
    <w:p>
      <w:pPr>
        <w:spacing w:after="0" w:line="185"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As of June 30, 2025, there was $0.8 million of total unrecognized compensation expense related to unvested stock options, which is expected to be recognized over a weighted-average period of 0.47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Starting in 2021, the Company awarded restricted stock units to employees and certain non-employee board members under the 2021 Plan. During the three and six months ended June 30, 2025, the Company awarded restricted stock units covering an aggregate of 1.3 million and 8.4 million shares of common stock, respectively. The fair value of each restricted stock unit is estimated based on the fair value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5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As of June 30, 2025, there was $153.8 million of total unrecognized compensation expense related to unvested restricted stock units, which is expected to be recognized over a weighted-average period of 2.97 years.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5,750,600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the lesser of 15% of their eligible compensation and the IRS limit. Offering periods are generally 6 months long.</w:t>
      </w:r>
    </w:p>
    <w:p>
      <w:pPr>
        <w:spacing w:after="0" w:line="158" w:lineRule="exact"/>
        <w:rPr>
          <w:sz w:val="20"/>
          <w:szCs w:val="20"/>
          <w:color w:val="auto"/>
        </w:rPr>
      </w:pPr>
    </w:p>
    <w:p>
      <w:pPr>
        <w:jc w:val="center"/>
        <w:ind w:left="740" w:right="100"/>
        <w:spacing w:after="0" w:line="475" w:lineRule="auto"/>
        <w:rPr>
          <w:sz w:val="20"/>
          <w:szCs w:val="20"/>
          <w:color w:val="auto"/>
        </w:rPr>
      </w:pPr>
      <w:r>
        <w:rPr>
          <w:rFonts w:ascii="Arial" w:cs="Arial" w:eastAsia="Arial" w:hAnsi="Arial"/>
          <w:sz w:val="18"/>
          <w:szCs w:val="18"/>
          <w:color w:val="auto"/>
        </w:rPr>
        <w:t>As of June 30, 2025, a total of 5,750,600 shares of the Company's common stock were available for future issuance under the ESPP.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ind w:right="40" w:firstLine="509"/>
        <w:spacing w:after="0" w:line="253" w:lineRule="auto"/>
        <w:rPr>
          <w:sz w:val="20"/>
          <w:szCs w:val="20"/>
          <w:color w:val="auto"/>
        </w:rPr>
      </w:pPr>
      <w:r>
        <w:rPr>
          <w:rFonts w:ascii="Arial" w:cs="Arial" w:eastAsia="Arial" w:hAnsi="Arial"/>
          <w:sz w:val="18"/>
          <w:szCs w:val="18"/>
          <w:color w:val="auto"/>
        </w:rPr>
        <w:t>The fair value of the ESPP offering during the three months ended June 30, 2025 was estimated at the start of the offering period using the Black-Scholes option-pricing model with the following assumptions: (i) expected term of 0.5 years, (ii) expected volatility of 46.61%, (iii) risk-free interest rate of 4.20% and (iv) expected dividend yield of 0%.</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2025, there was no unrecognized compensation expense related to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69" w:lineRule="exact"/>
        <w:rPr>
          <w:sz w:val="20"/>
          <w:szCs w:val="20"/>
          <w:color w:val="auto"/>
        </w:rPr>
      </w:pPr>
    </w:p>
    <w:p>
      <w:pPr>
        <w:ind w:right="520" w:firstLine="509"/>
        <w:spacing w:after="0" w:line="253" w:lineRule="auto"/>
        <w:rPr>
          <w:sz w:val="20"/>
          <w:szCs w:val="20"/>
          <w:color w:val="auto"/>
        </w:rPr>
      </w:pPr>
      <w:r>
        <w:rPr>
          <w:rFonts w:ascii="Arial" w:cs="Arial" w:eastAsia="Arial" w:hAnsi="Arial"/>
          <w:sz w:val="18"/>
          <w:szCs w:val="18"/>
          <w:color w:val="auto"/>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income (loss)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7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Technology and development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3,302</w:t>
            </w:r>
          </w:p>
        </w:tc>
        <w:tc>
          <w:tcPr>
            <w:tcW w:w="5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2,830</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6,519</w:t>
            </w:r>
          </w:p>
        </w:tc>
        <w:tc>
          <w:tcPr>
            <w:tcW w:w="5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5,422</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4,660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9,380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8,620</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9,571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17,391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17,861</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578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17,522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17,061</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35,740</w:t>
            </w:r>
          </w:p>
        </w:tc>
        <w:tc>
          <w:tcPr>
            <w:tcW w:w="5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31,903</w:t>
            </w:r>
          </w:p>
        </w:tc>
        <w:tc>
          <w:tcPr>
            <w:tcW w:w="100" w:type="dxa"/>
            <w:vAlign w:val="bottom"/>
            <w:shd w:val="clear" w:color="auto" w:fill="CFF0FC"/>
          </w:tcPr>
          <w:p>
            <w:pPr>
              <w:spacing w:after="0"/>
              <w:rPr>
                <w:sz w:val="18"/>
                <w:szCs w:val="18"/>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During the three months ended June 30, 2025 and 2024, $0.3 million and $0.4 million, respectively, of stock-based compensation was charged to internal-use software. During the six months ended June 30, 2025 and 2024, $0.5 million and $0.6 million, respectively, of stock-based compensation was charged to internal-use software.</w:t>
      </w:r>
    </w:p>
    <w:p>
      <w:pPr>
        <w:spacing w:after="0" w:line="12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On November 6, 2023, the Company entered into a Transition Agreement with its previous Chief Financial Officer (Prior CFO), pursuant to which the Company modified its Prior CFO's outstanding stock options and restricted stock units. As a result of this modification, the Company recognized additional compensation expense of $1.3 million during the three months ended June 30, 2024. There was no additional compensation expense recognized as a result of this modification during the three and six months ended June 30, 2025.</w:t>
      </w:r>
    </w:p>
    <w:p>
      <w:pPr>
        <w:spacing w:after="0" w:line="14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Net Loss per Share</w:t>
      </w:r>
    </w:p>
    <w:p>
      <w:pPr>
        <w:spacing w:after="0" w:line="171"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 The dilutive effect of outstanding equity incentive awards is reflected in diluted net income (loss) per share by application of the treasury stock method.</w:t>
      </w:r>
    </w:p>
    <w:p>
      <w:pPr>
        <w:spacing w:after="0" w:line="144"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six months ended June 30, 2025 and 2024; accordingly, basic net loss per share attributable to common stockholders was the same as diluted net loss per share attributable to common stockholders.</w:t>
      </w:r>
    </w:p>
    <w:p>
      <w:pPr>
        <w:spacing w:after="0" w:line="14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9" w:name="page30"/>
    <w:bookmarkEnd w:id="29"/>
    <w:p>
      <w:pPr>
        <w:ind w:right="260" w:firstLine="50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Numerator:</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Pr>
          <w:p>
            <w:pPr>
              <w:ind w:left="160"/>
              <w:spacing w:after="0" w:line="189" w:lineRule="exact"/>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(12,007)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(13,880)</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(16,167)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(20,097)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FF0FC"/>
          </w:tcPr>
          <w:p>
            <w:pPr>
              <w:ind w:left="160"/>
              <w:spacing w:after="0" w:line="183" w:lineRule="exact"/>
              <w:rPr>
                <w:sz w:val="20"/>
                <w:szCs w:val="20"/>
                <w:color w:val="auto"/>
              </w:rPr>
            </w:pPr>
            <w:r>
              <w:rPr>
                <w:rFonts w:ascii="Arial" w:cs="Arial" w:eastAsia="Arial" w:hAnsi="Arial"/>
                <w:sz w:val="17"/>
                <w:szCs w:val="17"/>
                <w:color w:val="auto"/>
              </w:rPr>
              <w:t>Net loss attributable to common stockholders – basic and diluted</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7"/>
                <w:szCs w:val="17"/>
                <w:color w:val="auto"/>
              </w:rPr>
              <w:t>(12,007)</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7"/>
                <w:szCs w:val="17"/>
                <w:color w:val="auto"/>
              </w:rPr>
              <w:t>(13,880)</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7"/>
                <w:szCs w:val="17"/>
                <w:color w:val="auto"/>
              </w:rPr>
              <w:t>(16,167)</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(20,097)</w:t>
            </w:r>
          </w:p>
        </w:tc>
        <w:tc>
          <w:tcPr>
            <w:tcW w:w="0" w:type="dxa"/>
            <w:vAlign w:val="bottom"/>
          </w:tcPr>
          <w:p>
            <w:pPr>
              <w:spacing w:after="0"/>
              <w:rPr>
                <w:sz w:val="1"/>
                <w:szCs w:val="1"/>
                <w:color w:val="auto"/>
              </w:rPr>
            </w:pPr>
          </w:p>
        </w:tc>
      </w:tr>
      <w:tr>
        <w:trPr>
          <w:trHeight w:val="169"/>
        </w:trPr>
        <w:tc>
          <w:tcPr>
            <w:tcW w:w="5780" w:type="dxa"/>
            <w:vAlign w:val="bottom"/>
            <w:tcBorders>
              <w:top w:val="single" w:sz="8" w:color="CFF0FC"/>
            </w:tcBorders>
          </w:tcPr>
          <w:p>
            <w:pPr>
              <w:spacing w:after="0" w:line="170" w:lineRule="exact"/>
              <w:rPr>
                <w:sz w:val="20"/>
                <w:szCs w:val="20"/>
                <w:color w:val="auto"/>
              </w:rPr>
            </w:pPr>
            <w:r>
              <w:rPr>
                <w:rFonts w:ascii="Arial" w:cs="Arial" w:eastAsia="Arial" w:hAnsi="Arial"/>
                <w:sz w:val="17"/>
                <w:szCs w:val="17"/>
                <w:color w:val="auto"/>
              </w:rPr>
              <w:t>Denominator:</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FF0FC"/>
            </w:tcBorders>
            <w:shd w:val="clear" w:color="auto" w:fill="CFF0FC"/>
          </w:tcPr>
          <w:p>
            <w:pPr>
              <w:ind w:left="160"/>
              <w:spacing w:after="0" w:line="189" w:lineRule="exact"/>
              <w:rPr>
                <w:sz w:val="20"/>
                <w:szCs w:val="20"/>
                <w:color w:val="auto"/>
              </w:rPr>
            </w:pPr>
            <w:r>
              <w:rPr>
                <w:rFonts w:ascii="Arial" w:cs="Arial" w:eastAsia="Arial" w:hAnsi="Arial"/>
                <w:sz w:val="17"/>
                <w:szCs w:val="17"/>
                <w:color w:val="auto"/>
              </w:rPr>
              <w:t>Weighted average common shares outstanding – 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121,852,349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124,562,015</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122,539,986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123,859,762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5780" w:type="dxa"/>
            <w:vAlign w:val="bottom"/>
          </w:tcPr>
          <w:p>
            <w:pPr>
              <w:ind w:left="160"/>
              <w:spacing w:after="0" w:line="147" w:lineRule="exact"/>
              <w:rPr>
                <w:sz w:val="20"/>
                <w:szCs w:val="20"/>
                <w:color w:val="auto"/>
              </w:rPr>
            </w:pPr>
            <w:r>
              <w:rPr>
                <w:rFonts w:ascii="Arial" w:cs="Arial" w:eastAsia="Arial" w:hAnsi="Arial"/>
                <w:sz w:val="17"/>
                <w:szCs w:val="17"/>
                <w:color w:val="auto"/>
              </w:rPr>
              <w:t>Net loss per share attributable to common stockholders – basic and</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(0.10)</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(0.11)</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(0.13)</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(0.16)</w:t>
            </w:r>
          </w:p>
        </w:tc>
        <w:tc>
          <w:tcPr>
            <w:tcW w:w="0" w:type="dxa"/>
            <w:vAlign w:val="bottom"/>
          </w:tcPr>
          <w:p>
            <w:pPr>
              <w:spacing w:after="0"/>
              <w:rPr>
                <w:sz w:val="1"/>
                <w:szCs w:val="1"/>
                <w:color w:val="auto"/>
              </w:rPr>
            </w:pPr>
          </w:p>
        </w:tc>
      </w:tr>
      <w:tr>
        <w:trPr>
          <w:trHeight w:val="171"/>
        </w:trPr>
        <w:tc>
          <w:tcPr>
            <w:tcW w:w="5780" w:type="dxa"/>
            <w:vAlign w:val="bottom"/>
          </w:tcPr>
          <w:p>
            <w:pPr>
              <w:ind w:left="160"/>
              <w:spacing w:after="0" w:line="150" w:lineRule="exact"/>
              <w:rPr>
                <w:sz w:val="20"/>
                <w:szCs w:val="20"/>
                <w:color w:val="auto"/>
              </w:rPr>
            </w:pPr>
            <w:r>
              <w:rPr>
                <w:rFonts w:ascii="Arial" w:cs="Arial" w:eastAsia="Arial" w:hAnsi="Arial"/>
                <w:sz w:val="17"/>
                <w:szCs w:val="17"/>
                <w:color w:val="auto"/>
              </w:rPr>
              <w:t>diluted</w:t>
            </w:r>
          </w:p>
        </w:tc>
        <w:tc>
          <w:tcPr>
            <w:tcW w:w="16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-530860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-513715</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-530860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-513715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-530860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-513715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-264795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-264795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-264795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Outstanding potentially dilutive securities, which were excluded from the diluted net income (loss) per share calculations because they would have been antidilutive were as follows as of the dates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68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74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57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Unvested restricted stock units</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5,466,330</w:t>
            </w:r>
          </w:p>
        </w:tc>
        <w:tc>
          <w:tcPr>
            <w:tcW w:w="1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6,327,473</w:t>
            </w:r>
          </w:p>
        </w:tc>
        <w:tc>
          <w:tcPr>
            <w:tcW w:w="1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5,466,330</w:t>
            </w:r>
          </w:p>
        </w:tc>
        <w:tc>
          <w:tcPr>
            <w:tcW w:w="1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6,327,473</w:t>
            </w:r>
          </w:p>
        </w:tc>
        <w:tc>
          <w:tcPr>
            <w:tcW w:w="100" w:type="dxa"/>
            <w:vAlign w:val="bottom"/>
            <w:shd w:val="clear" w:color="auto" w:fill="CFF0FC"/>
          </w:tcPr>
          <w:p>
            <w:pPr>
              <w:spacing w:after="0"/>
              <w:rPr>
                <w:sz w:val="15"/>
                <w:szCs w:val="15"/>
                <w:color w:val="auto"/>
              </w:rPr>
            </w:pP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7"/>
                <w:szCs w:val="17"/>
                <w:color w:val="auto"/>
              </w:rPr>
              <w:t>Stock options to purchase common stock</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12,174,304</w:t>
            </w:r>
          </w:p>
        </w:tc>
        <w:tc>
          <w:tcPr>
            <w:tcW w:w="1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6,750,469</w:t>
            </w:r>
          </w:p>
        </w:tc>
        <w:tc>
          <w:tcPr>
            <w:tcW w:w="13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12,174,304</w:t>
            </w:r>
          </w:p>
        </w:tc>
        <w:tc>
          <w:tcPr>
            <w:tcW w:w="1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6,750,469</w:t>
            </w:r>
          </w:p>
        </w:tc>
        <w:tc>
          <w:tcPr>
            <w:tcW w:w="100" w:type="dxa"/>
            <w:vAlign w:val="bottom"/>
          </w:tcPr>
          <w:p>
            <w:pPr>
              <w:spacing w:after="0"/>
              <w:rPr>
                <w:sz w:val="16"/>
                <w:szCs w:val="16"/>
                <w:color w:val="auto"/>
              </w:rPr>
            </w:pPr>
          </w:p>
        </w:tc>
      </w:tr>
      <w:tr>
        <w:trPr>
          <w:trHeight w:val="189"/>
        </w:trPr>
        <w:tc>
          <w:tcPr>
            <w:tcW w:w="57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Employee stock purchase plan shares</w:t>
            </w: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82,013</w:t>
            </w:r>
          </w:p>
        </w:tc>
        <w:tc>
          <w:tcPr>
            <w:tcW w:w="2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7"/>
                <w:szCs w:val="17"/>
                <w:color w:val="auto"/>
              </w:rPr>
              <w:t>17,640,634</w:t>
            </w:r>
          </w:p>
        </w:tc>
        <w:tc>
          <w:tcPr>
            <w:tcW w:w="14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13,077,942</w:t>
            </w:r>
          </w:p>
        </w:tc>
        <w:tc>
          <w:tcPr>
            <w:tcW w:w="13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17,722,647</w:t>
            </w:r>
          </w:p>
        </w:tc>
        <w:tc>
          <w:tcPr>
            <w:tcW w:w="14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13,077,942</w:t>
            </w:r>
          </w:p>
        </w:tc>
        <w:tc>
          <w:tcPr>
            <w:tcW w:w="10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-153670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Income Taxes</w:t>
      </w:r>
    </w:p>
    <w:p>
      <w:pPr>
        <w:spacing w:after="0" w:line="18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recorded an income tax provision of $7.0 million and $4.7 million for the three months ended June 30, 2025 and 2024, respectively. The income tax provision for the three months ended June 30, 2025 and 2024 was primarily attributable to activity in the Company's foreign subsidiaries and U.S. state taxes. The Company recorded an income tax provision of $6.1 million and $6.3 million for the six months ended June 30, 2025 and 2024, respectively. The income tax provision for the six months ended June 30, 2025 and 2024 was primarily attributable to activity in the Company's foreign subsidiaries and U.S. state taxes.</w:t>
      </w:r>
    </w:p>
    <w:p>
      <w:pPr>
        <w:spacing w:after="0" w:line="14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Company’s effective tax rate differs from the U.S. federal statutory rate primarily due to the change in valuation allowance in the U.S. The Company is open to future tax examinations from 2019 to the present; however, carryforward attributes that were generated prior to 2018 may still be adjusted upon examination by federal, state or local tax authorities to the extent they will be used in a future period.</w:t>
      </w:r>
    </w:p>
    <w:p>
      <w:pPr>
        <w:spacing w:after="0" w:line="128"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June 30, 2025, the Company continues to maintain a full valuation allowance of the U.S. net deferred tax assets.</w:t>
      </w:r>
    </w:p>
    <w:p>
      <w:pPr>
        <w:spacing w:after="0" w:line="14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July 4, 2025, the U.S. government enacted The One Big Beautiful Bill Act of 2025 ("OBBBA") which includes, among other provisions, changes to the U.S. corporate income tax system including the allowance of immediate expensing of qualifying research and development expenses and permanent extensions of certain provisions within the Tax Cuts and Jobs Act. The Company is evaluating the full effects of the legislation on our estimated annual effective tax rate and cash tax position and does not expect the legislation to have a material impact on our financial statements.</w:t>
      </w:r>
    </w:p>
    <w:p>
      <w:pPr>
        <w:spacing w:after="0" w:line="1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Commitments and Contingencies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 xml:space="preserve">The Company is subject to various legal proceedings and claims from time to time, the outcomes of which are subject to significant uncertainty. </w:t>
      </w:r>
      <w:r>
        <w:rPr>
          <w:rFonts w:ascii="Arial" w:cs="Arial" w:eastAsia="Arial" w:hAnsi="Arial"/>
          <w:sz w:val="17"/>
          <w:szCs w:val="17"/>
          <w:color w:val="auto"/>
        </w:rPr>
        <w:t>The Company records an accrual for legal contingencies when it has determined that it is probable that a liability has been incurred and</w:t>
      </w:r>
      <w:r>
        <w:rPr>
          <w:rFonts w:ascii="Arial" w:cs="Arial" w:eastAsia="Arial" w:hAnsi="Arial"/>
          <w:sz w:val="18"/>
          <w:szCs w:val="18"/>
          <w:color w:val="auto"/>
        </w:rPr>
        <w:t xml:space="preserve"> </w:t>
      </w:r>
      <w:r>
        <w:rPr>
          <w:rFonts w:ascii="Arial" w:cs="Arial" w:eastAsia="Arial" w:hAnsi="Arial"/>
          <w:sz w:val="17"/>
          <w:szCs w:val="17"/>
          <w:color w:val="auto"/>
        </w:rPr>
        <w:t>the amount of the loss can be reasonably estimated. In making such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0" w:name="page31"/>
    <w:bookmarkEnd w:id="30"/>
    <w:p>
      <w:pPr>
        <w:ind w:right="340"/>
        <w:spacing w:after="0" w:line="249" w:lineRule="auto"/>
        <w:rPr>
          <w:sz w:val="20"/>
          <w:szCs w:val="20"/>
          <w:color w:val="auto"/>
        </w:rPr>
      </w:pPr>
      <w:r>
        <w:rPr>
          <w:rFonts w:ascii="Arial" w:cs="Arial" w:eastAsia="Arial" w:hAnsi="Arial"/>
          <w:sz w:val="17"/>
          <w:szCs w:val="17"/>
          <w:color w:val="auto"/>
        </w:rPr>
        <w:t>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51"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As of June 30, 2025,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2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4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On July 25, 2025, the Company and certain of its current and former officers were named as defendants in a securities class action complaint captioned </w:t>
      </w:r>
      <w:r>
        <w:rPr>
          <w:rFonts w:ascii="Arial" w:cs="Arial" w:eastAsia="Arial" w:hAnsi="Arial"/>
          <w:sz w:val="18"/>
          <w:szCs w:val="18"/>
          <w:i w:val="1"/>
          <w:iCs w:val="1"/>
          <w:color w:val="auto"/>
        </w:rPr>
        <w:t>Hickman v. Flywire Corporation</w:t>
      </w:r>
      <w:r>
        <w:rPr>
          <w:rFonts w:ascii="Arial" w:cs="Arial" w:eastAsia="Arial" w:hAnsi="Arial"/>
          <w:sz w:val="18"/>
          <w:szCs w:val="18"/>
          <w:color w:val="auto"/>
        </w:rPr>
        <w:t xml:space="preserve"> filed in the United States District Court for the Eastern District of New York on behalf of a putative class of investors who purchased Flywire securities from February 28, 2024, through February 25, 2025. Plaintiff alleges that the defendants violated Sections 10(b) and 20(a) of the Exchange Act by purportedly overstating the strength and sustainability of the Company's revenue growth and understating the negative impact of certain government permit and visa related policies on our business. The lawsuit seeks unspecified damages, costs, attorneys’ fees, and other relief. The Company believes to have strong defenses against the asserted claims and intends to vigorously defend itself.</w:t>
      </w:r>
    </w:p>
    <w:p>
      <w:pPr>
        <w:spacing w:after="0" w:line="158" w:lineRule="exact"/>
        <w:rPr>
          <w:sz w:val="20"/>
          <w:szCs w:val="20"/>
          <w:color w:val="auto"/>
        </w:rPr>
      </w:pPr>
    </w:p>
    <w:p>
      <w:pPr>
        <w:jc w:val="both"/>
        <w:ind w:right="60"/>
        <w:spacing w:after="0" w:line="241" w:lineRule="auto"/>
        <w:rPr>
          <w:sz w:val="20"/>
          <w:szCs w:val="20"/>
          <w:color w:val="auto"/>
        </w:rPr>
      </w:pPr>
      <w:r>
        <w:rPr>
          <w:rFonts w:ascii="Arial" w:cs="Arial" w:eastAsia="Arial" w:hAnsi="Arial"/>
          <w:sz w:val="18"/>
          <w:szCs w:val="18"/>
          <w:color w:val="auto"/>
        </w:rPr>
        <w:t>The Company cannot reasonably estimate the maximum potential exposure or the range of possible loss for this matter. Taking into account discussions with the Company's external lawyers, we do not consider the probability of an outflow of resources to be sufficient to recognize a provision at the balance sheet date. In the Company's opinion, these matters constitute contingent liabilities as of the balance sheet date.</w:t>
      </w:r>
    </w:p>
    <w:p>
      <w:pPr>
        <w:spacing w:after="0" w:line="2" w:lineRule="exact"/>
        <w:rPr>
          <w:sz w:val="20"/>
          <w:szCs w:val="20"/>
          <w:color w:val="auto"/>
        </w:rPr>
      </w:pPr>
    </w:p>
    <w:p>
      <w:pPr>
        <w:ind w:right="1480"/>
        <w:spacing w:after="0" w:line="427" w:lineRule="auto"/>
        <w:rPr>
          <w:sz w:val="20"/>
          <w:szCs w:val="20"/>
          <w:color w:val="auto"/>
        </w:rPr>
      </w:pPr>
      <w:r>
        <w:rPr>
          <w:rFonts w:ascii="Arial" w:cs="Arial" w:eastAsia="Arial" w:hAnsi="Arial"/>
          <w:sz w:val="18"/>
          <w:szCs w:val="18"/>
          <w:color w:val="auto"/>
        </w:rPr>
        <w:t xml:space="preserve">However, it is currently impractical for the Company to estimate with sufficient reliability the respective contingent liabilities. </w:t>
      </w:r>
      <w:r>
        <w:rPr>
          <w:rFonts w:ascii="Arial" w:cs="Arial" w:eastAsia="Arial" w:hAnsi="Arial"/>
          <w:sz w:val="18"/>
          <w:szCs w:val="18"/>
          <w:b w:val="1"/>
          <w:bCs w:val="1"/>
          <w:i w:val="1"/>
          <w:iCs w:val="1"/>
          <w:color w:val="auto"/>
        </w:rPr>
        <w:t>Indemnification</w:t>
      </w:r>
    </w:p>
    <w:p>
      <w:pPr>
        <w:spacing w:after="0" w:line="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Subsequent Event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9"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On July 30, 2025, our Board of Directors approved an increase in the aggregate purchase price of shares of our Common Stock outstanding that may be purchased under the Repurchase Program by $150 million. As of July 30, 2025,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1" w:name="page32"/>
    <w:bookmarkEnd w:id="31"/>
    <w:p>
      <w:pPr>
        <w:ind w:right="260"/>
        <w:spacing w:after="0" w:line="271" w:lineRule="auto"/>
        <w:rPr>
          <w:sz w:val="20"/>
          <w:szCs w:val="20"/>
          <w:color w:val="auto"/>
        </w:rPr>
      </w:pPr>
      <w:r>
        <w:rPr>
          <w:rFonts w:ascii="Arial" w:cs="Arial" w:eastAsia="Arial" w:hAnsi="Arial"/>
          <w:sz w:val="18"/>
          <w:szCs w:val="18"/>
          <w:color w:val="auto"/>
        </w:rPr>
        <w:t>approximately $202.0 million remained available for future repurchases under the Repurchase Program. Refer to Note 13, Stockholders' Equity for further information on the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Revolving Credit Facility</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On August 1,2025, the Company entered into the First Amendment to the Amended and Restated Credit Agreement and the First Amendment to Pledge and Security Agreement, to increase the maximum borrowing limit to $300 million and revise certain covenants that restricted the incurrence of indebtedness to permit the issuance of Convertible Notes, among other modifications. As of August 6, 2025, the available balance under our 2024 Revolving Credit Facility was $240.0 million. Refer to Note 12, Debt, for further information on the 2024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76" w:right="49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38"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5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885825</wp:posOffset>
            </wp:positionV>
            <wp:extent cx="5623560" cy="3703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562356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71" w:lineRule="exact"/>
        <w:rPr>
          <w:sz w:val="20"/>
          <w:szCs w:val="20"/>
          <w:color w:val="auto"/>
        </w:rPr>
      </w:pPr>
    </w:p>
    <w:p>
      <w:pPr>
        <w:ind w:left="1020" w:right="200" w:hanging="503"/>
        <w:spacing w:after="0" w:line="24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 period-over-period from $4.9 billion during the three months ended June 30, 2024 to $5.9 billion during the three months ended June 30, 2025. We have grown our total payment volume by approximately 21% period-over-period from $11.8 billion during the six months ended June 30, 2024 to $14.3 billion during the six months ended June 30, 2025.</w:t>
      </w:r>
    </w:p>
    <w:p>
      <w:pPr>
        <w:spacing w:after="0" w:line="136" w:lineRule="exact"/>
        <w:rPr>
          <w:rFonts w:ascii="Times New Roman" w:cs="Times New Roman" w:eastAsia="Times New Roman" w:hAnsi="Times New Roman"/>
          <w:sz w:val="18"/>
          <w:szCs w:val="18"/>
          <w:color w:val="auto"/>
        </w:rPr>
      </w:pPr>
    </w:p>
    <w:p>
      <w:pPr>
        <w:jc w:val="both"/>
        <w:ind w:left="1020" w:right="6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143" w:lineRule="exact"/>
        <w:rPr>
          <w:rFonts w:ascii="Times New Roman" w:cs="Times New Roman" w:eastAsia="Times New Roman" w:hAnsi="Times New Roman"/>
          <w:sz w:val="18"/>
          <w:szCs w:val="18"/>
          <w:color w:val="auto"/>
        </w:rPr>
      </w:pPr>
    </w:p>
    <w:p>
      <w:pPr>
        <w:ind w:left="1020" w:hanging="503"/>
        <w:spacing w:after="0" w:line="24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2024,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114%.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37"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As of June 30, 2025, we serve over 4,700 clients around the world, excluding clients acquired from the Sertifi and Invoiced acquisitions. In education, we serve more than 3,100 institutions. In healthcare, we power more than 100 healthcare systems, including four of the top 10 healthcare systems in the United States ranked by hospital size as of December 31, 2024. In our travel and B2B verticals, we have a growing portfolio of approximately 1,400 clients as of June 30, 2025.</w:t>
      </w:r>
    </w:p>
    <w:p>
      <w:pPr>
        <w:spacing w:after="0" w:line="13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approximately $29.7 billion, $14.3 billion, and $11.8 billion in total payment volume during the year ended December 31, 2024 and six months ended June 30, 2025 and 2024, respectively. We generated revenue of $492.1 million and $403.1 million for the years ended December 31, 2024 and 2023,</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respectively, and had net income of $2.9 million and net loss of $8.6 million, respectively, for the same years. We generated revenue of</w:t>
      </w:r>
    </w:p>
    <w:p>
      <w:pPr>
        <w:spacing w:after="0" w:line="1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$265.3 million and $ 217.8 million for the six months ended June 30, 2025 and 2024, respectively, and had net loss of $16.2 million and $20.1 million, respectively, for the same periods.</w:t>
      </w:r>
    </w:p>
    <w:p>
      <w:pPr>
        <w:spacing w:after="0" w:line="14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45"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We had approximately 1,355 full-time FlyMates as of June 30, 2025, compared to approximately 1,281 full-time FlyMates as of June 30, 2024, an increase of 5.8%.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17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February 2025, we entered into a Purchase and Sale Agreement (the Agreement) to acquire the business of Sertifi LLC (Sertifi) for upfront cash consideration of $330 million, subject to certain post-closing adjustments set forth in the Agreement, and contingent consideration of up to $10 million upon the completion or satisfaction of certain technical and commercial milestones by Sertifi. Sertifi is a vertical software and payments platform digitizing hospitality-specific workflows and associated payments. We paid the upfront cash consideration through a combination of cash on hand and borrowings from our existing 2024 Revolving Credit Facility. The acquisition of Sertifi was intended to accelerate the Company’s travel business and expand its offerings to support over 20,000 hotel locations globally. Sertifi contributed $7.7 million and $10.7 million in platform revenue during the three and six months ended June 30, 2025, respectively, and $4.7 and $6.4 million in transactional revenue during the three and six months ended June 30, 2025, respectively.</w:t>
      </w:r>
    </w:p>
    <w:p>
      <w:pPr>
        <w:spacing w:after="0" w:line="140"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 August 2024, we acquired all of the issued and outstanding shares of Invoiced for an estimated total aggregate purchase price of approximately $51.7 million, consisting of approximately $47.2 million in cash consideration, net of cash acquired and up to $4.5 million of contingent consideration. The contingent consideration represents additional payments that we may be required to make in the future dependent on the successful achievement of revenue, cross-selling, product and security and IT milestones. Invoiced is a U.S.-based SaaS B2B company that provides accounts receivable software that automates all aspects of billing, collections, payments, reporting and forecasting within a single online platform. The acquisition of Invoiced was intended to accelerate our global expansion in our B2B vertical.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1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 February 2025, we announced a restructuring plan that is designed to improve operational efficiencies, reduce operating costs and better align our workforce with current business needs, top strategic priorities and key growth opportunities (collectively, the Restructuring Plan). In connection with the Restructuring Plan, we incurred restructuring and restructuring-related charges of $1.4 million and $8.7 million during the three and six months ended June 30, 2025, recorded within restructuring expenses on the condensed consolidated statements of operations and comprehensive loss. Restructuring costs during the three months ended June 30, 2025 primarily consists of cash expenditures for severance payments, employee benefits and facilitation costs of $1.3 million, and non-cash expenditures related to acceleration of vesting of share-based awards of $0.1 million. Restructuring costs during the six months ended June 30, 2025 primarily consists of cash expenditures for severance payments, employee benefits and facilitation costs of $6.4 million, and non-cash expenditures related to acceleration of vesting of share-based awards of $ 2.3 million. As of June 30, 2025, the accrued restructuring liability was $1.6 million, which is included within accrued expenses and other current liabilities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5" w:name="page36"/>
    <w:bookmarkEnd w:id="35"/>
    <w:p>
      <w:pPr>
        <w:ind w:right="340"/>
        <w:spacing w:after="0" w:line="271" w:lineRule="auto"/>
        <w:rPr>
          <w:sz w:val="20"/>
          <w:szCs w:val="20"/>
          <w:color w:val="auto"/>
        </w:rPr>
      </w:pPr>
      <w:r>
        <w:rPr>
          <w:rFonts w:ascii="Arial" w:cs="Arial" w:eastAsia="Arial" w:hAnsi="Arial"/>
          <w:sz w:val="18"/>
          <w:szCs w:val="18"/>
          <w:color w:val="auto"/>
        </w:rPr>
        <w:t>the condensed consolidated balance sheets. Total costs incurred in connection with the Restructuring Plan were complete as of June 30,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below.</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includes fees earned from payment processing services provided to our clients, which is comprised of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spacing w:after="0" w:line="15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Platform and other revenues </w:t>
      </w:r>
      <w:r>
        <w:rPr>
          <w:rFonts w:ascii="Arial" w:cs="Arial" w:eastAsia="Arial" w:hAnsi="Arial"/>
          <w:sz w:val="18"/>
          <w:szCs w:val="18"/>
          <w:color w:val="auto"/>
        </w:rPr>
        <w:t>primarily include (i) fees earned for the utilization of our platforms to optimize cash collections and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6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spacing w:after="0" w:line="149"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40" w:type="dxa"/>
            <w:vAlign w:val="bottom"/>
            <w:tcBorders>
              <w:right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Transaction payment volume</w:t>
            </w:r>
          </w:p>
        </w:tc>
        <w:tc>
          <w:tcPr>
            <w:tcW w:w="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4,987.2</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3,908.1</w:t>
            </w:r>
          </w:p>
        </w:tc>
        <w:tc>
          <w:tcPr>
            <w:tcW w:w="460" w:type="dxa"/>
            <w:vAlign w:val="bottom"/>
            <w:tcBorders>
              <w:lef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1,079.1</w:t>
            </w:r>
          </w:p>
        </w:tc>
        <w:tc>
          <w:tcPr>
            <w:tcW w:w="240" w:type="dxa"/>
            <w:vAlign w:val="bottom"/>
            <w:tcBorders>
              <w:right w:val="single" w:sz="8" w:color="CFF0FC"/>
            </w:tcBorders>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other revenues payment volume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944.3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951.6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(7.3)</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tcBorders>
              <w:right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Total payment volume</w:t>
            </w:r>
          </w:p>
        </w:tc>
        <w:tc>
          <w:tcPr>
            <w:tcW w:w="24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5,931.5</w:t>
            </w:r>
          </w:p>
        </w:tc>
        <w:tc>
          <w:tcPr>
            <w:tcW w:w="46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4,859.7</w:t>
            </w:r>
          </w:p>
        </w:tc>
        <w:tc>
          <w:tcPr>
            <w:tcW w:w="460" w:type="dxa"/>
            <w:vAlign w:val="bottom"/>
            <w:tcBorders>
              <w:left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1,071.8</w:t>
            </w:r>
          </w:p>
        </w:tc>
        <w:tc>
          <w:tcPr>
            <w:tcW w:w="240" w:type="dxa"/>
            <w:vAlign w:val="bottom"/>
            <w:tcBorders>
              <w:right w:val="single" w:sz="8" w:color="CFF0FC"/>
            </w:tcBorders>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right"/>
              <w:ind w:right="255"/>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24"/>
                <w:szCs w:val="24"/>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40" w:type="dxa"/>
            <w:vAlign w:val="bottom"/>
            <w:tcBorders>
              <w:right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Transaction payment volume</w:t>
            </w:r>
          </w:p>
        </w:tc>
        <w:tc>
          <w:tcPr>
            <w:tcW w:w="2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11,413.2</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8,908.0</w:t>
            </w:r>
          </w:p>
        </w:tc>
        <w:tc>
          <w:tcPr>
            <w:tcW w:w="460" w:type="dxa"/>
            <w:vAlign w:val="bottom"/>
            <w:tcBorders>
              <w:lef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2,505.2</w:t>
            </w:r>
          </w:p>
        </w:tc>
        <w:tc>
          <w:tcPr>
            <w:tcW w:w="240" w:type="dxa"/>
            <w:vAlign w:val="bottom"/>
            <w:tcBorders>
              <w:right w:val="single" w:sz="8" w:color="CFF0FC"/>
            </w:tcBorders>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other revenues payment volume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2,889.3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2,904.8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(15.5)</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tcBorders>
              <w:right w:val="single" w:sz="8" w:color="CFF0FC"/>
            </w:tcBorders>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payment volume</w:t>
            </w:r>
          </w:p>
        </w:tc>
        <w:tc>
          <w:tcPr>
            <w:tcW w:w="2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14,302.5</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11,812.8</w:t>
            </w:r>
          </w:p>
        </w:tc>
        <w:tc>
          <w:tcPr>
            <w:tcW w:w="460" w:type="dxa"/>
            <w:vAlign w:val="bottom"/>
            <w:tcBorders>
              <w:lef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2,489.7</w:t>
            </w:r>
          </w:p>
        </w:tc>
        <w:tc>
          <w:tcPr>
            <w:tcW w:w="240" w:type="dxa"/>
            <w:vAlign w:val="bottom"/>
            <w:tcBorders>
              <w:right w:val="single" w:sz="8" w:color="CFF0FC"/>
            </w:tcBorders>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-933450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-916940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-933450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-916940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-933450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-916940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-933450</wp:posOffset>
            </wp:positionV>
            <wp:extent cx="1543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-916940</wp:posOffset>
            </wp:positionV>
            <wp:extent cx="15430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6" w:name="page37"/>
    <w:bookmarkEnd w:id="36"/>
    <w:p>
      <w:pPr>
        <w:ind w:right="40" w:firstLine="509"/>
        <w:spacing w:after="0" w:line="247"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compared to domestic payments, which may increase or decrease depending on the industry in which our clients operate. We may experience shifts in the type of revenue we earn (transaction revenue or platform and other revenues) depending on the nature of the activity of our clients and our clients’ customers on our platform.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8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At the same time, we are optimizing our systems and tools, consolidating our vendor footprint and automating processes. While we expect our expenses related to technology and development to increase, we believe these investments will contribute to long-term growth and profitability.</w:t>
      </w:r>
    </w:p>
    <w:p>
      <w:pPr>
        <w:spacing w:after="0" w:line="136"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6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Resulting From Government Changes to International Student Visa Policies</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7" w:name="page38"/>
    <w:bookmarkEnd w:id="37"/>
    <w:p>
      <w:pPr>
        <w:ind w:right="280"/>
        <w:spacing w:after="0" w:line="271" w:lineRule="auto"/>
        <w:rPr>
          <w:sz w:val="20"/>
          <w:szCs w:val="20"/>
          <w:color w:val="auto"/>
        </w:rPr>
      </w:pPr>
      <w:r>
        <w:rPr>
          <w:rFonts w:ascii="Arial" w:cs="Arial" w:eastAsia="Arial" w:hAnsi="Arial"/>
          <w:sz w:val="18"/>
          <w:szCs w:val="18"/>
          <w:color w:val="auto"/>
        </w:rPr>
        <w:t>had an adverse effect on our business in the six months ended June 30, 2025 and which we anticipate will continue to impact our Canada revenues and revenue growth in 2025.</w:t>
      </w:r>
    </w:p>
    <w:p>
      <w:pPr>
        <w:spacing w:after="0" w:line="12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in the six months ended June 30, 2025 and we anticipate will continue to impact our Australian revenues in 2025.</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six months ended June 30, 2025 due to shifting visa trends. In addition, in the first half of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We expect these changes to U.S. immigration policy and heightened trade tensions from the threat or imposition of tariffs will continue to dampen demands for international study and adversely impact our revenue growth in the U.S. in 2025.</w:t>
      </w:r>
    </w:p>
    <w:p>
      <w:pPr>
        <w:spacing w:after="0" w:line="145" w:lineRule="exact"/>
        <w:rPr>
          <w:sz w:val="20"/>
          <w:szCs w:val="20"/>
          <w:color w:val="auto"/>
        </w:rPr>
      </w:pPr>
    </w:p>
    <w:p>
      <w:pPr>
        <w:ind w:firstLine="374"/>
        <w:spacing w:after="0" w:line="244" w:lineRule="auto"/>
        <w:rPr>
          <w:sz w:val="20"/>
          <w:szCs w:val="20"/>
          <w:color w:val="auto"/>
        </w:rPr>
      </w:pPr>
      <w:r>
        <w:rPr>
          <w:rFonts w:ascii="Arial" w:cs="Arial" w:eastAsia="Arial" w:hAnsi="Arial"/>
          <w:sz w:val="18"/>
          <w:szCs w:val="18"/>
          <w:color w:val="auto"/>
        </w:rPr>
        <w:t>Recently, after a period during which interviews and applications for student visas to study in the U.S. were temporarily suspended, the U.S. Department of State (DOS) resumed scheduling visa interview appointments for international students and exchange visitors while it considered new social media vetting measures. New student and exchange visitor visa policies and the resumption of interview appointments is expected to have implications for Fall enrollment of international students in the U.S. which may adversely affect our revenue and results of operations. Some of these expected impacts include:</w:t>
      </w:r>
    </w:p>
    <w:p>
      <w:pPr>
        <w:spacing w:after="0" w:line="14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Requests for deferred admissions, increased student inquiries/concerns, and delays in expected enrollment;</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Visa appointment cancellations, unavailability or delays in scheduling interviews as well as higher visa rejection rates - especially as to potential students from the countries that send the most students to the United States; and</w:t>
      </w:r>
    </w:p>
    <w:p>
      <w:pPr>
        <w:spacing w:after="0" w:line="46" w:lineRule="exact"/>
        <w:rPr>
          <w:rFonts w:ascii="Times New Roman" w:cs="Times New Roman" w:eastAsia="Times New Roman" w:hAnsi="Times New Roman"/>
          <w:sz w:val="18"/>
          <w:szCs w:val="18"/>
          <w:color w:val="auto"/>
        </w:rPr>
      </w:pPr>
    </w:p>
    <w:p>
      <w:pPr>
        <w:ind w:left="1020" w:right="440" w:hanging="503"/>
        <w:spacing w:after="0" w:line="243"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These European and Asian study destinations that are gaining in market share of student interest often carry lower tuition and related costs of living relative to the United States, which may result in lower volume of payments processed within our education vertical.</w:t>
      </w:r>
    </w:p>
    <w:p>
      <w:pPr>
        <w:spacing w:after="0" w:line="139" w:lineRule="exact"/>
        <w:rPr>
          <w:sz w:val="20"/>
          <w:szCs w:val="20"/>
          <w:color w:val="auto"/>
        </w:rPr>
      </w:pPr>
    </w:p>
    <w:p>
      <w:pPr>
        <w:ind w:right="200" w:firstLine="374"/>
        <w:spacing w:after="0"/>
        <w:rPr>
          <w:sz w:val="20"/>
          <w:szCs w:val="20"/>
          <w:color w:val="auto"/>
        </w:rPr>
      </w:pPr>
      <w:r>
        <w:rPr>
          <w:rFonts w:ascii="Arial" w:cs="Arial" w:eastAsia="Arial" w:hAnsi="Arial"/>
          <w:sz w:val="18"/>
          <w:szCs w:val="18"/>
          <w:color w:val="auto"/>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8" w:name="page39"/>
    <w:bookmarkEnd w:id="38"/>
    <w:p>
      <w:pPr>
        <w:ind w:right="600"/>
        <w:spacing w:after="0" w:line="271" w:lineRule="auto"/>
        <w:rPr>
          <w:sz w:val="20"/>
          <w:szCs w:val="20"/>
          <w:color w:val="auto"/>
        </w:rPr>
      </w:pPr>
      <w:r>
        <w:rPr>
          <w:rFonts w:ascii="Arial" w:cs="Arial" w:eastAsia="Arial" w:hAnsi="Arial"/>
          <w:sz w:val="18"/>
          <w:szCs w:val="18"/>
          <w:color w:val="auto"/>
        </w:rPr>
        <w:t>the new standards are implemented – can contribute to a decline in international enrollment in U.S. academic institutions, which could adversely affect our business.</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in the U.S., the recently enacted “One Big Beautiful Bill” contains a number of provisions with the potential to significantly change the landscape for financing undergraduate and graduate study and which could adversely affect the demand for higher 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Although most of these changes will not go into effect until July 1, 2026, so U.S. students entering or returning to college in the fall of 2025 are unaffected, the longer-term impacts of the bill may impact U.S. student enrollment in undergraduate and postgraduate programs and could materially and adversely affect our revenue and results of operations.</w:t>
      </w:r>
    </w:p>
    <w:p>
      <w:pPr>
        <w:spacing w:after="0" w:line="14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There is still a degree of uncertainty in terms of the impact the changes to international student visa policy and international trade policies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and international trade policies. Our business continues to remain strong amid these visa-related policy shifts, benefiting from our increasingly global and diversified footprint across verticals, sub-sectors, countries, currencies and clients.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Inflation did not have a material effect on our cash flows and results of operations during the three and six months ended June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69"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6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8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have a history of operating losses and while we have experienced significant revenue growth in recent years and achieved profitability on a GAAP basis in the year ended December 31, 2024,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and technologies and systems to improve operating efficiencies, to further develop and enhance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are addressing operating losses by making continued improvements designed to create operating efficiencies and a focus on cost discipline,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39" w:name="page40"/>
    <w:bookmarkEnd w:id="39"/>
    <w:p>
      <w:pPr>
        <w:spacing w:after="0" w:line="239" w:lineRule="auto"/>
        <w:rPr>
          <w:sz w:val="20"/>
          <w:szCs w:val="20"/>
          <w:color w:val="auto"/>
        </w:rPr>
      </w:pPr>
      <w:r>
        <w:rPr>
          <w:rFonts w:ascii="Arial" w:cs="Arial" w:eastAsia="Arial" w:hAnsi="Arial"/>
          <w:sz w:val="18"/>
          <w:szCs w:val="18"/>
          <w:color w:val="auto"/>
        </w:rPr>
        <w:t>including investing in automation and product development to further enhance our offerings with a focus on scale and productivity across all areas. Beginning in the first quarter of 2025 and continuing into the second quarter of 2025, we implemented a restructuring plan designed to improve operational efficiencies, reduce operating costs and better align the Company’s workforce with current business needs, top strategic priorities and key growth opportunities. We believe these improvements, our strong product portfolio, client retention and established product market fit along with strong gross margins and cash flows from operations will help us achieve our goal of maintaining positive annual GAAP net income in the future. While we expect that our clients’ business and our business will continue to be adversely impacted, directly or indirectly, by the ongoing macroeconomic and geopolitical issues, as of the date of this report. However, the extent of the ongoing impact of these macroeconomic events on our and our clients’ business, our markets and on global economic activity however, is uncertain and the related financial impact cannot be reasonably estimated with any certainty at this time.</w:t>
      </w:r>
    </w:p>
    <w:p>
      <w:pPr>
        <w:spacing w:after="0" w:line="156"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With the ongoing conflict involving Israel, we continue to engage in active workforce planning to help Israeli FlyMates support the business without interruption and implement safety measures for FlyMates in Israel.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under “Our Revenue Model”.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6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38"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1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IT and other administrative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6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February 2025, we announced the Restructuring Plan that is designed to improve operational efficiencies, reduce operating costs and better align our workforce with current business needs, top strategic priorities and key growth opportunities. Restructuring expenses included restructuring and restructuring related expenses incurred as part of the Restructuring Plan announced in February 2025, related to employee transition, notice period, severance, employee benefits and facilitation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On February 23, 2024, the Company entered into an Amended and Restated Credit Agreement for a five-year senior secured revolving credit syndication loan (2024 Revolving Credit Facility) with four banks for a total commitment of $125.0 million. Interest expense consists of interest, amortization of debt issuance costs and unused commitment fees on our 2024 Revolving Credit Facility and 2021 Revolving Credit Facility.</w:t>
      </w:r>
    </w:p>
    <w:p>
      <w:pPr>
        <w:spacing w:after="0" w:line="133"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As of June 30, 2025 there was $60.0 million outstanding under the 2024 Revolving Credit Facility. As of December 31, 2024 there was no outstanding indebtedness under the 2024 Revolving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right="940" w:firstLine="509"/>
        <w:spacing w:after="0" w:line="271" w:lineRule="auto"/>
        <w:rPr>
          <w:sz w:val="20"/>
          <w:szCs w:val="20"/>
          <w:color w:val="auto"/>
        </w:rPr>
      </w:pPr>
      <w:r>
        <w:rPr>
          <w:rFonts w:ascii="Arial" w:cs="Arial" w:eastAsia="Arial" w:hAnsi="Arial"/>
          <w:sz w:val="18"/>
          <w:szCs w:val="18"/>
          <w:color w:val="auto"/>
        </w:rPr>
        <w:t>Interest income consists of interest on cash held in interest bearing operating accounts, including money market funds, and investments in available-for-sale debt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Remeasurement of Foreign Currency</w:t>
      </w:r>
    </w:p>
    <w:p>
      <w:pPr>
        <w:spacing w:after="0" w:line="183" w:lineRule="exact"/>
        <w:rPr>
          <w:sz w:val="20"/>
          <w:szCs w:val="20"/>
          <w:color w:val="auto"/>
        </w:rPr>
      </w:pPr>
    </w:p>
    <w:p>
      <w:pPr>
        <w:ind w:right="740" w:firstLine="509"/>
        <w:spacing w:after="0" w:line="271" w:lineRule="auto"/>
        <w:rPr>
          <w:sz w:val="20"/>
          <w:szCs w:val="20"/>
          <w:color w:val="auto"/>
        </w:rPr>
      </w:pPr>
      <w:r>
        <w:rPr>
          <w:rFonts w:ascii="Arial" w:cs="Arial" w:eastAsia="Arial" w:hAnsi="Arial"/>
          <w:sz w:val="18"/>
          <w:szCs w:val="18"/>
          <w:color w:val="auto"/>
        </w:rPr>
        <w:t>Gain (loss) from remeasurement of foreign currency consists of gains and losses from the remeasurement of foreign currency transactions into its functional currency.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9"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spacing w:after="0" w:line="142"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We have a valuation allowance on our net U.S. deferred tax assets, including federal and state NOLs. We expect to maintain these valuation allowances until it becomes more likely than not that the benefit of our deferred tax assets are realized through future taxable income generated in these jurisdictions.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2025 and 2024</w:t>
      </w:r>
    </w:p>
    <w:p>
      <w:pPr>
        <w:spacing w:after="0" w:line="18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4"/>
                <w:szCs w:val="14"/>
                <w:color w:val="auto"/>
              </w:rPr>
            </w:pPr>
          </w:p>
        </w:tc>
        <w:tc>
          <w:tcPr>
            <w:tcW w:w="11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103.7</w:t>
            </w:r>
          </w:p>
        </w:tc>
        <w:tc>
          <w:tcPr>
            <w:tcW w:w="1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28.2</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Payment processing services costs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Technology and development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24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Total costs and operating expense</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4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(0.9)</w:t>
            </w: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Gain from remeasurement of foreign currency</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Gain on available-for-sale debt securities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(12.0)</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Unrealized losses on available-for-sale debt securities, net of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(13.7)</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3" w:lineRule="exact"/>
        <w:rPr>
          <w:sz w:val="20"/>
          <w:szCs w:val="20"/>
          <w:color w:val="auto"/>
        </w:rPr>
      </w:pPr>
    </w:p>
    <w:p>
      <w:pPr>
        <w:jc w:val="both"/>
        <w:ind w:right="160" w:firstLine="509"/>
        <w:spacing w:after="0" w:line="301" w:lineRule="auto"/>
        <w:rPr>
          <w:sz w:val="20"/>
          <w:szCs w:val="20"/>
          <w:color w:val="auto"/>
        </w:rPr>
      </w:pPr>
      <w:r>
        <w:rPr>
          <w:rFonts w:ascii="Arial" w:cs="Arial" w:eastAsia="Arial" w:hAnsi="Arial"/>
          <w:sz w:val="17"/>
          <w:szCs w:val="17"/>
          <w:color w:val="auto"/>
        </w:rPr>
        <w:t>Revenue was $ 131.9 million for the three months ended June 30, 2025, compared to $103.7 million for the three months ended June 30, 2024, an increase of $28.2 million or 27.2%. Revenue is comprised of transaction revenue and platform and other revenues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4"/>
                <w:szCs w:val="14"/>
                <w:color w:val="auto"/>
              </w:rPr>
            </w:pP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Transaction revenue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100.6</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85.3</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15.3</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other revenues</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31.3</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18.4</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131.9</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103.7</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28.2</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Transaction revenue was $100.6 million for the three months ended June 30, 2025, compared to $85.3 million for the three months ended June 30, 2024, an increase of $15.3 million or 17.9%. The increase in transaction revenue was primarily driven by growth in transaction payment volumes inclusive of the Sertifi acquisition for the three months ended June 30, 2025 from both our existing clients and new clients added during the three months ended June 30, 2025 compared to three months ended June 30, 2024. Our transaction payment volume outpaced our revenue growth during the three months ended June 30, 2024, primarily due to the increase in domestic transactions that have a lower average monetization rate. We experienced growth in transaction payment volume across most regions and verticals during the period, excluding Canada, which decreased primarily due to Canada’s international student permit applications cap introduced earlier in 2024. Transaction payment volume increased approximately 28% during the three months ended June 30, 2025 to $5.0 billion compared to $3.9 billion during the three months ended June 30, 2024.</w:t>
      </w:r>
    </w:p>
    <w:p>
      <w:pPr>
        <w:spacing w:after="0" w:line="156"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Platform and other revenues were $ 31.3 million for the three months ended June 30, 2025, compared to $18.4 million for the three months ended June 30, 2024, an increase of $12.9 million or 70.1%. The increase in platform and other revenues was driven by the Sertifi and Invoiced acquisitions and an increase in healthcare platform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Payment processing services costs were $53.9 million for the three months ended June 30, 2025, compared to $39.9 million for the three months ended June 30, 2024, an increase of 14.0 million or 35.1%.The increase in payment processing services costs is correlated with the increase in transaction payment volume of 28% over the same period. In addition, during the three months ended June 30, 2025, we incurred approximately $2.0 million in foreign currency settlement losses.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Technology and Development</w:t>
      </w:r>
    </w:p>
    <w:p>
      <w:pPr>
        <w:spacing w:after="0" w:line="183"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Technology and development expenses were $17.1 million for the three months ended June 30, 2025, compared to $15.8 million for the three months ended June 30, 2024, an increase of $1.3 million or 8.2%. The increase in technology and development cost was primarily driven by an increase in personnel costs and stock-based compensation expense, offset by a decrease in software tools. Personnel costs were $10.8 million for the three months ended June 30, 2025 compared to $9.7 million for the three months ended June 30, 2024, an increase of $1.1 million or 11.3%. The increase in personnel costs was primarily driven by higher headcount resulting from our recent acquisition of Sertifi. Stock-based compensation expense was $3.2 million for the three months ended June 30, 2025, compared to $2.8 million for the three months ended June 30, 2024, an increase of $0.4 million or 14.3%. The increase in stock-based compensation is attributable to equity grants awarded to existing and new FlyMates, including our new FlyMates from our recent acquisition of Sertifi. Software tools were $1.3 million for the three months ended June 30, 2025, compared to $1.4 million for the three months ended June 30, 2024, a decrease of $0.1 million or 7.1%. The decrease in software tools was primarily due to optimization of our technology infrastructure.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Selling and marketing expenses were $38.4 million for the three months ended June 30, 2025, compared to $ 31.8 million for the three months ended June 30, 2024, an increase of $6.6 million or 20.8%. The increase in selling and marketing expenses was primarily driven by an increase in personnel costs, stock-based compensation expense, professional fees, engineering tools and depreciation and amortization expense. Personnel costs were $17.6 million for the three months ended June 30, 2025, compared to $16.5 million for the three months ended June 30, 2024, an increase of $ 1.1 million or 6.7%. The increase in personnel costs was primarily driven by higher headcount resulting from our recent acquisition of Sertifi. Stock-based compensation expense was $4.9 million for the three months ended June 30, 2025, compared to $4.7 million for the three months ended June 30, 2024, an increase of $0.2 million or 4.3%. The increase in stock-based compensation was attributable to equity grants awarded to existing and new FlyMates, including new FlyMates from our recent acquisition of Sertifi. Professional fees were $5.8 million for the three months ended June 30, 2025, compared to $4.5 million for the three months ended June 30, 2024, an increase of $1.3 million or 28.9%. The increase in professional fees was primarily due to increases in third party commissions. Engineering tools were $1.3 million for the three months ended June 30, 2025, compared to $0.6 million for the three months ended June 30, 2024, an increase of $0.7 million or 116.7%. The increase in engineering tools was primarily due to the acquisition of Sertifi. Depreciation and amortization was $4.3 million for the three months ended June 30, 2025, compared to $1.9 million for the three months ended June 30, 2024, an increase of $2.4 million or 126.3%. The increase in depreciation and amortization expense was primarily due to acquired intangible assets related to the Sertifi and Invoiced acquisitions.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General and administrative expenses were $30.2 million for the three months ended June 30, 2025, compared to $32.0 million for the three months ended June 30, 2024, a decrease of $1.8 million or 5.6%. The decrease in general and administrative expenses was primarily driven by decreases in professional fees, the change in fair value of contingent consideration, decreases in net hedging activity gains and stock-based compensation, partially offset by increases in personnel costs. Professional fees were $2.7 million for the three months ended June 30, 2025, compared to $4.0 million for the three months ended June 30, 2024, a decrease of $1.3 million or 32.5%. The decrease in professional fees was primarily driven by the capitalization of consultant fees related to software implementation initiatives and a decrease in external legal fees. The change in fair value of contingent consideration was a reduction of $0.7 million for the three months ended June 30, 2025, compared to a reduction of $0.4 million for the three months ended June 30, 2024, a decrease of $0.3 million or 75.0%. The decrease in the fair value of contingent consideration during the three months ended June 30, 2025 was due to updated assumptions for the probability of achievement of milestones, net of the time value of money as we progress closer to payment of the contingent consideration liability for the Sertifi and Invoiced acquisitions. The decrease in hedging activity gains was $0.7 million, from a gain of $0.1 million for the three months ended June 30, 2024 to a loss of $0.6 million for the three months ended June 30, 2025. The decrease in net hedging gains was primarily driven by foreign currency fluctuations. Stock-based compensation was $9.2 million for the three months ended June 30, 2025, compared to $9.6 million for the three months ended June 30, 2024, a decrease of $0.4 million or 4.2%. The decrease in stock-based compensation was primarily driven by cost savings realized from the restructuring initiatives implemented in the previous quarter and the capitalization of costs pertaining to software implementation initiatives, offset by equity grants awarded to new FlyMates from the recent acquisition of Sertifi. Personnel costs were $12.5 million for the three months ended June 30, 2025, compared to $12.0 million for the three months ended June 30, 2024, an increase of $0.5 million or 4.2%. The increase in personnel costs was primarily driven by an increase in the 2025 annual bonus performance metrics expected payout and higher headcount resulting from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43" w:name="page44"/>
    <w:bookmarkEnd w:id="43"/>
    <w:p>
      <w:pPr>
        <w:ind w:right="1160"/>
        <w:spacing w:after="0" w:line="446" w:lineRule="auto"/>
        <w:rPr>
          <w:sz w:val="20"/>
          <w:szCs w:val="20"/>
          <w:color w:val="auto"/>
        </w:rPr>
      </w:pPr>
      <w:r>
        <w:rPr>
          <w:rFonts w:ascii="Arial" w:cs="Arial" w:eastAsia="Arial" w:hAnsi="Arial"/>
          <w:sz w:val="18"/>
          <w:szCs w:val="18"/>
          <w:color w:val="auto"/>
        </w:rPr>
        <w:t xml:space="preserve">recent acquisition of Sertifi, offset by the savings realized from the restructuring initiatives implemented in the previous quarter. </w:t>
      </w:r>
      <w:r>
        <w:rPr>
          <w:rFonts w:ascii="Arial" w:cs="Arial" w:eastAsia="Arial" w:hAnsi="Arial"/>
          <w:sz w:val="18"/>
          <w:szCs w:val="18"/>
          <w:i w:val="1"/>
          <w:iCs w:val="1"/>
          <w:color w:val="auto"/>
        </w:rPr>
        <w:t>Restructuring</w:t>
      </w:r>
    </w:p>
    <w:p>
      <w:pPr>
        <w:ind w:right="20" w:firstLine="360"/>
        <w:spacing w:after="0" w:line="252" w:lineRule="auto"/>
        <w:rPr>
          <w:sz w:val="20"/>
          <w:szCs w:val="20"/>
          <w:color w:val="auto"/>
        </w:rPr>
      </w:pPr>
      <w:r>
        <w:rPr>
          <w:rFonts w:ascii="Arial" w:cs="Arial" w:eastAsia="Arial" w:hAnsi="Arial"/>
          <w:sz w:val="18"/>
          <w:szCs w:val="18"/>
          <w:color w:val="auto"/>
        </w:rPr>
        <w:t>Restructuring expenses were $1.4 million for the three months ended June 30, 2025. There were no restructuring expenses during the three months ended June 30, 2024. Restructuring expenses included restructuring and restructuring-related expenses incurred as part of the Restructuring Plan announced in February 2025, related primarily to severance payments, employee benefits and facilitation costs of $1.2 million and $0.2 million related to the acceleration of stock-based compensation for terminated employees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3" w:lineRule="exact"/>
        <w:rPr>
          <w:sz w:val="20"/>
          <w:szCs w:val="20"/>
          <w:color w:val="auto"/>
        </w:rPr>
      </w:pPr>
    </w:p>
    <w:p>
      <w:pPr>
        <w:ind w:right="380" w:firstLine="509"/>
        <w:spacing w:after="0" w:line="252" w:lineRule="auto"/>
        <w:rPr>
          <w:sz w:val="20"/>
          <w:szCs w:val="20"/>
          <w:color w:val="auto"/>
        </w:rPr>
      </w:pPr>
      <w:r>
        <w:rPr>
          <w:rFonts w:ascii="Arial" w:cs="Arial" w:eastAsia="Arial" w:hAnsi="Arial"/>
          <w:sz w:val="18"/>
          <w:szCs w:val="18"/>
          <w:color w:val="auto"/>
        </w:rPr>
        <w:t xml:space="preserve">Interest expense was </w:t>
      </w:r>
      <w:r>
        <w:rPr>
          <w:rFonts w:ascii="Times New Roman" w:cs="Times New Roman" w:eastAsia="Times New Roman" w:hAnsi="Times New Roman"/>
          <w:sz w:val="18"/>
          <w:szCs w:val="18"/>
          <w:color w:val="auto"/>
        </w:rPr>
        <w:t>$1.0</w:t>
      </w:r>
      <w:r>
        <w:rPr>
          <w:rFonts w:ascii="Arial" w:cs="Arial" w:eastAsia="Arial" w:hAnsi="Arial"/>
          <w:sz w:val="18"/>
          <w:szCs w:val="18"/>
          <w:color w:val="auto"/>
        </w:rPr>
        <w:t xml:space="preserve"> million for the three months ended June 30, 2025, compared to $0.1 million for the three months ended June 30, 2024. As of June 30, 2025, there was $60.0 million outstanding indebtedness under the 2024 Revolving Credit Facility. Interest expense consists primarily of interest expense, amortization of debt issuance costs and unused commitment fees related to our 2024 Revolving Credit Facility.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Interest income was $1.1 million for the three months ended June 30, 2025, compared to $5.7 million for the three months ended June 30, 2024, a decrease of $4.6 million or 80.7%. The decrease in interest income was primarily attributable to the decrease in our cash balance as a result of spending cash on the Share Repurchase Program and recent acquisitions.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from Remeasurement of Foreign Currency</w:t>
      </w:r>
    </w:p>
    <w:p>
      <w:pPr>
        <w:spacing w:after="0" w:line="169"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7"/>
          <w:szCs w:val="17"/>
          <w:color w:val="auto"/>
        </w:rPr>
        <w:t>Gain from remeasurement of foreign currency was $3.9 million for the three months ended June 30, 2025, compared to $1.0 million for the three months ended June 30, 2024, an increase of $2.9 million or 290.0%. The increase was primarily the result of the remeasurement of foreign currency intercompany loans and impact of fluctuations in exchange rates during respective remeasurement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available-for-sale debt securities</w:t>
      </w:r>
    </w:p>
    <w:p>
      <w:pPr>
        <w:spacing w:after="0" w:line="18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Gain from sale of available-for-sale debt securities was less than $0.1 million for the three months ended June 30, 2025 compared to no gain during the three months ended June 30,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6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Provision for income taxes was $7.0 million during the three months ended June 30, 2025, compared to $4.7 million during the three months ended June 30, 2024, an increase of $2.3 million or 48.9%. The income tax provision for the three months ended June 30, 2025 and 2024 was primarily attributable to activity in the Company's foreign subsidiaries and U.S. state taxes. Our effective tax rate was (138.8)% for the three months ended June 30, 2025 compared to (50.8)% for the three months ended June 30, 2024.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30, 2025 and 2024</w:t>
      </w:r>
    </w:p>
    <w:p>
      <w:pPr>
        <w:spacing w:after="0" w:line="16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3"/>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4"/>
                <w:szCs w:val="14"/>
                <w:color w:val="auto"/>
              </w:rPr>
            </w:pPr>
          </w:p>
        </w:tc>
        <w:tc>
          <w:tcPr>
            <w:tcW w:w="11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217.8</w:t>
            </w:r>
          </w:p>
        </w:tc>
        <w:tc>
          <w:tcPr>
            <w:tcW w:w="1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47.5</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Payment processing services costs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24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Technology and development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4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Total costs and operating expense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(20.0)</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Gain (loss) from remeasurement of foreign currency</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Gain on available-for-sale debt securities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(16.2)</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Unrealized losses on available-for-sale debt securities, net of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4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loss</w:t>
            </w:r>
          </w:p>
        </w:tc>
        <w:tc>
          <w:tcPr>
            <w:tcW w:w="3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(21.3)</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3" w:lineRule="exact"/>
        <w:rPr>
          <w:sz w:val="20"/>
          <w:szCs w:val="20"/>
          <w:color w:val="auto"/>
        </w:rPr>
      </w:pPr>
    </w:p>
    <w:p>
      <w:pPr>
        <w:ind w:right="240" w:firstLine="509"/>
        <w:spacing w:after="0" w:line="301" w:lineRule="auto"/>
        <w:rPr>
          <w:sz w:val="20"/>
          <w:szCs w:val="20"/>
          <w:color w:val="auto"/>
        </w:rPr>
      </w:pPr>
      <w:r>
        <w:rPr>
          <w:rFonts w:ascii="Arial" w:cs="Arial" w:eastAsia="Arial" w:hAnsi="Arial"/>
          <w:sz w:val="17"/>
          <w:szCs w:val="17"/>
          <w:color w:val="auto"/>
        </w:rPr>
        <w:t>Revenue was $265.3 million for the six months ended June 30, 2025, compared to $ 217.8 million for the six months ended June 30, 2024, an increase of $47.5 million or 21.8%. Revenue is comprised of transaction revenue and platform and other revenues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3"/>
                <w:szCs w:val="13"/>
                <w:b w:val="1"/>
                <w:bCs w:val="1"/>
                <w:color w:val="auto"/>
              </w:rPr>
              <w:t>Six Months Ended June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Transaction revenue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209.1</w:t>
            </w:r>
          </w:p>
        </w:tc>
        <w:tc>
          <w:tcPr>
            <w:tcW w:w="54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180.5</w:t>
            </w:r>
          </w:p>
        </w:tc>
        <w:tc>
          <w:tcPr>
            <w:tcW w:w="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28.6</w:t>
            </w:r>
          </w:p>
        </w:tc>
        <w:tc>
          <w:tcPr>
            <w:tcW w:w="156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other revenues</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FF0FC"/>
          </w:tcPr>
          <w:p>
            <w:pPr>
              <w:ind w:left="160"/>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Transaction revenue was $209.1 million for the six months ended June 30, 2025, compared to $180.5 million for the six months ended June 30, 2024, an increase of $28.6 million or 15.8%. The increase in transaction revenue was primarily driven by growth in transaction payment volumes for the six months ended June 30, 2025 from both our existing clients and new clients added during the six months ended June 30, 2025 compared to six months ended June 30, 2024. Our transaction payment volume outpaced our revenue growth during the six months ended June 30, 2025, primarily due to the increase in domestic transactions that have a lower average monetization rate. We experienced growth in transaction payment volume across most regions and verticals during the period, excluding Canada, which decreased primarily due to Canada’s international student permit applications cap introduced earlier in 2024. Transaction payment volume increased approximately 28% during the six months ended June 30, 2025, to $11.4 billion compared to $8.9 billion during the six months ended June 30, 2024.</w:t>
      </w:r>
    </w:p>
    <w:p>
      <w:pPr>
        <w:spacing w:after="0" w:line="156"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Platform and other revenues were $56.3 million for the six months ended June 30, 2025, compared to $37.3 million for the six months ended June 30, 2024, an increase of $19.0 million or 50.9%. The increase in platform and other revenues was driven by the Sertifi and Invoiced acquisitions, an increase in healthcare platform products, revenue from interest earned on funds held for customers in interest-bearing accounts, offset by a decrease in revenue for insurance products.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Payment processing services costs were $104.5 million for the six months ended June 30, 2025, compared to $81.5 million for the six months ended June 30, 2024, an increase of $ 23.0 million or 28.2%. The increase in payment processing services costs is correlated with the increase in transaction payment volume of 28% over the same period.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Technology and Development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Technology and development expenses were $34.0 million for the six months ended June 30, 2025, compared to $32.6 million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2024, an increase of $1.4 million or 4.3%. The increase in technology and development cost was primarily driven</w:t>
      </w:r>
    </w:p>
    <w:p>
      <w:pPr>
        <w:spacing w:after="0" w:line="234" w:lineRule="auto"/>
        <w:rPr>
          <w:sz w:val="20"/>
          <w:szCs w:val="20"/>
          <w:color w:val="auto"/>
        </w:rPr>
      </w:pPr>
      <w:r>
        <w:rPr>
          <w:rFonts w:ascii="Arial" w:cs="Arial" w:eastAsia="Arial" w:hAnsi="Arial"/>
          <w:sz w:val="18"/>
          <w:szCs w:val="18"/>
          <w:color w:val="auto"/>
        </w:rPr>
        <w:t>by an increase in personnel costs and stock-based compensation expense, offset by a decrease in software tools. Personnel costs were</w:t>
      </w:r>
    </w:p>
    <w:p>
      <w:pPr>
        <w:spacing w:after="0" w:line="235" w:lineRule="auto"/>
        <w:rPr>
          <w:sz w:val="20"/>
          <w:szCs w:val="20"/>
          <w:color w:val="auto"/>
        </w:rPr>
      </w:pPr>
      <w:r>
        <w:rPr>
          <w:rFonts w:ascii="Arial" w:cs="Arial" w:eastAsia="Arial" w:hAnsi="Arial"/>
          <w:sz w:val="18"/>
          <w:szCs w:val="18"/>
          <w:color w:val="auto"/>
        </w:rPr>
        <w:t>$21.6 million for the six months ended June 30, 2025 compared to $20.3 million for the six months ended June 30, 2024, an increase of $1.3</w:t>
      </w:r>
    </w:p>
    <w:p>
      <w:pPr>
        <w:spacing w:after="0" w:line="235" w:lineRule="auto"/>
        <w:rPr>
          <w:sz w:val="20"/>
          <w:szCs w:val="20"/>
          <w:color w:val="auto"/>
        </w:rPr>
      </w:pPr>
      <w:r>
        <w:rPr>
          <w:rFonts w:ascii="Arial" w:cs="Arial" w:eastAsia="Arial" w:hAnsi="Arial"/>
          <w:sz w:val="18"/>
          <w:szCs w:val="18"/>
          <w:color w:val="auto"/>
        </w:rPr>
        <w:t>million or 6.4%. The increase in personnel costs was primarily driven by higher headcount resulting from our recent acquisition of Sertifi.</w:t>
      </w:r>
    </w:p>
    <w:p>
      <w:pPr>
        <w:spacing w:after="0" w:line="235" w:lineRule="auto"/>
        <w:rPr>
          <w:sz w:val="20"/>
          <w:szCs w:val="20"/>
          <w:color w:val="auto"/>
        </w:rPr>
      </w:pPr>
      <w:r>
        <w:rPr>
          <w:rFonts w:ascii="Arial" w:cs="Arial" w:eastAsia="Arial" w:hAnsi="Arial"/>
          <w:sz w:val="18"/>
          <w:szCs w:val="18"/>
          <w:color w:val="auto"/>
        </w:rPr>
        <w:t>Stock-based compensation expense was $6.3 million for the six months ended June 30, 2025, compared to $5.4 million for the six months</w:t>
      </w:r>
    </w:p>
    <w:p>
      <w:pPr>
        <w:spacing w:after="0" w:line="235" w:lineRule="auto"/>
        <w:rPr>
          <w:sz w:val="20"/>
          <w:szCs w:val="20"/>
          <w:color w:val="auto"/>
        </w:rPr>
      </w:pPr>
      <w:r>
        <w:rPr>
          <w:rFonts w:ascii="Arial" w:cs="Arial" w:eastAsia="Arial" w:hAnsi="Arial"/>
          <w:sz w:val="18"/>
          <w:szCs w:val="18"/>
          <w:color w:val="auto"/>
        </w:rPr>
        <w:t>ended June 30, 2024, an increase of $0.9 million or 16.7%. The increase in stock-based compensation is attributable to equity grants</w:t>
      </w:r>
    </w:p>
    <w:p>
      <w:pPr>
        <w:spacing w:after="0" w:line="234" w:lineRule="auto"/>
        <w:rPr>
          <w:sz w:val="20"/>
          <w:szCs w:val="20"/>
          <w:color w:val="auto"/>
        </w:rPr>
      </w:pPr>
      <w:r>
        <w:rPr>
          <w:rFonts w:ascii="Arial" w:cs="Arial" w:eastAsia="Arial" w:hAnsi="Arial"/>
          <w:sz w:val="18"/>
          <w:szCs w:val="18"/>
          <w:color w:val="auto"/>
        </w:rPr>
        <w:t>awarded to existing and new FlyMates, including our new FlyMates from our recent acquisition of Sertifi . Software tools were $2.4 million for</w:t>
      </w:r>
    </w:p>
    <w:p>
      <w:pPr>
        <w:spacing w:after="0" w:line="235" w:lineRule="auto"/>
        <w:rPr>
          <w:sz w:val="20"/>
          <w:szCs w:val="20"/>
          <w:color w:val="auto"/>
        </w:rPr>
      </w:pPr>
      <w:r>
        <w:rPr>
          <w:rFonts w:ascii="Arial" w:cs="Arial" w:eastAsia="Arial" w:hAnsi="Arial"/>
          <w:sz w:val="18"/>
          <w:szCs w:val="18"/>
          <w:color w:val="auto"/>
        </w:rPr>
        <w:t>the six months ended June 30, 2025, compared to $3.0 million for the six months ended June 30, 2024, a decrease of $0.6 million or 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software tools was primarily due to optimization of our technology infrastructure.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Selling and marketing expenses were $74.9 million for the six months ended June 30, 2025, compared to $61.9 million for the six months ended June 30, 2024, an increase of $13.0 million or 21.0%. The increase in selling and marketing expenses was primarily driven by an increase in personnel costs, depreciation and amortization expense, professional fees, software tools and stock-based compensation expense. Personnel costs were $36.1 million for the six months ended June 30, 2025, compared to $32.8 million for the six months ended June 30, 2024, an increase of $3.3 million or 10.1%. The increase in personnel costs was primarily driven by higher headcount resulting from our recent acquisition of Sertifi. Depreciation and amortization was $7.3 million for the six months ended June 30, 2025, compared to $3.8 million for the six months ended June 30, 2024, an increase of $3.5 million or 92.1%. The increase in depreciation and amortization expense was primarily due to amortization of acquired intangible assets related to the Sertifi and Invoiced acquisitions. Professional fees were $11.9 million for the six months ended June 30, 2025, compared to $8.9 million for the six months ended June 30, 2024, an increase of $3.0 million or 33.7%. The increase in professional fees was primarily due to increases in third party commissions from growth in payment volume. Software tools were $2.4 million for the six months ended June 30, 2025, compared to $ 1.3 million for the six months ended June 30, 2024, an increase of $1.1 million or 84.6%. The increase in software tools was primarily due to the addition of engineering tools related to the acquisition of Sertifi. Stock-based compensation expense was $9.2 million for the six months ended June 30, 2025, compared to $8.6 million for the six months ended June 30, 2024, an increase of $0.6 million or 7.0%. The increase in stock-based compensation was attributable to equity grants awarded to existing and new FlyMates, including new FlyMates from the recent acquisition of Sertifi.</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General and administrative expenses were $63.2 million for the six months ended June 30, 2025, compared to $63.6 million for the six months ended June 30, 2024, a decrease of $0.4 million or $0.6%. The decrease in general and administrative expenses was primarily driven by decreases in personnel costs, professional fees and stock-based compensation partially offset by increases in acquisition costs and the change in fair value of contingent consideration. Personnel costs were $24.2 million for the six months ended June 30, 2025, compared to $25.1 million for the six months ended June 30, 2024, a decrease of $0.9 million or 3.7%. The decrease in personnel costs was primarily driven by the savings realized from the restructuring initiatives implemented in the previous quarter, offset by higher headcount from our recent acquisition of Sertifi. Professional fees were $6.3 million for the six months ended June 30, 2025, compared to $7.8 million for the six months ended June 30, 2024, a decrease of $1.5 million or 19.2%. The decrease in professional fees was primarily driven by the capitalization of consultant fees related to software implementation initiatives and a decrease in external legal fees. Stock-based compensation was $17.5 million for the six months ended June 30, 2025, compared to $17.9 million for the six months ended June 30, 2024, a decrease of $0.4 million, or 2.2%. The decrease in stock-based compensation was primarily due to savings realized from the restructuring initiatives implemented in the previous quarter, offset by equity grants awarded to new FlyMates from the recent acquisition of Sertifi . Acquisition costs were $2.5 million for the six months ended June 30, 2025, compared to less than $0.1 million for the six months ended June 30, 2024, an increase of $2.5 million. The increase in acquisition costs was attributable to the Sertifi acquisition during the six months ended June 30, 2025. The increase in the fair value of contingent consideration was a reduction of $(0.5) million for the six months ended June 30, 2025, compared to a reduction of $(0.9) million for the six months ended June 30, 2024, representing a change of $0.4 million. The increase in the fair value of contingent consideration during the six months ended June 30, 2025 was due updated assumptions for the probability of achievement of milestones, net of the time value of money as we progress closer to payment of the contingent consideration liability for the Sertifi and Invoiced acquisitions.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8"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Restructuring</w:t>
      </w:r>
    </w:p>
    <w:p>
      <w:pPr>
        <w:spacing w:after="0" w:line="169" w:lineRule="exact"/>
        <w:rPr>
          <w:sz w:val="20"/>
          <w:szCs w:val="20"/>
          <w:color w:val="auto"/>
        </w:rPr>
      </w:pPr>
    </w:p>
    <w:p>
      <w:pPr>
        <w:ind w:right="80" w:firstLine="360"/>
        <w:spacing w:after="0" w:line="252" w:lineRule="auto"/>
        <w:rPr>
          <w:sz w:val="20"/>
          <w:szCs w:val="20"/>
          <w:color w:val="auto"/>
        </w:rPr>
      </w:pPr>
      <w:r>
        <w:rPr>
          <w:rFonts w:ascii="Arial" w:cs="Arial" w:eastAsia="Arial" w:hAnsi="Arial"/>
          <w:sz w:val="18"/>
          <w:szCs w:val="18"/>
          <w:color w:val="auto"/>
        </w:rPr>
        <w:t>Restructuring expenses were $8.7 million for the six months ended June 30, 2025. There were no restructuring expenses during the six months ended June 30, 2024. Restructuring expenses included restructuring and restructuring-related expenses incurred as part of the Restructuring Plan announced in February 2025, related primarily to severance payments, employee benefits and facilitation costs of $6.3 million and $2.4 million of expense related to the acceleration of stock-based compensation for terminated employees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Interest expense was $1.8 million for the six months ended June 30, 2025, compared to $0.3 million for the six months ended June 30, 2024, an increase of $1.5 million or 500.0%. During the six months ended June 30, 2025, we drew down $125.0 million and repaid $65.0 million from our 2024 Revolving Credit Facility. As of June 30, 2025, there was $60.0 million outstanding indebtedness under the 2024 Revolving Credit Facility. Interest expense consists primarily of interest expense, amortization of debt issuance costs and unused commitment fees related to our 2024 Revolving Credit Facility and our former 2021 Revolving Credit Facility.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Interest income was $4.0 million for the six months ended June 30, 2025, compared to $11.6 million for the six months ended June 30, 2024, a decrease of $7.6 million or 65.5%. The decrease in interest income was primarily attributable to the decrease in our cash balance as a result of spending cash on the Repurchase Program and the acquisition of Sertifi.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Remeasurement of Foreign Currency</w:t>
      </w:r>
    </w:p>
    <w:p>
      <w:pPr>
        <w:spacing w:after="0" w:line="169"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Gain (loss) from remeasurement of foreign currency was $7.5 million for the six months ended June 30, 2025, compared to $(3.4) million for the six months ended June 30, 2024, an increase of $ 10.9 million or 320.6%. The increase was primarily the result of the remeasurement of foreign currency intercompany loans and the impact of fluctuations in exchange rates during respective remeasurement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available-for-sale debt securities</w:t>
      </w:r>
    </w:p>
    <w:p>
      <w:pPr>
        <w:spacing w:after="0" w:line="16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Gain from sale of available-for-sale debt securities was $0.2 million for the six months ended June 30, 2025 compared to no gain, as there were no available-for-sale debt security investments during the six months ended June 30,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Provision for income taxes was $6.1 million during the six months ended June 30, 2025, compared to $6.3 million during the six months ended June 30, 2024, a decrease of $(0.2) million or (3.2)%. The income tax provision for the six months ended June 30, 2025 and 2024 was primarily attributable to activity in our foreign subsidiaries and U.S. federal and state taxes. Our effective tax rate was (60.5)% for the six months ended June 30, 2025, compared to (45.6)% for the six months ended June 30,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To supplement our condensed consolidated financial statements, which are prepared in accordance with generally accepted accounting principles in the United States (GAAP), we use certain non-GAAP financial measures. The following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3" w:right="379" w:bottom="1440" w:gutter="0" w:footer="0" w:header="0"/>
        </w:sectPr>
      </w:pPr>
    </w:p>
    <w:bookmarkStart w:id="47" w:name="page48"/>
    <w:bookmarkEnd w:id="47"/>
    <w:p>
      <w:pPr>
        <w:spacing w:after="0" w:line="271" w:lineRule="auto"/>
        <w:rPr>
          <w:sz w:val="20"/>
          <w:szCs w:val="20"/>
          <w:color w:val="auto"/>
        </w:rPr>
      </w:pPr>
      <w:r>
        <w:rPr>
          <w:rFonts w:ascii="Arial" w:cs="Arial" w:eastAsia="Arial" w:hAnsi="Arial"/>
          <w:sz w:val="18"/>
          <w:szCs w:val="18"/>
          <w:color w:val="auto"/>
        </w:rPr>
        <w:t>table sets forth our key operating metrics and non-GAAP measures for the periods presented. All dollar amounts are rounded and as a result, certain amounts may not recalculate using the rounded amounts provided.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Payment Volume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5,931.5</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4,859.7</w:t>
            </w:r>
          </w:p>
        </w:tc>
        <w:tc>
          <w:tcPr>
            <w:tcW w:w="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14,302.5</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11,812.8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131.9</w:t>
            </w:r>
          </w:p>
        </w:tc>
        <w:tc>
          <w:tcPr>
            <w:tcW w:w="8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8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265.3</w:t>
            </w:r>
          </w:p>
        </w:tc>
        <w:tc>
          <w:tcPr>
            <w:tcW w:w="80" w:type="dxa"/>
            <w:vAlign w:val="bottom"/>
          </w:tcPr>
          <w:p>
            <w:pPr>
              <w:spacing w:after="0"/>
              <w:rPr>
                <w:sz w:val="17"/>
                <w:szCs w:val="17"/>
                <w:color w:val="auto"/>
              </w:rPr>
            </w:pP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127.5</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99.9</w:t>
            </w:r>
          </w:p>
        </w:tc>
        <w:tc>
          <w:tcPr>
            <w:tcW w:w="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256.2</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75.1</w:t>
            </w:r>
          </w:p>
        </w:tc>
        <w:tc>
          <w:tcPr>
            <w:tcW w:w="8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8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80" w:type="dxa"/>
            <w:vAlign w:val="bottom"/>
          </w:tcPr>
          <w:p>
            <w:pPr>
              <w:spacing w:after="0"/>
              <w:rPr>
                <w:sz w:val="17"/>
                <w:szCs w:val="17"/>
                <w:color w:val="auto"/>
              </w:rPr>
            </w:pP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Adjusted Gross Profit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w:t>
            </w:r>
          </w:p>
        </w:tc>
        <w:tc>
          <w:tcPr>
            <w:tcW w:w="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160.4</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c>
          <w:tcPr>
            <w:tcW w:w="8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8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Adjusted Gross Margin</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63.5</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(13.9)</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(16.2)</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Adjusted EBITDA</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620" w:type="dxa"/>
            <w:vAlign w:val="bottom"/>
            <w:gridSpan w:val="2"/>
          </w:tcPr>
          <w:p>
            <w:pPr>
              <w:spacing w:after="0"/>
              <w:rPr>
                <w:sz w:val="20"/>
                <w:szCs w:val="20"/>
                <w:color w:val="auto"/>
              </w:rPr>
            </w:pPr>
            <w:r>
              <w:rPr>
                <w:rFonts w:ascii="Arial" w:cs="Arial" w:eastAsia="Arial" w:hAnsi="Arial"/>
                <w:sz w:val="18"/>
                <w:szCs w:val="18"/>
                <w:color w:val="auto"/>
              </w:rPr>
              <w:t>Adjusted EBITDA Margin</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12.6</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26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5.6 %</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14.3</w:t>
            </w:r>
          </w:p>
        </w:tc>
        <w:tc>
          <w:tcPr>
            <w:tcW w:w="8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8.8 %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300" w:firstLine="509"/>
        <w:spacing w:after="0" w:line="245" w:lineRule="auto"/>
        <w:rPr>
          <w:sz w:val="20"/>
          <w:szCs w:val="20"/>
          <w:color w:val="auto"/>
        </w:rPr>
      </w:pPr>
      <w:r>
        <w:rPr>
          <w:rFonts w:ascii="Arial" w:cs="Arial" w:eastAsia="Arial" w:hAnsi="Arial"/>
          <w:sz w:val="18"/>
          <w:szCs w:val="18"/>
          <w:color w:val="auto"/>
        </w:rPr>
        <w:t>For the three months ended June 30, 2025, transaction revenue and platform and other revenues represented 76.3% and 23.7% of our revenue, respectively. For the three months ended June 30, 2025, transaction revenue and platform and other revenues represented</w:t>
      </w:r>
    </w:p>
    <w:p>
      <w:pPr>
        <w:ind w:right="20"/>
        <w:spacing w:after="0" w:line="242" w:lineRule="auto"/>
        <w:rPr>
          <w:sz w:val="20"/>
          <w:szCs w:val="20"/>
          <w:color w:val="auto"/>
        </w:rPr>
      </w:pPr>
      <w:r>
        <w:rPr>
          <w:rFonts w:ascii="Arial" w:cs="Arial" w:eastAsia="Arial" w:hAnsi="Arial"/>
          <w:sz w:val="18"/>
          <w:szCs w:val="18"/>
          <w:color w:val="auto"/>
        </w:rPr>
        <w:t>78.8% and 21.2% of our total revenue less ancillary services, respectively. For the three months ended June 30, 2024, transaction revenue and platform and other revenues represented 82.3% and 17.7% of our revenue, respectively. For the three months ended June 30, 2024, transaction revenue and platform and other revenues represented 85.2% and 14.8% of our total revenue less ancillary services, respectively.</w:t>
      </w:r>
    </w:p>
    <w:p>
      <w:pPr>
        <w:spacing w:after="0" w:line="13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For the six months ended June 30, 2025, transaction revenue and platform and other revenues represented 78.8% and 81.4% of our revenue, respectively. For the six months ended June 30, 2025, transaction revenue and platform and other revenues represented 21.2% and 18.6% of our total revenue less ancillary services, respectively. For the six months ended June 30, 2024, transaction revenue and platform and other revenues represented 82.9% and 17.1% of our revenue, respectively. For the six months ended June 30, 2024, transaction revenue and platform and other revenues represented 85.7% and 14.3% of our total revenue less ancillary services, respectively.</w:t>
      </w:r>
    </w:p>
    <w:p>
      <w:pPr>
        <w:spacing w:after="0" w:line="149" w:lineRule="exact"/>
        <w:rPr>
          <w:sz w:val="20"/>
          <w:szCs w:val="20"/>
          <w:color w:val="auto"/>
        </w:rPr>
      </w:pPr>
    </w:p>
    <w:p>
      <w:pPr>
        <w:ind w:firstLine="559"/>
        <w:spacing w:after="0" w:line="244" w:lineRule="auto"/>
        <w:rPr>
          <w:sz w:val="20"/>
          <w:szCs w:val="20"/>
          <w:color w:val="auto"/>
        </w:rPr>
      </w:pPr>
      <w:r>
        <w:rPr>
          <w:rFonts w:ascii="Arial" w:cs="Arial" w:eastAsia="Arial" w:hAnsi="Arial"/>
          <w:sz w:val="18"/>
          <w:szCs w:val="18"/>
          <w:color w:val="auto"/>
        </w:rPr>
        <w:t>For the three months ended June 30, 2025, our total payment volume was approximately $5.9 billion, consisting of $5.0 billion of total payment volume from transactions included in transaction revenue, and $ 0.9 billion of total payment volume from transactions included in platform and other revenues. For the three months ended June 30, 2024, our total payment volume was approximately $4.9 billion, consisting of $3.9 billion of total payment volume from transactions included in transaction revenue, and $1.0 billion of total payment volume from transactions included in platform and other revenues.</w:t>
      </w:r>
    </w:p>
    <w:p>
      <w:pPr>
        <w:spacing w:after="0" w:line="136" w:lineRule="exact"/>
        <w:rPr>
          <w:sz w:val="20"/>
          <w:szCs w:val="20"/>
          <w:color w:val="auto"/>
        </w:rPr>
      </w:pPr>
    </w:p>
    <w:p>
      <w:pPr>
        <w:ind w:right="80" w:firstLine="559"/>
        <w:spacing w:after="0" w:line="244" w:lineRule="auto"/>
        <w:rPr>
          <w:sz w:val="20"/>
          <w:szCs w:val="20"/>
          <w:color w:val="auto"/>
        </w:rPr>
      </w:pPr>
      <w:r>
        <w:rPr>
          <w:rFonts w:ascii="Arial" w:cs="Arial" w:eastAsia="Arial" w:hAnsi="Arial"/>
          <w:sz w:val="18"/>
          <w:szCs w:val="18"/>
          <w:color w:val="auto"/>
        </w:rPr>
        <w:t>For the six months ended June 30, 2025, our total payment volume was approximately $14.3 billion, consisting of $11.4 billion of total payment volume from transactions included in transaction revenue, and $2.9 billion of total payment volume from transactions included in platform and other revenues. For the six months ended June 30, 2024, our total payment volume was approximately $11.8 billion, consisting of $8.9 billion of total payment volume from transactions included in transaction revenue, and $2.9 billion of total payment volume from transactions included in platform and other revenues.</w:t>
      </w:r>
    </w:p>
    <w:p>
      <w:pPr>
        <w:spacing w:after="0" w:line="13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Revenue Less Ancillary Services, FX Neutral Revenue Less Ancillary Services, Adjusted Gross Profit, Adjusted Gross Margin, EBITDA, Adjusted EBITDA, Adjusted EBITDA Margin and Non-GAAP Operating Expenses</w:t>
      </w:r>
    </w:p>
    <w:p>
      <w:pPr>
        <w:spacing w:after="0" w:line="11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period-to-period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8" w:name="page49"/>
    <w:bookmarkEnd w:id="48"/>
    <w:p>
      <w:pPr>
        <w:ind w:right="180" w:firstLine="509"/>
        <w:spacing w:after="0" w:line="253"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42" w:lineRule="exact"/>
        <w:rPr>
          <w:sz w:val="20"/>
          <w:szCs w:val="20"/>
          <w:color w:val="auto"/>
        </w:rPr>
      </w:pPr>
    </w:p>
    <w:p>
      <w:pPr>
        <w:ind w:left="900" w:right="160" w:hanging="263"/>
        <w:spacing w:after="0" w:line="246"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36" w:lineRule="exact"/>
        <w:rPr>
          <w:rFonts w:ascii="Times New Roman" w:cs="Times New Roman" w:eastAsia="Times New Roman" w:hAnsi="Times New Roman"/>
          <w:sz w:val="18"/>
          <w:szCs w:val="18"/>
          <w:color w:val="auto"/>
        </w:rPr>
      </w:pPr>
    </w:p>
    <w:p>
      <w:pPr>
        <w:ind w:left="900" w:right="260" w:hanging="263"/>
        <w:spacing w:after="0" w:line="243"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FX Neutral Revenue Less Ancillary Services </w:t>
      </w:r>
      <w:r>
        <w:rPr>
          <w:rFonts w:ascii="Arial" w:cs="Arial" w:eastAsia="Arial" w:hAnsi="Arial"/>
          <w:sz w:val="18"/>
          <w:szCs w:val="18"/>
          <w:color w:val="auto"/>
        </w:rPr>
        <w:t>- FX Neutral Revenue Less Ancillary Services represents Revenue Less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adjusted to show presentation on a FX Neutral basis. The constant currency information presented is calculated by translating current period results using prior period weighted average foreign currency exchange rates. We analyze FX Neutral Revenue Less Ancillary Services to provide a comparable framework for assessing how the business performed excluding the effect of foreign currency fluctuations.</w:t>
      </w:r>
    </w:p>
    <w:p>
      <w:pPr>
        <w:spacing w:after="0" w:line="139" w:lineRule="exact"/>
        <w:rPr>
          <w:rFonts w:ascii="Times New Roman" w:cs="Times New Roman" w:eastAsia="Times New Roman" w:hAnsi="Times New Roman"/>
          <w:sz w:val="18"/>
          <w:szCs w:val="18"/>
          <w:color w:val="auto"/>
        </w:rPr>
      </w:pPr>
    </w:p>
    <w:p>
      <w:pPr>
        <w:ind w:left="900" w:right="80" w:hanging="263"/>
        <w:spacing w:after="0" w:line="243"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 processing-related services, which are the primary services we provide to our clients.</w:t>
      </w:r>
    </w:p>
    <w:p>
      <w:pPr>
        <w:spacing w:after="0" w:line="152" w:lineRule="exact"/>
        <w:rPr>
          <w:rFonts w:ascii="Times New Roman" w:cs="Times New Roman" w:eastAsia="Times New Roman" w:hAnsi="Times New Roman"/>
          <w:sz w:val="18"/>
          <w:szCs w:val="18"/>
          <w:color w:val="auto"/>
        </w:rPr>
      </w:pPr>
    </w:p>
    <w:p>
      <w:pPr>
        <w:ind w:left="900" w:right="140" w:hanging="263"/>
        <w:spacing w:after="0" w:line="252"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 </w:t>
      </w:r>
      <w:r>
        <w:rPr>
          <w:rFonts w:ascii="Arial" w:cs="Arial" w:eastAsia="Arial" w:hAnsi="Arial"/>
          <w:sz w:val="18"/>
          <w:szCs w:val="18"/>
          <w:color w:val="auto"/>
        </w:rPr>
        <w:t>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30" w:lineRule="exact"/>
        <w:rPr>
          <w:rFonts w:ascii="Times New Roman" w:cs="Times New Roman" w:eastAsia="Times New Roman" w:hAnsi="Times New Roman"/>
          <w:sz w:val="18"/>
          <w:szCs w:val="18"/>
          <w:color w:val="auto"/>
        </w:rPr>
      </w:pPr>
    </w:p>
    <w:p>
      <w:pPr>
        <w:ind w:left="900" w:right="66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EBITDA - </w:t>
      </w:r>
      <w:r>
        <w:rPr>
          <w:rFonts w:ascii="Arial" w:cs="Arial" w:eastAsia="Arial" w:hAnsi="Arial"/>
          <w:sz w:val="18"/>
          <w:szCs w:val="18"/>
          <w:color w:val="auto"/>
        </w:rPr>
        <w:t>EBITDA represents our consolidated net income (loss) in accordance with GAAP adjusted to include (i)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(ii) interest income, (iii) provision for income taxes and (iv) depreciation and amortization.</w:t>
      </w:r>
    </w:p>
    <w:p>
      <w:pPr>
        <w:spacing w:after="0" w:line="113" w:lineRule="exact"/>
        <w:rPr>
          <w:rFonts w:ascii="Times New Roman" w:cs="Times New Roman" w:eastAsia="Times New Roman" w:hAnsi="Times New Roman"/>
          <w:sz w:val="18"/>
          <w:szCs w:val="18"/>
          <w:color w:val="auto"/>
        </w:rPr>
      </w:pPr>
    </w:p>
    <w:p>
      <w:pPr>
        <w:ind w:left="900" w:right="160" w:hanging="263"/>
        <w:spacing w:after="0" w:line="242"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and (viii) gain (loss) from investments. Management believes that the exclusion of these amounts to calculate Adjusted EBITDA provides useful measures for period-to-period comparisons of our business.</w:t>
      </w:r>
    </w:p>
    <w:p>
      <w:pPr>
        <w:spacing w:after="0" w:line="150" w:lineRule="exact"/>
        <w:rPr>
          <w:rFonts w:ascii="Times New Roman" w:cs="Times New Roman" w:eastAsia="Times New Roman" w:hAnsi="Times New Roman"/>
          <w:sz w:val="18"/>
          <w:szCs w:val="18"/>
          <w:color w:val="auto"/>
        </w:rPr>
      </w:pPr>
    </w:p>
    <w:p>
      <w:pPr>
        <w:ind w:left="900" w:right="140" w:hanging="263"/>
        <w:spacing w:after="0" w:line="252"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 Adjusted EBITDA Margin represents Adjusted EBITDA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3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Non-GAAP Operating Expenses </w:t>
      </w:r>
      <w:r>
        <w:rPr>
          <w:rFonts w:ascii="Arial" w:cs="Arial" w:eastAsia="Arial" w:hAnsi="Arial"/>
          <w:sz w:val="18"/>
          <w:szCs w:val="18"/>
          <w:color w:val="auto"/>
        </w:rPr>
        <w:t>- Non-GAAP Operating Expenses represents GAAP Operating Expenses adjusted by excluding</w:t>
      </w:r>
    </w:p>
    <w:p>
      <w:pPr>
        <w:spacing w:after="0" w:line="12" w:lineRule="exact"/>
        <w:rPr>
          <w:rFonts w:ascii="Times New Roman" w:cs="Times New Roman" w:eastAsia="Times New Roman" w:hAnsi="Times New Roman"/>
          <w:sz w:val="18"/>
          <w:szCs w:val="18"/>
          <w:color w:val="auto"/>
        </w:rPr>
      </w:pPr>
    </w:p>
    <w:p>
      <w:pPr>
        <w:ind w:left="900" w:right="20"/>
        <w:spacing w:after="0" w:line="264" w:lineRule="auto"/>
        <w:rPr>
          <w:rFonts w:ascii="Times New Roman" w:cs="Times New Roman" w:eastAsia="Times New Roman" w:hAnsi="Times New Roman"/>
          <w:sz w:val="18"/>
          <w:szCs w:val="18"/>
          <w:color w:val="auto"/>
        </w:rPr>
      </w:pPr>
      <w:r>
        <w:rPr>
          <w:rFonts w:ascii="Arial" w:cs="Arial" w:eastAsia="Arial" w:hAnsi="Arial"/>
          <w:sz w:val="17"/>
          <w:szCs w:val="17"/>
          <w:color w:val="auto"/>
        </w:rPr>
        <w:t>(i) stock-based compensation expense and related payroll taxes, (ii) depreciation and amortization, (iii) acquisition related transaction costs, (iv) employee retention costs, such as incentive compensation associated with acquisition activities, (v) the impact from the change in fair value measurement for contingent consideration associated with acquisitions and (vi) restructuring.</w:t>
      </w:r>
    </w:p>
    <w:p>
      <w:pPr>
        <w:spacing w:after="0" w:line="12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Adjusted Gross Profit, Adjusted Gross Margin, FX Neutral Revenue Less Ancillary Services, EBITDA, Adjusted EBITDA, Adjusted EBITDA Margin and Non-GAAP Operating Expenses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8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131.9</w:t>
            </w:r>
          </w:p>
        </w:tc>
        <w:tc>
          <w:tcPr>
            <w:tcW w:w="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103.7</w:t>
            </w:r>
          </w:p>
        </w:tc>
        <w:tc>
          <w:tcPr>
            <w:tcW w:w="1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265.3</w:t>
            </w:r>
          </w:p>
        </w:tc>
        <w:tc>
          <w:tcPr>
            <w:tcW w:w="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(8.7)</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(7.2)</w:t>
            </w: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Marketing fees</w:t>
            </w:r>
          </w:p>
        </w:tc>
        <w:tc>
          <w:tcPr>
            <w:tcW w:w="160" w:type="dxa"/>
            <w:vAlign w:val="bottom"/>
          </w:tcPr>
          <w:p>
            <w:pPr>
              <w:spacing w:after="0"/>
              <w:rPr>
                <w:sz w:val="16"/>
                <w:szCs w:val="16"/>
                <w:color w:val="auto"/>
              </w:rPr>
            </w:pPr>
          </w:p>
        </w:tc>
        <w:tc>
          <w:tcPr>
            <w:tcW w:w="10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(0.1)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(0.2)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(0.5)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(0.5)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 Less Ancillary Services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127.5</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256.2</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60" w:type="dxa"/>
            <w:vAlign w:val="bottom"/>
            <w:tcBorders>
              <w:top w:val="single" w:sz="8" w:color="CFF0FC"/>
            </w:tcBorders>
            <w:gridSpan w:val="2"/>
          </w:tcPr>
          <w:p>
            <w:pPr>
              <w:spacing w:after="0" w:line="183" w:lineRule="exact"/>
              <w:rPr>
                <w:sz w:val="20"/>
                <w:szCs w:val="20"/>
                <w:color w:val="auto"/>
              </w:rPr>
            </w:pPr>
            <w:r>
              <w:rPr>
                <w:rFonts w:ascii="Arial" w:cs="Arial" w:eastAsia="Arial" w:hAnsi="Arial"/>
                <w:sz w:val="18"/>
                <w:szCs w:val="18"/>
                <w:color w:val="auto"/>
              </w:rPr>
              <w:t>Payment processing services costs</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53.9</w:t>
            </w:r>
          </w:p>
        </w:tc>
        <w:tc>
          <w:tcPr>
            <w:tcW w:w="8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39.9</w:t>
            </w: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104.5</w:t>
            </w:r>
          </w:p>
        </w:tc>
        <w:tc>
          <w:tcPr>
            <w:tcW w:w="8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81.5</w:t>
            </w:r>
          </w:p>
        </w:tc>
        <w:tc>
          <w:tcPr>
            <w:tcW w:w="8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6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Hosting and amortization costs within technology and development</w:t>
            </w:r>
          </w:p>
        </w:tc>
        <w:tc>
          <w:tcPr>
            <w:tcW w:w="1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Arial" w:cs="Arial" w:eastAsia="Arial" w:hAnsi="Arial"/>
                <w:sz w:val="18"/>
                <w:szCs w:val="18"/>
                <w:color w:val="auto"/>
              </w:rPr>
              <w:t>Cost of Revenue</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56.7</w:t>
            </w:r>
          </w:p>
        </w:tc>
        <w:tc>
          <w:tcPr>
            <w:tcW w:w="80" w:type="dxa"/>
            <w:vAlign w:val="bottom"/>
          </w:tcPr>
          <w:p>
            <w:pPr>
              <w:spacing w:after="0"/>
              <w:rPr>
                <w:sz w:val="17"/>
                <w:szCs w:val="17"/>
                <w:color w:val="auto"/>
              </w:rPr>
            </w:pPr>
          </w:p>
        </w:tc>
        <w:tc>
          <w:tcPr>
            <w:tcW w:w="4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41.8</w:t>
            </w:r>
          </w:p>
        </w:tc>
        <w:tc>
          <w:tcPr>
            <w:tcW w:w="100" w:type="dxa"/>
            <w:vAlign w:val="bottom"/>
          </w:tcPr>
          <w:p>
            <w:pPr>
              <w:spacing w:after="0"/>
              <w:rPr>
                <w:sz w:val="17"/>
                <w:szCs w:val="17"/>
                <w:color w:val="auto"/>
              </w:rPr>
            </w:pPr>
          </w:p>
        </w:tc>
        <w:tc>
          <w:tcPr>
            <w:tcW w:w="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109.8</w:t>
            </w:r>
          </w:p>
        </w:tc>
        <w:tc>
          <w:tcPr>
            <w:tcW w:w="80" w:type="dxa"/>
            <w:vAlign w:val="bottom"/>
          </w:tcPr>
          <w:p>
            <w:pPr>
              <w:spacing w:after="0"/>
              <w:rPr>
                <w:sz w:val="17"/>
                <w:szCs w:val="17"/>
                <w:color w:val="auto"/>
              </w:rPr>
            </w:pPr>
          </w:p>
        </w:tc>
        <w:tc>
          <w:tcPr>
            <w:tcW w:w="4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Adjusted to:</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Exclude printing and mailing costs</w:t>
            </w: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Offset marketing fees against related costs</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(0.5)</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(0.5)</w:t>
            </w: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Exclude depreciation and amortization</w:t>
            </w:r>
          </w:p>
        </w:tc>
        <w:tc>
          <w:tcPr>
            <w:tcW w:w="160" w:type="dxa"/>
            <w:vAlign w:val="bottom"/>
          </w:tcPr>
          <w:p>
            <w:pPr>
              <w:spacing w:after="0"/>
              <w:rPr>
                <w:sz w:val="16"/>
                <w:szCs w:val="16"/>
                <w:color w:val="auto"/>
              </w:rPr>
            </w:pPr>
          </w:p>
        </w:tc>
        <w:tc>
          <w:tcPr>
            <w:tcW w:w="10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(4.8)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Adjusted Cost of Revenue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95.8</w:t>
            </w:r>
          </w:p>
        </w:tc>
        <w:tc>
          <w:tcPr>
            <w:tcW w:w="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74.7</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75.1</w:t>
            </w:r>
          </w:p>
        </w:tc>
        <w:tc>
          <w:tcPr>
            <w:tcW w:w="80" w:type="dxa"/>
            <w:vAlign w:val="bottom"/>
          </w:tcPr>
          <w:p>
            <w:pPr>
              <w:spacing w:after="0"/>
              <w:rPr>
                <w:sz w:val="17"/>
                <w:szCs w:val="17"/>
                <w:color w:val="auto"/>
              </w:rPr>
            </w:pP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100" w:type="dxa"/>
            <w:vAlign w:val="bottom"/>
          </w:tcPr>
          <w:p>
            <w:pPr>
              <w:spacing w:after="0"/>
              <w:rPr>
                <w:sz w:val="17"/>
                <w:szCs w:val="17"/>
                <w:color w:val="auto"/>
              </w:rPr>
            </w:pP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80" w:type="dxa"/>
            <w:vAlign w:val="bottom"/>
          </w:tcPr>
          <w:p>
            <w:pPr>
              <w:spacing w:after="0"/>
              <w:rPr>
                <w:sz w:val="17"/>
                <w:szCs w:val="17"/>
                <w:color w:val="auto"/>
              </w:rPr>
            </w:pP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57.0</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60.8</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660" w:type="dxa"/>
            <w:vAlign w:val="bottom"/>
            <w:gridSpan w:val="2"/>
          </w:tcPr>
          <w:p>
            <w:pPr>
              <w:spacing w:after="0" w:line="183" w:lineRule="exact"/>
              <w:rPr>
                <w:sz w:val="20"/>
                <w:szCs w:val="20"/>
                <w:color w:val="auto"/>
              </w:rPr>
            </w:pPr>
            <w:r>
              <w:rPr>
                <w:rFonts w:ascii="Arial" w:cs="Arial" w:eastAsia="Arial" w:hAnsi="Arial"/>
                <w:sz w:val="18"/>
                <w:szCs w:val="18"/>
                <w:color w:val="auto"/>
              </w:rPr>
              <w:t>Adjusted Gross Profit</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77.9</w:t>
            </w:r>
          </w:p>
        </w:tc>
        <w:tc>
          <w:tcPr>
            <w:tcW w:w="80" w:type="dxa"/>
            <w:vAlign w:val="bottom"/>
          </w:tcPr>
          <w:p>
            <w:pPr>
              <w:spacing w:after="0"/>
              <w:rPr>
                <w:sz w:val="15"/>
                <w:szCs w:val="15"/>
                <w:color w:val="auto"/>
              </w:rPr>
            </w:pPr>
          </w:p>
        </w:tc>
        <w:tc>
          <w:tcPr>
            <w:tcW w:w="440" w:type="dxa"/>
            <w:vAlign w:val="bottom"/>
            <w:gridSpan w:val="2"/>
          </w:tcPr>
          <w:p>
            <w:pPr>
              <w:jc w:val="right"/>
              <w:ind w:right="50"/>
              <w:spacing w:after="0" w:line="18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8"/>
                <w:szCs w:val="18"/>
                <w:color w:val="auto"/>
              </w:rPr>
              <w:t>63.4</w:t>
            </w:r>
          </w:p>
        </w:tc>
        <w:tc>
          <w:tcPr>
            <w:tcW w:w="100" w:type="dxa"/>
            <w:vAlign w:val="bottom"/>
          </w:tcPr>
          <w:p>
            <w:pPr>
              <w:spacing w:after="0"/>
              <w:rPr>
                <w:sz w:val="15"/>
                <w:szCs w:val="15"/>
                <w:color w:val="auto"/>
              </w:rPr>
            </w:pPr>
          </w:p>
        </w:tc>
        <w:tc>
          <w:tcPr>
            <w:tcW w:w="40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160.4</w:t>
            </w:r>
          </w:p>
        </w:tc>
        <w:tc>
          <w:tcPr>
            <w:tcW w:w="80" w:type="dxa"/>
            <w:vAlign w:val="bottom"/>
          </w:tcPr>
          <w:p>
            <w:pPr>
              <w:spacing w:after="0"/>
              <w:rPr>
                <w:sz w:val="15"/>
                <w:szCs w:val="15"/>
                <w:color w:val="auto"/>
              </w:rPr>
            </w:pPr>
          </w:p>
        </w:tc>
        <w:tc>
          <w:tcPr>
            <w:tcW w:w="44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8"/>
                <w:szCs w:val="18"/>
                <w:color w:val="auto"/>
              </w:rPr>
              <w:t>135.4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Adjusted Gross Margin</w:t>
            </w: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-1773555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-1757045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-1773555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-1757045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-1773555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-1757045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-1773555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-1757045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-1370965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-1370965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-1370965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-1370965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-307975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-290830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-307975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-290830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-307975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-290830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-307975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-290830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3742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9"/>
          </w:tcPr>
          <w:p>
            <w:pPr>
              <w:jc w:val="center"/>
              <w:ind w:right="540"/>
              <w:spacing w:after="0"/>
              <w:rPr>
                <w:sz w:val="20"/>
                <w:szCs w:val="20"/>
                <w:color w:val="auto"/>
              </w:rPr>
            </w:pPr>
            <w:r>
              <w:rPr>
                <w:rFonts w:ascii="Arial" w:cs="Arial" w:eastAsia="Arial" w:hAnsi="Arial"/>
                <w:sz w:val="13"/>
                <w:szCs w:val="13"/>
                <w:b w:val="1"/>
                <w:bCs w:val="1"/>
                <w:color w:val="auto"/>
              </w:rPr>
              <w:t>Three Months Ended June 30, 2025</w:t>
            </w:r>
          </w:p>
        </w:tc>
        <w:tc>
          <w:tcPr>
            <w:tcW w:w="260" w:type="dxa"/>
            <w:vAlign w:val="bottom"/>
          </w:tcPr>
          <w:p>
            <w:pPr>
              <w:spacing w:after="0"/>
              <w:rPr>
                <w:sz w:val="14"/>
                <w:szCs w:val="14"/>
                <w:color w:val="auto"/>
              </w:rPr>
            </w:pPr>
          </w:p>
        </w:tc>
        <w:tc>
          <w:tcPr>
            <w:tcW w:w="3080" w:type="dxa"/>
            <w:vAlign w:val="bottom"/>
            <w:gridSpan w:val="8"/>
          </w:tcPr>
          <w:p>
            <w:pPr>
              <w:jc w:val="center"/>
              <w:ind w:right="440"/>
              <w:spacing w:after="0"/>
              <w:rPr>
                <w:sz w:val="20"/>
                <w:szCs w:val="20"/>
                <w:color w:val="auto"/>
              </w:rPr>
            </w:pPr>
            <w:r>
              <w:rPr>
                <w:rFonts w:ascii="Arial" w:cs="Arial" w:eastAsia="Arial" w:hAnsi="Arial"/>
                <w:sz w:val="13"/>
                <w:szCs w:val="13"/>
                <w:b w:val="1"/>
                <w:bCs w:val="1"/>
                <w:color w:val="auto"/>
              </w:rPr>
              <w:t>Three Months Ended June 30, 2024</w:t>
            </w: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jc w:val="center"/>
              <w:ind w:right="240"/>
              <w:spacing w:after="0" w:line="128" w:lineRule="exact"/>
              <w:rPr>
                <w:sz w:val="20"/>
                <w:szCs w:val="20"/>
                <w:color w:val="auto"/>
              </w:rPr>
            </w:pPr>
            <w:r>
              <w:rPr>
                <w:rFonts w:ascii="Arial" w:cs="Arial" w:eastAsia="Arial" w:hAnsi="Arial"/>
                <w:sz w:val="13"/>
                <w:szCs w:val="13"/>
                <w:b w:val="1"/>
                <w:bCs w:val="1"/>
                <w:color w:val="auto"/>
              </w:rPr>
              <w:t>Platform and</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320"/>
              <w:spacing w:after="0" w:line="128" w:lineRule="exact"/>
              <w:rPr>
                <w:sz w:val="20"/>
                <w:szCs w:val="20"/>
                <w:color w:val="auto"/>
              </w:rPr>
            </w:pPr>
            <w:r>
              <w:rPr>
                <w:rFonts w:ascii="Arial" w:cs="Arial" w:eastAsia="Arial" w:hAnsi="Arial"/>
                <w:sz w:val="13"/>
                <w:szCs w:val="13"/>
                <w:b w:val="1"/>
                <w:bCs w:val="1"/>
                <w:color w:val="auto"/>
              </w:rPr>
              <w:t>Platform and</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vMerge w:val="restart"/>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Transaction</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Revenue</w:t>
            </w:r>
          </w:p>
        </w:tc>
        <w:tc>
          <w:tcPr>
            <w:tcW w:w="280" w:type="dxa"/>
            <w:vAlign w:val="bottom"/>
            <w:vMerge w:val="restart"/>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Transaction</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8"/>
              </w:rPr>
              <w:t>other</w:t>
            </w:r>
          </w:p>
        </w:tc>
        <w:tc>
          <w:tcPr>
            <w:tcW w:w="120" w:type="dxa"/>
            <w:vAlign w:val="bottom"/>
          </w:tcPr>
          <w:p>
            <w:pPr>
              <w:spacing w:after="0"/>
              <w:rPr>
                <w:sz w:val="12"/>
                <w:szCs w:val="12"/>
                <w:color w:val="auto"/>
              </w:rPr>
            </w:pP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Revenue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rPr>
              <w:t>revenues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rPr>
              <w:t>revenues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6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Revenue</w:t>
            </w: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100.6</w:t>
            </w:r>
          </w:p>
        </w:tc>
        <w:tc>
          <w:tcPr>
            <w:tcW w:w="2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31.3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131.9</w:t>
            </w:r>
          </w:p>
        </w:tc>
        <w:tc>
          <w:tcPr>
            <w:tcW w:w="2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85.3</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18.4</w:t>
            </w:r>
          </w:p>
        </w:tc>
        <w:tc>
          <w:tcPr>
            <w:tcW w:w="2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103.7</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7"/>
                <w:szCs w:val="17"/>
                <w:color w:val="auto"/>
              </w:rPr>
              <w:t>Adjusted to exclude gross up for:</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FF0FC"/>
          </w:tcPr>
          <w:p>
            <w:pPr>
              <w:ind w:left="120"/>
              <w:spacing w:after="0" w:line="189" w:lineRule="exact"/>
              <w:rPr>
                <w:sz w:val="20"/>
                <w:szCs w:val="20"/>
                <w:color w:val="auto"/>
              </w:rPr>
            </w:pPr>
            <w:r>
              <w:rPr>
                <w:rFonts w:ascii="Arial" w:cs="Arial" w:eastAsia="Arial" w:hAnsi="Arial"/>
                <w:sz w:val="17"/>
                <w:szCs w:val="17"/>
                <w:color w:val="auto"/>
              </w:rPr>
              <w:t>Pass-through cost for printing and mailing</w:t>
            </w:r>
          </w:p>
        </w:tc>
        <w:tc>
          <w:tcPr>
            <w:tcW w:w="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(4.2)</w:t>
            </w: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(4.2)</w:t>
            </w: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Marketing fees</w:t>
            </w:r>
          </w:p>
        </w:tc>
        <w:tc>
          <w:tcPr>
            <w:tcW w:w="260" w:type="dxa"/>
            <w:vAlign w:val="bottom"/>
          </w:tcPr>
          <w:p>
            <w:pPr>
              <w:spacing w:after="0"/>
              <w:rPr>
                <w:sz w:val="16"/>
                <w:szCs w:val="16"/>
                <w:color w:val="auto"/>
              </w:rPr>
            </w:pP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(0.1)</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(0.2)</w:t>
            </w:r>
          </w:p>
        </w:tc>
        <w:tc>
          <w:tcPr>
            <w:tcW w:w="100" w:type="dxa"/>
            <w:vAlign w:val="bottom"/>
          </w:tcPr>
          <w:p>
            <w:pPr>
              <w:spacing w:after="0"/>
              <w:rPr>
                <w:sz w:val="16"/>
                <w:szCs w:val="16"/>
                <w:color w:val="auto"/>
              </w:rPr>
            </w:pPr>
          </w:p>
        </w:tc>
        <w:tc>
          <w:tcPr>
            <w:tcW w:w="104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Revenue Less Ancillary Services</w:t>
            </w: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100.5</w:t>
            </w:r>
          </w:p>
        </w:tc>
        <w:tc>
          <w:tcPr>
            <w:tcW w:w="2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27.1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127.5</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85.1</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14.8</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99.9</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60" w:type="dxa"/>
            <w:vAlign w:val="bottom"/>
            <w:gridSpan w:val="2"/>
          </w:tcPr>
          <w:p>
            <w:pPr>
              <w:spacing w:after="0" w:line="170" w:lineRule="exact"/>
              <w:rPr>
                <w:sz w:val="20"/>
                <w:szCs w:val="20"/>
                <w:color w:val="auto"/>
              </w:rPr>
            </w:pPr>
            <w:r>
              <w:rPr>
                <w:rFonts w:ascii="Arial" w:cs="Arial" w:eastAsia="Arial" w:hAnsi="Arial"/>
                <w:sz w:val="17"/>
                <w:szCs w:val="17"/>
                <w:color w:val="auto"/>
              </w:rPr>
              <w:t>Percentage of Revenue</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line="170" w:lineRule="exact"/>
              <w:rPr>
                <w:sz w:val="20"/>
                <w:szCs w:val="20"/>
                <w:color w:val="auto"/>
              </w:rPr>
            </w:pPr>
            <w:r>
              <w:rPr>
                <w:rFonts w:ascii="Arial" w:cs="Arial" w:eastAsia="Arial" w:hAnsi="Arial"/>
                <w:sz w:val="17"/>
                <w:szCs w:val="17"/>
                <w:color w:val="auto"/>
              </w:rPr>
              <w:t>76.3%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line="170" w:lineRule="exact"/>
              <w:rPr>
                <w:sz w:val="20"/>
                <w:szCs w:val="20"/>
                <w:color w:val="auto"/>
              </w:rPr>
            </w:pPr>
            <w:r>
              <w:rPr>
                <w:rFonts w:ascii="Arial" w:cs="Arial" w:eastAsia="Arial" w:hAnsi="Arial"/>
                <w:sz w:val="17"/>
                <w:szCs w:val="17"/>
                <w:color w:val="auto"/>
              </w:rPr>
              <w:t>23.7%</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line="170" w:lineRule="exact"/>
              <w:rPr>
                <w:sz w:val="20"/>
                <w:szCs w:val="20"/>
                <w:color w:val="auto"/>
              </w:rPr>
            </w:pPr>
            <w:r>
              <w:rPr>
                <w:rFonts w:ascii="Arial" w:cs="Arial" w:eastAsia="Arial" w:hAnsi="Arial"/>
                <w:sz w:val="17"/>
                <w:szCs w:val="17"/>
                <w:color w:val="auto"/>
              </w:rPr>
              <w:t>100.0%</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line="170" w:lineRule="exact"/>
              <w:rPr>
                <w:sz w:val="20"/>
                <w:szCs w:val="20"/>
                <w:color w:val="auto"/>
              </w:rPr>
            </w:pPr>
            <w:r>
              <w:rPr>
                <w:rFonts w:ascii="Arial" w:cs="Arial" w:eastAsia="Arial" w:hAnsi="Arial"/>
                <w:sz w:val="17"/>
                <w:szCs w:val="17"/>
                <w:color w:val="auto"/>
              </w:rPr>
              <w:t>82.3%</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line="170" w:lineRule="exact"/>
              <w:rPr>
                <w:sz w:val="20"/>
                <w:szCs w:val="20"/>
                <w:color w:val="auto"/>
              </w:rPr>
            </w:pPr>
            <w:r>
              <w:rPr>
                <w:rFonts w:ascii="Arial" w:cs="Arial" w:eastAsia="Arial" w:hAnsi="Arial"/>
                <w:sz w:val="17"/>
                <w:szCs w:val="17"/>
                <w:color w:val="auto"/>
              </w:rPr>
              <w:t>17.7%</w:t>
            </w:r>
          </w:p>
        </w:tc>
        <w:tc>
          <w:tcPr>
            <w:tcW w:w="120" w:type="dxa"/>
            <w:vAlign w:val="bottom"/>
          </w:tcPr>
          <w:p>
            <w:pPr>
              <w:spacing w:after="0"/>
              <w:rPr>
                <w:sz w:val="14"/>
                <w:szCs w:val="14"/>
                <w:color w:val="auto"/>
              </w:rPr>
            </w:pPr>
          </w:p>
        </w:tc>
        <w:tc>
          <w:tcPr>
            <w:tcW w:w="920" w:type="dxa"/>
            <w:vAlign w:val="bottom"/>
            <w:gridSpan w:val="2"/>
          </w:tcPr>
          <w:p>
            <w:pPr>
              <w:jc w:val="right"/>
              <w:ind w:right="20"/>
              <w:spacing w:after="0" w:line="170"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FF0FC"/>
          </w:tcPr>
          <w:p>
            <w:pPr>
              <w:spacing w:after="0" w:line="189" w:lineRule="exact"/>
              <w:rPr>
                <w:sz w:val="20"/>
                <w:szCs w:val="20"/>
                <w:color w:val="auto"/>
              </w:rPr>
            </w:pPr>
            <w:r>
              <w:rPr>
                <w:rFonts w:ascii="Arial" w:cs="Arial" w:eastAsia="Arial" w:hAnsi="Arial"/>
                <w:sz w:val="17"/>
                <w:szCs w:val="17"/>
                <w:color w:val="auto"/>
              </w:rPr>
              <w:t>Percentage of Revenue Less Ancillary Services</w:t>
            </w:r>
          </w:p>
        </w:tc>
        <w:tc>
          <w:tcPr>
            <w:tcW w:w="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78.8%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21.2%</w:t>
            </w: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100.0%</w:t>
            </w: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85.2%</w:t>
            </w:r>
          </w:p>
        </w:tc>
        <w:tc>
          <w:tcPr>
            <w:tcW w:w="10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14.8%</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526"/>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9"/>
          </w:tcPr>
          <w:p>
            <w:pPr>
              <w:jc w:val="center"/>
              <w:ind w:right="540"/>
              <w:spacing w:after="0"/>
              <w:rPr>
                <w:sz w:val="20"/>
                <w:szCs w:val="20"/>
                <w:color w:val="auto"/>
              </w:rPr>
            </w:pPr>
            <w:r>
              <w:rPr>
                <w:rFonts w:ascii="Arial" w:cs="Arial" w:eastAsia="Arial" w:hAnsi="Arial"/>
                <w:sz w:val="13"/>
                <w:szCs w:val="13"/>
                <w:b w:val="1"/>
                <w:bCs w:val="1"/>
                <w:color w:val="auto"/>
              </w:rPr>
              <w:t>Six Months Ended June 30, 2025</w:t>
            </w:r>
          </w:p>
        </w:tc>
        <w:tc>
          <w:tcPr>
            <w:tcW w:w="260" w:type="dxa"/>
            <w:vAlign w:val="bottom"/>
          </w:tcPr>
          <w:p>
            <w:pPr>
              <w:spacing w:after="0"/>
              <w:rPr>
                <w:sz w:val="24"/>
                <w:szCs w:val="24"/>
                <w:color w:val="auto"/>
              </w:rPr>
            </w:pPr>
          </w:p>
        </w:tc>
        <w:tc>
          <w:tcPr>
            <w:tcW w:w="3080" w:type="dxa"/>
            <w:vAlign w:val="bottom"/>
            <w:gridSpan w:val="8"/>
          </w:tcPr>
          <w:p>
            <w:pPr>
              <w:jc w:val="center"/>
              <w:ind w:right="440"/>
              <w:spacing w:after="0"/>
              <w:rPr>
                <w:sz w:val="20"/>
                <w:szCs w:val="20"/>
                <w:color w:val="auto"/>
              </w:rPr>
            </w:pPr>
            <w:r>
              <w:rPr>
                <w:rFonts w:ascii="Arial" w:cs="Arial" w:eastAsia="Arial" w:hAnsi="Arial"/>
                <w:sz w:val="13"/>
                <w:szCs w:val="13"/>
                <w:b w:val="1"/>
                <w:bCs w:val="1"/>
                <w:color w:val="auto"/>
              </w:rPr>
              <w:t>Six Months Ended June 30, 2024</w:t>
            </w: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jc w:val="center"/>
              <w:ind w:right="240"/>
              <w:spacing w:after="0" w:line="128" w:lineRule="exact"/>
              <w:rPr>
                <w:sz w:val="20"/>
                <w:szCs w:val="20"/>
                <w:color w:val="auto"/>
              </w:rPr>
            </w:pPr>
            <w:r>
              <w:rPr>
                <w:rFonts w:ascii="Arial" w:cs="Arial" w:eastAsia="Arial" w:hAnsi="Arial"/>
                <w:sz w:val="13"/>
                <w:szCs w:val="13"/>
                <w:b w:val="1"/>
                <w:bCs w:val="1"/>
                <w:color w:val="auto"/>
              </w:rPr>
              <w:t>Platform and</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320"/>
              <w:spacing w:after="0" w:line="128" w:lineRule="exact"/>
              <w:rPr>
                <w:sz w:val="20"/>
                <w:szCs w:val="20"/>
                <w:color w:val="auto"/>
              </w:rPr>
            </w:pPr>
            <w:r>
              <w:rPr>
                <w:rFonts w:ascii="Arial" w:cs="Arial" w:eastAsia="Arial" w:hAnsi="Arial"/>
                <w:sz w:val="13"/>
                <w:szCs w:val="13"/>
                <w:b w:val="1"/>
                <w:bCs w:val="1"/>
                <w:color w:val="auto"/>
              </w:rPr>
              <w:t>Platform and</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vMerge w:val="restart"/>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Transaction</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Revenue</w:t>
            </w:r>
          </w:p>
        </w:tc>
        <w:tc>
          <w:tcPr>
            <w:tcW w:w="280" w:type="dxa"/>
            <w:vAlign w:val="bottom"/>
            <w:vMerge w:val="restart"/>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Transaction</w:t>
            </w:r>
          </w:p>
        </w:tc>
        <w:tc>
          <w:tcPr>
            <w:tcW w:w="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8"/>
              </w:rPr>
              <w:t>other</w:t>
            </w:r>
          </w:p>
        </w:tc>
        <w:tc>
          <w:tcPr>
            <w:tcW w:w="120" w:type="dxa"/>
            <w:vAlign w:val="bottom"/>
          </w:tcPr>
          <w:p>
            <w:pPr>
              <w:spacing w:after="0"/>
              <w:rPr>
                <w:sz w:val="12"/>
                <w:szCs w:val="12"/>
                <w:color w:val="auto"/>
              </w:rPr>
            </w:pP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Revenue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rPr>
              <w:t>revenues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rPr>
              <w:t>revenues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6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Revenue</w:t>
            </w: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209.1</w:t>
            </w:r>
          </w:p>
        </w:tc>
        <w:tc>
          <w:tcPr>
            <w:tcW w:w="2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56.3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265.3</w:t>
            </w:r>
          </w:p>
        </w:tc>
        <w:tc>
          <w:tcPr>
            <w:tcW w:w="2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180.5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37.3</w:t>
            </w:r>
          </w:p>
        </w:tc>
        <w:tc>
          <w:tcPr>
            <w:tcW w:w="2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217.8</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7"/>
                <w:szCs w:val="17"/>
                <w:color w:val="auto"/>
              </w:rPr>
              <w:t>Adjusted to exclude gross up for:</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FF0FC"/>
          </w:tcPr>
          <w:p>
            <w:pPr>
              <w:ind w:left="120"/>
              <w:spacing w:after="0" w:line="189" w:lineRule="exact"/>
              <w:rPr>
                <w:sz w:val="20"/>
                <w:szCs w:val="20"/>
                <w:color w:val="auto"/>
              </w:rPr>
            </w:pPr>
            <w:r>
              <w:rPr>
                <w:rFonts w:ascii="Arial" w:cs="Arial" w:eastAsia="Arial" w:hAnsi="Arial"/>
                <w:sz w:val="17"/>
                <w:szCs w:val="17"/>
                <w:color w:val="auto"/>
              </w:rPr>
              <w:t>Pass-through cost for printing and mailing</w:t>
            </w:r>
          </w:p>
        </w:tc>
        <w:tc>
          <w:tcPr>
            <w:tcW w:w="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(8.7)</w:t>
            </w: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(8.7)</w:t>
            </w: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220"/>
              <w:spacing w:after="0" w:line="189" w:lineRule="exact"/>
              <w:rPr>
                <w:sz w:val="20"/>
                <w:szCs w:val="20"/>
                <w:color w:val="auto"/>
              </w:rPr>
            </w:pPr>
            <w:r>
              <w:rPr>
                <w:rFonts w:ascii="Arial" w:cs="Arial" w:eastAsia="Arial" w:hAnsi="Arial"/>
                <w:sz w:val="17"/>
                <w:szCs w:val="17"/>
                <w:color w:val="auto"/>
              </w:rPr>
              <w:t>(7.2)</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9"/>
        </w:trPr>
        <w:tc>
          <w:tcPr>
            <w:tcW w:w="446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Marketing fees</w:t>
            </w:r>
          </w:p>
        </w:tc>
        <w:tc>
          <w:tcPr>
            <w:tcW w:w="260" w:type="dxa"/>
            <w:vAlign w:val="bottom"/>
          </w:tcPr>
          <w:p>
            <w:pPr>
              <w:spacing w:after="0"/>
              <w:rPr>
                <w:sz w:val="16"/>
                <w:szCs w:val="16"/>
                <w:color w:val="auto"/>
              </w:rPr>
            </w:pP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(0.5)</w:t>
            </w:r>
          </w:p>
        </w:tc>
        <w:tc>
          <w:tcPr>
            <w:tcW w:w="260" w:type="dxa"/>
            <w:vAlign w:val="bottom"/>
          </w:tcPr>
          <w:p>
            <w:pPr>
              <w:spacing w:after="0"/>
              <w:rPr>
                <w:sz w:val="16"/>
                <w:szCs w:val="16"/>
                <w:color w:val="auto"/>
              </w:rPr>
            </w:pPr>
          </w:p>
        </w:tc>
        <w:tc>
          <w:tcPr>
            <w:tcW w:w="9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(0.5)</w:t>
            </w:r>
          </w:p>
        </w:tc>
        <w:tc>
          <w:tcPr>
            <w:tcW w:w="100" w:type="dxa"/>
            <w:vAlign w:val="bottom"/>
          </w:tcPr>
          <w:p>
            <w:pPr>
              <w:spacing w:after="0"/>
              <w:rPr>
                <w:sz w:val="16"/>
                <w:szCs w:val="16"/>
                <w:color w:val="auto"/>
              </w:rPr>
            </w:pPr>
          </w:p>
        </w:tc>
        <w:tc>
          <w:tcPr>
            <w:tcW w:w="104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shd w:val="clear" w:color="auto" w:fill="CFF0FC"/>
          </w:tcPr>
          <w:p>
            <w:pPr>
              <w:spacing w:after="0" w:line="183" w:lineRule="exact"/>
              <w:rPr>
                <w:sz w:val="20"/>
                <w:szCs w:val="20"/>
                <w:color w:val="auto"/>
              </w:rPr>
            </w:pPr>
            <w:r>
              <w:rPr>
                <w:rFonts w:ascii="Arial" w:cs="Arial" w:eastAsia="Arial" w:hAnsi="Arial"/>
                <w:sz w:val="17"/>
                <w:szCs w:val="17"/>
                <w:color w:val="auto"/>
              </w:rPr>
              <w:t>Revenue Less Ancillary Services</w:t>
            </w: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208.6</w:t>
            </w:r>
          </w:p>
        </w:tc>
        <w:tc>
          <w:tcPr>
            <w:tcW w:w="2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47.6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256.2</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jc w:val="right"/>
              <w:ind w:right="81"/>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180.0</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30.1</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210.1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gridSpan w:val="2"/>
          </w:tcPr>
          <w:p>
            <w:pPr>
              <w:spacing w:after="0" w:line="170" w:lineRule="exact"/>
              <w:rPr>
                <w:sz w:val="20"/>
                <w:szCs w:val="20"/>
                <w:color w:val="auto"/>
              </w:rPr>
            </w:pPr>
            <w:r>
              <w:rPr>
                <w:rFonts w:ascii="Arial" w:cs="Arial" w:eastAsia="Arial" w:hAnsi="Arial"/>
                <w:sz w:val="17"/>
                <w:szCs w:val="17"/>
                <w:color w:val="auto"/>
              </w:rPr>
              <w:t>Percentage of Revenue</w:t>
            </w:r>
          </w:p>
        </w:tc>
        <w:tc>
          <w:tcPr>
            <w:tcW w:w="260" w:type="dxa"/>
            <w:vAlign w:val="bottom"/>
          </w:tcPr>
          <w:p>
            <w:pPr>
              <w:spacing w:after="0"/>
              <w:rPr>
                <w:sz w:val="14"/>
                <w:szCs w:val="14"/>
                <w:color w:val="auto"/>
              </w:rPr>
            </w:pPr>
          </w:p>
        </w:tc>
        <w:tc>
          <w:tcPr>
            <w:tcW w:w="820" w:type="dxa"/>
            <w:vAlign w:val="bottom"/>
            <w:gridSpan w:val="2"/>
          </w:tcPr>
          <w:p>
            <w:pPr>
              <w:jc w:val="right"/>
              <w:ind w:right="60"/>
              <w:spacing w:after="0" w:line="170" w:lineRule="exact"/>
              <w:rPr>
                <w:sz w:val="20"/>
                <w:szCs w:val="20"/>
                <w:color w:val="auto"/>
              </w:rPr>
            </w:pPr>
            <w:r>
              <w:rPr>
                <w:rFonts w:ascii="Arial" w:cs="Arial" w:eastAsia="Arial" w:hAnsi="Arial"/>
                <w:sz w:val="17"/>
                <w:szCs w:val="17"/>
                <w:color w:val="auto"/>
              </w:rPr>
              <w:t>78.8%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line="170" w:lineRule="exact"/>
              <w:rPr>
                <w:sz w:val="20"/>
                <w:szCs w:val="20"/>
                <w:color w:val="auto"/>
              </w:rPr>
            </w:pPr>
            <w:r>
              <w:rPr>
                <w:rFonts w:ascii="Arial" w:cs="Arial" w:eastAsia="Arial" w:hAnsi="Arial"/>
                <w:sz w:val="17"/>
                <w:szCs w:val="17"/>
                <w:color w:val="auto"/>
              </w:rPr>
              <w:t>21.2%</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line="170" w:lineRule="exact"/>
              <w:rPr>
                <w:sz w:val="20"/>
                <w:szCs w:val="20"/>
                <w:color w:val="auto"/>
              </w:rPr>
            </w:pPr>
            <w:r>
              <w:rPr>
                <w:rFonts w:ascii="Arial" w:cs="Arial" w:eastAsia="Arial" w:hAnsi="Arial"/>
                <w:sz w:val="17"/>
                <w:szCs w:val="17"/>
                <w:color w:val="auto"/>
              </w:rPr>
              <w:t>100.0%</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line="170" w:lineRule="exact"/>
              <w:rPr>
                <w:sz w:val="20"/>
                <w:szCs w:val="20"/>
                <w:color w:val="auto"/>
              </w:rPr>
            </w:pPr>
            <w:r>
              <w:rPr>
                <w:rFonts w:ascii="Arial" w:cs="Arial" w:eastAsia="Arial" w:hAnsi="Arial"/>
                <w:sz w:val="17"/>
                <w:szCs w:val="17"/>
                <w:color w:val="auto"/>
              </w:rPr>
              <w:t>82.9%</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line="170" w:lineRule="exact"/>
              <w:rPr>
                <w:sz w:val="20"/>
                <w:szCs w:val="20"/>
                <w:color w:val="auto"/>
              </w:rPr>
            </w:pPr>
            <w:r>
              <w:rPr>
                <w:rFonts w:ascii="Arial" w:cs="Arial" w:eastAsia="Arial" w:hAnsi="Arial"/>
                <w:sz w:val="17"/>
                <w:szCs w:val="17"/>
                <w:color w:val="auto"/>
              </w:rPr>
              <w:t>17.1%</w:t>
            </w:r>
          </w:p>
        </w:tc>
        <w:tc>
          <w:tcPr>
            <w:tcW w:w="120" w:type="dxa"/>
            <w:vAlign w:val="bottom"/>
          </w:tcPr>
          <w:p>
            <w:pPr>
              <w:spacing w:after="0"/>
              <w:rPr>
                <w:sz w:val="14"/>
                <w:szCs w:val="14"/>
                <w:color w:val="auto"/>
              </w:rPr>
            </w:pPr>
          </w:p>
        </w:tc>
        <w:tc>
          <w:tcPr>
            <w:tcW w:w="920" w:type="dxa"/>
            <w:vAlign w:val="bottom"/>
            <w:gridSpan w:val="2"/>
          </w:tcPr>
          <w:p>
            <w:pPr>
              <w:jc w:val="right"/>
              <w:ind w:right="20"/>
              <w:spacing w:after="0" w:line="170"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9"/>
        </w:trPr>
        <w:tc>
          <w:tcPr>
            <w:tcW w:w="4460" w:type="dxa"/>
            <w:vAlign w:val="bottom"/>
            <w:gridSpan w:val="2"/>
            <w:shd w:val="clear" w:color="auto" w:fill="CFF0FC"/>
          </w:tcPr>
          <w:p>
            <w:pPr>
              <w:spacing w:after="0" w:line="189" w:lineRule="exact"/>
              <w:rPr>
                <w:sz w:val="20"/>
                <w:szCs w:val="20"/>
                <w:color w:val="auto"/>
              </w:rPr>
            </w:pPr>
            <w:r>
              <w:rPr>
                <w:rFonts w:ascii="Arial" w:cs="Arial" w:eastAsia="Arial" w:hAnsi="Arial"/>
                <w:sz w:val="17"/>
                <w:szCs w:val="17"/>
                <w:color w:val="auto"/>
              </w:rPr>
              <w:t>Percentage of Revenue Less Ancillary Services</w:t>
            </w:r>
          </w:p>
        </w:tc>
        <w:tc>
          <w:tcPr>
            <w:tcW w:w="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81.4%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18.6%</w:t>
            </w:r>
          </w:p>
        </w:tc>
        <w:tc>
          <w:tcPr>
            <w:tcW w:w="12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100.0%</w:t>
            </w: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85.7%</w:t>
            </w:r>
          </w:p>
        </w:tc>
        <w:tc>
          <w:tcPr>
            <w:tcW w:w="10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shd w:val="clear" w:color="auto" w:fill="CFF0FC"/>
          </w:tcPr>
          <w:p>
            <w:pPr>
              <w:jc w:val="right"/>
              <w:ind w:right="140"/>
              <w:spacing w:after="0" w:line="189" w:lineRule="exact"/>
              <w:rPr>
                <w:sz w:val="20"/>
                <w:szCs w:val="20"/>
                <w:color w:val="auto"/>
              </w:rPr>
            </w:pPr>
            <w:r>
              <w:rPr>
                <w:rFonts w:ascii="Arial" w:cs="Arial" w:eastAsia="Arial" w:hAnsi="Arial"/>
                <w:sz w:val="17"/>
                <w:szCs w:val="17"/>
                <w:color w:val="auto"/>
              </w:rPr>
              <w:t>14.3%</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-1773555</wp:posOffset>
            </wp:positionV>
            <wp:extent cx="1111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-1756410</wp:posOffset>
            </wp:positionV>
            <wp:extent cx="1111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-1773555</wp:posOffset>
            </wp:positionV>
            <wp:extent cx="1111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-1756410</wp:posOffset>
            </wp:positionV>
            <wp:extent cx="1111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-1773555</wp:posOffset>
            </wp:positionV>
            <wp:extent cx="11176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-1756410</wp:posOffset>
            </wp:positionV>
            <wp:extent cx="1117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-1773555</wp:posOffset>
            </wp:positionV>
            <wp:extent cx="1111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-1756410</wp:posOffset>
            </wp:positionV>
            <wp:extent cx="11112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-1773555</wp:posOffset>
            </wp:positionV>
            <wp:extent cx="1111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-1756410</wp:posOffset>
            </wp:positionV>
            <wp:extent cx="1111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-1773555</wp:posOffset>
            </wp:positionV>
            <wp:extent cx="1117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-1756410</wp:posOffset>
            </wp:positionV>
            <wp:extent cx="1117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-264795</wp:posOffset>
            </wp:positionV>
            <wp:extent cx="1111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-247650</wp:posOffset>
            </wp:positionV>
            <wp:extent cx="1111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-264795</wp:posOffset>
            </wp:positionV>
            <wp:extent cx="11112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-247650</wp:posOffset>
            </wp:positionV>
            <wp:extent cx="1111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-264795</wp:posOffset>
            </wp:positionV>
            <wp:extent cx="1117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-247650</wp:posOffset>
            </wp:positionV>
            <wp:extent cx="11176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-264795</wp:posOffset>
            </wp:positionV>
            <wp:extent cx="1111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-247650</wp:posOffset>
            </wp:positionV>
            <wp:extent cx="1111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-264795</wp:posOffset>
            </wp:positionV>
            <wp:extent cx="11112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-247650</wp:posOffset>
            </wp:positionV>
            <wp:extent cx="11112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-264795</wp:posOffset>
            </wp:positionV>
            <wp:extent cx="1117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-247650</wp:posOffset>
            </wp:positionV>
            <wp:extent cx="1117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3742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0" w:name="page51"/>
    <w:bookmarkEnd w:id="50"/>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FX Neutral Revenue Less Ancillary Services*: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June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Growth</w:t>
            </w:r>
          </w:p>
        </w:tc>
        <w:tc>
          <w:tcPr>
            <w:tcW w:w="100" w:type="dxa"/>
            <w:vAlign w:val="bottom"/>
          </w:tcPr>
          <w:p>
            <w:pPr>
              <w:spacing w:after="0"/>
              <w:rPr>
                <w:sz w:val="14"/>
                <w:szCs w:val="14"/>
                <w:color w:val="auto"/>
              </w:rPr>
            </w:pPr>
          </w:p>
        </w:tc>
        <w:tc>
          <w:tcPr>
            <w:tcW w:w="21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Ancillary services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 Less Ancillary Services</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Effects of foreign currency rate fluctuations</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FX Neutral Revenue Less Ancillary Services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100" w:type="dxa"/>
            <w:vAlign w:val="bottom"/>
            <w:vMerge w:val="continue"/>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r>
              <w:rPr>
                <w:rFonts w:ascii="Arial" w:cs="Arial" w:eastAsia="Arial" w:hAnsi="Arial"/>
                <w:sz w:val="18"/>
                <w:szCs w:val="18"/>
                <w:u w:val="single" w:color="auto"/>
                <w:color w:val="auto"/>
              </w:rPr>
              <w:t>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-325120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-307975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-325120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-307975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-325120</wp:posOffset>
            </wp:positionV>
            <wp:extent cx="1111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-307975</wp:posOffset>
            </wp:positionV>
            <wp:extent cx="1111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-325120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-307975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-325120</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-307975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-325120</wp:posOffset>
            </wp:positionV>
            <wp:extent cx="1117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-307975</wp:posOffset>
            </wp:positionV>
            <wp:extent cx="1117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11112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111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237426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4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(13.9)</w:t>
            </w:r>
          </w:p>
        </w:tc>
        <w:tc>
          <w:tcPr>
            <w:tcW w:w="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(16.2)</w:t>
            </w:r>
          </w:p>
        </w:tc>
        <w:tc>
          <w:tcPr>
            <w:tcW w:w="4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(20.1)</w:t>
            </w: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20"/>
                <w:szCs w:val="20"/>
                <w:color w:val="auto"/>
              </w:rPr>
              <w:t>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Arial" w:cs="Arial" w:eastAsia="Arial" w:hAnsi="Arial"/>
                <w:sz w:val="18"/>
                <w:szCs w:val="18"/>
                <w:color w:val="auto"/>
              </w:rPr>
              <w:t>EBITDA</w:t>
            </w: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 expense and related taxes</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(Gain) loss from remeasurement of foreign currency</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Gain on available-for-sale debt securities</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Indirect taxes related to intercompany activity</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Acquisition related transaction costs (1)</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Restructuring</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660" w:type="dxa"/>
            <w:vAlign w:val="bottom"/>
            <w:gridSpan w:val="2"/>
          </w:tcPr>
          <w:p>
            <w:pPr>
              <w:spacing w:after="0" w:line="189" w:lineRule="exact"/>
              <w:rPr>
                <w:sz w:val="20"/>
                <w:szCs w:val="20"/>
                <w:color w:val="auto"/>
              </w:rPr>
            </w:pPr>
            <w:r>
              <w:rPr>
                <w:rFonts w:ascii="Arial" w:cs="Arial" w:eastAsia="Arial" w:hAnsi="Arial"/>
                <w:sz w:val="18"/>
                <w:szCs w:val="18"/>
                <w:color w:val="auto"/>
              </w:rPr>
              <w:t>Adjusted EBITDA</w:t>
            </w: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6"/>
                <w:szCs w:val="16"/>
                <w:color w:val="auto"/>
              </w:rPr>
            </w:pPr>
          </w:p>
        </w:tc>
        <w:tc>
          <w:tcPr>
            <w:tcW w:w="4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38.0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Adjusted EBITDA margin</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-1336675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-1336675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-1336675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-1336675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-299720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-299720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69"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Acquisition related transaction costs consisted of legal and advisory fees incurred in connection with the Sertifi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Margin, EBITDA Margin, Adjusted EBITDA Margin and Adjusted EBITDA Margin*: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r>
      <w:tr>
        <w:trPr>
          <w:trHeight w:val="196"/>
        </w:trPr>
        <w:tc>
          <w:tcPr>
            <w:tcW w:w="56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Revenue (A)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Revenue less ancillary services (B)</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loss (C)</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EBITDA (D)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(E)</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Net margin (C/A)</w:t>
            </w:r>
          </w:p>
        </w:tc>
        <w:tc>
          <w:tcPr>
            <w:tcW w:w="160" w:type="dxa"/>
            <w:vAlign w:val="bottom"/>
          </w:tcPr>
          <w:p>
            <w:pPr>
              <w:spacing w:after="0"/>
              <w:rPr>
                <w:sz w:val="17"/>
                <w:szCs w:val="17"/>
                <w:color w:val="auto"/>
              </w:rPr>
            </w:pP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(9.1) %</w:t>
            </w:r>
          </w:p>
        </w:tc>
        <w:tc>
          <w:tcPr>
            <w:tcW w:w="240" w:type="dxa"/>
            <w:vAlign w:val="bottom"/>
          </w:tcPr>
          <w:p>
            <w:pPr>
              <w:spacing w:after="0"/>
              <w:rPr>
                <w:sz w:val="17"/>
                <w:szCs w:val="17"/>
                <w:color w:val="auto"/>
              </w:rPr>
            </w:pP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(13.4) %</w:t>
            </w:r>
          </w:p>
        </w:tc>
        <w:tc>
          <w:tcPr>
            <w:tcW w:w="200" w:type="dxa"/>
            <w:vAlign w:val="bottom"/>
          </w:tcPr>
          <w:p>
            <w:pPr>
              <w:spacing w:after="0"/>
              <w:rPr>
                <w:sz w:val="17"/>
                <w:szCs w:val="17"/>
                <w:color w:val="auto"/>
              </w:rPr>
            </w:pPr>
          </w:p>
        </w:tc>
        <w:tc>
          <w:tcPr>
            <w:tcW w:w="1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 %</w:t>
            </w:r>
          </w:p>
        </w:tc>
        <w:tc>
          <w:tcPr>
            <w:tcW w:w="240" w:type="dxa"/>
            <w:vAlign w:val="bottom"/>
          </w:tcPr>
          <w:p>
            <w:pPr>
              <w:spacing w:after="0"/>
              <w:rPr>
                <w:sz w:val="17"/>
                <w:szCs w:val="17"/>
                <w:color w:val="auto"/>
              </w:rPr>
            </w:pP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 %</w:t>
            </w: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margin using RLAS (C/B)</w:t>
            </w:r>
          </w:p>
        </w:tc>
        <w:tc>
          <w:tcPr>
            <w:tcW w:w="16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(9.4) %</w:t>
            </w:r>
          </w:p>
        </w:tc>
        <w:tc>
          <w:tcPr>
            <w:tcW w:w="2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(13.9) %</w:t>
            </w:r>
          </w:p>
        </w:tc>
        <w:tc>
          <w:tcPr>
            <w:tcW w:w="20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(6.3) %</w:t>
            </w:r>
          </w:p>
        </w:tc>
        <w:tc>
          <w:tcPr>
            <w:tcW w:w="2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EBITDA Margin (D/A)</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 %</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8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(7.4) %</w:t>
            </w: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(E/A)</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EBITDA Margin using RLAS (D/B)</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(10.3)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(7.7) %</w:t>
            </w:r>
          </w:p>
        </w:tc>
      </w:tr>
      <w:tr>
        <w:trPr>
          <w:trHeight w:val="202"/>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using RLAS (E/B)</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37426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Reconciliation of GAAP Operating Expenses to Non-GAAP Operating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GAAP Technology and development</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80"/>
              <w:spacing w:after="0" w:line="202" w:lineRule="exact"/>
              <w:rPr>
                <w:sz w:val="20"/>
                <w:szCs w:val="20"/>
                <w:color w:val="auto"/>
              </w:rPr>
            </w:pPr>
            <w:r>
              <w:rPr>
                <w:rFonts w:ascii="Arial" w:cs="Arial" w:eastAsia="Arial" w:hAnsi="Arial"/>
                <w:sz w:val="18"/>
                <w:szCs w:val="18"/>
                <w:color w:val="auto"/>
              </w:rPr>
              <w:t>(-) Stock-based compensation expense and related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56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 Depreciation and amortization</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Non-GAAP Technology and development</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w:t>
            </w:r>
          </w:p>
        </w:tc>
        <w:tc>
          <w:tcPr>
            <w:tcW w:w="3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GAAP Selling and marketing</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c>
          <w:tcPr>
            <w:tcW w:w="2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180" w:type="dxa"/>
            <w:vAlign w:val="bottom"/>
          </w:tcPr>
          <w:p>
            <w:pPr>
              <w:spacing w:after="0"/>
              <w:rPr>
                <w:sz w:val="17"/>
                <w:szCs w:val="17"/>
                <w:color w:val="auto"/>
              </w:rPr>
            </w:pPr>
          </w:p>
        </w:tc>
        <w:tc>
          <w:tcPr>
            <w:tcW w:w="3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74.9</w:t>
            </w:r>
          </w:p>
        </w:tc>
        <w:tc>
          <w:tcPr>
            <w:tcW w:w="3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 Stock-based compensation expense and related taxes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600" w:type="dxa"/>
            <w:vAlign w:val="bottom"/>
          </w:tcPr>
          <w:p>
            <w:pPr>
              <w:ind w:left="80"/>
              <w:spacing w:after="0" w:line="202" w:lineRule="exact"/>
              <w:rPr>
                <w:sz w:val="20"/>
                <w:szCs w:val="20"/>
                <w:color w:val="auto"/>
              </w:rPr>
            </w:pPr>
            <w:r>
              <w:rPr>
                <w:rFonts w:ascii="Arial" w:cs="Arial" w:eastAsia="Arial" w:hAnsi="Arial"/>
                <w:sz w:val="18"/>
                <w:szCs w:val="18"/>
                <w:color w:val="auto"/>
              </w:rPr>
              <w:t>(-) Depreciation and amortization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6"/>
        </w:trPr>
        <w:tc>
          <w:tcPr>
            <w:tcW w:w="560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Non-GAAP Selling and marketing</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58.4</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GAAP General and administrative</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80"/>
              <w:spacing w:after="0" w:line="202" w:lineRule="exact"/>
              <w:rPr>
                <w:sz w:val="20"/>
                <w:szCs w:val="20"/>
                <w:color w:val="auto"/>
              </w:rPr>
            </w:pPr>
            <w:r>
              <w:rPr>
                <w:rFonts w:ascii="Arial" w:cs="Arial" w:eastAsia="Arial" w:hAnsi="Arial"/>
                <w:sz w:val="18"/>
                <w:szCs w:val="18"/>
                <w:color w:val="auto"/>
              </w:rPr>
              <w:t>(-) Stock-based compensation expense and related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(9.3)</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(17.7)</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 Depreciation and amortization</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600" w:type="dxa"/>
            <w:vAlign w:val="bottom"/>
          </w:tcPr>
          <w:p>
            <w:pPr>
              <w:ind w:left="80"/>
              <w:spacing w:after="0" w:line="202" w:lineRule="exact"/>
              <w:rPr>
                <w:sz w:val="20"/>
                <w:szCs w:val="20"/>
                <w:color w:val="auto"/>
              </w:rPr>
            </w:pPr>
            <w:r>
              <w:rPr>
                <w:rFonts w:ascii="Arial" w:cs="Arial" w:eastAsia="Arial" w:hAnsi="Arial"/>
                <w:sz w:val="18"/>
                <w:szCs w:val="18"/>
                <w:color w:val="auto"/>
              </w:rPr>
              <w:t>(-) Change in fair value of contingent consideration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 Acquisition related transaction costs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Non-GAAP General and administrative</w:t>
            </w:r>
          </w:p>
        </w:tc>
        <w:tc>
          <w:tcPr>
            <w:tcW w:w="3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w:t>
            </w:r>
          </w:p>
        </w:tc>
        <w:tc>
          <w:tcPr>
            <w:tcW w:w="3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-959485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-942340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-1096645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-959485</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-942340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-1096645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-959485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-942340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-1096645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742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1D1C1D"/>
        </w:rPr>
        <w:t>Figures in the table may not total or recalculate due to rounding. Totals and percentage changes are calculated based on unrounded numbers</w:t>
      </w:r>
      <w:r>
        <w:rPr>
          <w:rFonts w:ascii="Arial" w:cs="Arial" w:eastAsia="Arial" w:hAnsi="Arial"/>
          <w:sz w:val="14"/>
          <w:szCs w:val="14"/>
          <w:color w:val="000000"/>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As of June 30, 2025, our principal source of liquidity is cash and cash equivalents of $249.7 million, short-term available-for-sale debt securities of $24.5 million and the available balance under our 2024 Revolving Credit Facility of $65.0 million. Cash equivalents is comprised primarily of money market funds and bank deposits. Our short-term available-for-sale debt securities are comprised of corporate bonds, U.S. Government obligations and asset backed securities.</w:t>
      </w:r>
    </w:p>
    <w:p>
      <w:pPr>
        <w:spacing w:after="0" w:line="133"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 xml:space="preserve">On August 6, 2024, we announced the Repurchase Program. For additional information on our Repurchase Program, see </w:t>
      </w:r>
      <w:r>
        <w:rPr>
          <w:rFonts w:ascii="Arial" w:cs="Arial" w:eastAsia="Arial" w:hAnsi="Arial"/>
          <w:sz w:val="18"/>
          <w:szCs w:val="18"/>
          <w:i w:val="1"/>
          <w:iCs w:val="1"/>
          <w:color w:val="auto"/>
        </w:rPr>
        <w:t xml:space="preserve">Note 13-Stockholders’ Equity </w:t>
      </w:r>
      <w:r>
        <w:rPr>
          <w:rFonts w:ascii="Arial" w:cs="Arial" w:eastAsia="Arial" w:hAnsi="Arial"/>
          <w:sz w:val="18"/>
          <w:szCs w:val="18"/>
          <w:color w:val="auto"/>
        </w:rPr>
        <w:t>in our condensed consolidated financial statements included elsewhere in this Quarterly Report on Form 10-Q.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2025, the Company repurchased 4,126,685 shares of its common stock for an aggregate amount, including commissions and accrued excise tax, of $ 53.5 million under the Repurchase Program. The repurchased shares are held as treasury stock. As of June 30, 2025, approximately $52.0 million of the originally authorized $150 million amount under the Repurchase Program remained available for future repurchases.</w:t>
      </w:r>
    </w:p>
    <w:p>
      <w:pPr>
        <w:spacing w:after="0" w:line="152"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On February 23, 2024, we entered into our 2024 Revolving Credit Facility for a total commitment of $ 125.0 million, which replaced the Revolving Credit Facility of $50.0 that was in effect as of December 31, 2023. During the six months ended June 30, 2025, we drew down $125.0 million under the 2024 Revolving Credit Facility in connection with the acquisition of Sertifi. During the six months ended June 30, 2025, we repaid $65.0 million against the 2024 Revolving Credit Facility. The outstanding balance of the 2024 Revolving Credit Facility was $60.0 million at June 30, 2025. There was no outstanding balance of the 2024 Revolving Credit Facility at December 31, 2024.</w:t>
      </w:r>
    </w:p>
    <w:p>
      <w:pPr>
        <w:spacing w:after="0" w:line="13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2" w:name="page53"/>
    <w:bookmarkEnd w:id="52"/>
    <w:p>
      <w:pPr>
        <w:ind w:right="520"/>
        <w:spacing w:after="0" w:line="271" w:lineRule="auto"/>
        <w:rPr>
          <w:sz w:val="20"/>
          <w:szCs w:val="20"/>
          <w:color w:val="auto"/>
        </w:rPr>
      </w:pPr>
      <w:r>
        <w:rPr>
          <w:rFonts w:ascii="Arial" w:cs="Arial" w:eastAsia="Arial" w:hAnsi="Arial"/>
          <w:sz w:val="18"/>
          <w:szCs w:val="18"/>
          <w:color w:val="auto"/>
        </w:rPr>
        <w:t>continued innovation, we may not be able to compete successfully, which would harm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54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(54.8)</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(196.4)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decrease in cash, cash equivalents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(245.5)</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Net cash used in operating activities consists of net loss adjusted for certain non-cash items and changes in other assets and liabilities.</w:t>
      </w:r>
    </w:p>
    <w:p>
      <w:pPr>
        <w:spacing w:after="0" w:line="11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During the six months ended June 30, 2025, net cash used by operating activities of $54.8 million was primarily the result of net loss of $16.2 million, adjusted for non-cash expenses of $48.9 million, which primarily included stock-based compensation expenses of $35.7 million and depreciation and amortization of $12.3 million, offset by $87.5 million related to changes in our operating assets and liabilities, net of acquisitions.</w:t>
      </w:r>
    </w:p>
    <w:p>
      <w:pPr>
        <w:spacing w:after="0" w:line="14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During the six months ended June 30, 2024, cash used in operating activities of $57.4 million was primarily the result of net loss of $20.1 million adjusted for non-cash expenses of $ 38.8 million, which primarily include stock-based compensation expenses of $31.9 million and depreciation and amortization of $8.5 million, offset by changes in our operating assets and liabilities of $76.1 million.</w:t>
      </w:r>
    </w:p>
    <w:p>
      <w:pPr>
        <w:spacing w:after="0" w:line="12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Net cash used in operating activities was $54.8 million during the six months ended June 30, 2025, compared to $57.4 million during the six months ended June 30, 2024. The increase of $2.6 million in our net cash used in operating activities was primarily related to a net decrease in our operating assets and liabilities, net of acquisitions of $87.5 million during the six months ended June 30, 2025, compared to a net decrease of $76.1 million during the six months ended June 30, 2024. This decrease was driven by a decrease in funds payable to clients of $31.0 million compared to the prior year period primarily as a result of the timing of payments to our clients in the applicable period, a decrease in funds receivable from payment partners of $27.1 million, as a result of the timing of collections from our partners in the applicable period and a decrease in prepaid expense, other current assets and other assets of $ 13.4 million, as a result of the timing of payments for certain prepaid subscriptions and other receivables. The timing of payments to our clients will vary from period to period based on when our client’s customer payment for a particular transaction is made and when we are contractually required to remit such payment to our client. The timing of collections from our partners will vary from period to period based on when our clients’ customer payment for a particular transaction is made, as well as the customer’s payment method which impacts the timing of settlement of the payment. This net increase in cash used in operating activities was also impacted by our operating cash flows from our net income (after adjustments for an increase in non-cash expenses of $ 10.0 million) which increased by $14.0 million for the six months ended June 30, 2025, compared to the prior period, reflective of the growth in transaction payment volumes, from both our existing clients and new clients and gains in foreign currency translation remeasurement of foreign currency, offset by increases in our costs and operating expenses, the largest of which was our payment processing services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3" w:lineRule="exact"/>
        <w:rPr>
          <w:sz w:val="20"/>
          <w:szCs w:val="20"/>
          <w:color w:val="auto"/>
        </w:rPr>
      </w:pPr>
    </w:p>
    <w:p>
      <w:pPr>
        <w:ind w:right="620" w:firstLine="509"/>
        <w:spacing w:after="0" w:line="253" w:lineRule="auto"/>
        <w:rPr>
          <w:sz w:val="20"/>
          <w:szCs w:val="20"/>
          <w:color w:val="auto"/>
        </w:rPr>
      </w:pPr>
      <w:r>
        <w:rPr>
          <w:rFonts w:ascii="Arial" w:cs="Arial" w:eastAsia="Arial" w:hAnsi="Arial"/>
          <w:sz w:val="18"/>
          <w:szCs w:val="18"/>
          <w:color w:val="auto"/>
        </w:rPr>
        <w:t>During the six months ended June 30, 2025, cash used in investing activities of $196.4 million was primarily the result of our acquisition of Sertifi for cash purchase consideration of $319.8 million, net of cash acquired and purchase of short-term and long-term investments for $14.8 million, offset by the proceeds from the maturity and sale of short and long-term investments of $142.3 million.</w:t>
      </w:r>
    </w:p>
    <w:p>
      <w:pPr>
        <w:spacing w:after="0" w:line="12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During the six months ended June 30, 2024, cash used in investing activities of $62.2 million was the result of approximately $58.5 million of purchase of short-term and long-term investments, $3.3 million of capitalization of internally developed software and $0.6 million of purchase of property and equipment, offset by approximately $0.2 million from the proceeds from the sale of long-term investments.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Financing Activities</w:t>
      </w:r>
    </w:p>
    <w:p>
      <w:pPr>
        <w:spacing w:after="0" w:line="18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During the six months ended June 30, 2025, cash provided by financing activities of $3.6 million was primarily the result of drawdowns from our 2024 Credit Facility of $125.0 million offset by the repayment of $65.0 million on our 2024 Credit Facility and common stock repurchase under our Repurchase Program of $54.3 million.</w:t>
      </w:r>
    </w:p>
    <w:p>
      <w:pPr>
        <w:spacing w:after="0" w:line="12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During the six months ended June 30, 2024, cash provided by financing activities of $3.9 million was the result of proceeds from exercise of stock options of approximately $3.2 million, proceeds from issuance of stock under the ESPP of $1.4 million, offset by payments of debt issuance costs of $0.8 million.</w:t>
      </w:r>
    </w:p>
    <w:p>
      <w:pPr>
        <w:spacing w:after="0" w:line="128"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As of June 30, 2025 there was $60.0 million outstanding under the 2024 Revolving Credit Facility. As of December 31, 2024 there was no outstanding indebtedness under the 2024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0"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 xml:space="preserve">There have been no material changes to our critical accounting policies as compared to the critical accounting policies and estimates described in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 of our Annual Report on Form 10-K for the year ended December 31,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w:t>
      </w:r>
      <w:r>
        <w:rPr>
          <w:rFonts w:ascii="Arial" w:cs="Arial" w:eastAsia="Arial" w:hAnsi="Arial"/>
          <w:sz w:val="18"/>
          <w:szCs w:val="18"/>
          <w:color w:val="auto"/>
        </w:rPr>
        <w:t xml:space="preserve"> - </w:t>
      </w:r>
      <w:r>
        <w:rPr>
          <w:rFonts w:ascii="Arial" w:cs="Arial" w:eastAsia="Arial" w:hAnsi="Arial"/>
          <w:sz w:val="18"/>
          <w:szCs w:val="18"/>
          <w:i w:val="1"/>
          <w:iCs w:val="1"/>
          <w:color w:val="auto"/>
        </w:rPr>
        <w:t>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treasury bill, foreign agency securities, commercial paper, agency bond and asset-backed debt securities. An immediate 10% increase or decrease in interest rates would not have a material effect on our financial position, resulting of operations or cash flows.</w:t>
      </w:r>
    </w:p>
    <w:p>
      <w:pPr>
        <w:spacing w:after="0" w:line="15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We are also exposed to interest rate risk related to our 2024 Revolving Credit Facility. Our 2024 Revolving Credit Facility consists of ABR borrowings or Term SOFR borrowings, at our option.</w:t>
      </w:r>
    </w:p>
    <w:p>
      <w:pPr>
        <w:spacing w:after="0" w:line="11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54" w:name="page55"/>
    <w:bookmarkEnd w:id="54"/>
    <w:p>
      <w:pPr>
        <w:jc w:val="both"/>
        <w:ind w:right="40"/>
        <w:spacing w:after="0" w:line="253" w:lineRule="auto"/>
        <w:rPr>
          <w:sz w:val="20"/>
          <w:szCs w:val="20"/>
          <w:color w:val="auto"/>
        </w:rPr>
      </w:pPr>
      <w:r>
        <w:rPr>
          <w:rFonts w:ascii="Arial" w:cs="Arial" w:eastAsia="Arial" w:hAnsi="Arial"/>
          <w:sz w:val="18"/>
          <w:szCs w:val="18"/>
          <w:color w:val="auto"/>
        </w:rPr>
        <w:t>recent consolidated financial information and ranges from 1.0% to 2.5%. The 2024 Revolving Credit Facility incurs a commitment fee ranging from 0.25% to 0.35% based upon our consolidated total net leverage ratio as of the most recent consolidated financial information assessed on the average available commitment.</w:t>
      </w:r>
    </w:p>
    <w:p>
      <w:pPr>
        <w:spacing w:after="0" w:line="142"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As of June 30, 2025, there was $60.0 million outstanding indebtedness under the 2024 Revolving Credit Facility. As of December 31, 2024, there was no outstanding indebtedness under the 2024 Revolving Credit Facility. An immediate 10% increase or decrease in interest rates would not have a material effect on our financial position, results of operations or cash flows.</w:t>
      </w:r>
    </w:p>
    <w:p>
      <w:pPr>
        <w:spacing w:after="0" w:line="128"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Information provided by the sensitivity analysis is not a prediction of future events and does not necessarily represent the actual changes that would occur.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help mitigate the volatility related to fluctuations in the foreign exchange rates. In addition, to mitigate the impact of foreign currency fluctuations on our net income (loss), beginning in July 2025, we enter into foreign currency forward contracts to economically hedge the variability in exchange rates associated with certain intercompany loans.</w:t>
      </w:r>
    </w:p>
    <w:p>
      <w:pPr>
        <w:spacing w:after="0" w:line="14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 British Pound, relative to the prior year, these foreign exchange impacts increased our reported revenue in U.S. Dollars by approximately $2.6 million compared to the prior year on a FX Neutral basis.</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condensed consolidated statements of operations and comprehensive loss. A potential change in foreign exchange rates of 10% from such remeasurement would have impacted income (loss) before income taxes by approximately $21.3 million and $24.7 million at June 30, 2025 and December 31, 2024,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1"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Inflation did not have a material effect on our cash flows and results of operations during the six months ended June 30, 2025. If our costs were to become subject to significant inflationary pressures, we may not be able to fully offset such higher costs through increase in prices of our product offerings.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5" w:name="page56"/>
    <w:bookmarkEnd w:id="55"/>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June 30, 2025. The term “disclosure controls and procedures,” as defined in Rules 13a 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June 30, 2025,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June 30, 2025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spacing w:after="0" w:line="14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July 25,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Plaintiff alleges that the defendants violated Sections 10(b) and 20(a) of the Exchange Act by purportedly overstating the strength and sustainability of our revenue growth and understating the negative impact of certain government permit and visa related policies on our business. The lawsuit seeks unspecified damages, costs, attorneys’ fees, and other relief. We believe we have strong defenses against the asserted claims and intend to vigorously defend ourselves.</w:t>
      </w:r>
    </w:p>
    <w:p>
      <w:pPr>
        <w:spacing w:after="0" w:line="15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83" w:lineRule="exact"/>
        <w:rPr>
          <w:sz w:val="20"/>
          <w:szCs w:val="20"/>
          <w:color w:val="auto"/>
        </w:rPr>
      </w:pPr>
    </w:p>
    <w:p>
      <w:pPr>
        <w:ind w:left="5520" w:right="2820" w:hanging="4883"/>
        <w:spacing w:after="0" w:line="286" w:lineRule="auto"/>
        <w:tabs>
          <w:tab w:leader="none" w:pos="888"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fluctuations in operating results.</w:t>
      </w:r>
    </w:p>
    <w:p>
      <w:pPr>
        <w:spacing w:after="0" w:line="183"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13" w:lineRule="exact"/>
        <w:rPr>
          <w:rFonts w:ascii="Times New Roman" w:cs="Times New Roman" w:eastAsia="Times New Roman" w:hAnsi="Times New Roman"/>
          <w:sz w:val="18"/>
          <w:szCs w:val="18"/>
          <w:color w:val="auto"/>
        </w:rPr>
      </w:pPr>
    </w:p>
    <w:p>
      <w:pPr>
        <w:ind w:left="900" w:right="82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operational and business portfolio reviews may not result in improvements to our financial performance, strategy, or operations.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3"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spacing w:after="0" w:line="14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3"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97" w:lineRule="exact"/>
        <w:rPr>
          <w:rFonts w:ascii="Times New Roman" w:cs="Times New Roman" w:eastAsia="Times New Roman" w:hAnsi="Times New Roman"/>
          <w:sz w:val="18"/>
          <w:szCs w:val="18"/>
          <w:color w:val="auto"/>
        </w:rPr>
      </w:pPr>
    </w:p>
    <w:p>
      <w:pPr>
        <w:ind w:left="900" w:right="96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83" w:lineRule="exact"/>
        <w:rPr>
          <w:rFonts w:ascii="Times New Roman" w:cs="Times New Roman" w:eastAsia="Times New Roman" w:hAnsi="Times New Roman"/>
          <w:sz w:val="18"/>
          <w:szCs w:val="18"/>
          <w:color w:val="auto"/>
        </w:rPr>
      </w:pPr>
    </w:p>
    <w:p>
      <w:pPr>
        <w:ind w:left="900" w:right="64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27" w:lineRule="exact"/>
        <w:rPr>
          <w:rFonts w:ascii="Times New Roman" w:cs="Times New Roman" w:eastAsia="Times New Roman" w:hAnsi="Times New Roman"/>
          <w:sz w:val="18"/>
          <w:szCs w:val="18"/>
          <w:color w:val="auto"/>
        </w:rPr>
      </w:pPr>
    </w:p>
    <w:p>
      <w:pPr>
        <w:ind w:left="900" w:right="100" w:hanging="263"/>
        <w:spacing w:after="0" w:line="300" w:lineRule="auto"/>
        <w:tabs>
          <w:tab w:leader="none" w:pos="90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Our education business may be adversely affected by decreases in enrollment or tuition, cutbacks in governmental financial support, limitations or other restrictions on student visas to international students or increased operating expenses for our clients.</w:t>
      </w:r>
    </w:p>
    <w:p>
      <w:pPr>
        <w:spacing w:after="0" w:line="90"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or sub-verticals, including our B2B vertical.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69" w:lineRule="exact"/>
        <w:rPr>
          <w:sz w:val="20"/>
          <w:szCs w:val="20"/>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97"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13" w:lineRule="exact"/>
        <w:rPr>
          <w:rFonts w:ascii="Times New Roman" w:cs="Times New Roman" w:eastAsia="Times New Roman" w:hAnsi="Times New Roman"/>
          <w:sz w:val="18"/>
          <w:szCs w:val="18"/>
          <w:color w:val="auto"/>
        </w:rPr>
      </w:pPr>
    </w:p>
    <w:p>
      <w:pPr>
        <w:ind w:left="900" w:right="180" w:hanging="263"/>
        <w:spacing w:after="0" w:line="244"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8" w:name="page59"/>
    <w:bookmarkEnd w:id="58"/>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3"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97" w:lineRule="exact"/>
        <w:rPr>
          <w:rFonts w:ascii="Times New Roman" w:cs="Times New Roman" w:eastAsia="Times New Roman" w:hAnsi="Times New Roman"/>
          <w:sz w:val="18"/>
          <w:szCs w:val="18"/>
          <w:color w:val="auto"/>
        </w:rPr>
      </w:pPr>
    </w:p>
    <w:p>
      <w:pPr>
        <w:ind w:left="900" w:right="580" w:hanging="26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69" w:lineRule="exact"/>
        <w:rPr>
          <w:sz w:val="20"/>
          <w:szCs w:val="20"/>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97"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MSB.</w:t>
      </w:r>
    </w:p>
    <w:p>
      <w:pPr>
        <w:spacing w:after="0" w:line="113" w:lineRule="exact"/>
        <w:rPr>
          <w:rFonts w:ascii="Times New Roman" w:cs="Times New Roman" w:eastAsia="Times New Roman" w:hAnsi="Times New Roman"/>
          <w:sz w:val="18"/>
          <w:szCs w:val="18"/>
          <w:color w:val="auto"/>
        </w:rPr>
      </w:pPr>
    </w:p>
    <w:p>
      <w:pPr>
        <w:ind w:left="900" w:right="60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83" w:lineRule="exact"/>
        <w:rPr>
          <w:sz w:val="20"/>
          <w:szCs w:val="20"/>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continue to maintain proper effective internal control over financial reporting.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69" w:lineRule="exact"/>
        <w:rPr>
          <w:sz w:val="20"/>
          <w:szCs w:val="20"/>
          <w:color w:val="auto"/>
        </w:rPr>
      </w:pPr>
    </w:p>
    <w:p>
      <w:pPr>
        <w:ind w:left="900" w:right="120" w:hanging="26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Repurchase Program may not achieve our goals or meet expectations.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were incorporated in 2009 and although we have generated net income for the year ended December 31, 2024, we have incurred net losses in the past, and may continue to incur net losses in the future. We generated net income of $2.9 million for the year ended December 31, 2024, and generated net losses of $8.6 million and $39.3 million for the years ended December 31, 2023 and 2022, respectively, and net loss of $16.2 million during the six months ended June 30, 2025. In addition, as of June 30, 2025, we had an accumulated deficit of $(187.0)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and selectively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9" w:name="page60"/>
    <w:bookmarkEnd w:id="59"/>
    <w:p>
      <w:pPr>
        <w:spacing w:after="0" w:line="244" w:lineRule="auto"/>
        <w:rPr>
          <w:sz w:val="20"/>
          <w:szCs w:val="20"/>
          <w:color w:val="auto"/>
        </w:rPr>
      </w:pPr>
      <w:r>
        <w:rPr>
          <w:rFonts w:ascii="Arial" w:cs="Arial" w:eastAsia="Arial" w:hAnsi="Arial"/>
          <w:sz w:val="18"/>
          <w:szCs w:val="18"/>
          <w:color w:val="auto"/>
        </w:rPr>
        <w:t>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49" w:lineRule="exact"/>
        <w:rPr>
          <w:sz w:val="20"/>
          <w:szCs w:val="20"/>
          <w:color w:val="auto"/>
        </w:rPr>
      </w:pPr>
    </w:p>
    <w:p>
      <w:pPr>
        <w:jc w:val="both"/>
        <w:ind w:right="200" w:firstLine="509"/>
        <w:spacing w:after="0" w:line="247"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71" w:lineRule="exact"/>
        <w:rPr>
          <w:sz w:val="20"/>
          <w:szCs w:val="20"/>
          <w:color w:val="auto"/>
        </w:rPr>
      </w:pPr>
    </w:p>
    <w:p>
      <w:pPr>
        <w:ind w:left="900" w:right="180" w:hanging="26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retaining existing clients, attracting new clients and increasing the number of our clients’ customers that use our solutions;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3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and significantly evolving industry and, as a result, our past results may not be indicative of future operating performance.</w:t>
      </w:r>
    </w:p>
    <w:p>
      <w:pPr>
        <w:spacing w:after="0" w:line="1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04" w:lineRule="exact"/>
        <w:rPr>
          <w:sz w:val="20"/>
          <w:szCs w:val="20"/>
          <w:color w:val="auto"/>
        </w:rPr>
      </w:pPr>
    </w:p>
    <w:p>
      <w:pPr>
        <w:ind w:left="1020" w:right="10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retain existing clients, increase the number of our clients’ customers that use our solutions and sell additional functionality to our clients;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increase our market share;</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sectPr>
      </w:pPr>
    </w:p>
    <w:bookmarkStart w:id="60" w:name="page61"/>
    <w:bookmarkEnd w:id="60"/>
    <w:p>
      <w:pPr>
        <w:ind w:left="1020" w:right="18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technologies, adapt to technology changes and evolving industry standards and to incorporate new technologies, such as artificial intelligence, into our solutions;</w:t>
      </w:r>
    </w:p>
    <w:p>
      <w:pPr>
        <w:spacing w:after="0" w:line="113"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offer seamless experience for our clients and their customers, including all user facing attributes ranging from the user interface to client and customer support;</w:t>
      </w:r>
    </w:p>
    <w:p>
      <w:pPr>
        <w:spacing w:after="0" w:line="1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exit certain markets, or our inability to process payments from certain jurisdictions we had previously served;</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83"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an inability to manage emerging technology risks (including those posed by generative AI or other tools), cybersecurity breaches, or labor stoppages;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identify and manage risks, including foreign currency exchange risk;</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83"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sustainability and other social matters;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97"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13"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9"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40"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w:t>
      </w: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ind w:right="60"/>
        <w:spacing w:after="0" w:line="244" w:lineRule="auto"/>
        <w:rPr>
          <w:sz w:val="20"/>
          <w:szCs w:val="20"/>
          <w:color w:val="auto"/>
        </w:rPr>
      </w:pPr>
      <w:r>
        <w:rPr>
          <w:rFonts w:ascii="Arial" w:cs="Arial" w:eastAsia="Arial" w:hAnsi="Arial"/>
          <w:sz w:val="18"/>
          <w:szCs w:val="18"/>
          <w:color w:val="auto"/>
        </w:rPr>
        <w:t>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4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5"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12"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spacing w:after="0" w:line="133"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2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83"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government restrictions or related suspensions, limitations or delays on the issuances of visas, such as recently enacted policies in Canada, Australia and the U.S.;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or delay in spending on IT and software by our current and/or prospective clients;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2" w:name="page63"/>
    <w:bookmarkEnd w:id="62"/>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97" w:lineRule="exact"/>
        <w:rPr>
          <w:rFonts w:ascii="Times New Roman" w:cs="Times New Roman" w:eastAsia="Times New Roman" w:hAnsi="Times New Roman"/>
          <w:sz w:val="18"/>
          <w:szCs w:val="18"/>
          <w:color w:val="auto"/>
        </w:rPr>
      </w:pPr>
    </w:p>
    <w:p>
      <w:pPr>
        <w:ind w:left="1020" w:right="86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and cyclical nature of our business;</w:t>
      </w:r>
    </w:p>
    <w:p>
      <w:pPr>
        <w:spacing w:after="0" w:line="183"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most recent acquisitions of Sertifi, Cohort Go, StudyLink and Invoiced;</w:t>
      </w:r>
    </w:p>
    <w:p>
      <w:pPr>
        <w:spacing w:after="0" w:line="1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 or government investigations;</w:t>
      </w:r>
    </w:p>
    <w:p>
      <w:pPr>
        <w:spacing w:after="0" w:line="183"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heightened interest rates, imposition of tariffs, inflation and fluctuations in supply chains, regional or global economic recession, and restrictions on cross-border travel or commerce;</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clients and investors on our social impact efforts;</w:t>
      </w:r>
    </w:p>
    <w:p>
      <w:pPr>
        <w:spacing w:after="0" w:line="197"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113"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19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restructuring plan may not yield its intended efficiencies and could strain resources, negatively impact workforce morale, and slow down execution of our strategic plans.</w:t>
      </w:r>
    </w:p>
    <w:p>
      <w:pPr>
        <w:spacing w:after="0" w:line="112"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In February 2025, we announced a restructuring plan that is designed to improve operational efficiencies, reduce operating costs and better align our workforce with current business needs, top strategic priorities and key growth opportunities (Restructuring Plan). As part of the Restructuring Plan we have reduced our workforce by approximately 10%. This reduction in force, and any other future reductions, and the attrition that may occur following them could result in the loss of institutional knowledge and expertise and the reallocation and combination of certain roles and responsibilities across our company, all of which could adversely affect our operations. These actions and other additional measures we might take to reduce costs may potentially result in a strain our workforce, divert management attention, yield attrition beyond our intended reduction in force, negatively impact employee morale and productivity,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are implementing, though currently planned to be temporary, may negatively impact our ability to attract, integrate, retain and motivate highly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63" w:name="page64"/>
    <w:bookmarkEnd w:id="63"/>
    <w:p>
      <w:pPr>
        <w:ind w:right="840"/>
        <w:spacing w:after="0" w:line="271" w:lineRule="auto"/>
        <w:rPr>
          <w:sz w:val="20"/>
          <w:szCs w:val="20"/>
          <w:color w:val="auto"/>
        </w:rPr>
      </w:pPr>
      <w:r>
        <w:rPr>
          <w:rFonts w:ascii="Arial" w:cs="Arial" w:eastAsia="Arial" w:hAnsi="Arial"/>
          <w:sz w:val="18"/>
          <w:szCs w:val="18"/>
          <w:color w:val="auto"/>
        </w:rPr>
        <w:t>qualified employees, make it difficult for us to pursue new opportunities and initiatives, and may harm our reputation with current or prospective employees.</w:t>
      </w:r>
    </w:p>
    <w:p>
      <w:pPr>
        <w:spacing w:after="0" w:line="129" w:lineRule="exact"/>
        <w:rPr>
          <w:sz w:val="20"/>
          <w:szCs w:val="20"/>
          <w:color w:val="auto"/>
        </w:rPr>
      </w:pPr>
    </w:p>
    <w:p>
      <w:pPr>
        <w:ind w:right="860"/>
        <w:spacing w:after="0" w:line="278" w:lineRule="auto"/>
        <w:rPr>
          <w:sz w:val="20"/>
          <w:szCs w:val="20"/>
          <w:color w:val="auto"/>
        </w:rPr>
      </w:pPr>
      <w:r>
        <w:rPr>
          <w:rFonts w:ascii="Arial" w:cs="Arial" w:eastAsia="Arial" w:hAnsi="Arial"/>
          <w:sz w:val="18"/>
          <w:szCs w:val="18"/>
          <w:b w:val="1"/>
          <w:bCs w:val="1"/>
          <w:i w:val="1"/>
          <w:iCs w:val="1"/>
          <w:color w:val="auto"/>
        </w:rPr>
        <w:t>Our operational and business portfolio reviews may not result in improvements to our financial performance, strategy, or operations, and we face a number of risks related to such reviews.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currently undertaking a comprehensive operational and business portfolio review that is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 strategic, operational, and financial benefits of any actions taken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spacing w:after="0" w:line="14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Our operational and business portfolio reviews are ongoing, and we are continuing to carefully consider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1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64" w:name="page65"/>
    <w:bookmarkEnd w:id="64"/>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4" w:lineRule="exact"/>
        <w:rPr>
          <w:sz w:val="20"/>
          <w:szCs w:val="20"/>
          <w:color w:val="auto"/>
        </w:rPr>
      </w:pPr>
    </w:p>
    <w:p>
      <w:pPr>
        <w:ind w:right="110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38"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12" w:lineRule="exact"/>
        <w:rPr>
          <w:sz w:val="20"/>
          <w:szCs w:val="20"/>
          <w:color w:val="auto"/>
        </w:rPr>
      </w:pPr>
    </w:p>
    <w:p>
      <w:pPr>
        <w:ind w:right="280" w:firstLine="509"/>
        <w:spacing w:after="0" w:line="244"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as the U.S. Dollar weakened against several currencies, including the British Pound, relative to the prior year, these foreign exchange impacts increased our reported revenue in U.S. Dollars by approximately $2.6 million compared to the prior year on a FX Neutral basis.</w:t>
      </w:r>
    </w:p>
    <w:p>
      <w:pPr>
        <w:spacing w:after="0" w:line="136"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44" w:lineRule="exact"/>
        <w:rPr>
          <w:sz w:val="20"/>
          <w:szCs w:val="20"/>
          <w:color w:val="auto"/>
        </w:rPr>
      </w:pPr>
    </w:p>
    <w:p>
      <w:pPr>
        <w:ind w:right="740" w:firstLine="509"/>
        <w:spacing w:after="0" w:line="245"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w:t>
      </w: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65" w:name="page66"/>
    <w:bookmarkEnd w:id="65"/>
    <w:p>
      <w:pPr>
        <w:ind w:right="380"/>
        <w:spacing w:after="0" w:line="253" w:lineRule="auto"/>
        <w:rPr>
          <w:sz w:val="20"/>
          <w:szCs w:val="20"/>
          <w:color w:val="auto"/>
        </w:rPr>
      </w:pPr>
      <w:r>
        <w:rPr>
          <w:rFonts w:ascii="Arial" w:cs="Arial" w:eastAsia="Arial" w:hAnsi="Arial"/>
          <w:sz w:val="18"/>
          <w:szCs w:val="18"/>
          <w:color w:val="auto"/>
        </w:rPr>
        <w:t>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42"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69"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2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addition, our existing banking partners may at any time and from time to time cease serving certain categories of payments due to perceived risk or similar reasons as well as payments originating from, or being paid to, certain high-risk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4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6" w:name="page67"/>
    <w:bookmarkEnd w:id="66"/>
    <w:p>
      <w:pPr>
        <w:ind w:firstLine="509"/>
        <w:spacing w:after="0" w:line="242"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69"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83"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47"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32"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7" w:name="page68"/>
    <w:bookmarkEnd w:id="67"/>
    <w:p>
      <w:pPr>
        <w:ind w:right="58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limitations or other restrictions on student visas, pressure on tuition costs, or increased operating expenses, which may reduce demand for our solutions.</w:t>
      </w:r>
    </w:p>
    <w:p>
      <w:pPr>
        <w:spacing w:after="0" w:line="11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344" w:lineRule="exact"/>
        <w:rPr>
          <w:sz w:val="20"/>
          <w:szCs w:val="20"/>
          <w:color w:val="auto"/>
        </w:rPr>
      </w:pPr>
    </w:p>
    <w:p>
      <w:pPr>
        <w:ind w:left="900" w:right="80" w:hanging="263"/>
        <w:spacing w:after="0" w:line="246"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Global conflict, geopolitical tensions and restrictions on immigration and revocations, suspensions or increased restrictions or limitations on the award of, student visas (such as those being implemented in the U.S., Canada and Australia) has and is expected to continue to negatively impact the cross-border education industry and schools that rely on foreign student populations.</w:t>
      </w:r>
    </w:p>
    <w:p>
      <w:pPr>
        <w:spacing w:after="0" w:line="136" w:lineRule="exact"/>
        <w:rPr>
          <w:rFonts w:ascii="Times New Roman" w:cs="Times New Roman" w:eastAsia="Times New Roman" w:hAnsi="Times New Roman"/>
          <w:sz w:val="18"/>
          <w:szCs w:val="18"/>
          <w:color w:val="auto"/>
        </w:rPr>
      </w:pPr>
    </w:p>
    <w:p>
      <w:pPr>
        <w:ind w:left="900" w:right="100" w:hanging="263"/>
        <w:spacing w:after="0" w:line="246"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49"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13" w:lineRule="exact"/>
        <w:rPr>
          <w:rFonts w:ascii="Times New Roman" w:cs="Times New Roman" w:eastAsia="Times New Roman" w:hAnsi="Times New Roman"/>
          <w:sz w:val="18"/>
          <w:szCs w:val="18"/>
          <w:color w:val="auto"/>
        </w:rPr>
      </w:pPr>
    </w:p>
    <w:p>
      <w:pPr>
        <w:ind w:left="900" w:right="160" w:hanging="263"/>
        <w:spacing w:after="0" w:line="252"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30"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27" w:lineRule="exact"/>
        <w:rPr>
          <w:rFonts w:ascii="Times New Roman" w:cs="Times New Roman" w:eastAsia="Times New Roman" w:hAnsi="Times New Roman"/>
          <w:sz w:val="18"/>
          <w:szCs w:val="18"/>
          <w:color w:val="auto"/>
        </w:rPr>
      </w:pPr>
    </w:p>
    <w:p>
      <w:pPr>
        <w:jc w:val="both"/>
        <w:ind w:left="900" w:right="580" w:hanging="263"/>
        <w:spacing w:after="0" w:line="252"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3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 Sustained economic weakness in the United States or global economic conditions triggered by imposition of tariffs or other recessionary economic conditions, may disrupt international migration patterns, which are likely to reduce money transfer volumes and harm our operating results.</w:t>
      </w:r>
    </w:p>
    <w:p>
      <w:pPr>
        <w:spacing w:after="0" w:line="13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When first instituted by the IRCC, the cap initially excluded students enrolled in master’s and PhD programs, but recent reports indicate that the 2025 and 2026 study permit intake cap will include master’s and doctoral students.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six months ended June 30, 2025 and which we anticipate will continue to impact our Canada revenues in 2025.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68" w:name="page69"/>
    <w:bookmarkEnd w:id="68"/>
    <w:p>
      <w:pPr>
        <w:ind w:right="20"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in the six months ended June 30, 2025 and we anticipate will continue to impact our Australian revenues in 2025.</w:t>
      </w:r>
    </w:p>
    <w:p>
      <w:pPr>
        <w:spacing w:after="0" w:line="15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Our U.S. market saw slower growth in the six months ended June 30, 2025 due to shifting visa trends. In addition, in the first half of 2025 U.S. policy shifts have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may discourage prospective international students from choosing U.S. institutions as places for study.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 Changes to U.S. immigration policy and heightened trade tensions from the imposition of tariffs can also dampen demands for international study.</w:t>
      </w:r>
    </w:p>
    <w:p>
      <w:pPr>
        <w:spacing w:after="0" w:line="14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35" w:lineRule="exact"/>
        <w:rPr>
          <w:sz w:val="20"/>
          <w:szCs w:val="20"/>
          <w:color w:val="auto"/>
        </w:rPr>
      </w:pPr>
    </w:p>
    <w:p>
      <w:pPr>
        <w:ind w:right="200"/>
        <w:spacing w:after="0" w:line="309" w:lineRule="auto"/>
        <w:rPr>
          <w:sz w:val="20"/>
          <w:szCs w:val="20"/>
          <w:color w:val="auto"/>
        </w:rPr>
      </w:pPr>
      <w:r>
        <w:rPr>
          <w:rFonts w:ascii="Arial" w:cs="Arial" w:eastAsia="Arial" w:hAnsi="Arial"/>
          <w:sz w:val="17"/>
          <w:szCs w:val="17"/>
          <w:b w:val="1"/>
          <w:bCs w:val="1"/>
          <w:i w:val="1"/>
          <w:iCs w:val="1"/>
          <w:color w:val="auto"/>
        </w:rPr>
        <w:t>A number of recent actual and proposed U.S. policy changes and enforcement practices could reshape the U.S. higher education landscape, impacting students, our client educational institutions, and the wider educational framework in the United States.</w:t>
      </w:r>
    </w:p>
    <w:p>
      <w:pPr>
        <w:spacing w:after="0" w:line="89" w:lineRule="exact"/>
        <w:rPr>
          <w:sz w:val="20"/>
          <w:szCs w:val="20"/>
          <w:color w:val="auto"/>
        </w:rPr>
      </w:pPr>
    </w:p>
    <w:p>
      <w:pPr>
        <w:ind w:right="280" w:firstLine="374"/>
        <w:spacing w:after="0" w:line="244" w:lineRule="auto"/>
        <w:rPr>
          <w:sz w:val="20"/>
          <w:szCs w:val="20"/>
          <w:color w:val="auto"/>
        </w:rPr>
      </w:pPr>
      <w:r>
        <w:rPr>
          <w:rFonts w:ascii="Arial" w:cs="Arial" w:eastAsia="Arial" w:hAnsi="Arial"/>
          <w:sz w:val="18"/>
          <w:szCs w:val="18"/>
          <w:color w:val="auto"/>
        </w:rPr>
        <w:t>In the first half of 2025, there have been a number of actions and policies proposed or taken which have unsettled the U.S. higher education sector, a historically significant source of clients and revenue for us. Any one or combination of these potential acts and policies coming to fruition or further developing – or even a perception or fear of occurrence – could negatively affect student enrollment at U.S. colleges and universities, lead to diminishing operating budgets, and adversely affect our business and operating results and financial condition. Among these proposed or actual policies are:</w:t>
      </w:r>
    </w:p>
    <w:p>
      <w:pPr>
        <w:spacing w:after="0" w:line="68" w:lineRule="exact"/>
        <w:rPr>
          <w:sz w:val="20"/>
          <w:szCs w:val="20"/>
          <w:color w:val="auto"/>
        </w:rPr>
      </w:pPr>
    </w:p>
    <w:p>
      <w:pPr>
        <w:ind w:left="1020" w:right="80" w:hanging="503"/>
        <w:spacing w:after="0" w:line="23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issuances and revocations of student visas, and deportation of students studying in the U.S. High profile instances of students with traditionally protective immigration status being arrested, deported, or having their student visas revoked have drawn widespread media attention. There have similarly been proposals put forth to expand the scope of bans on visa issuances. Diplomatic tensions between the U.S. and other countries can evoke visa restrictions specifically targeting students which would impact their ability to study in the U.S. Changes in U.S. immigration regulations or other laws, practices and frequency or methods of enforcement which discourage immigration or international study could adversely affect our education vertical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9" w:name="page70"/>
    <w:bookmarkEnd w:id="69"/>
    <w:p>
      <w:pPr>
        <w:ind w:left="1020" w:right="480"/>
        <w:spacing w:after="0" w:line="271" w:lineRule="auto"/>
        <w:rPr>
          <w:sz w:val="20"/>
          <w:szCs w:val="20"/>
          <w:color w:val="auto"/>
        </w:rPr>
      </w:pPr>
      <w:r>
        <w:rPr>
          <w:rFonts w:ascii="Arial" w:cs="Arial" w:eastAsia="Arial" w:hAnsi="Arial"/>
          <w:sz w:val="18"/>
          <w:szCs w:val="18"/>
          <w:color w:val="auto"/>
        </w:rPr>
        <w:t>or growth rate in the future. Reduced or disrupted international study patterns are likely to reduce the payment volumes we process and harm our operating results.</w:t>
      </w:r>
    </w:p>
    <w:p>
      <w:pPr>
        <w:spacing w:after="0" w:line="46" w:lineRule="exact"/>
        <w:rPr>
          <w:sz w:val="20"/>
          <w:szCs w:val="20"/>
          <w:color w:val="auto"/>
        </w:rPr>
      </w:pPr>
    </w:p>
    <w:p>
      <w:pPr>
        <w:ind w:left="1020" w:right="100" w:hanging="503"/>
        <w:spacing w:after="0" w:line="255"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Reductions in government funding. There have been a number of instances of actual or threatened withholdings of federal funding to U.S. institutions of higher learning in general as well as to higher-profile U.S. colleges and universities. While some schools have worked out a negotiated arrangement with the U.S. government to allow for funding to continue in whole or in part</w:t>
      </w:r>
    </w:p>
    <w:p>
      <w:pPr>
        <w:spacing w:after="0" w:line="1" w:lineRule="exact"/>
        <w:rPr>
          <w:rFonts w:ascii="Times New Roman" w:cs="Times New Roman" w:eastAsia="Times New Roman" w:hAnsi="Times New Roman"/>
          <w:sz w:val="17"/>
          <w:szCs w:val="17"/>
          <w:color w:val="auto"/>
        </w:rPr>
      </w:pPr>
    </w:p>
    <w:p>
      <w:pPr>
        <w:ind w:left="1020"/>
        <w:spacing w:after="0" w:line="238" w:lineRule="auto"/>
        <w:rPr>
          <w:rFonts w:ascii="Times New Roman" w:cs="Times New Roman" w:eastAsia="Times New Roman" w:hAnsi="Times New Roman"/>
          <w:sz w:val="17"/>
          <w:szCs w:val="17"/>
          <w:color w:val="auto"/>
        </w:rPr>
      </w:pPr>
      <w:r>
        <w:rPr>
          <w:rFonts w:ascii="Arial" w:cs="Arial" w:eastAsia="Arial" w:hAnsi="Arial"/>
          <w:sz w:val="18"/>
          <w:szCs w:val="18"/>
          <w:color w:val="auto"/>
        </w:rPr>
        <w:t>– subject to specified conditions – others have not, and unreconciled instances continue to create an environment of uncertainty. Changes at the federal level regarding education policy could have a ripple effect on state funding for higher education. This could result in financial uncertainty for public universities that rely on state support, potentially leading to tougher budgetary constraints. Any such reductions could adversely affect the financial health of colleges and universities, leading to diminished operational budgets, fewer student services, and declines in enrollment, which could reduce the demand for our services and negatively impact our operating results.</w:t>
      </w:r>
    </w:p>
    <w:p>
      <w:pPr>
        <w:spacing w:after="0" w:line="73" w:lineRule="exact"/>
        <w:rPr>
          <w:rFonts w:ascii="Times New Roman" w:cs="Times New Roman" w:eastAsia="Times New Roman" w:hAnsi="Times New Roman"/>
          <w:sz w:val="17"/>
          <w:szCs w:val="17"/>
          <w:color w:val="auto"/>
        </w:rPr>
      </w:pPr>
    </w:p>
    <w:p>
      <w:pPr>
        <w:ind w:left="1020" w:right="6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Cutbacks to, or elimination of, student loan programs and the U.S. Department of Education. Alterations in student loan regulations or a reduction in U.S. government support for loan programs – particularly for international study – could exacerbate the financial burden on students and their families and make the cost of attending college prohibitively expensive for families. This situation might discourage prospective students from enrolling, thereby affecting overall college attendance rates. We have historically, and expect to continue to, process U.S. student loan payments and a loss of these payment flows or a reduction in the number of students enrolling in higher education institutions that accept U.S. student loan payments could adversely affect our business.</w:t>
      </w:r>
    </w:p>
    <w:p>
      <w:pPr>
        <w:spacing w:after="0" w:line="75" w:lineRule="exact"/>
        <w:rPr>
          <w:rFonts w:ascii="Times New Roman" w:cs="Times New Roman" w:eastAsia="Times New Roman" w:hAnsi="Times New Roman"/>
          <w:sz w:val="18"/>
          <w:szCs w:val="18"/>
          <w:color w:val="auto"/>
        </w:rPr>
      </w:pPr>
    </w:p>
    <w:p>
      <w:pPr>
        <w:ind w:left="1020" w:right="40" w:hanging="503"/>
        <w:spacing w:after="0" w:line="239"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Public image and perception. The perception of these real or proposed policies – especially with respect to immigration and availability of student visas – and their potential to make it more challenging for international students to study in the United States could result in a significant drop in enrollment numbers. This decline would particularly impact our U.S. client institutions that rely heavily on tuition revenue generated from international students. In addition, other nations may implement more attractive visa policies, which could entice international students to choose educational opportunities outside of the United States. Although we have client institutions in countries around the world where international students may choose to study if they are increasingly uncomfortable studying in the U.S., the cost of attending a school in these jurisdictions may be significantly less than in the U.S., and our payment volumes may suffer as a result.</w:t>
      </w:r>
    </w:p>
    <w:p>
      <w:pPr>
        <w:spacing w:after="0" w:line="146" w:lineRule="exact"/>
        <w:rPr>
          <w:sz w:val="20"/>
          <w:szCs w:val="20"/>
          <w:color w:val="auto"/>
        </w:rPr>
      </w:pPr>
    </w:p>
    <w:p>
      <w:pPr>
        <w:ind w:firstLine="374"/>
        <w:spacing w:after="0" w:line="244" w:lineRule="auto"/>
        <w:rPr>
          <w:sz w:val="20"/>
          <w:szCs w:val="20"/>
          <w:color w:val="auto"/>
        </w:rPr>
      </w:pPr>
      <w:r>
        <w:rPr>
          <w:rFonts w:ascii="Arial" w:cs="Arial" w:eastAsia="Arial" w:hAnsi="Arial"/>
          <w:sz w:val="18"/>
          <w:szCs w:val="18"/>
          <w:color w:val="auto"/>
        </w:rPr>
        <w:t>Recently, after a period during which interviews and applications for student visas to study in the U.S. were temporarily suspended, the U.S. Department of State (DOS) resumed scheduling visa interview appointments for international students and exchange visitors while it considered new social media vetting measures. New student and exchange visitor visa policies and the resumption of interview appointments will have implications for Fall enrollment of international students in the U.S. which may adversely affect our revenue and results of operations. Some of these expected impacts include:</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Requests for deferred admissions, increased student inquiries/concerns, and delays in expected enrollment;</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Visa appointment cancellations, unavailability or delays in scheduling interviews as well as higher visa rejection rates - especially as to potential students from the countries that send the most students to the United States; and</w:t>
      </w:r>
    </w:p>
    <w:p>
      <w:pPr>
        <w:spacing w:after="0" w:line="46" w:lineRule="exact"/>
        <w:rPr>
          <w:rFonts w:ascii="Times New Roman" w:cs="Times New Roman" w:eastAsia="Times New Roman" w:hAnsi="Times New Roman"/>
          <w:sz w:val="18"/>
          <w:szCs w:val="18"/>
          <w:color w:val="auto"/>
        </w:rPr>
      </w:pPr>
    </w:p>
    <w:p>
      <w:pPr>
        <w:ind w:left="1020" w:right="40" w:hanging="503"/>
        <w:spacing w:after="0" w:line="243"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These European and Asian study destinations that are gaining in market share of student interest often carry lower tuition and related costs of living relative to the United States, which can result in lower volume of payments processed within our education vertical.</w:t>
      </w:r>
    </w:p>
    <w:p>
      <w:pPr>
        <w:spacing w:after="0" w:line="180" w:lineRule="exact"/>
        <w:rPr>
          <w:sz w:val="20"/>
          <w:szCs w:val="20"/>
          <w:color w:val="auto"/>
        </w:rPr>
      </w:pPr>
    </w:p>
    <w:p>
      <w:pPr>
        <w:ind w:right="200" w:firstLine="374"/>
        <w:spacing w:after="0" w:line="237" w:lineRule="auto"/>
        <w:rPr>
          <w:sz w:val="20"/>
          <w:szCs w:val="20"/>
          <w:color w:val="auto"/>
        </w:rPr>
      </w:pPr>
      <w:r>
        <w:rPr>
          <w:rFonts w:ascii="Arial" w:cs="Arial" w:eastAsia="Arial" w:hAnsi="Arial"/>
          <w:sz w:val="18"/>
          <w:szCs w:val="18"/>
          <w:color w:val="auto"/>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ind w:right="20" w:firstLine="559"/>
        <w:spacing w:after="0"/>
        <w:rPr>
          <w:sz w:val="20"/>
          <w:szCs w:val="20"/>
          <w:color w:val="auto"/>
        </w:rPr>
      </w:pPr>
      <w:r>
        <w:rPr>
          <w:rFonts w:ascii="Arial" w:cs="Arial" w:eastAsia="Arial" w:hAnsi="Arial"/>
          <w:sz w:val="18"/>
          <w:szCs w:val="18"/>
          <w:color w:val="auto"/>
        </w:rPr>
        <w:t>In addition, in the U.S., the recently enacted “One Big Beautiful Bill” contains a number of provisions with the potential to significantly change the landscape for financing undergraduate and graduate study and which could adversely affect the demand for higher 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Although most of these changes won’t go into effect until July 1, 2026, so U.S. students entering or returning to college in the fall of 2025 are unaffected, the longer-term impacts of the bill may impact U.S. student enrollment in undergraduate and postgraduate programs and could materially and adversely affect our revenue and results of operations.</w:t>
      </w:r>
    </w:p>
    <w:p>
      <w:pPr>
        <w:spacing w:after="0" w:line="15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1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5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4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1" w:name="page72"/>
    <w:bookmarkEnd w:id="71"/>
    <w:p>
      <w:pPr>
        <w:ind w:right="400" w:firstLine="509"/>
        <w:spacing w:after="0" w:line="253"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4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6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conflicts between Russia and Ukraine, and Israel and Hamas, and Israel and Iran (which has also featured military strikes by the U.S. against Iran),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recessionary trends, heightened interest rates and inflation.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such as the imposition of tariffs or sanctions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 The payment volume from our travel vertical represented less than 10% of our total payment volume during the year ended December 31, 2024. Because we seek to grow the payment volume and the revenue from this vertical in the future through various initiatives, including the recently announced Sertifi acquisition, failure to grow our payment volume and resulting revenue from this industry, may have an adverse effect on our business, operating results and financial condition.</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1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Our payment volume and resulting revenue from serving the B2B vertical is highly sensitive to restrictions on the cross-border commerce on which our clients rely, and declining economic conditions, increases in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2" w:name="page73"/>
    <w:bookmarkEnd w:id="72"/>
    <w:p>
      <w:pPr>
        <w:ind w:right="60"/>
        <w:spacing w:after="0" w:line="242" w:lineRule="auto"/>
        <w:rPr>
          <w:sz w:val="20"/>
          <w:szCs w:val="20"/>
          <w:color w:val="auto"/>
        </w:rPr>
      </w:pPr>
      <w:r>
        <w:rPr>
          <w:rFonts w:ascii="Arial" w:cs="Arial" w:eastAsia="Arial" w:hAnsi="Arial"/>
          <w:sz w:val="18"/>
          <w:szCs w:val="18"/>
          <w:color w:val="auto"/>
        </w:rPr>
        <w:t>costs or unavailability of imported goods and services due to imposition of tariffs, sanctions or other restrictions, could adversely affect our development of this vertical or our overall operating results and financial condition. The payment volume and resulting revenue from our B2B payment vertical during the year ended December 31, 2024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5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2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2"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1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spacing w:after="0" w:line="15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Although recent cease-fires have in some instances reduced hostilities, armed conflict is continuing and could intensify if cease-fires are not sustained, and conflict could spread between Israel and Iran, and also further affect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3" w:name="page74"/>
    <w:bookmarkEnd w:id="73"/>
    <w:p>
      <w:pPr>
        <w:ind w:right="100"/>
        <w:spacing w:after="0" w:line="253" w:lineRule="auto"/>
        <w:rPr>
          <w:sz w:val="20"/>
          <w:szCs w:val="20"/>
          <w:color w:val="auto"/>
        </w:rPr>
      </w:pPr>
      <w:r>
        <w:rPr>
          <w:rFonts w:ascii="Arial" w:cs="Arial" w:eastAsia="Arial" w:hAnsi="Arial"/>
          <w:sz w:val="18"/>
          <w:szCs w:val="18"/>
          <w:color w:val="auto"/>
        </w:rPr>
        <w:t>Lebanon. In addition, in June 2025, Israel launched a series of military strikes against Iran’s nuclear capabilities, and Iran responded with attacks against Israel. The U.S. also launched military strikes against Iran and it is difficult to predict if a widening of hostilities will result, and if so, their duration.</w:t>
      </w:r>
    </w:p>
    <w:p>
      <w:pPr>
        <w:spacing w:after="0" w:line="14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Israel Defense Force (IDF), the national military of Israel, is a conscripted military service, subject to certain exceptions. Since the outbreak of hostilities,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36"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1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4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Annual Report on Form 10-K.</w:t>
      </w:r>
    </w:p>
    <w:p>
      <w:pPr>
        <w:spacing w:after="0" w:line="1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political tensions between the U.S. and countries, such as Canada, Mexico and China, have recently escalated due to, among other things, U.S. policy shifts, and could have an adverse effect on our operating results.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Since February 2025, the U.S. government has enacted, and continues to enact, a series of new tariffs, including a tariff on all imports and additional “reciprocal” tariffs targeting imports from specified countries. These tariffs and other changes in U.S. trade policy have triggered, and could continue to trigger, retaliatory actions by affected countries, including retaliatory measures other protectionist measures that could harm our business, results of operations and financial condition. The tariff policy environment has been and can be 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spacing w:after="0" w:line="14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50 basis points on September 18, 2024,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87"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3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For the year ended December 31, 2024, we processed over $29.7 billion in payments on our solutions, compared to over $24.0 billion for the year ended December 31, 2023. For the six months ended June 30, 2025, we processed approximately $14.3 billion in payments on our solutions.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spacing w:after="0" w:line="145" w:lineRule="exact"/>
        <w:rPr>
          <w:sz w:val="20"/>
          <w:szCs w:val="20"/>
          <w:color w:val="auto"/>
        </w:rPr>
      </w:pPr>
    </w:p>
    <w:p>
      <w:pPr>
        <w:jc w:val="both"/>
        <w:ind w:right="600" w:firstLine="509"/>
        <w:spacing w:after="0" w:line="247"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47" w:lineRule="exact"/>
        <w:rPr>
          <w:sz w:val="20"/>
          <w:szCs w:val="20"/>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83" w:lineRule="exact"/>
        <w:rPr>
          <w:rFonts w:ascii="Times New Roman" w:cs="Times New Roman" w:eastAsia="Times New Roman" w:hAnsi="Times New Roman"/>
          <w:sz w:val="18"/>
          <w:szCs w:val="18"/>
          <w:color w:val="auto"/>
        </w:rPr>
      </w:pPr>
    </w:p>
    <w:p>
      <w:pPr>
        <w:ind w:left="900" w:right="52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1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5" w:name="page76"/>
    <w:bookmarkEnd w:id="75"/>
    <w:p>
      <w:pPr>
        <w:ind w:right="400"/>
        <w:spacing w:after="0" w:line="278"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11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4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marketable securities portfolio is subject to credit, liquidity, market, and interest rate risks that could cause its value to decline significantly and materially adversely affect our business, financial condition, results of operations, and prospects.</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spacing w:after="0" w:line="160"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Volatility in the banking and financial services ecosystems may impact our bank partnerships and relationships, which could adversely affect our operations and liquidity.</w:t>
      </w:r>
    </w:p>
    <w:p>
      <w:pPr>
        <w:spacing w:after="0" w:line="9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3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53"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6" w:name="page77"/>
    <w:bookmarkEnd w:id="76"/>
    <w:p>
      <w:pPr>
        <w:ind w:right="24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3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4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2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5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1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3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53"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7" w:name="page78"/>
    <w:bookmarkEnd w:id="77"/>
    <w:p>
      <w:pPr>
        <w:spacing w:after="0" w:line="242" w:lineRule="auto"/>
        <w:rPr>
          <w:sz w:val="20"/>
          <w:szCs w:val="20"/>
          <w:color w:val="auto"/>
        </w:rPr>
      </w:pPr>
      <w:r>
        <w:rPr>
          <w:rFonts w:ascii="Arial" w:cs="Arial" w:eastAsia="Arial" w:hAnsi="Arial"/>
          <w:sz w:val="18"/>
          <w:szCs w:val="18"/>
          <w:color w:val="auto"/>
        </w:rPr>
        <w:t>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5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3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4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clients, suppliers or other vendors.</w:t>
      </w:r>
    </w:p>
    <w:p>
      <w:pPr>
        <w:spacing w:after="0" w:line="127"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intelligence may create additional cybersecurity risks or increase cybersecurity risks, including risks of security breaches and incidents.</w:t>
      </w:r>
    </w:p>
    <w:p>
      <w:pPr>
        <w:spacing w:after="0" w:line="18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4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8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and Iran,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79" w:name="page80"/>
    <w:bookmarkEnd w:id="79"/>
    <w:p>
      <w:pPr>
        <w:ind w:right="36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clients, FlyMates or other third parties, which could expose us to material financial losses and liability and otherwise harm our business.</w:t>
      </w:r>
    </w:p>
    <w:p>
      <w:pPr>
        <w:spacing w:after="0" w:line="112"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3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4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5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3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0" w:name="page81"/>
    <w:bookmarkEnd w:id="80"/>
    <w:p>
      <w:pPr>
        <w:ind w:right="60"/>
        <w:spacing w:after="0" w:line="247" w:lineRule="auto"/>
        <w:rPr>
          <w:sz w:val="20"/>
          <w:szCs w:val="20"/>
          <w:color w:val="auto"/>
        </w:rPr>
      </w:pPr>
      <w:r>
        <w:rPr>
          <w:rFonts w:ascii="Arial" w:cs="Arial" w:eastAsia="Arial" w:hAnsi="Arial"/>
          <w:sz w:val="18"/>
          <w:szCs w:val="18"/>
          <w:color w:val="auto"/>
        </w:rPr>
        <w:t>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4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auto"/>
        </w:rPr>
        <w:t>We use artificial intelligence (AI) in our solutions and services which may result in operational challenges, legal liability, reputational harm, competitive risks and regulatory and enhanced fraud concerns that could adversely affect our business and results of operations.</w:t>
      </w:r>
    </w:p>
    <w:p>
      <w:pPr>
        <w:spacing w:after="0" w:line="1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incorporate AI, including generative AI, into our solutions and services, including into our payor virtual assistant self-help chatbot. We may also incorporate or resell third-party AI technology into the services we provide to our clients. These technologies are complex and rapidly evolving and building them requires significant investment in infrastructure and personnel with no assurance that we will realize the desired or anticipated benefits. There is no assurance that the usage of such AI-powered solutions, whether developed in-house or sourced from third-parties, will enhance our business, or otherwise help our operations become more effective, efficient, or profitable.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or delivery to our clients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or clients or clients’ customers or partners, or otherwise interfere with the performance of our business.</w:t>
      </w:r>
    </w:p>
    <w:p>
      <w:pPr>
        <w:spacing w:after="0" w:line="14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competitors may more successfully or more quickly incorporate AI into their products and achieve higher market acceptance of their AI solutions, which could impair our ability to compete effectively and adversely affect our results of operations, and we may also encounter new risks, challenges, and unintended consequences as a result of our use of AI. For example, the issue of intellectual property ownership and license rights surrounding AI technologies has not been fully addressed by U.S. or international courts or federal or state laws and regulations. We may not have adequate rights to use the data on which our AI-powered solutions rely. To the extent that we do not have sufficient rights to use the data used in, or produced by, the AI-powered solutions employed in our business and operations, we could be exposed to intellectual property claims or mandatory compliance with open-source software or other license terms. Further, any content or other output created by us using AI-powered solutions may not be subject to copyright protection, which may adversely affect our ability to commercialize or use, or the validity or enforceability of any IP rights in, such content or other output.</w:t>
      </w:r>
    </w:p>
    <w:p>
      <w:pPr>
        <w:spacing w:after="0" w:line="15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use of AI may also lead to novel cybersecurity or privacy risks, including those that implicate the confidential and personal information of users of AI-powered solutions, which may adversely affect our operations and reputation and expose us to legal liability or regulatory risks, including with respect to third-party IP rights or privacy, publicity, contractual, or other rights. If any of our employees, contractors,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 protect, defend, and enforce our IP rights in, such information or otherwise harm our competitive position, reputation, or business.</w:t>
      </w:r>
    </w:p>
    <w:p>
      <w:pPr>
        <w:spacing w:after="0" w:line="14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European Union’s Artificial Intelligence Act (the EU AI Act), which would apply beyond the European Union's borders, came into force in August 2024, and various other governments have proposed or adopted policy and regulatory responses to oversee the use of AI. There is a risk that our current or future AI-powered solutions may obligate us to comply with the applicable requirements of the EU AI Act, which may impose additional costs on us, increase our risk of liability and fines, or otherwise adversely affect our business, financial condition, operating results, and future prospects. Compliance with other regulations as well as social and ethical standards and client expectations relating to AI may require significant research and development costs as well as management and employee attention. Any actual or perceived failure to comply with these laws, regulations, ethical standards or expectations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1" w:name="page82"/>
    <w:bookmarkEnd w:id="81"/>
    <w:p>
      <w:pPr>
        <w:ind w:firstLine="509"/>
        <w:spacing w:after="0"/>
        <w:rPr>
          <w:sz w:val="20"/>
          <w:szCs w:val="20"/>
          <w:color w:val="auto"/>
        </w:rPr>
      </w:pPr>
      <w:r>
        <w:rPr>
          <w:rFonts w:ascii="Arial" w:cs="Arial" w:eastAsia="Arial" w:hAnsi="Arial"/>
          <w:sz w:val="18"/>
          <w:szCs w:val="18"/>
          <w:color w:val="auto"/>
        </w:rPr>
        <w:t>In addition, the nefarious and fraudulent uses of AI by bad actors could lead to reputational damage if we fail, or are perceived to fail, to align our AML, KYC, sanctions and verification screening policies, procedures and protocols to detect fraudulent activity relating to the use of AI. Such failures may result in financial loss to our business, other fines, penalties or disciplinary actions imposed by regulators, lawsuits and claims from negatively impacted clients or payors, and may also erode trust in the use of our services by clients and our clients’ customers. Although we take steps designed to mitigate the risks associated with the use of AI in our business and operations, our use or the use of AI for fraudulent purposes by bad actors may present ethical, reputational, technical, operational, legal, competitive, or regulatory risks, any of which could adversely affect our business, financial condition, operating results, and future prospects.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6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3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33" w:lineRule="exact"/>
        <w:rPr>
          <w:sz w:val="20"/>
          <w:szCs w:val="20"/>
          <w:color w:val="auto"/>
        </w:rPr>
      </w:pPr>
    </w:p>
    <w:p>
      <w:pPr>
        <w:jc w:val="both"/>
        <w:ind w:right="520" w:firstLine="509"/>
        <w:spacing w:after="0" w:line="253"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28"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52" w:lineRule="exact"/>
        <w:rPr>
          <w:sz w:val="20"/>
          <w:szCs w:val="20"/>
          <w:color w:val="auto"/>
        </w:rPr>
      </w:pPr>
    </w:p>
    <w:p>
      <w:pPr>
        <w:jc w:val="center"/>
        <w:spacing w:after="0" w:line="248" w:lineRule="auto"/>
        <w:rPr>
          <w:sz w:val="20"/>
          <w:szCs w:val="20"/>
          <w:color w:val="auto"/>
        </w:rPr>
      </w:pPr>
      <w:r>
        <w:rPr>
          <w:rFonts w:ascii="Arial" w:cs="Arial" w:eastAsia="Arial" w:hAnsi="Arial"/>
          <w:sz w:val="18"/>
          <w:szCs w:val="18"/>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82" w:name="page83"/>
    <w:bookmarkEnd w:id="82"/>
    <w:p>
      <w:pPr>
        <w:ind w:right="580"/>
        <w:spacing w:after="0" w:line="278" w:lineRule="auto"/>
        <w:rPr>
          <w:sz w:val="20"/>
          <w:szCs w:val="20"/>
          <w:color w:val="auto"/>
        </w:rPr>
      </w:pPr>
      <w:r>
        <w:rPr>
          <w:rFonts w:ascii="Arial" w:cs="Arial" w:eastAsia="Arial" w:hAnsi="Arial"/>
          <w:sz w:val="18"/>
          <w:szCs w:val="18"/>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1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that further developing, maintaining, protecting and enhancing our brand domestically and on a global basis is important to support the marketing and sale of our existing and future solutions to existing and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spacing w:after="0" w:line="140" w:lineRule="exact"/>
        <w:rPr>
          <w:sz w:val="20"/>
          <w:szCs w:val="20"/>
          <w:color w:val="auto"/>
        </w:rPr>
      </w:pPr>
    </w:p>
    <w:p>
      <w:pPr>
        <w:ind w:right="500" w:firstLine="509"/>
        <w:spacing w:after="0" w:line="244" w:lineRule="auto"/>
        <w:rPr>
          <w:sz w:val="20"/>
          <w:szCs w:val="20"/>
          <w:color w:val="auto"/>
        </w:rPr>
      </w:pPr>
      <w:r>
        <w:rPr>
          <w:rFonts w:ascii="Arial" w:cs="Arial" w:eastAsia="Arial" w:hAnsi="Arial"/>
          <w:sz w:val="18"/>
          <w:szCs w:val="18"/>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3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6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83" w:name="page84"/>
    <w:bookmarkEnd w:id="83"/>
    <w:p>
      <w:pPr>
        <w:ind w:right="20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1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69"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spacing w:after="0" w:line="11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and Israel and Hamas, and between Israel, the U.S. and Iran),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5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84" w:name="page85"/>
    <w:bookmarkEnd w:id="84"/>
    <w:p>
      <w:pPr>
        <w:ind w:right="14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42"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9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56"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5"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5" w:name="page86"/>
    <w:bookmarkEnd w:id="85"/>
    <w:p>
      <w:pPr>
        <w:spacing w:after="0" w:line="271" w:lineRule="auto"/>
        <w:rPr>
          <w:sz w:val="20"/>
          <w:szCs w:val="20"/>
          <w:color w:val="auto"/>
        </w:rPr>
      </w:pPr>
      <w:r>
        <w:rPr>
          <w:rFonts w:ascii="Arial" w:cs="Arial" w:eastAsia="Arial" w:hAnsi="Arial"/>
          <w:sz w:val="18"/>
          <w:szCs w:val="18"/>
          <w:color w:val="auto"/>
        </w:rPr>
        <w:t>additional businesses, we may not be able to integrate them effectively following the acquisition or effectively manage the combined business following the acquisition.</w:t>
      </w:r>
    </w:p>
    <w:p>
      <w:pPr>
        <w:spacing w:after="0" w:line="127"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Any acquisitions we undertake or have recently completed, including the acquisitions of Sertifi in February 2025, Invoiced in August 2024, StudyLink in November 2023 and Cohort Go in July 2022, will likely be accompanied by business risks which may include, among other things:</w:t>
      </w:r>
    </w:p>
    <w:p>
      <w:pPr>
        <w:spacing w:after="0" w:line="128" w:lineRule="exact"/>
        <w:rPr>
          <w:sz w:val="20"/>
          <w:szCs w:val="20"/>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results, strategic position or reputation;</w:t>
      </w:r>
    </w:p>
    <w:p>
      <w:pPr>
        <w:spacing w:after="0" w:line="183"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27" w:lineRule="exact"/>
        <w:rPr>
          <w:rFonts w:ascii="Times New Roman" w:cs="Times New Roman" w:eastAsia="Times New Roman" w:hAnsi="Times New Roman"/>
          <w:sz w:val="18"/>
          <w:szCs w:val="18"/>
          <w:color w:val="auto"/>
        </w:rPr>
      </w:pPr>
    </w:p>
    <w:p>
      <w:pPr>
        <w:ind w:left="900" w:right="102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3" w:lineRule="exact"/>
        <w:rPr>
          <w:rFonts w:ascii="Times New Roman" w:cs="Times New Roman" w:eastAsia="Times New Roman" w:hAnsi="Times New Roman"/>
          <w:sz w:val="18"/>
          <w:szCs w:val="18"/>
          <w:color w:val="auto"/>
        </w:rPr>
      </w:pPr>
    </w:p>
    <w:p>
      <w:pPr>
        <w:ind w:left="900" w:right="48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27" w:lineRule="exact"/>
        <w:rPr>
          <w:rFonts w:ascii="Times New Roman" w:cs="Times New Roman" w:eastAsia="Times New Roman" w:hAnsi="Times New Roman"/>
          <w:sz w:val="18"/>
          <w:szCs w:val="18"/>
          <w:color w:val="auto"/>
        </w:rPr>
      </w:pPr>
    </w:p>
    <w:p>
      <w:pPr>
        <w:ind w:left="900" w:right="22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geographies, new business culture, products or technologies or an initial dependence on unfamiliar distribution partners;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9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44"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and core payment platform could harm our business.</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and Israel and Iran (and potentially the U.S. and Iran following U.S. military strikes against Iran nuclear capabilities in June 2025),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p>
    <w:p>
      <w:pPr>
        <w:spacing w:after="0" w:line="14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6" w:name="page87"/>
    <w:bookmarkEnd w:id="86"/>
    <w:p>
      <w:pPr>
        <w:ind w:right="40" w:firstLine="509"/>
        <w:spacing w:after="0" w:line="242"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5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caused widespread crashes of Windows systems into which it was integrated, including certain Windows systems used by our vendors and customers. As of the date of this Annual Report on Form 10-K,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0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3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5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7" w:name="page88"/>
    <w:bookmarkEnd w:id="87"/>
    <w:p>
      <w:pPr>
        <w:ind w:right="60" w:firstLine="509"/>
        <w:spacing w:after="0" w:line="244"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73"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escalation of the conflicts between Russia and Ukraine, and Israel and Hamas and Israel and Iran (which has also featured military strikes by the U.S. against Iran),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56" w:lineRule="exact"/>
        <w:rPr>
          <w:sz w:val="20"/>
          <w:szCs w:val="20"/>
          <w:color w:val="auto"/>
        </w:rPr>
      </w:pPr>
    </w:p>
    <w:p>
      <w:pPr>
        <w:ind w:left="900" w:hanging="263"/>
        <w:spacing w:after="0"/>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8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heightened interest rates, inflation, recession concerns and the disruption, volatility and tightening of credit and capital markets;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compliance with multiple complex, potentially conflicting and changing governmental laws and regulations;</w:t>
      </w:r>
    </w:p>
    <w:p>
      <w:pPr>
        <w:spacing w:after="0" w:line="197"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83" w:lineRule="exact"/>
        <w:rPr>
          <w:rFonts w:ascii="Times New Roman" w:cs="Times New Roman" w:eastAsia="Times New Roman" w:hAnsi="Times New Roman"/>
          <w:sz w:val="18"/>
          <w:szCs w:val="18"/>
          <w:color w:val="auto"/>
        </w:rPr>
      </w:pPr>
    </w:p>
    <w:p>
      <w:pPr>
        <w:ind w:left="900" w:right="620" w:hanging="263"/>
        <w:spacing w:after="0" w:line="300" w:lineRule="auto"/>
        <w:tabs>
          <w:tab w:leader="none" w:pos="90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04"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tariffs and changes in trade regulations;</w:t>
      </w:r>
    </w:p>
    <w:p>
      <w:pPr>
        <w:spacing w:after="0" w:line="183"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sanctions issued by the U.S. and other countries against Russia;</w:t>
      </w:r>
    </w:p>
    <w:p>
      <w:pPr>
        <w:spacing w:after="0" w:line="113" w:lineRule="exact"/>
        <w:rPr>
          <w:rFonts w:ascii="Times New Roman" w:cs="Times New Roman" w:eastAsia="Times New Roman" w:hAnsi="Times New Roman"/>
          <w:sz w:val="18"/>
          <w:szCs w:val="18"/>
          <w:color w:val="auto"/>
        </w:rPr>
      </w:pPr>
    </w:p>
    <w:p>
      <w:pPr>
        <w:ind w:left="900" w:right="18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83" w:lineRule="exact"/>
        <w:rPr>
          <w:rFonts w:ascii="Times New Roman" w:cs="Times New Roman" w:eastAsia="Times New Roman" w:hAnsi="Times New Roman"/>
          <w:sz w:val="18"/>
          <w:szCs w:val="18"/>
          <w:color w:val="auto"/>
        </w:rPr>
      </w:pPr>
    </w:p>
    <w:p>
      <w:pPr>
        <w:ind w:left="900" w:right="240" w:hanging="263"/>
        <w:spacing w:after="0" w:line="244"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sectPr>
      </w:pPr>
    </w:p>
    <w:bookmarkStart w:id="88" w:name="page89"/>
    <w:bookmarkEnd w:id="88"/>
    <w:p>
      <w:pPr>
        <w:ind w:left="900" w:hanging="263"/>
        <w:spacing w:after="0" w:line="252"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and between Israel and Hamas and Israel and Iran (which has also featured military strikes by the U.S. against Iran), respectively, economic instability, repression, or human rights issues;</w:t>
      </w:r>
    </w:p>
    <w:p>
      <w:pPr>
        <w:spacing w:after="0" w:line="14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3"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97" w:lineRule="exact"/>
        <w:rPr>
          <w:rFonts w:ascii="Times New Roman" w:cs="Times New Roman" w:eastAsia="Times New Roman" w:hAnsi="Times New Roman"/>
          <w:sz w:val="18"/>
          <w:szCs w:val="18"/>
          <w:color w:val="auto"/>
        </w:rPr>
      </w:pPr>
    </w:p>
    <w:p>
      <w:pPr>
        <w:ind w:left="900" w:right="20" w:hanging="263"/>
        <w:spacing w:after="0" w:line="252"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spacing w:after="0" w:line="13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83" w:lineRule="exact"/>
        <w:rPr>
          <w:rFonts w:ascii="Times New Roman" w:cs="Times New Roman" w:eastAsia="Times New Roman" w:hAnsi="Times New Roman"/>
          <w:sz w:val="18"/>
          <w:szCs w:val="18"/>
          <w:color w:val="auto"/>
        </w:rPr>
      </w:pPr>
    </w:p>
    <w:p>
      <w:pPr>
        <w:ind w:left="900" w:right="300" w:hanging="263"/>
        <w:spacing w:after="0" w:line="266" w:lineRule="auto"/>
        <w:tabs>
          <w:tab w:leader="none" w:pos="90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131" w:lineRule="exact"/>
        <w:rPr>
          <w:rFonts w:ascii="Times New Roman" w:cs="Times New Roman" w:eastAsia="Times New Roman" w:hAnsi="Times New Roman"/>
          <w:sz w:val="17"/>
          <w:szCs w:val="17"/>
          <w:color w:val="auto"/>
        </w:rPr>
      </w:pPr>
    </w:p>
    <w:p>
      <w:pPr>
        <w:ind w:left="900" w:right="340" w:hanging="263"/>
        <w:spacing w:after="0" w:line="270"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or the priorities of the U.S. presidential administration and related changes in laws, regulations or policies;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97"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3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3"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9" w:name="page90"/>
    <w:bookmarkEnd w:id="89"/>
    <w:p>
      <w:pPr>
        <w:ind w:right="18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4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Certain of our subsidiaries are registered with FinCEN. Our subsidiary Flywire Global Corp. has obtained licenses to operate as a money transmitter (or the statutory equivalent) in 45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3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55" w:lineRule="exact"/>
        <w:rPr>
          <w:sz w:val="20"/>
          <w:szCs w:val="20"/>
          <w:color w:val="auto"/>
        </w:rPr>
      </w:pPr>
    </w:p>
    <w:p>
      <w:pPr>
        <w:ind w:right="280" w:firstLine="509"/>
        <w:spacing w:after="0" w:line="238"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solutions, require significant and costly operational changes, or prevent us from providing our solutions in any given market.</w:t>
      </w:r>
    </w:p>
    <w:p>
      <w:pPr>
        <w:spacing w:after="0" w:line="18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40"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27" w:lineRule="exact"/>
        <w:rPr>
          <w:sz w:val="20"/>
          <w:szCs w:val="20"/>
          <w:color w:val="auto"/>
        </w:rPr>
      </w:pPr>
    </w:p>
    <w:p>
      <w:pPr>
        <w:ind w:left="900" w:right="240" w:hanging="263"/>
        <w:spacing w:after="0" w:line="270"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97" w:lineRule="exact"/>
        <w:rPr>
          <w:rFonts w:ascii="Times New Roman" w:cs="Times New Roman" w:eastAsia="Times New Roman" w:hAnsi="Times New Roman"/>
          <w:sz w:val="18"/>
          <w:szCs w:val="18"/>
          <w:color w:val="auto"/>
        </w:rPr>
      </w:pPr>
    </w:p>
    <w:p>
      <w:pPr>
        <w:ind w:left="900" w:right="760" w:hanging="263"/>
        <w:spacing w:after="0" w:line="270"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83" w:lineRule="exact"/>
        <w:rPr>
          <w:rFonts w:ascii="Times New Roman" w:cs="Times New Roman" w:eastAsia="Times New Roman" w:hAnsi="Times New Roman"/>
          <w:sz w:val="18"/>
          <w:szCs w:val="18"/>
          <w:color w:val="auto"/>
        </w:rPr>
      </w:pPr>
    </w:p>
    <w:p>
      <w:pPr>
        <w:ind w:left="900" w:right="380" w:hanging="263"/>
        <w:spacing w:after="0" w:line="252"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4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83"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13" w:lineRule="exact"/>
        <w:rPr>
          <w:rFonts w:ascii="Times New Roman" w:cs="Times New Roman" w:eastAsia="Times New Roman" w:hAnsi="Times New Roman"/>
          <w:sz w:val="18"/>
          <w:szCs w:val="18"/>
          <w:color w:val="auto"/>
        </w:rPr>
      </w:pPr>
    </w:p>
    <w:p>
      <w:pPr>
        <w:ind w:left="900" w:right="100" w:hanging="263"/>
        <w:spacing w:after="0" w:line="270"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27" w:lineRule="exact"/>
        <w:rPr>
          <w:rFonts w:ascii="Times New Roman" w:cs="Times New Roman" w:eastAsia="Times New Roman" w:hAnsi="Times New Roman"/>
          <w:sz w:val="18"/>
          <w:szCs w:val="18"/>
          <w:color w:val="auto"/>
        </w:rPr>
      </w:pPr>
    </w:p>
    <w:p>
      <w:pPr>
        <w:ind w:left="900" w:right="480" w:hanging="263"/>
        <w:spacing w:after="0" w:line="270"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6"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91" w:name="page92"/>
    <w:bookmarkEnd w:id="91"/>
    <w:p>
      <w:pPr>
        <w:ind w:right="180"/>
        <w:spacing w:after="0" w:line="253" w:lineRule="auto"/>
        <w:rPr>
          <w:sz w:val="20"/>
          <w:szCs w:val="20"/>
          <w:color w:val="auto"/>
        </w:rPr>
      </w:pPr>
      <w:r>
        <w:rPr>
          <w:rFonts w:ascii="Arial" w:cs="Arial" w:eastAsia="Arial" w:hAnsi="Arial"/>
          <w:sz w:val="18"/>
          <w:szCs w:val="18"/>
          <w:color w:val="auto"/>
        </w:rPr>
        <w:t>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4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4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3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38"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w:t>
      </w: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2" w:name="page93"/>
    <w:bookmarkEnd w:id="92"/>
    <w:p>
      <w:pPr>
        <w:ind w:right="360"/>
        <w:spacing w:after="0" w:line="271" w:lineRule="auto"/>
        <w:rPr>
          <w:sz w:val="20"/>
          <w:szCs w:val="20"/>
          <w:color w:val="auto"/>
        </w:rPr>
      </w:pPr>
      <w:r>
        <w:rPr>
          <w:rFonts w:ascii="Arial" w:cs="Arial" w:eastAsia="Arial" w:hAnsi="Arial"/>
          <w:sz w:val="18"/>
          <w:szCs w:val="18"/>
          <w:color w:val="auto"/>
        </w:rPr>
        <w:t>ordered to pay a $1.2 million penalty and, among other things, implement a monitoring and reporting program to demonstrate its ongoing compliance with the CCPA.</w:t>
      </w:r>
    </w:p>
    <w:p>
      <w:pPr>
        <w:spacing w:after="0" w:line="127"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3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5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43" w:lineRule="exact"/>
        <w:rPr>
          <w:sz w:val="20"/>
          <w:szCs w:val="20"/>
          <w:color w:val="auto"/>
        </w:rPr>
      </w:pPr>
    </w:p>
    <w:p>
      <w:pPr>
        <w:ind w:right="640" w:firstLine="509"/>
        <w:spacing w:after="0" w:line="245"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w:t>
      </w: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3" w:name="page94"/>
    <w:bookmarkEnd w:id="93"/>
    <w:p>
      <w:pPr>
        <w:ind w:right="80"/>
        <w:spacing w:after="0"/>
        <w:rPr>
          <w:sz w:val="20"/>
          <w:szCs w:val="20"/>
          <w:color w:val="auto"/>
        </w:rPr>
      </w:pPr>
      <w:r>
        <w:rPr>
          <w:rFonts w:ascii="Arial" w:cs="Arial" w:eastAsia="Arial" w:hAnsi="Arial"/>
          <w:sz w:val="18"/>
          <w:szCs w:val="18"/>
          <w:color w:val="auto"/>
        </w:rPr>
        <w:t>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58"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53"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38"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3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3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94" w:name="page95"/>
    <w:bookmarkEnd w:id="94"/>
    <w:p>
      <w:pPr>
        <w:ind w:right="40"/>
        <w:spacing w:after="0" w:line="244" w:lineRule="auto"/>
        <w:rPr>
          <w:sz w:val="20"/>
          <w:szCs w:val="20"/>
          <w:color w:val="auto"/>
        </w:rPr>
      </w:pPr>
      <w:r>
        <w:rPr>
          <w:rFonts w:ascii="Arial" w:cs="Arial" w:eastAsia="Arial" w:hAnsi="Arial"/>
          <w:sz w:val="18"/>
          <w:szCs w:val="18"/>
          <w:color w:val="auto"/>
        </w:rPr>
        <w:t>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14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44"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2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5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40"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5" w:name="page96"/>
    <w:bookmarkEnd w:id="95"/>
    <w:p>
      <w:pPr>
        <w:ind w:right="620"/>
        <w:spacing w:after="0" w:line="271" w:lineRule="auto"/>
        <w:rPr>
          <w:sz w:val="20"/>
          <w:szCs w:val="20"/>
          <w:color w:val="auto"/>
        </w:rPr>
      </w:pPr>
      <w:r>
        <w:rPr>
          <w:rFonts w:ascii="Arial" w:cs="Arial" w:eastAsia="Arial" w:hAnsi="Arial"/>
          <w:sz w:val="18"/>
          <w:szCs w:val="18"/>
          <w:color w:val="auto"/>
        </w:rPr>
        <w:t>illegal activities of these third-party intermediaries, our FlyMates, representatives, contractors, partners, and agents, even if we do not explicitly authorize such activities.</w:t>
      </w:r>
    </w:p>
    <w:p>
      <w:pPr>
        <w:spacing w:after="0" w:line="127"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5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39" w:lineRule="exact"/>
        <w:rPr>
          <w:sz w:val="20"/>
          <w:szCs w:val="20"/>
          <w:color w:val="auto"/>
        </w:rPr>
      </w:pPr>
    </w:p>
    <w:p>
      <w:pPr>
        <w:ind w:right="140" w:firstLine="509"/>
        <w:spacing w:after="0" w:line="236"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96" w:name="page97"/>
    <w:bookmarkEnd w:id="96"/>
    <w:p>
      <w:pPr>
        <w:ind w:right="80" w:firstLine="509"/>
        <w:spacing w:after="0" w:line="239"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5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61"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4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7" w:name="page98"/>
    <w:bookmarkEnd w:id="97"/>
    <w:p>
      <w:pPr>
        <w:ind w:right="140"/>
        <w:spacing w:after="0" w:line="244" w:lineRule="auto"/>
        <w:rPr>
          <w:sz w:val="20"/>
          <w:szCs w:val="20"/>
          <w:color w:val="auto"/>
        </w:rPr>
      </w:pPr>
      <w:r>
        <w:rPr>
          <w:rFonts w:ascii="Arial" w:cs="Arial" w:eastAsia="Arial" w:hAnsi="Arial"/>
          <w:sz w:val="18"/>
          <w:szCs w:val="18"/>
          <w:color w:val="auto"/>
        </w:rPr>
        <w:t>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51"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12"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38"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3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53"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8" w:name="page99"/>
    <w:bookmarkEnd w:id="98"/>
    <w:p>
      <w:pPr>
        <w:ind w:right="20" w:firstLine="509"/>
        <w:spacing w:after="0"/>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of June 30, 2025, we had U.S. federal NOL carryforwards of approximately $15.0 million and state NOL carryforwards of approximately $86.9 million. The federal and material state NOL carryforwards will begin to expire in 2030 and 2025,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4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During 2022, the Company completed a Section 382 study and as a result of the ownership changes identified, $1.6 million of Flywire’s NOLs and $0.2 million of Simplee’s NOLs will expire unutilized, assuming sufficient taxable income is generated in the future. The Company completed its refresh of the Section 382 study as of December 31, 2024, and there were no additional limitations in using Federal and State NOL carryforwards.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spacing w:after="0" w:line="11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requires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5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44"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is required to issue an opinion on</w:t>
      </w: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9" w:name="page100"/>
    <w:bookmarkEnd w:id="99"/>
    <w:p>
      <w:pPr>
        <w:ind w:right="60"/>
        <w:spacing w:after="0" w:line="253" w:lineRule="auto"/>
        <w:rPr>
          <w:sz w:val="20"/>
          <w:szCs w:val="20"/>
          <w:color w:val="auto"/>
        </w:rPr>
      </w:pPr>
      <w:r>
        <w:rPr>
          <w:rFonts w:ascii="Arial" w:cs="Arial" w:eastAsia="Arial" w:hAnsi="Arial"/>
          <w:sz w:val="18"/>
          <w:szCs w:val="18"/>
          <w:color w:val="auto"/>
        </w:rPr>
        <w:t>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4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38"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3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5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1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management.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4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adopted, or are considering adopting, rules that would require significantly expanded actions or disclosures on climate or other ESG-related matters from companies. Although several of these rules have been challenged and/or stayed, such rules, if implemented, may require us to incur significant additional costs to comply. Such rules are not uniform, and may not be interpreted or enforced uniformly, which can increase compliance costs or associated risks. Simultaneously, there are efforts by some stakeholders and policymakers to reduce companies’ efforts on certain ESG-related matters. Both advocates and opponents to certain ESG matters are increasingly resorting to a range of activism forms, including media campaigns and litigation, to advance their perspectives. To the extent we are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0" w:name="page101"/>
    <w:bookmarkEnd w:id="100"/>
    <w:p>
      <w:pPr>
        <w:spacing w:after="0" w:line="244" w:lineRule="auto"/>
        <w:rPr>
          <w:sz w:val="20"/>
          <w:szCs w:val="20"/>
          <w:color w:val="auto"/>
        </w:rPr>
      </w:pPr>
      <w:r>
        <w:rPr>
          <w:rFonts w:ascii="Arial" w:cs="Arial" w:eastAsia="Arial" w:hAnsi="Arial"/>
          <w:sz w:val="18"/>
          <w:szCs w:val="18"/>
          <w:color w:val="auto"/>
        </w:rPr>
        <w:t>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p>
    <w:p>
      <w:pPr>
        <w:spacing w:after="0" w:line="149"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15"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increased starting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85"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13"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83"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97"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including the priorities of the U.S. presidential administration and related changes in laws, regulations or policies;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1" w:name="page102"/>
    <w:bookmarkEnd w:id="101"/>
    <w:p>
      <w:pPr>
        <w:ind w:left="1020" w:right="380" w:hanging="503"/>
        <w:spacing w:after="0" w:line="252"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or between Israel and Hamas and Israel and Iran (which has also featured military strikes by the U.S. against Iran) (or other combatants in the region), respectively, economic instability, repression, or human rights issues;</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cutbacks or withholding of funding to, and real or perceived hostility towards higher education institutions in the U.S.;</w:t>
      </w:r>
    </w:p>
    <w:p>
      <w:pPr>
        <w:spacing w:after="0" w:line="183"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that negatively impact international travel, study or commerce, including actual or threatened revocation of visas, mass deportations, or delays in issuances of visas;</w:t>
      </w:r>
    </w:p>
    <w:p>
      <w:pPr>
        <w:spacing w:after="0" w:line="1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83"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imposition of tariffs, trade wars including the effects of ongoing United States-China and Canada-India diplomatic and trade friction;</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Annual Report on Form 10-K and our other SEC filings.</w:t>
      </w:r>
    </w:p>
    <w:p>
      <w:pPr>
        <w:spacing w:after="0" w:line="18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be negatively affected by securities litigation or stockholder activism.</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be subject to securities class actions, derivative suits or other securities-related legal actions.</w:t>
      </w:r>
    </w:p>
    <w:p>
      <w:pPr>
        <w:spacing w:after="0" w:line="18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the past, securities class action litigation have often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4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Any claims or litigation, even if fully indemnified or insured, could adversely affect our relationships with clients and business partners, damage our reputation, decrease client or their customers’ demand for our solutions and make it more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02" w:name="page103"/>
    <w:bookmarkEnd w:id="102"/>
    <w:p>
      <w:pPr>
        <w:ind w:right="60"/>
        <w:spacing w:after="0"/>
        <w:rPr>
          <w:sz w:val="20"/>
          <w:szCs w:val="20"/>
          <w:color w:val="auto"/>
        </w:rPr>
      </w:pPr>
      <w:r>
        <w:rPr>
          <w:rFonts w:ascii="Arial" w:cs="Arial" w:eastAsia="Arial" w:hAnsi="Arial"/>
          <w:sz w:val="18"/>
          <w:szCs w:val="18"/>
          <w:color w:val="auto"/>
        </w:rPr>
        <w:t>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 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spacing w:after="0" w:line="15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a result, lawsuits involving us, or our officers or directors, could have a material adverse effect on our business, reputation, financial condition, results of operations, liquidity and the trading price of our common stock.</w:t>
      </w:r>
    </w:p>
    <w:p>
      <w:pPr>
        <w:spacing w:after="0" w:line="11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56"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6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cannot guarantee that our Repurchase Program will be fully implemented or that it will enhance stockholder value, and share repurchases could affect the price of our common stock.</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August 2024, we announced that our Board of Directors authorized the Repurchase Program, pursuant to which we may, from time to time, purchase shares of our Voting and Non -voting common stock for an aggregate purchase price not to exceed $150 million. As of June 30, 2025 approximately $52.0 million remained available for repurchases under the Repurchase Program. 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and general market and economic conditions. The Repurchase Program does not obligate us to repurchase any minimum dollar amount or number of shares, and may be suspended or discontinued by our Board of Directors at any time, which may result in a decrease in the price of our common stock.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103" w:name="page104"/>
    <w:bookmarkEnd w:id="103"/>
    <w:p>
      <w:pPr>
        <w:ind w:right="20" w:firstLine="509"/>
        <w:spacing w:after="0" w:line="239" w:lineRule="auto"/>
        <w:rPr>
          <w:sz w:val="20"/>
          <w:szCs w:val="20"/>
          <w:color w:val="auto"/>
        </w:rPr>
      </w:pPr>
      <w:r>
        <w:rPr>
          <w:rFonts w:ascii="Arial" w:cs="Arial" w:eastAsia="Arial" w:hAnsi="Arial"/>
          <w:sz w:val="18"/>
          <w:szCs w:val="18"/>
          <w:color w:val="auto"/>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spacing w:after="0" w:line="158"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3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1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120,307,481 shares of our voting common stock and 1,873,320 shares of our non-voting common stock outstanding as of June 30, 2025.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38"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33" w:lineRule="exact"/>
        <w:rPr>
          <w:sz w:val="20"/>
          <w:szCs w:val="20"/>
          <w:color w:val="auto"/>
        </w:rPr>
      </w:pPr>
    </w:p>
    <w:p>
      <w:pPr>
        <w:ind w:right="34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06"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9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As of December 31,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4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consequently, your ability to achieve a return on your investment will depend on appreciation in the price of our common stock.</w:t>
      </w:r>
    </w:p>
    <w:p>
      <w:pPr>
        <w:spacing w:after="0" w:line="112"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w:t>
      </w: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4" w:name="page105"/>
    <w:bookmarkEnd w:id="104"/>
    <w:p>
      <w:pPr>
        <w:ind w:right="40"/>
        <w:spacing w:after="0" w:line="244" w:lineRule="auto"/>
        <w:rPr>
          <w:sz w:val="20"/>
          <w:szCs w:val="20"/>
          <w:color w:val="auto"/>
        </w:rPr>
      </w:pPr>
      <w:r>
        <w:rPr>
          <w:rFonts w:ascii="Arial" w:cs="Arial" w:eastAsia="Arial" w:hAnsi="Arial"/>
          <w:sz w:val="18"/>
          <w:szCs w:val="18"/>
          <w:color w:val="auto"/>
        </w:rPr>
        <w:t>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51"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36" w:lineRule="exact"/>
        <w:rPr>
          <w:sz w:val="20"/>
          <w:szCs w:val="20"/>
          <w:color w:val="auto"/>
        </w:rPr>
      </w:pPr>
    </w:p>
    <w:p>
      <w:pPr>
        <w:ind w:left="900" w:right="680" w:hanging="263"/>
        <w:spacing w:after="0" w:line="270"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27" w:lineRule="exact"/>
        <w:rPr>
          <w:rFonts w:ascii="Times New Roman" w:cs="Times New Roman" w:eastAsia="Times New Roman" w:hAnsi="Times New Roman"/>
          <w:sz w:val="18"/>
          <w:szCs w:val="18"/>
          <w:color w:val="auto"/>
        </w:rPr>
      </w:pPr>
    </w:p>
    <w:p>
      <w:pPr>
        <w:jc w:val="both"/>
        <w:ind w:left="900" w:right="120" w:hanging="263"/>
        <w:spacing w:after="0" w:line="252"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30"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0"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7"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30" w:lineRule="exact"/>
        <w:rPr>
          <w:rFonts w:ascii="Times New Roman" w:cs="Times New Roman" w:eastAsia="Times New Roman" w:hAnsi="Times New Roman"/>
          <w:sz w:val="18"/>
          <w:szCs w:val="18"/>
          <w:color w:val="auto"/>
        </w:rPr>
      </w:pPr>
    </w:p>
    <w:p>
      <w:pPr>
        <w:ind w:left="900" w:right="200" w:hanging="263"/>
        <w:spacing w:after="0" w:line="246"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36"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3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5" w:name="page106"/>
    <w:bookmarkEnd w:id="105"/>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3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following table summarizes the repurchases of voting common stock during the three months ended June 30, 2025 (in thousands, except shares and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Dollar</w:t>
            </w:r>
          </w:p>
        </w:tc>
      </w:t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Value of Shares</w:t>
            </w:r>
          </w:p>
        </w:tc>
      </w:t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that</w:t>
            </w:r>
          </w:p>
        </w:tc>
      </w:t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May Yet Be</w:t>
            </w:r>
          </w:p>
        </w:tc>
      </w:t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w:t>
            </w:r>
          </w:p>
        </w:tc>
      </w:tr>
      <w:tr>
        <w:trPr>
          <w:trHeight w:val="144"/>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the Plans or</w:t>
            </w:r>
          </w:p>
        </w:tc>
      </w:tr>
      <w:tr>
        <w:trPr>
          <w:trHeight w:val="189"/>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9"/>
                <w:szCs w:val="19"/>
                <w:b w:val="1"/>
                <w:bCs w:val="1"/>
                <w:color w:val="auto"/>
                <w:w w:val="98"/>
                <w:vertAlign w:val="superscript"/>
              </w:rPr>
              <w:t>(1)</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line="189" w:lineRule="exact"/>
              <w:rPr>
                <w:sz w:val="20"/>
                <w:szCs w:val="20"/>
                <w:color w:val="auto"/>
              </w:rPr>
            </w:pPr>
            <w:r>
              <w:rPr>
                <w:rFonts w:ascii="Arial" w:cs="Arial" w:eastAsia="Arial" w:hAnsi="Arial"/>
                <w:sz w:val="14"/>
                <w:szCs w:val="14"/>
                <w:b w:val="1"/>
                <w:bCs w:val="1"/>
                <w:color w:val="auto"/>
                <w:w w:val="97"/>
              </w:rPr>
              <w:t xml:space="preserve">per Share </w:t>
            </w:r>
            <w:r>
              <w:rPr>
                <w:rFonts w:ascii="Arial" w:cs="Arial" w:eastAsia="Arial" w:hAnsi="Arial"/>
                <w:sz w:val="19"/>
                <w:szCs w:val="19"/>
                <w:b w:val="1"/>
                <w:bCs w:val="1"/>
                <w:color w:val="auto"/>
                <w:w w:val="97"/>
                <w:vertAlign w:val="superscript"/>
              </w:rPr>
              <w:t>(2)</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16"/>
                <w:szCs w:val="16"/>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April 1, 2025 - April 30, 2025</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564,042</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8.86</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564,042</w:t>
            </w:r>
          </w:p>
        </w:tc>
        <w:tc>
          <w:tcPr>
            <w:tcW w:w="360" w:type="dxa"/>
            <w:vAlign w:val="bottom"/>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51,966</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May 1, 2025 - May 31, 2025</w:t>
            </w: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51,966</w:t>
            </w:r>
          </w:p>
        </w:tc>
        <w:tc>
          <w:tcPr>
            <w:tcW w:w="100" w:type="dxa"/>
            <w:vAlign w:val="bottom"/>
          </w:tcPr>
          <w:p>
            <w:pPr>
              <w:spacing w:after="0"/>
              <w:rPr>
                <w:sz w:val="17"/>
                <w:szCs w:val="17"/>
                <w:color w:val="auto"/>
              </w:rPr>
            </w:pPr>
          </w:p>
        </w:tc>
      </w:tr>
      <w:tr>
        <w:trPr>
          <w:trHeight w:val="203"/>
        </w:trPr>
        <w:tc>
          <w:tcPr>
            <w:tcW w:w="5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June 1, 2025 - June 30, 2025</w:t>
            </w:r>
          </w:p>
        </w:tc>
        <w:tc>
          <w:tcPr>
            <w:tcW w:w="1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51,966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564,042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564,042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-162560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ind w:right="120" w:firstLine="8"/>
        <w:spacing w:after="0" w:line="237" w:lineRule="auto"/>
        <w:tabs>
          <w:tab w:leader="none" w:pos="157"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 xml:space="preserve">All shares were repurchased in open market transactions pursuant to a share repurchase program to repurchase up to $150 million of our outstanding voting and non-voting common stock for an indefinite period (the Repurchase Program). The Repurchase Program was authorized by our board of directors and publicly announced on August 6, 2024.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cs="Arial" w:eastAsia="Arial" w:hAnsi="Arial"/>
          <w:sz w:val="14"/>
          <w:szCs w:val="14"/>
          <w:i w:val="1"/>
          <w:iCs w:val="1"/>
          <w:color w:val="auto"/>
        </w:rPr>
        <w:t>Note 13 - Stockholders’ Equity</w:t>
      </w:r>
      <w:r>
        <w:rPr>
          <w:rFonts w:ascii="Arial" w:cs="Arial" w:eastAsia="Arial" w:hAnsi="Arial"/>
          <w:sz w:val="14"/>
          <w:szCs w:val="14"/>
          <w:color w:val="auto"/>
        </w:rPr>
        <w:t xml:space="preserve"> in our condensed consolidated financial statements included elsewhere in this Quarterly Report on Form 10-Q.</w:t>
      </w:r>
    </w:p>
    <w:p>
      <w:pPr>
        <w:spacing w:after="0" w:line="80" w:lineRule="exact"/>
        <w:rPr>
          <w:rFonts w:ascii="Arial" w:cs="Arial" w:eastAsia="Arial" w:hAnsi="Arial"/>
          <w:sz w:val="18"/>
          <w:szCs w:val="18"/>
          <w:color w:val="auto"/>
          <w:vertAlign w:val="superscript"/>
        </w:rPr>
      </w:pPr>
    </w:p>
    <w:p>
      <w:pPr>
        <w:ind w:right="280" w:firstLine="8"/>
        <w:spacing w:after="0" w:line="229" w:lineRule="auto"/>
        <w:tabs>
          <w:tab w:leader="none" w:pos="157"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Average price paid per share includes related commissions, but excludes the 1% excise tax accrued on our share repurchases as a result of the Inflation Reduction Act of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106" w:name="page107"/>
    <w:bookmarkEnd w:id="10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10"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Effective as of August 1, 2025, we entered into new employment agreements (each, an “Employment Agreement”) with our Chief Executive Officer, President and Chief Operating Officer, Chief Financial Officer, General Counsel and Chief Compliance Officer and Chief Technology Officer (each and “Executive” and together, the “Executives”). The Employment Agreements provide for the following annual base salaries and target fiscal year 2025 annual bonus levels (subject to the determination and approval of our Board of Directors or People and Compensation Committee)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rPr>
              <w:t>Base Salary</w:t>
            </w:r>
          </w:p>
        </w:tc>
        <w:tc>
          <w:tcPr>
            <w:tcW w:w="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Fiscal Year 2025 Target Annual Bonus</w:t>
            </w: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Michael Massaro</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rPr>
              <w:t>450,000</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0" w:type="dxa"/>
            <w:vAlign w:val="bottom"/>
            <w:vMerge w:val="restart"/>
            <w:shd w:val="clear" w:color="auto" w:fill="CCEEFF"/>
          </w:tcPr>
          <w:p>
            <w:pPr>
              <w:jc w:val="right"/>
              <w:ind w:right="3270"/>
              <w:spacing w:after="0"/>
              <w:rPr>
                <w:sz w:val="20"/>
                <w:szCs w:val="20"/>
                <w:color w:val="auto"/>
              </w:rPr>
            </w:pPr>
            <w:r>
              <w:rPr>
                <w:rFonts w:ascii="Arial" w:cs="Arial" w:eastAsia="Arial" w:hAnsi="Arial"/>
                <w:sz w:val="18"/>
                <w:szCs w:val="18"/>
                <w:color w:val="auto"/>
                <w:w w:val="95"/>
              </w:rPr>
              <w:t>500,000</w:t>
            </w:r>
          </w:p>
        </w:tc>
        <w:tc>
          <w:tcPr>
            <w:tcW w:w="0" w:type="dxa"/>
            <w:vAlign w:val="bottom"/>
          </w:tcPr>
          <w:p>
            <w:pPr>
              <w:spacing w:after="0"/>
              <w:rPr>
                <w:sz w:val="1"/>
                <w:szCs w:val="1"/>
                <w:color w:val="auto"/>
              </w:rPr>
            </w:pPr>
          </w:p>
        </w:tc>
      </w:tr>
      <w:tr>
        <w:trPr>
          <w:trHeight w:val="131"/>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60" w:type="dxa"/>
            <w:vAlign w:val="bottom"/>
            <w:gridSpan w:val="2"/>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4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04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line="183" w:lineRule="exact"/>
              <w:rPr>
                <w:sz w:val="20"/>
                <w:szCs w:val="20"/>
                <w:color w:val="auto"/>
              </w:rPr>
            </w:pPr>
            <w:r>
              <w:rPr>
                <w:rFonts w:ascii="Arial" w:cs="Arial" w:eastAsia="Arial" w:hAnsi="Arial"/>
                <w:sz w:val="18"/>
                <w:szCs w:val="18"/>
                <w:color w:val="auto"/>
              </w:rPr>
              <w:t>Robert Orgel</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center"/>
              <w:ind w:left="70"/>
              <w:spacing w:after="0"/>
              <w:rPr>
                <w:sz w:val="20"/>
                <w:szCs w:val="20"/>
                <w:color w:val="auto"/>
              </w:rPr>
            </w:pPr>
            <w:r>
              <w:rPr>
                <w:rFonts w:ascii="Arial" w:cs="Arial" w:eastAsia="Arial" w:hAnsi="Arial"/>
                <w:sz w:val="18"/>
                <w:szCs w:val="18"/>
                <w:color w:val="auto"/>
              </w:rPr>
              <w:t>350,000</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jc w:val="right"/>
              <w:ind w:right="3270"/>
              <w:spacing w:after="0"/>
              <w:rPr>
                <w:sz w:val="20"/>
                <w:szCs w:val="20"/>
                <w:color w:val="auto"/>
              </w:rPr>
            </w:pPr>
            <w:r>
              <w:rPr>
                <w:rFonts w:ascii="Arial" w:cs="Arial" w:eastAsia="Arial" w:hAnsi="Arial"/>
                <w:sz w:val="18"/>
                <w:szCs w:val="18"/>
                <w:color w:val="auto"/>
                <w:w w:val="95"/>
              </w:rPr>
              <w:t>300,000</w:t>
            </w:r>
          </w:p>
        </w:tc>
        <w:tc>
          <w:tcPr>
            <w:tcW w:w="0" w:type="dxa"/>
            <w:vAlign w:val="bottom"/>
          </w:tcPr>
          <w:p>
            <w:pPr>
              <w:spacing w:after="0"/>
              <w:rPr>
                <w:sz w:val="1"/>
                <w:szCs w:val="1"/>
                <w:color w:val="auto"/>
              </w:rPr>
            </w:pPr>
          </w:p>
        </w:tc>
      </w:tr>
      <w:tr>
        <w:trPr>
          <w:trHeight w:val="131"/>
        </w:trPr>
        <w:tc>
          <w:tcPr>
            <w:tcW w:w="4040" w:type="dxa"/>
            <w:vAlign w:val="bottom"/>
            <w:vMerge w:val="restart"/>
          </w:tcPr>
          <w:p>
            <w:pPr>
              <w:spacing w:after="0"/>
              <w:rPr>
                <w:sz w:val="20"/>
                <w:szCs w:val="20"/>
                <w:color w:val="auto"/>
              </w:rPr>
            </w:pPr>
            <w:r>
              <w:rPr>
                <w:rFonts w:ascii="Arial" w:cs="Arial" w:eastAsia="Arial" w:hAnsi="Arial"/>
                <w:sz w:val="18"/>
                <w:szCs w:val="18"/>
                <w:color w:val="auto"/>
              </w:rPr>
              <w:t>President and Chief Operating Officer</w:t>
            </w:r>
          </w:p>
        </w:tc>
        <w:tc>
          <w:tcPr>
            <w:tcW w:w="56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4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0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Cosmin Pitigoi</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rPr>
              <w:t>410,000</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0" w:type="dxa"/>
            <w:vAlign w:val="bottom"/>
            <w:vMerge w:val="restart"/>
            <w:shd w:val="clear" w:color="auto" w:fill="CCEEFF"/>
          </w:tcPr>
          <w:p>
            <w:pPr>
              <w:jc w:val="right"/>
              <w:ind w:right="3270"/>
              <w:spacing w:after="0"/>
              <w:rPr>
                <w:sz w:val="20"/>
                <w:szCs w:val="20"/>
                <w:color w:val="auto"/>
              </w:rPr>
            </w:pPr>
            <w:r>
              <w:rPr>
                <w:rFonts w:ascii="Arial" w:cs="Arial" w:eastAsia="Arial" w:hAnsi="Arial"/>
                <w:sz w:val="18"/>
                <w:szCs w:val="18"/>
                <w:color w:val="auto"/>
                <w:w w:val="95"/>
              </w:rPr>
              <w:t>300,000</w:t>
            </w:r>
          </w:p>
        </w:tc>
        <w:tc>
          <w:tcPr>
            <w:tcW w:w="0" w:type="dxa"/>
            <w:vAlign w:val="bottom"/>
          </w:tcPr>
          <w:p>
            <w:pPr>
              <w:spacing w:after="0"/>
              <w:rPr>
                <w:sz w:val="1"/>
                <w:szCs w:val="1"/>
                <w:color w:val="auto"/>
              </w:rPr>
            </w:pPr>
          </w:p>
        </w:tc>
      </w:tr>
      <w:tr>
        <w:trPr>
          <w:trHeight w:val="131"/>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560" w:type="dxa"/>
            <w:vAlign w:val="bottom"/>
            <w:gridSpan w:val="2"/>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4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04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line="183" w:lineRule="exact"/>
              <w:rPr>
                <w:sz w:val="20"/>
                <w:szCs w:val="20"/>
                <w:color w:val="auto"/>
              </w:rPr>
            </w:pPr>
            <w:r>
              <w:rPr>
                <w:rFonts w:ascii="Arial" w:cs="Arial" w:eastAsia="Arial" w:hAnsi="Arial"/>
                <w:sz w:val="18"/>
                <w:szCs w:val="18"/>
                <w:color w:val="auto"/>
              </w:rPr>
              <w:t>Peter Butterfield</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center"/>
              <w:ind w:left="70"/>
              <w:spacing w:after="0"/>
              <w:rPr>
                <w:sz w:val="20"/>
                <w:szCs w:val="20"/>
                <w:color w:val="auto"/>
              </w:rPr>
            </w:pPr>
            <w:r>
              <w:rPr>
                <w:rFonts w:ascii="Arial" w:cs="Arial" w:eastAsia="Arial" w:hAnsi="Arial"/>
                <w:sz w:val="18"/>
                <w:szCs w:val="18"/>
                <w:color w:val="auto"/>
              </w:rPr>
              <w:t>310,000</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jc w:val="right"/>
              <w:ind w:right="3270"/>
              <w:spacing w:after="0"/>
              <w:rPr>
                <w:sz w:val="20"/>
                <w:szCs w:val="20"/>
                <w:color w:val="auto"/>
              </w:rPr>
            </w:pPr>
            <w:r>
              <w:rPr>
                <w:rFonts w:ascii="Arial" w:cs="Arial" w:eastAsia="Arial" w:hAnsi="Arial"/>
                <w:sz w:val="18"/>
                <w:szCs w:val="18"/>
                <w:color w:val="auto"/>
                <w:w w:val="95"/>
              </w:rPr>
              <w:t>200,000</w:t>
            </w:r>
          </w:p>
        </w:tc>
        <w:tc>
          <w:tcPr>
            <w:tcW w:w="0" w:type="dxa"/>
            <w:vAlign w:val="bottom"/>
          </w:tcPr>
          <w:p>
            <w:pPr>
              <w:spacing w:after="0"/>
              <w:rPr>
                <w:sz w:val="1"/>
                <w:szCs w:val="1"/>
                <w:color w:val="auto"/>
              </w:rPr>
            </w:pPr>
          </w:p>
        </w:tc>
      </w:tr>
      <w:tr>
        <w:trPr>
          <w:trHeight w:val="131"/>
        </w:trPr>
        <w:tc>
          <w:tcPr>
            <w:tcW w:w="4040" w:type="dxa"/>
            <w:vAlign w:val="bottom"/>
            <w:vMerge w:val="restart"/>
          </w:tcPr>
          <w:p>
            <w:pPr>
              <w:spacing w:after="0"/>
              <w:rPr>
                <w:sz w:val="20"/>
                <w:szCs w:val="20"/>
                <w:color w:val="auto"/>
              </w:rPr>
            </w:pPr>
            <w:r>
              <w:rPr>
                <w:rFonts w:ascii="Arial" w:cs="Arial" w:eastAsia="Arial" w:hAnsi="Arial"/>
                <w:sz w:val="18"/>
                <w:szCs w:val="18"/>
                <w:color w:val="auto"/>
              </w:rPr>
              <w:t>General Counsel and Chief Compliance Officer</w:t>
            </w:r>
          </w:p>
        </w:tc>
        <w:tc>
          <w:tcPr>
            <w:tcW w:w="56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4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0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David King</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rPr>
              <w:t>310,000</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0" w:type="dxa"/>
            <w:vAlign w:val="bottom"/>
            <w:vMerge w:val="restart"/>
            <w:shd w:val="clear" w:color="auto" w:fill="CCEEFF"/>
          </w:tcPr>
          <w:p>
            <w:pPr>
              <w:jc w:val="right"/>
              <w:ind w:right="3270"/>
              <w:spacing w:after="0"/>
              <w:rPr>
                <w:sz w:val="20"/>
                <w:szCs w:val="20"/>
                <w:color w:val="auto"/>
              </w:rPr>
            </w:pPr>
            <w:r>
              <w:rPr>
                <w:rFonts w:ascii="Arial" w:cs="Arial" w:eastAsia="Arial" w:hAnsi="Arial"/>
                <w:sz w:val="18"/>
                <w:szCs w:val="18"/>
                <w:color w:val="auto"/>
                <w:w w:val="95"/>
              </w:rPr>
              <w:t>150,000</w:t>
            </w:r>
          </w:p>
        </w:tc>
        <w:tc>
          <w:tcPr>
            <w:tcW w:w="0" w:type="dxa"/>
            <w:vAlign w:val="bottom"/>
          </w:tcPr>
          <w:p>
            <w:pPr>
              <w:spacing w:after="0"/>
              <w:rPr>
                <w:sz w:val="1"/>
                <w:szCs w:val="1"/>
                <w:color w:val="auto"/>
              </w:rPr>
            </w:pPr>
          </w:p>
        </w:tc>
      </w:tr>
      <w:tr>
        <w:trPr>
          <w:trHeight w:val="131"/>
        </w:trPr>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Chief Technology Officer</w:t>
            </w:r>
          </w:p>
        </w:tc>
        <w:tc>
          <w:tcPr>
            <w:tcW w:w="560" w:type="dxa"/>
            <w:vAlign w:val="bottom"/>
            <w:gridSpan w:val="2"/>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4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04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Executives will also be eligible to participate in any executive benefit plans approved by the Board of Directors or People and Compensation Committee.</w:t>
      </w:r>
    </w:p>
    <w:p>
      <w:pPr>
        <w:spacing w:after="0" w:line="127"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In the event an Executive is subject to an Involuntary Termination (as such term is defined in the Executive’s Employment Agreement) other than in connection with a Change in Control (as such term is defined in the Executive’s Employment Agreement), the Executive will be entitled to receive the following severance benefits: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2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Executive</w:t>
            </w:r>
          </w:p>
        </w:tc>
        <w:tc>
          <w:tcPr>
            <w:tcW w:w="838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Severance Benefits (Not Involving a Change-in-Control)</w:t>
            </w:r>
          </w:p>
        </w:tc>
        <w:tc>
          <w:tcPr>
            <w:tcW w:w="660" w:type="dxa"/>
            <w:vAlign w:val="bottom"/>
          </w:tcPr>
          <w:p>
            <w:pPr>
              <w:spacing w:after="0"/>
              <w:rPr>
                <w:sz w:val="20"/>
                <w:szCs w:val="20"/>
                <w:color w:val="auto"/>
              </w:rPr>
            </w:pPr>
          </w:p>
        </w:tc>
      </w:tr>
      <w:tr>
        <w:trPr>
          <w:trHeight w:val="160"/>
        </w:trPr>
        <w:tc>
          <w:tcPr>
            <w:tcW w:w="220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8"/>
                <w:szCs w:val="18"/>
                <w:color w:val="auto"/>
              </w:rPr>
              <w:t>Michael Massaro</w:t>
            </w:r>
          </w:p>
        </w:tc>
        <w:tc>
          <w:tcPr>
            <w:tcW w:w="740" w:type="dxa"/>
            <w:vAlign w:val="bottom"/>
          </w:tcPr>
          <w:p>
            <w:pPr>
              <w:ind w:left="340"/>
              <w:spacing w:after="0" w:line="160" w:lineRule="exact"/>
              <w:rPr>
                <w:sz w:val="20"/>
                <w:szCs w:val="20"/>
                <w:color w:val="auto"/>
              </w:rPr>
            </w:pPr>
            <w:r>
              <w:rPr>
                <w:rFonts w:ascii="Arial" w:cs="Arial" w:eastAsia="Arial" w:hAnsi="Arial"/>
                <w:sz w:val="18"/>
                <w:szCs w:val="18"/>
                <w:color w:val="auto"/>
              </w:rPr>
              <w:t>(i)</w:t>
            </w:r>
          </w:p>
        </w:tc>
        <w:tc>
          <w:tcPr>
            <w:tcW w:w="7640" w:type="dxa"/>
            <w:vAlign w:val="bottom"/>
            <w:tcBorders>
              <w:right w:val="single" w:sz="8" w:color="auto"/>
            </w:tcBorders>
          </w:tcPr>
          <w:p>
            <w:pPr>
              <w:ind w:left="160"/>
              <w:spacing w:after="0" w:line="160" w:lineRule="exact"/>
              <w:rPr>
                <w:sz w:val="20"/>
                <w:szCs w:val="20"/>
                <w:color w:val="auto"/>
              </w:rPr>
            </w:pPr>
            <w:r>
              <w:rPr>
                <w:rFonts w:ascii="Arial" w:cs="Arial" w:eastAsia="Arial" w:hAnsi="Arial"/>
                <w:sz w:val="18"/>
                <w:szCs w:val="18"/>
                <w:color w:val="auto"/>
              </w:rPr>
              <w:t>A severance payment equal to 1.5 times the sum of Mr. Massaro’s then-current annual base</w:t>
            </w:r>
          </w:p>
        </w:tc>
        <w:tc>
          <w:tcPr>
            <w:tcW w:w="660" w:type="dxa"/>
            <w:vAlign w:val="bottom"/>
          </w:tcPr>
          <w:p>
            <w:pPr>
              <w:spacing w:after="0"/>
              <w:rPr>
                <w:sz w:val="13"/>
                <w:szCs w:val="13"/>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salary as of the date of termination plus his target bonus for the year of termination.</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 lump sum payment equal to any accrued and unpaid bonus for the prior fiscal year.</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Payment of COBRA premiums for 18 months following Separation (as such term is defined</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in Mr. Massaro’s Employment Agreement).</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(iv)</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Any outstanding equity awards which are subject to time-based vesting shall accelerate and</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become exercisable with respect to the number of shares that would have vested if Mr.</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Massaro had completed an additional 18 months of service with us. Any equity awards</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which are subject to unsatisfied performance conditions shall not be eligible for acceleration</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pursuant to Mr. Massaro’s Employment Agreement and will be treated as described in the</w:t>
            </w:r>
          </w:p>
        </w:tc>
        <w:tc>
          <w:tcPr>
            <w:tcW w:w="660" w:type="dxa"/>
            <w:vAlign w:val="bottom"/>
          </w:tcPr>
          <w:p>
            <w:pPr>
              <w:spacing w:after="0"/>
              <w:rPr>
                <w:sz w:val="17"/>
                <w:szCs w:val="17"/>
                <w:color w:val="auto"/>
              </w:rPr>
            </w:pPr>
          </w:p>
        </w:tc>
      </w:tr>
      <w:tr>
        <w:trPr>
          <w:trHeight w:val="221"/>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applicable equity award agreement.</w:t>
            </w:r>
          </w:p>
        </w:tc>
        <w:tc>
          <w:tcPr>
            <w:tcW w:w="660" w:type="dxa"/>
            <w:vAlign w:val="bottom"/>
          </w:tcPr>
          <w:p>
            <w:pPr>
              <w:spacing w:after="0"/>
              <w:rPr>
                <w:sz w:val="19"/>
                <w:szCs w:val="19"/>
                <w:color w:val="auto"/>
              </w:rPr>
            </w:pPr>
          </w:p>
        </w:tc>
      </w:tr>
      <w:tr>
        <w:trPr>
          <w:trHeight w:val="177"/>
        </w:trPr>
        <w:tc>
          <w:tcPr>
            <w:tcW w:w="2200" w:type="dxa"/>
            <w:vAlign w:val="bottom"/>
            <w:tcBorders>
              <w:left w:val="single" w:sz="8" w:color="auto"/>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Robert Orgel and</w:t>
            </w:r>
          </w:p>
        </w:tc>
        <w:tc>
          <w:tcPr>
            <w:tcW w:w="740" w:type="dxa"/>
            <w:vAlign w:val="bottom"/>
          </w:tcPr>
          <w:p>
            <w:pPr>
              <w:ind w:left="340"/>
              <w:spacing w:after="0" w:line="177" w:lineRule="exact"/>
              <w:rPr>
                <w:sz w:val="20"/>
                <w:szCs w:val="20"/>
                <w:color w:val="auto"/>
              </w:rPr>
            </w:pPr>
            <w:r>
              <w:rPr>
                <w:rFonts w:ascii="Arial" w:cs="Arial" w:eastAsia="Arial" w:hAnsi="Arial"/>
                <w:sz w:val="18"/>
                <w:szCs w:val="18"/>
                <w:color w:val="auto"/>
              </w:rPr>
              <w:t>(i)</w:t>
            </w:r>
          </w:p>
        </w:tc>
        <w:tc>
          <w:tcPr>
            <w:tcW w:w="7640" w:type="dxa"/>
            <w:vAlign w:val="bottom"/>
            <w:tcBorders>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A severance payment equal to 1.5 times the sum of the Executive’s then-current annual</w:t>
            </w:r>
          </w:p>
        </w:tc>
        <w:tc>
          <w:tcPr>
            <w:tcW w:w="660" w:type="dxa"/>
            <w:vAlign w:val="bottom"/>
          </w:tcPr>
          <w:p>
            <w:pPr>
              <w:spacing w:after="0"/>
              <w:rPr>
                <w:sz w:val="15"/>
                <w:szCs w:val="15"/>
                <w:color w:val="auto"/>
              </w:rPr>
            </w:pPr>
          </w:p>
        </w:tc>
      </w:tr>
      <w:tr>
        <w:trPr>
          <w:trHeight w:val="203"/>
        </w:trPr>
        <w:tc>
          <w:tcPr>
            <w:tcW w:w="2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Cosmin Pitigoi</w:t>
            </w: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base salary as of the date of termination plus his target bonus for the year of termination.</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 lump sum payment equal to any accrued and unpaid bonus for the prior fiscal year.</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Payment of COBRA premiums for 18 months following Separation (as such term is defined</w:t>
            </w:r>
          </w:p>
        </w:tc>
        <w:tc>
          <w:tcPr>
            <w:tcW w:w="660" w:type="dxa"/>
            <w:vAlign w:val="bottom"/>
          </w:tcPr>
          <w:p>
            <w:pPr>
              <w:spacing w:after="0"/>
              <w:rPr>
                <w:sz w:val="17"/>
                <w:szCs w:val="17"/>
                <w:color w:val="auto"/>
              </w:rPr>
            </w:pPr>
          </w:p>
        </w:tc>
      </w:tr>
      <w:tr>
        <w:trPr>
          <w:trHeight w:val="221"/>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 the Executive’s Employment Agreement).</w:t>
            </w:r>
          </w:p>
        </w:tc>
        <w:tc>
          <w:tcPr>
            <w:tcW w:w="660" w:type="dxa"/>
            <w:vAlign w:val="bottom"/>
          </w:tcPr>
          <w:p>
            <w:pPr>
              <w:spacing w:after="0"/>
              <w:rPr>
                <w:sz w:val="19"/>
                <w:szCs w:val="19"/>
                <w:color w:val="auto"/>
              </w:rPr>
            </w:pPr>
          </w:p>
        </w:tc>
      </w:tr>
      <w:tr>
        <w:trPr>
          <w:trHeight w:val="232"/>
        </w:trPr>
        <w:tc>
          <w:tcPr>
            <w:tcW w:w="2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40" w:type="dxa"/>
            <w:vAlign w:val="bottom"/>
          </w:tcPr>
          <w:p>
            <w:pPr>
              <w:ind w:left="2540"/>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0"/>
                <w:szCs w:val="20"/>
                <w:color w:val="auto"/>
              </w:rPr>
            </w:pPr>
          </w:p>
        </w:tc>
      </w:tr>
      <w:tr>
        <w:trPr>
          <w:trHeight w:val="727"/>
        </w:trPr>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308"/>
        </w:trPr>
        <w:tc>
          <w:tcPr>
            <w:tcW w:w="2180" w:type="dxa"/>
            <w:vAlign w:val="bottom"/>
            <w:tcBorders>
              <w:top w:val="single" w:sz="8" w:color="auto"/>
              <w:left w:val="single" w:sz="8" w:color="auto"/>
              <w:right w:val="single" w:sz="8" w:color="auto"/>
            </w:tcBorders>
          </w:tcPr>
          <w:p>
            <w:pPr>
              <w:spacing w:after="0"/>
              <w:rPr>
                <w:sz w:val="24"/>
                <w:szCs w:val="24"/>
                <w:color w:val="auto"/>
              </w:rPr>
            </w:pPr>
          </w:p>
        </w:tc>
        <w:tc>
          <w:tcPr>
            <w:tcW w:w="8400" w:type="dxa"/>
            <w:vAlign w:val="bottom"/>
            <w:tcBorders>
              <w:top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(i)  Any outstanding equity awards which are subject to time-based vesting shall accelerate and</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become exercisable with respect all shares subject to such equity awards. Any equity awards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which are subject to unsatisfied performance conditions shall not be eligible for acceleration</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pursuant to the Employment Agreement and will be treated as described in the applicable</w:t>
            </w:r>
          </w:p>
        </w:tc>
      </w:tr>
      <w:tr>
        <w:trPr>
          <w:trHeight w:val="238"/>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equity award agreement.</w:t>
            </w:r>
          </w:p>
        </w:tc>
      </w:tr>
      <w:tr>
        <w:trPr>
          <w:trHeight w:val="160"/>
        </w:trPr>
        <w:tc>
          <w:tcPr>
            <w:tcW w:w="218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8"/>
                <w:szCs w:val="18"/>
                <w:color w:val="auto"/>
              </w:rPr>
              <w:t>Peter Butterfield and</w:t>
            </w:r>
          </w:p>
        </w:tc>
        <w:tc>
          <w:tcPr>
            <w:tcW w:w="720" w:type="dxa"/>
            <w:vAlign w:val="bottom"/>
          </w:tcPr>
          <w:p>
            <w:pPr>
              <w:ind w:left="360"/>
              <w:spacing w:after="0" w:line="160" w:lineRule="exact"/>
              <w:rPr>
                <w:sz w:val="20"/>
                <w:szCs w:val="20"/>
                <w:color w:val="auto"/>
              </w:rPr>
            </w:pPr>
            <w:r>
              <w:rPr>
                <w:rFonts w:ascii="Arial" w:cs="Arial" w:eastAsia="Arial" w:hAnsi="Arial"/>
                <w:sz w:val="18"/>
                <w:szCs w:val="18"/>
                <w:color w:val="auto"/>
              </w:rPr>
              <w:t>(i)</w:t>
            </w:r>
          </w:p>
        </w:tc>
        <w:tc>
          <w:tcPr>
            <w:tcW w:w="7680" w:type="dxa"/>
            <w:vAlign w:val="bottom"/>
            <w:tcBorders>
              <w:right w:val="single" w:sz="8" w:color="auto"/>
            </w:tcBorders>
          </w:tcPr>
          <w:p>
            <w:pPr>
              <w:ind w:left="200"/>
              <w:spacing w:after="0" w:line="160" w:lineRule="exact"/>
              <w:rPr>
                <w:sz w:val="20"/>
                <w:szCs w:val="20"/>
                <w:color w:val="auto"/>
              </w:rPr>
            </w:pPr>
            <w:r>
              <w:rPr>
                <w:rFonts w:ascii="Arial" w:cs="Arial" w:eastAsia="Arial" w:hAnsi="Arial"/>
                <w:sz w:val="18"/>
                <w:szCs w:val="18"/>
                <w:color w:val="auto"/>
              </w:rPr>
              <w:t>A severance payment equal to 0.75 times the sum of the Executive’s then-current annual</w:t>
            </w:r>
          </w:p>
        </w:tc>
      </w:tr>
      <w:tr>
        <w:trPr>
          <w:trHeight w:val="203"/>
        </w:trPr>
        <w:tc>
          <w:tcPr>
            <w:tcW w:w="21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David King</w:t>
            </w: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base salary as of the date of termination plus his target bonus for the year of termination.</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ind w:left="360"/>
              <w:spacing w:after="0" w:line="202" w:lineRule="exact"/>
              <w:rPr>
                <w:sz w:val="20"/>
                <w:szCs w:val="20"/>
                <w:color w:val="auto"/>
              </w:rPr>
            </w:pPr>
            <w:r>
              <w:rPr>
                <w:rFonts w:ascii="Arial" w:cs="Arial" w:eastAsia="Arial" w:hAnsi="Arial"/>
                <w:sz w:val="18"/>
                <w:szCs w:val="18"/>
                <w:color w:val="auto"/>
              </w:rPr>
              <w:t>(ii)</w:t>
            </w: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 lump sum payment equal to any accrued and unpaid bonus for the prior fiscal year.</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ind w:left="360"/>
              <w:spacing w:after="0" w:line="202" w:lineRule="exact"/>
              <w:rPr>
                <w:sz w:val="20"/>
                <w:szCs w:val="20"/>
                <w:color w:val="auto"/>
              </w:rPr>
            </w:pPr>
            <w:r>
              <w:rPr>
                <w:rFonts w:ascii="Arial" w:cs="Arial" w:eastAsia="Arial" w:hAnsi="Arial"/>
                <w:sz w:val="18"/>
                <w:szCs w:val="18"/>
                <w:color w:val="auto"/>
              </w:rPr>
              <w:t>(iii)</w:t>
            </w: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Payment of COBRA premiums for 9 months following Separation (as such term is defined in</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the Executive’s Employment Agreement).</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ind w:left="360"/>
              <w:spacing w:after="0" w:line="202" w:lineRule="exact"/>
              <w:rPr>
                <w:sz w:val="20"/>
                <w:szCs w:val="20"/>
                <w:color w:val="auto"/>
              </w:rPr>
            </w:pPr>
            <w:r>
              <w:rPr>
                <w:rFonts w:ascii="Arial" w:cs="Arial" w:eastAsia="Arial" w:hAnsi="Arial"/>
                <w:sz w:val="18"/>
                <w:szCs w:val="18"/>
                <w:color w:val="auto"/>
              </w:rPr>
              <w:t>(iv)</w:t>
            </w: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Any outstanding equity awards which are subject to time-based vesting shall accelerate and</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become exercisable with respect to the number of shares that would have vested if the</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Executive had completed an additional 9 months of service with us. Any equity awards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which are subject to unsatisfied performance conditions shall not be eligible for acceleration</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pursuant to the Employment Agreement and will be treated as described in the applicable</w:t>
            </w:r>
          </w:p>
        </w:tc>
      </w:tr>
      <w:tr>
        <w:trPr>
          <w:trHeight w:val="239"/>
        </w:trPr>
        <w:tc>
          <w:tcPr>
            <w:tcW w:w="2180" w:type="dxa"/>
            <w:vAlign w:val="bottom"/>
            <w:tcBorders>
              <w:left w:val="single" w:sz="8" w:color="auto"/>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equity award agreement.</w:t>
            </w:r>
          </w:p>
        </w:tc>
      </w:tr>
      <w:tr>
        <w:trPr>
          <w:trHeight w:val="185"/>
        </w:trPr>
        <w:tc>
          <w:tcPr>
            <w:tcW w:w="2180" w:type="dxa"/>
            <w:vAlign w:val="bottom"/>
            <w:tcBorders>
              <w:left w:val="single" w:sz="8" w:color="auto"/>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680" w:type="dxa"/>
            <w:vAlign w:val="bottom"/>
            <w:tcBorders>
              <w:bottom w:val="single" w:sz="8" w:color="auto"/>
              <w:right w:val="single" w:sz="8" w:color="auto"/>
            </w:tcBorders>
          </w:tcPr>
          <w:p>
            <w:pPr>
              <w:spacing w:after="0"/>
              <w:rPr>
                <w:sz w:val="16"/>
                <w:szCs w:val="16"/>
                <w:color w:val="auto"/>
              </w:rPr>
            </w:pPr>
          </w:p>
        </w:tc>
      </w:tr>
    </w:tbl>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event an Executive is subject to an Involuntary Termination during a Change in Control Window (as such term is defined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Executive’s Employment Agreement), the Executive will be entitled to receive the following severance benefits: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2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Executive</w:t>
            </w:r>
          </w:p>
        </w:tc>
        <w:tc>
          <w:tcPr>
            <w:tcW w:w="838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Severance Benefits (Involving a Change-in-Control)</w:t>
            </w:r>
          </w:p>
        </w:tc>
        <w:tc>
          <w:tcPr>
            <w:tcW w:w="660" w:type="dxa"/>
            <w:vAlign w:val="bottom"/>
          </w:tcPr>
          <w:p>
            <w:pPr>
              <w:spacing w:after="0"/>
              <w:rPr>
                <w:sz w:val="20"/>
                <w:szCs w:val="20"/>
                <w:color w:val="auto"/>
              </w:rPr>
            </w:pPr>
          </w:p>
        </w:tc>
      </w:tr>
      <w:tr>
        <w:trPr>
          <w:trHeight w:val="160"/>
        </w:trPr>
        <w:tc>
          <w:tcPr>
            <w:tcW w:w="220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8"/>
                <w:szCs w:val="18"/>
                <w:color w:val="auto"/>
              </w:rPr>
              <w:t>Michael Massaro</w:t>
            </w:r>
          </w:p>
        </w:tc>
        <w:tc>
          <w:tcPr>
            <w:tcW w:w="740" w:type="dxa"/>
            <w:vAlign w:val="bottom"/>
          </w:tcPr>
          <w:p>
            <w:pPr>
              <w:ind w:left="340"/>
              <w:spacing w:after="0" w:line="160" w:lineRule="exact"/>
              <w:rPr>
                <w:sz w:val="20"/>
                <w:szCs w:val="20"/>
                <w:color w:val="auto"/>
              </w:rPr>
            </w:pPr>
            <w:r>
              <w:rPr>
                <w:rFonts w:ascii="Arial" w:cs="Arial" w:eastAsia="Arial" w:hAnsi="Arial"/>
                <w:sz w:val="18"/>
                <w:szCs w:val="18"/>
                <w:color w:val="auto"/>
              </w:rPr>
              <w:t>(i)</w:t>
            </w:r>
          </w:p>
        </w:tc>
        <w:tc>
          <w:tcPr>
            <w:tcW w:w="7640" w:type="dxa"/>
            <w:vAlign w:val="bottom"/>
            <w:tcBorders>
              <w:right w:val="single" w:sz="8" w:color="auto"/>
            </w:tcBorders>
          </w:tcPr>
          <w:p>
            <w:pPr>
              <w:ind w:left="160"/>
              <w:spacing w:after="0" w:line="160" w:lineRule="exact"/>
              <w:rPr>
                <w:sz w:val="20"/>
                <w:szCs w:val="20"/>
                <w:color w:val="auto"/>
              </w:rPr>
            </w:pPr>
            <w:r>
              <w:rPr>
                <w:rFonts w:ascii="Arial" w:cs="Arial" w:eastAsia="Arial" w:hAnsi="Arial"/>
                <w:sz w:val="18"/>
                <w:szCs w:val="18"/>
                <w:color w:val="auto"/>
              </w:rPr>
              <w:t>A severance payment equal to 2 times the sum of Mr. Massaro’s then-current annual base</w:t>
            </w:r>
          </w:p>
        </w:tc>
        <w:tc>
          <w:tcPr>
            <w:tcW w:w="660" w:type="dxa"/>
            <w:vAlign w:val="bottom"/>
          </w:tcPr>
          <w:p>
            <w:pPr>
              <w:spacing w:after="0"/>
              <w:rPr>
                <w:sz w:val="13"/>
                <w:szCs w:val="13"/>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salary as of the date of termination plus his target bonus for the year of termination.</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 lump sum payment equal to any accrued and unpaid bonus for the prior fiscal year.</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Payment of COBRA premiums for 18 months following Separation (as such term is defined</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in Mr. Massaro’s Employment Agreement).</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(iv)</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Any outstanding equity awards which are subject to time-based vesting shall accelerate and</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become exercisable with respect all shares subject to such equity awards. Any equity</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awards which are subject to unsatisfied performance conditions shall not be eligible for</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acceleration pursuant to Mr. Massaro’s Employment Agreement and will be treated as</w:t>
            </w:r>
          </w:p>
        </w:tc>
        <w:tc>
          <w:tcPr>
            <w:tcW w:w="660" w:type="dxa"/>
            <w:vAlign w:val="bottom"/>
          </w:tcPr>
          <w:p>
            <w:pPr>
              <w:spacing w:after="0"/>
              <w:rPr>
                <w:sz w:val="17"/>
                <w:szCs w:val="17"/>
                <w:color w:val="auto"/>
              </w:rPr>
            </w:pPr>
          </w:p>
        </w:tc>
      </w:tr>
      <w:tr>
        <w:trPr>
          <w:trHeight w:val="221"/>
        </w:trPr>
        <w:tc>
          <w:tcPr>
            <w:tcW w:w="220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described in the applicable equity award agreement.</w:t>
            </w:r>
          </w:p>
        </w:tc>
        <w:tc>
          <w:tcPr>
            <w:tcW w:w="660" w:type="dxa"/>
            <w:vAlign w:val="bottom"/>
          </w:tcPr>
          <w:p>
            <w:pPr>
              <w:spacing w:after="0"/>
              <w:rPr>
                <w:sz w:val="19"/>
                <w:szCs w:val="19"/>
                <w:color w:val="auto"/>
              </w:rPr>
            </w:pPr>
          </w:p>
        </w:tc>
      </w:tr>
      <w:tr>
        <w:trPr>
          <w:trHeight w:val="177"/>
        </w:trPr>
        <w:tc>
          <w:tcPr>
            <w:tcW w:w="2200" w:type="dxa"/>
            <w:vAlign w:val="bottom"/>
            <w:tcBorders>
              <w:left w:val="single" w:sz="8" w:color="auto"/>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Robert Orgel and</w:t>
            </w:r>
          </w:p>
        </w:tc>
        <w:tc>
          <w:tcPr>
            <w:tcW w:w="740" w:type="dxa"/>
            <w:vAlign w:val="bottom"/>
          </w:tcPr>
          <w:p>
            <w:pPr>
              <w:ind w:left="340"/>
              <w:spacing w:after="0" w:line="177" w:lineRule="exact"/>
              <w:rPr>
                <w:sz w:val="20"/>
                <w:szCs w:val="20"/>
                <w:color w:val="auto"/>
              </w:rPr>
            </w:pPr>
            <w:r>
              <w:rPr>
                <w:rFonts w:ascii="Arial" w:cs="Arial" w:eastAsia="Arial" w:hAnsi="Arial"/>
                <w:sz w:val="18"/>
                <w:szCs w:val="18"/>
                <w:color w:val="auto"/>
              </w:rPr>
              <w:t>(i)</w:t>
            </w:r>
          </w:p>
        </w:tc>
        <w:tc>
          <w:tcPr>
            <w:tcW w:w="7640" w:type="dxa"/>
            <w:vAlign w:val="bottom"/>
            <w:tcBorders>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A severance payment equal to 1.5 times the sum of the Executive’s then-current annual</w:t>
            </w:r>
          </w:p>
        </w:tc>
        <w:tc>
          <w:tcPr>
            <w:tcW w:w="660" w:type="dxa"/>
            <w:vAlign w:val="bottom"/>
          </w:tcPr>
          <w:p>
            <w:pPr>
              <w:spacing w:after="0"/>
              <w:rPr>
                <w:sz w:val="15"/>
                <w:szCs w:val="15"/>
                <w:color w:val="auto"/>
              </w:rPr>
            </w:pPr>
          </w:p>
        </w:tc>
      </w:tr>
      <w:tr>
        <w:trPr>
          <w:trHeight w:val="203"/>
        </w:trPr>
        <w:tc>
          <w:tcPr>
            <w:tcW w:w="2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Cosmin Pitigoi</w:t>
            </w: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base salary as of the date of termination plus his target bonus for the year of termination.</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 lump sum payment equal to any accrued and unpaid bonus for the prior fiscal year.</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Payment of COBRA premiums for 12 months following Separation (as such term is defined</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in the Executive’s Employment Agreement).</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ind w:left="340"/>
              <w:spacing w:after="0" w:line="202" w:lineRule="exact"/>
              <w:rPr>
                <w:sz w:val="20"/>
                <w:szCs w:val="20"/>
                <w:color w:val="auto"/>
              </w:rPr>
            </w:pPr>
            <w:r>
              <w:rPr>
                <w:rFonts w:ascii="Arial" w:cs="Arial" w:eastAsia="Arial" w:hAnsi="Arial"/>
                <w:sz w:val="18"/>
                <w:szCs w:val="18"/>
                <w:color w:val="auto"/>
              </w:rPr>
              <w:t>(iv)</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Any outstanding equity awards which are subject to time-based vesting shall accelerate and</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become exercisable with respect all shares subject to such equity awards. Any equity</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awards which are subject to unsatisfied performance conditions shall not be eligible for</w:t>
            </w:r>
          </w:p>
        </w:tc>
        <w:tc>
          <w:tcPr>
            <w:tcW w:w="660" w:type="dxa"/>
            <w:vAlign w:val="bottom"/>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acceleration pursuant to the Employment Agreement and will be treated as described in the</w:t>
            </w:r>
          </w:p>
        </w:tc>
        <w:tc>
          <w:tcPr>
            <w:tcW w:w="660" w:type="dxa"/>
            <w:vAlign w:val="bottom"/>
          </w:tcPr>
          <w:p>
            <w:pPr>
              <w:spacing w:after="0"/>
              <w:rPr>
                <w:sz w:val="17"/>
                <w:szCs w:val="17"/>
                <w:color w:val="auto"/>
              </w:rPr>
            </w:pPr>
          </w:p>
        </w:tc>
      </w:tr>
      <w:tr>
        <w:trPr>
          <w:trHeight w:val="239"/>
        </w:trPr>
        <w:tc>
          <w:tcPr>
            <w:tcW w:w="2200" w:type="dxa"/>
            <w:vAlign w:val="bottom"/>
            <w:tcBorders>
              <w:left w:val="single" w:sz="8" w:color="auto"/>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applicable equity award agreement.</w:t>
            </w:r>
          </w:p>
        </w:tc>
        <w:tc>
          <w:tcPr>
            <w:tcW w:w="660" w:type="dxa"/>
            <w:vAlign w:val="bottom"/>
          </w:tcPr>
          <w:p>
            <w:pPr>
              <w:spacing w:after="0"/>
              <w:rPr>
                <w:sz w:val="20"/>
                <w:szCs w:val="20"/>
                <w:color w:val="auto"/>
              </w:rPr>
            </w:pPr>
          </w:p>
        </w:tc>
      </w:tr>
      <w:tr>
        <w:trPr>
          <w:trHeight w:val="388"/>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40" w:type="dxa"/>
            <w:vAlign w:val="bottom"/>
            <w:tcBorders>
              <w:bottom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232"/>
        </w:trPr>
        <w:tc>
          <w:tcPr>
            <w:tcW w:w="2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40" w:type="dxa"/>
            <w:vAlign w:val="bottom"/>
          </w:tcPr>
          <w:p>
            <w:pPr>
              <w:ind w:left="2540"/>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0"/>
                <w:szCs w:val="20"/>
                <w:color w:val="auto"/>
              </w:rPr>
            </w:pPr>
          </w:p>
        </w:tc>
      </w:tr>
      <w:tr>
        <w:trPr>
          <w:trHeight w:val="727"/>
        </w:trPr>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08" w:name="page109"/>
    <w:bookmarkEnd w:id="108"/>
    <w:tbl>
      <w:tblPr>
        <w:tblLayout w:type="fixed"/>
        <w:tblInd w:w="10" w:type="dxa"/>
        <w:tblCellMar>
          <w:top w:w="0" w:type="dxa"/>
          <w:left w:w="0" w:type="dxa"/>
          <w:bottom w:w="0" w:type="dxa"/>
          <w:right w:w="0" w:type="dxa"/>
        </w:tblCellMar>
      </w:tblPr>
      <w:tr>
        <w:trPr>
          <w:trHeight w:val="200"/>
        </w:trPr>
        <w:tc>
          <w:tcPr>
            <w:tcW w:w="2180" w:type="dxa"/>
            <w:vAlign w:val="bottom"/>
            <w:tcBorders>
              <w:top w:val="single" w:sz="8" w:color="auto"/>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Peter Butterfield and</w:t>
            </w:r>
          </w:p>
        </w:tc>
        <w:tc>
          <w:tcPr>
            <w:tcW w:w="76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rPr>
              <w:t>(i)</w:t>
            </w:r>
          </w:p>
        </w:tc>
        <w:tc>
          <w:tcPr>
            <w:tcW w:w="7640" w:type="dxa"/>
            <w:vAlign w:val="bottom"/>
            <w:tcBorders>
              <w:top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A severance payment equal to 1 times the sum of the Executive’s then-current annual base</w:t>
            </w:r>
          </w:p>
        </w:tc>
      </w:tr>
      <w:tr>
        <w:trPr>
          <w:trHeight w:val="203"/>
        </w:trPr>
        <w:tc>
          <w:tcPr>
            <w:tcW w:w="21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David King</w:t>
            </w:r>
          </w:p>
        </w:tc>
        <w:tc>
          <w:tcPr>
            <w:tcW w:w="76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salary as of the date of termination plus his target bonus for the year of termination.</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60" w:type="dxa"/>
            <w:vAlign w:val="bottom"/>
          </w:tcPr>
          <w:p>
            <w:pPr>
              <w:ind w:left="360"/>
              <w:spacing w:after="0" w:line="202" w:lineRule="exact"/>
              <w:rPr>
                <w:sz w:val="20"/>
                <w:szCs w:val="20"/>
                <w:color w:val="auto"/>
              </w:rPr>
            </w:pPr>
            <w:r>
              <w:rPr>
                <w:rFonts w:ascii="Arial" w:cs="Arial" w:eastAsia="Arial" w:hAnsi="Arial"/>
                <w:sz w:val="18"/>
                <w:szCs w:val="18"/>
                <w:color w:val="auto"/>
              </w:rPr>
              <w:t>(ii)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 lump sum payment equal to any accrued and unpaid bonus for the prior fiscal year.</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60" w:type="dxa"/>
            <w:vAlign w:val="bottom"/>
          </w:tcPr>
          <w:p>
            <w:pPr>
              <w:ind w:left="360"/>
              <w:spacing w:after="0" w:line="202" w:lineRule="exact"/>
              <w:rPr>
                <w:sz w:val="20"/>
                <w:szCs w:val="20"/>
                <w:color w:val="auto"/>
              </w:rPr>
            </w:pPr>
            <w:r>
              <w:rPr>
                <w:rFonts w:ascii="Arial" w:cs="Arial" w:eastAsia="Arial" w:hAnsi="Arial"/>
                <w:sz w:val="18"/>
                <w:szCs w:val="18"/>
                <w:color w:val="auto"/>
              </w:rPr>
              <w:t>(iii)</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Payment of COBRA premiums for 12 months following Separation (as such term is defined</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in the Executive’s Employment Agreement).</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60" w:type="dxa"/>
            <w:vAlign w:val="bottom"/>
          </w:tcPr>
          <w:p>
            <w:pPr>
              <w:ind w:left="360"/>
              <w:spacing w:after="0" w:line="202" w:lineRule="exact"/>
              <w:rPr>
                <w:sz w:val="20"/>
                <w:szCs w:val="20"/>
                <w:color w:val="auto"/>
              </w:rPr>
            </w:pPr>
            <w:r>
              <w:rPr>
                <w:rFonts w:ascii="Arial" w:cs="Arial" w:eastAsia="Arial" w:hAnsi="Arial"/>
                <w:sz w:val="18"/>
                <w:szCs w:val="18"/>
                <w:color w:val="auto"/>
              </w:rPr>
              <w:t>(iv)</w:t>
            </w: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Any outstanding equity awards which are subject to time-based vesting shall accelerate and</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become exercisable with respect all shares subject to such equity awards. Any equity</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awards which are subject to unsatisfied performance conditions shall not be eligible for</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764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acceleration pursuant to the Employment Agreement and will be treated as described in the</w:t>
            </w:r>
          </w:p>
        </w:tc>
      </w:tr>
      <w:tr>
        <w:trPr>
          <w:trHeight w:val="239"/>
        </w:trPr>
        <w:tc>
          <w:tcPr>
            <w:tcW w:w="2180" w:type="dxa"/>
            <w:vAlign w:val="bottom"/>
            <w:tcBorders>
              <w:left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76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applicable equity award agreement.</w:t>
            </w:r>
          </w:p>
        </w:tc>
      </w:tr>
      <w:tr>
        <w:trPr>
          <w:trHeight w:val="371"/>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40" w:type="dxa"/>
            <w:vAlign w:val="bottom"/>
            <w:tcBorders>
              <w:bottom w:val="single" w:sz="8" w:color="auto"/>
              <w:right w:val="single" w:sz="8" w:color="auto"/>
            </w:tcBorders>
          </w:tcPr>
          <w:p>
            <w:pPr>
              <w:spacing w:after="0"/>
              <w:rPr>
                <w:sz w:val="24"/>
                <w:szCs w:val="24"/>
                <w:color w:val="auto"/>
              </w:rPr>
            </w:pPr>
          </w:p>
        </w:tc>
      </w:tr>
    </w:tbl>
    <w:p>
      <w:pPr>
        <w:spacing w:after="0" w:line="15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Copies of the Employment Agreements will be filed as exhibits to our Quarterly Report on Form 10-Q for the fiscal quarter ended September 30, 2025, which is expected to be filed with the SEC in the fourth quarter of 2025. The foregoing description of the Employment Agreements is qualified in its entirety by reference to the full text of such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Amended and Restated Credit Agreement</w:t>
      </w:r>
    </w:p>
    <w:p>
      <w:pPr>
        <w:spacing w:after="0" w:line="169" w:lineRule="exact"/>
        <w:rPr>
          <w:sz w:val="20"/>
          <w:szCs w:val="20"/>
          <w:color w:val="auto"/>
        </w:rPr>
      </w:pPr>
    </w:p>
    <w:p>
      <w:pPr>
        <w:ind w:right="120" w:firstLine="749"/>
        <w:spacing w:after="0" w:line="247" w:lineRule="auto"/>
        <w:rPr>
          <w:sz w:val="20"/>
          <w:szCs w:val="20"/>
          <w:color w:val="auto"/>
        </w:rPr>
      </w:pPr>
      <w:r>
        <w:rPr>
          <w:rFonts w:ascii="Arial" w:cs="Arial" w:eastAsia="Arial" w:hAnsi="Arial"/>
          <w:sz w:val="18"/>
          <w:szCs w:val="18"/>
          <w:color w:val="auto"/>
        </w:rPr>
        <w:t>On August 1, 2025, we entered into an amendment (the “Credit Agreement Amendment”) to our existing Amended and Restated Credit Agreement, among us as borrower, the other Loan Parties party thereto from time to time, the Lenders (as such terms are defined in the Credit Agreement) party thereto from time to time and Citibank NA as administrative agent, dated as of February 23, 2024 (the “Credit Agreement”).</w:t>
      </w:r>
    </w:p>
    <w:p>
      <w:pPr>
        <w:spacing w:after="0" w:line="160" w:lineRule="exact"/>
        <w:rPr>
          <w:sz w:val="20"/>
          <w:szCs w:val="20"/>
          <w:color w:val="auto"/>
        </w:rPr>
      </w:pPr>
    </w:p>
    <w:p>
      <w:pPr>
        <w:ind w:right="220" w:firstLine="749"/>
        <w:spacing w:after="0" w:line="301" w:lineRule="auto"/>
        <w:rPr>
          <w:sz w:val="20"/>
          <w:szCs w:val="20"/>
          <w:color w:val="auto"/>
        </w:rPr>
      </w:pPr>
      <w:r>
        <w:rPr>
          <w:rFonts w:ascii="Arial" w:cs="Arial" w:eastAsia="Arial" w:hAnsi="Arial"/>
          <w:sz w:val="17"/>
          <w:szCs w:val="17"/>
          <w:color w:val="auto"/>
        </w:rPr>
        <w:t>The Credit Agreement Amendment, among other things increases the total commitments to our revolving credit facility under the Credit Agreement from $125 million to $300 million and makes certain conforming and administrative changes to the Credit Agreement.</w:t>
      </w:r>
    </w:p>
    <w:p>
      <w:pPr>
        <w:spacing w:after="0" w:line="117" w:lineRule="exact"/>
        <w:rPr>
          <w:sz w:val="20"/>
          <w:szCs w:val="20"/>
          <w:color w:val="auto"/>
        </w:rPr>
      </w:pPr>
    </w:p>
    <w:p>
      <w:pPr>
        <w:ind w:right="40" w:firstLine="749"/>
        <w:spacing w:after="0" w:line="247" w:lineRule="auto"/>
        <w:rPr>
          <w:sz w:val="20"/>
          <w:szCs w:val="20"/>
          <w:color w:val="auto"/>
        </w:rPr>
      </w:pPr>
      <w:r>
        <w:rPr>
          <w:rFonts w:ascii="Arial" w:cs="Arial" w:eastAsia="Arial" w:hAnsi="Arial"/>
          <w:sz w:val="18"/>
          <w:szCs w:val="18"/>
          <w:color w:val="auto"/>
        </w:rPr>
        <w:t>In connection with the Credit Agreement Amendment, on August 1, 2025, we also entered into an amendment (the “Pledge Agreement Amendment”) to our existing Pledge and Security Agreement dated as of July 29, 2021 by and among us, the Grantors and Citibank, N.A., in its capacities as administrative agent and collateral agent for the Secured Parties (as such terms are defined in the Pledge Agreement) to among other things, revise the definition of “Excluded Amount” to increase certain thresholds associated with Deposit Accounts, Securities Accounts and Commodities Accounts.</w:t>
      </w:r>
    </w:p>
    <w:p>
      <w:pPr>
        <w:spacing w:after="0" w:line="163" w:lineRule="exact"/>
        <w:rPr>
          <w:sz w:val="20"/>
          <w:szCs w:val="20"/>
          <w:color w:val="auto"/>
        </w:rPr>
      </w:pPr>
    </w:p>
    <w:p>
      <w:pPr>
        <w:ind w:right="300" w:firstLine="749"/>
        <w:spacing w:after="0" w:line="271" w:lineRule="auto"/>
        <w:rPr>
          <w:sz w:val="20"/>
          <w:szCs w:val="20"/>
          <w:color w:val="auto"/>
        </w:rPr>
      </w:pPr>
      <w:r>
        <w:rPr>
          <w:rFonts w:ascii="Arial" w:cs="Arial" w:eastAsia="Arial" w:hAnsi="Arial"/>
          <w:sz w:val="18"/>
          <w:szCs w:val="18"/>
          <w:color w:val="auto"/>
        </w:rPr>
        <w:t>The increase in the amount available under the Credit Agreement Amendment will be used to support the ongoing needs of our business.</w:t>
      </w:r>
    </w:p>
    <w:p>
      <w:pPr>
        <w:spacing w:after="0" w:line="113"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A copy of the Credit Agreement Amendment and Pledge Agreement Amendment will be filed as exhibits to our Quarterly Report on Form 10-Q for the fiscal quarter ended September 30, 2025, which is expected to be filed with the SEC in the fourth quarter of 2025. The foregoing description of the Credit Agreement Amendment and Pledge Agreement Amendment are qualified in their entirety by reference to the full text of such exhibits.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During the period covered by this Quarterly Report on Form 10-Q, other than as set forth below, no director or officer of the Company “adopted” or terminated a “Rule 10b5-1 trading arrangement” or “non-Rule 10b5-1 trading arrangement” as each term is defined in Item 408(a) of Regulation S-K.</w:t>
      </w:r>
    </w:p>
    <w:p>
      <w:pPr>
        <w:spacing w:after="0" w:line="12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On May 23, 2025, Robert Orgel, our President and Chief Operating Officer, adopted a trading arrangement for the sale of shares of our common stock (a "Rule 10b-5 Trading Plan") that is intended to satisfy the affirmative defense conditions of Securities Exchange Act Rule 10b5-1(c). Mr. Orgel’s Rule 10b-5 Trading Plan provides for the sale of up to 278,980 shares of common stock pursuant to the terms of the plan, and is effective through June 15, 2026 unless earlier terminated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6" w:right="419" w:bottom="1440" w:gutter="0" w:footer="0" w:header="0"/>
        </w:sectPr>
      </w:pPr>
    </w:p>
    <w:bookmarkStart w:id="109" w:name="page110"/>
    <w:bookmarkEnd w:id="109"/>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jc w:val="right"/>
              <w:ind w:right="116"/>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gridSpan w:val="6"/>
          </w:tcPr>
          <w:p>
            <w:pPr>
              <w:ind w:left="2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jc w:val="right"/>
              <w:ind w:right="416"/>
              <w:spacing w:after="0" w:line="169" w:lineRule="exact"/>
              <w:rPr>
                <w:sz w:val="20"/>
                <w:szCs w:val="20"/>
                <w:color w:val="auto"/>
              </w:rPr>
            </w:pPr>
            <w:r>
              <w:rPr>
                <w:rFonts w:ascii="Arial" w:cs="Arial" w:eastAsia="Arial" w:hAnsi="Arial"/>
                <w:sz w:val="18"/>
                <w:szCs w:val="18"/>
                <w:color w:val="auto"/>
                <w:w w:val="90"/>
              </w:rPr>
              <w:t>31.1*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8"/>
          </w:tcPr>
          <w:p>
            <w:pPr>
              <w:spacing w:after="0" w:line="169"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20" w:type="dxa"/>
            <w:vAlign w:val="bottom"/>
            <w:gridSpan w:val="2"/>
            <w:vMerge w:val="restart"/>
          </w:tcPr>
          <w:p>
            <w:pPr>
              <w:jc w:val="right"/>
              <w:ind w:right="416"/>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15"/>
                <w:szCs w:val="15"/>
                <w:color w:val="auto"/>
              </w:rPr>
            </w:pPr>
          </w:p>
        </w:tc>
        <w:tc>
          <w:tcPr>
            <w:tcW w:w="982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5"/>
            <w:vMerge w:val="restart"/>
          </w:tcPr>
          <w:p>
            <w:pPr>
              <w:jc w:val="center"/>
              <w:ind w:right="220"/>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220" w:type="dxa"/>
            <w:vAlign w:val="bottom"/>
            <w:gridSpan w:val="4"/>
          </w:tcPr>
          <w:p>
            <w:pPr>
              <w:spacing w:after="0" w:line="182" w:lineRule="exact"/>
              <w:rPr>
                <w:sz w:val="20"/>
                <w:szCs w:val="20"/>
                <w:color w:val="auto"/>
              </w:rPr>
            </w:pPr>
            <w:r>
              <w:rPr>
                <w:rFonts w:ascii="Arial" w:cs="Arial" w:eastAsia="Arial" w:hAnsi="Arial"/>
                <w:sz w:val="18"/>
                <w:szCs w:val="18"/>
                <w:color w:val="0000FF"/>
                <w:w w:val="98"/>
              </w:rPr>
              <w:t>Certification of Principal Financial Officer Pursuant to Rules 13a-14(a) and 15d</w:t>
            </w:r>
          </w:p>
        </w:tc>
        <w:tc>
          <w:tcPr>
            <w:tcW w:w="37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gridSpan w:val="2"/>
            <w:vMerge w:val="restart"/>
          </w:tcPr>
          <w:p>
            <w:pPr>
              <w:jc w:val="right"/>
              <w:ind w:right="416"/>
              <w:spacing w:after="0"/>
              <w:rPr>
                <w:sz w:val="20"/>
                <w:szCs w:val="20"/>
                <w:color w:val="auto"/>
              </w:rPr>
            </w:pPr>
            <w:r>
              <w:rPr>
                <w:rFonts w:ascii="Arial" w:cs="Arial" w:eastAsia="Arial" w:hAnsi="Arial"/>
                <w:sz w:val="18"/>
                <w:szCs w:val="18"/>
                <w:color w:val="auto"/>
                <w:w w:val="95"/>
              </w:rPr>
              <w:t>32.1*</w:t>
            </w:r>
          </w:p>
        </w:tc>
        <w:tc>
          <w:tcPr>
            <w:tcW w:w="260" w:type="dxa"/>
            <w:vAlign w:val="bottom"/>
          </w:tcPr>
          <w:p>
            <w:pPr>
              <w:spacing w:after="0"/>
              <w:rPr>
                <w:sz w:val="15"/>
                <w:szCs w:val="15"/>
                <w:color w:val="auto"/>
              </w:rPr>
            </w:pPr>
          </w:p>
        </w:tc>
        <w:tc>
          <w:tcPr>
            <w:tcW w:w="97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5"/>
            <w:vMerge w:val="restart"/>
          </w:tcPr>
          <w:p>
            <w:pPr>
              <w:jc w:val="center"/>
              <w:ind w:right="220"/>
              <w:spacing w:after="0" w:line="202" w:lineRule="exact"/>
              <w:rPr>
                <w:sz w:val="20"/>
                <w:szCs w:val="20"/>
                <w:color w:val="auto"/>
              </w:rPr>
            </w:pPr>
            <w:r>
              <w:rPr>
                <w:rFonts w:ascii="Arial" w:cs="Arial" w:eastAsia="Arial" w:hAnsi="Arial"/>
                <w:sz w:val="18"/>
                <w:szCs w:val="18"/>
                <w:color w:val="0000FF"/>
                <w:w w:val="99"/>
              </w:rPr>
              <w:t>as Adopted Pursuant to Section 906 of the</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220" w:type="dxa"/>
            <w:vAlign w:val="bottom"/>
            <w:gridSpan w:val="4"/>
          </w:tcPr>
          <w:p>
            <w:pPr>
              <w:spacing w:after="0" w:line="182" w:lineRule="exact"/>
              <w:rPr>
                <w:sz w:val="20"/>
                <w:szCs w:val="20"/>
                <w:color w:val="auto"/>
              </w:rPr>
            </w:pPr>
            <w:r>
              <w:rPr>
                <w:rFonts w:ascii="Arial" w:cs="Arial" w:eastAsia="Arial" w:hAnsi="Arial"/>
                <w:sz w:val="18"/>
                <w:szCs w:val="18"/>
                <w:color w:val="0000FF"/>
                <w:w w:val="98"/>
              </w:rPr>
              <w:t>Certification of Principal Executive Officer Pursuant to 18 U.S.C. Section 1350,</w:t>
            </w:r>
          </w:p>
        </w:tc>
        <w:tc>
          <w:tcPr>
            <w:tcW w:w="37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2"/>
            <w:vMerge w:val="restart"/>
          </w:tcPr>
          <w:p>
            <w:pPr>
              <w:jc w:val="right"/>
              <w:ind w:right="416"/>
              <w:spacing w:after="0"/>
              <w:rPr>
                <w:sz w:val="20"/>
                <w:szCs w:val="20"/>
                <w:color w:val="auto"/>
              </w:rPr>
            </w:pPr>
            <w:r>
              <w:rPr>
                <w:rFonts w:ascii="Arial" w:cs="Arial" w:eastAsia="Arial" w:hAnsi="Arial"/>
                <w:sz w:val="18"/>
                <w:szCs w:val="18"/>
                <w:color w:val="auto"/>
                <w:w w:val="95"/>
              </w:rPr>
              <w:t>32.2*</w:t>
            </w:r>
          </w:p>
        </w:tc>
        <w:tc>
          <w:tcPr>
            <w:tcW w:w="26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940" w:type="dxa"/>
            <w:vAlign w:val="bottom"/>
            <w:gridSpan w:val="9"/>
          </w:tcPr>
          <w:p>
            <w:pPr>
              <w:spacing w:after="0" w:line="182"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2"/>
          </w:tcPr>
          <w:p>
            <w:pPr>
              <w:spacing w:after="0"/>
              <w:rPr>
                <w:sz w:val="15"/>
                <w:szCs w:val="15"/>
                <w:color w:val="auto"/>
              </w:rPr>
            </w:pPr>
          </w:p>
        </w:tc>
        <w:tc>
          <w:tcPr>
            <w:tcW w:w="3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940" w:type="dxa"/>
            <w:vAlign w:val="bottom"/>
            <w:gridSpan w:val="9"/>
          </w:tcPr>
          <w:p>
            <w:pPr>
              <w:spacing w:after="0" w:line="19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40" w:type="dxa"/>
            <w:vAlign w:val="bottom"/>
            <w:gridSpan w:val="9"/>
          </w:tcPr>
          <w:p>
            <w:pPr>
              <w:spacing w:after="0" w:line="202" w:lineRule="exact"/>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21"/>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9"/>
                <w:szCs w:val="19"/>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220" w:hanging="1151"/>
        <w:spacing w:after="0"/>
        <w:tabs>
          <w:tab w:leader="none" w:pos="12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109" w:lineRule="exact"/>
        <w:rPr>
          <w:rFonts w:ascii="Arial" w:cs="Arial" w:eastAsia="Arial" w:hAnsi="Arial"/>
          <w:sz w:val="18"/>
          <w:szCs w:val="18"/>
          <w:color w:val="auto"/>
        </w:rPr>
      </w:pPr>
    </w:p>
    <w:p>
      <w:pPr>
        <w:ind w:right="200" w:firstLine="8"/>
        <w:spacing w:after="0" w:line="247" w:lineRule="auto"/>
        <w:tabs>
          <w:tab w:leader="none" w:pos="120" w:val="left"/>
        </w:tabs>
        <w:numPr>
          <w:ilvl w:val="1"/>
          <w:numId w:val="51"/>
        </w:numPr>
        <w:rPr>
          <w:rFonts w:ascii="Arial" w:cs="Arial" w:eastAsia="Arial" w:hAnsi="Arial"/>
          <w:sz w:val="14"/>
          <w:szCs w:val="14"/>
          <w:color w:val="auto"/>
        </w:rPr>
      </w:pPr>
      <w:r>
        <w:rPr>
          <w:rFonts w:ascii="Arial" w:cs="Arial" w:eastAsia="Arial" w:hAnsi="Arial"/>
          <w:sz w:val="14"/>
          <w:szCs w:val="14"/>
          <w:color w:val="auto"/>
        </w:rPr>
        <w:t>Schedules (or similar attachments) have been omitted pursuant to Item 601(a)(5) of Regulation S-K and will be provided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237426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1" w:name="page112"/>
    <w:bookmarkEnd w:id="111"/>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FLYWIRE CORPORATION</w:t>
      </w:r>
    </w:p>
    <w:p>
      <w:pPr>
        <w:spacing w:after="0" w:line="21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372872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484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Michael Massaro</w:t>
      </w:r>
    </w:p>
    <w:p>
      <w:pPr>
        <w:ind w:left="674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Executive Officer)</w:t>
      </w:r>
    </w:p>
    <w:p>
      <w:pPr>
        <w:spacing w:after="0" w:line="19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Cosmin Pitigoi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37287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484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Cosmin Pitigoi</w:t>
      </w:r>
    </w:p>
    <w:p>
      <w:pPr>
        <w:jc w:val="center"/>
        <w:ind w:left="53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4"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2025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840" w:right="1240" w:hanging="6840"/>
        <w:spacing w:after="0" w:line="276" w:lineRule="auto"/>
        <w:tabs>
          <w:tab w:leader="none" w:pos="682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-1905</wp:posOffset>
            </wp:positionV>
            <wp:extent cx="25463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214"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Michael Massaro</w:t>
      </w:r>
    </w:p>
    <w:p>
      <w:pPr>
        <w:jc w:val="center"/>
        <w:ind w:left="714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Cosmin Pitigoi, certify that:</w:t>
      </w:r>
    </w:p>
    <w:p>
      <w:pPr>
        <w:spacing w:after="0" w:line="104"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2025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520" w:right="1520" w:hanging="6503"/>
        <w:spacing w:after="0" w:line="276" w:lineRule="auto"/>
        <w:tabs>
          <w:tab w:leader="none" w:pos="650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6034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14"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Cosmin Pitigoi</w:t>
      </w:r>
    </w:p>
    <w:p>
      <w:pPr>
        <w:jc w:val="center"/>
        <w:ind w:left="68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1287780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June 30, 2025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6380" w:right="1440" w:hanging="6368"/>
        <w:spacing w:after="0" w:line="276" w:lineRule="auto"/>
        <w:tabs>
          <w:tab w:leader="none" w:pos="636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84607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4"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Michael Massaro</w:t>
      </w:r>
    </w:p>
    <w:p>
      <w:pPr>
        <w:jc w:val="center"/>
        <w:ind w:left="668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June 30, 2025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6380" w:right="1540" w:hanging="6368"/>
        <w:spacing w:after="0" w:line="276" w:lineRule="auto"/>
        <w:tabs>
          <w:tab w:leader="none" w:pos="6360" w:val="left"/>
        </w:tabs>
        <w:rPr>
          <w:sz w:val="20"/>
          <w:szCs w:val="20"/>
          <w:color w:val="auto"/>
        </w:rPr>
      </w:pPr>
      <w:r>
        <w:rPr>
          <w:rFonts w:ascii="Arial" w:cs="Arial" w:eastAsia="Arial" w:hAnsi="Arial"/>
          <w:sz w:val="18"/>
          <w:szCs w:val="18"/>
          <w:color w:val="auto"/>
        </w:rPr>
        <w:t>Date: August 6, 2025</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84607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4"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Cosmin Pitigoi</w:t>
      </w:r>
    </w:p>
    <w:p>
      <w:pPr>
        <w:jc w:val="center"/>
        <w:ind w:left="668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2025-08-06T15:56:51Z</dcterms:created>
  <dcterms:modified xsi:type="dcterms:W3CDTF">2025-08-06T15:56:51Z</dcterms:modified>
</cp:coreProperties>
</file>