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Flywire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Voting 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Temasek Holdings (Private) Limited</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SINGAPORE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4,208,966.00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4,208,966.00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4,208,966.00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Fullerton Management Pte Ltd</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SINGAPORE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4,208,966.00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4,208,966.00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4,208,966.00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Hotham Investments Pte. Ltd.</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SINGAPORE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4,208,966.00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4,208,966.00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4,208,966.00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Ossa Investments Pte. Ltd.</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SINGAPORE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4,208,966.00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4,208,966.00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4,208,966.00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Explanatory Note: This amendment to the statement is being filed voluntarily by the Reporting Persons to report that they have ceased to own more than 5% of the shares of the Issuer's voting common stock.</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095"/>
        <w:gridCol w:w="8955"/>
        <w:gridCol w:w="155"/>
      </w:tblGrid>
      <w:tr>
        <w:trPr/>
        <w:tc>
          <w:tcPr>
            <w:tcW w:w="1095" w:type="dxa"/>
            <w:tcBorders/>
            <w:vAlign w:val="center"/>
          </w:tcPr>
          <w:p>
            <w:pPr>
              <w:pStyle w:val="TableContents"/>
              <w:bidi w:val="0"/>
              <w:spacing w:before="0" w:after="283"/>
              <w:jc w:val="left"/>
              <w:rPr/>
            </w:pPr>
            <w:r>
              <w:rPr/>
              <w:t>Item 1.</w:t>
            </w:r>
          </w:p>
        </w:tc>
        <w:tc>
          <w:tcPr>
            <w:tcW w:w="895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(a)</w:t>
            </w:r>
          </w:p>
        </w:tc>
        <w:tc>
          <w:tcPr>
            <w:tcW w:w="8955" w:type="dxa"/>
            <w:tcBorders/>
            <w:vAlign w:val="center"/>
          </w:tcPr>
          <w:p>
            <w:pPr>
              <w:pStyle w:val="TableContents"/>
              <w:bidi w:val="0"/>
              <w:jc w:val="left"/>
              <w:rPr/>
            </w:pPr>
            <w:r>
              <w:rPr/>
              <w:t xml:space="preserve">Name of issuer: </w:t>
            </w:r>
          </w:p>
          <w:p>
            <w:pPr>
              <w:pStyle w:val="TableContents"/>
              <w:bidi w:val="0"/>
              <w:spacing w:before="0" w:after="0"/>
              <w:jc w:val="left"/>
              <w:rPr/>
            </w:pPr>
            <w:r>
              <w:rPr/>
              <w:t>Flywire Corporation</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(b)</w:t>
            </w:r>
          </w:p>
        </w:tc>
        <w:tc>
          <w:tcPr>
            <w:tcW w:w="895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141 Tremont St #10, Boston, MA 02111</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Item 2.</w:t>
            </w:r>
          </w:p>
        </w:tc>
        <w:tc>
          <w:tcPr>
            <w:tcW w:w="895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(a)</w:t>
            </w:r>
          </w:p>
        </w:tc>
        <w:tc>
          <w:tcPr>
            <w:tcW w:w="8955"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Temasek Holdings (Private) Limited ("Temasek"); (ii) Fullerton Management Pte Ltd ("Fullerton"); (iii) Hotham Investments Pte. Ltd. ("Hotham"); and (iv) Ossa Investments Pte. Ltd. ("Ossa" and, together with Temasek, Fullerton and Hotham,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(b)</w:t>
            </w:r>
          </w:p>
        </w:tc>
        <w:tc>
          <w:tcPr>
            <w:tcW w:w="895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Each of the Reporting Persons: 60B Orchard Road #06-18 The Atrium@Orchard Singapore 238891.</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(c)</w:t>
            </w:r>
          </w:p>
        </w:tc>
        <w:tc>
          <w:tcPr>
            <w:tcW w:w="8955" w:type="dxa"/>
            <w:tcBorders/>
            <w:vAlign w:val="center"/>
          </w:tcPr>
          <w:p>
            <w:pPr>
              <w:pStyle w:val="TableContents"/>
              <w:bidi w:val="0"/>
              <w:jc w:val="left"/>
              <w:rPr/>
            </w:pPr>
            <w:r>
              <w:rPr/>
              <w:t xml:space="preserve">Citizenship: </w:t>
            </w:r>
          </w:p>
          <w:p>
            <w:pPr>
              <w:pStyle w:val="TableContents"/>
              <w:bidi w:val="0"/>
              <w:spacing w:before="0" w:after="0"/>
              <w:jc w:val="left"/>
              <w:rPr/>
            </w:pPr>
            <w:r>
              <w:rPr/>
              <w:t>Each of the Reporting Persons: Republic of Singapore</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(d)</w:t>
            </w:r>
          </w:p>
        </w:tc>
        <w:tc>
          <w:tcPr>
            <w:tcW w:w="895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Voting 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(e)</w:t>
            </w:r>
          </w:p>
        </w:tc>
        <w:tc>
          <w:tcPr>
            <w:tcW w:w="895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Item 3.</w:t>
            </w:r>
          </w:p>
        </w:tc>
        <w:tc>
          <w:tcPr>
            <w:tcW w:w="895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(a)</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(b)</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(c)</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(d)</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(e)</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(f)</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(g)</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(h)</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(i)</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(j)</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(k)</w:t>
            </w:r>
          </w:p>
        </w:tc>
        <w:tc>
          <w:tcPr>
            <w:tcW w:w="8955"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 </w:t>
            </w:r>
          </w:p>
        </w:tc>
        <w:tc>
          <w:tcPr>
            <w:tcW w:w="9110" w:type="dxa"/>
            <w:gridSpan w:val="2"/>
            <w:tcBorders/>
            <w:vAlign w:val="center"/>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Item 4.</w:t>
            </w:r>
          </w:p>
        </w:tc>
        <w:tc>
          <w:tcPr>
            <w:tcW w:w="895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(a)</w:t>
            </w:r>
          </w:p>
        </w:tc>
        <w:tc>
          <w:tcPr>
            <w:tcW w:w="895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July 17, 2026, Ossa directly owned in aggregate 4,208,966 shares of voting common stock. Ossa is a wholly-owned subsidiary of Hotham, which in turn is a wholly-owned subsidiary of Fullerton, which in turn is a wholly-owned subsidiary of Temasek. Temasek, Fullerton and Hotham, through the ownership described herein, may be deemed to beneficially own the shares of the Issuer's voting common stock directly owned by Ossa.</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(b)</w:t>
            </w:r>
          </w:p>
        </w:tc>
        <w:tc>
          <w:tcPr>
            <w:tcW w:w="895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July 17, 2026: Temasek, Fullerton, Hotham and Ossa: 3.5% The percentages above are based on 121,544,560 shares of the Issuer's voting common stock outstanding as of April 30, 2026, as set forth in the Issuer's quarterly report on Form 10-Q filed with the Securities and Exchange Commission on May 6, 2026.  %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(c)</w:t>
            </w:r>
          </w:p>
        </w:tc>
        <w:tc>
          <w:tcPr>
            <w:tcW w:w="895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4,208,966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4,208,966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Item 5.</w:t>
            </w:r>
          </w:p>
        </w:tc>
        <w:tc>
          <w:tcPr>
            <w:tcW w:w="895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Item 6.</w:t>
            </w:r>
          </w:p>
        </w:tc>
        <w:tc>
          <w:tcPr>
            <w:tcW w:w="895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Item 7.</w:t>
            </w:r>
          </w:p>
        </w:tc>
        <w:tc>
          <w:tcPr>
            <w:tcW w:w="895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Item 8.</w:t>
            </w:r>
          </w:p>
        </w:tc>
        <w:tc>
          <w:tcPr>
            <w:tcW w:w="895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Item 9.</w:t>
            </w:r>
          </w:p>
        </w:tc>
        <w:tc>
          <w:tcPr>
            <w:tcW w:w="895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5" w:type="dxa"/>
            <w:tcBorders/>
            <w:vAlign w:val="center"/>
          </w:tcPr>
          <w:p>
            <w:pPr>
              <w:pStyle w:val="TableContents"/>
              <w:bidi w:val="0"/>
              <w:spacing w:before="0" w:after="283"/>
              <w:jc w:val="left"/>
              <w:rPr/>
            </w:pPr>
            <w:r>
              <w:rPr/>
              <w:t> </w:t>
            </w:r>
          </w:p>
        </w:tc>
        <w:tc>
          <w:tcPr>
            <w:tcW w:w="895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44" w:type="dxa"/>
        <w:jc w:val="left"/>
        <w:tblInd w:w="0" w:type="dxa"/>
        <w:tblLayout w:type="fixed"/>
        <w:tblCellMar>
          <w:top w:w="28" w:type="dxa"/>
          <w:left w:w="28" w:type="dxa"/>
          <w:bottom w:w="28" w:type="dxa"/>
          <w:right w:w="28" w:type="dxa"/>
        </w:tblCellMar>
      </w:tblPr>
      <w:tblGrid>
        <w:gridCol w:w="3722"/>
        <w:gridCol w:w="3722"/>
      </w:tblGrid>
      <w:tr>
        <w:trPr/>
        <w:tc>
          <w:tcPr>
            <w:tcW w:w="3722" w:type="dxa"/>
            <w:tcBorders/>
            <w:vAlign w:val="center"/>
          </w:tcPr>
          <w:p>
            <w:pPr>
              <w:pStyle w:val="TableContents"/>
              <w:bidi w:val="0"/>
              <w:spacing w:before="0" w:after="0"/>
              <w:jc w:val="left"/>
              <w:rPr/>
            </w:pPr>
            <w:r>
              <w:rPr/>
              <w:t> </w:t>
            </w:r>
          </w:p>
          <w:tbl>
            <w:tblPr>
              <w:tblW w:w="3616" w:type="dxa"/>
              <w:jc w:val="left"/>
              <w:tblInd w:w="0" w:type="dxa"/>
              <w:tblLayout w:type="fixed"/>
              <w:tblCellMar>
                <w:top w:w="28" w:type="dxa"/>
                <w:left w:w="28" w:type="dxa"/>
                <w:bottom w:w="28" w:type="dxa"/>
                <w:right w:w="28" w:type="dxa"/>
              </w:tblCellMar>
            </w:tblPr>
            <w:tblGrid>
              <w:gridCol w:w="3616"/>
            </w:tblGrid>
            <w:tr>
              <w:trPr/>
              <w:tc>
                <w:tcPr>
                  <w:tcW w:w="3616" w:type="dxa"/>
                  <w:tcBorders/>
                  <w:vAlign w:val="center"/>
                </w:tcPr>
                <w:p>
                  <w:pPr>
                    <w:pStyle w:val="TableContents"/>
                    <w:bidi w:val="0"/>
                    <w:spacing w:before="0" w:after="0"/>
                    <w:jc w:val="left"/>
                    <w:rPr/>
                  </w:pPr>
                  <w:r>
                    <w:rPr/>
                    <w:t>Temasek Holdings (Private) Limited</w:t>
                  </w:r>
                </w:p>
              </w:tc>
            </w:tr>
          </w:tbl>
          <w:p>
            <w:pPr>
              <w:pStyle w:val="TableContents"/>
              <w:bidi w:val="0"/>
              <w:spacing w:before="0" w:after="283"/>
              <w:jc w:val="left"/>
              <w:rPr/>
            </w:pPr>
            <w:r>
              <w:rPr/>
            </w:r>
          </w:p>
        </w:tc>
        <w:tc>
          <w:tcPr>
            <w:tcW w:w="37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2"/>
        <w:gridCol w:w="4253"/>
      </w:tblGrid>
      <w:tr>
        <w:trPr/>
        <w:tc>
          <w:tcPr>
            <w:tcW w:w="59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Jason Norman Lee</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Jason Norman Lee / Authorised Signatory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07/22/2026</w:t>
                  </w:r>
                </w:p>
              </w:tc>
            </w:tr>
          </w:tbl>
          <w:p>
            <w:pPr>
              <w:pStyle w:val="TableContents"/>
              <w:bidi w:val="0"/>
              <w:spacing w:before="0" w:after="283"/>
              <w:jc w:val="left"/>
              <w:rPr/>
            </w:pPr>
            <w:r>
              <w:rPr/>
            </w:r>
          </w:p>
        </w:tc>
        <w:tc>
          <w:tcPr>
            <w:tcW w:w="4253" w:type="dxa"/>
            <w:tcBorders/>
            <w:vAlign w:val="center"/>
          </w:tcPr>
          <w:p>
            <w:pPr>
              <w:pStyle w:val="TableContents"/>
              <w:bidi w:val="0"/>
              <w:spacing w:before="0" w:after="283"/>
              <w:jc w:val="left"/>
              <w:rPr>
                <w:sz w:val="4"/>
                <w:szCs w:val="4"/>
              </w:rPr>
            </w:pPr>
            <w:r>
              <w:rPr>
                <w:sz w:val="4"/>
                <w:szCs w:val="4"/>
              </w:rPr>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Fullerton Management Pte Ltd</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1"/>
        <w:gridCol w:w="4364"/>
      </w:tblGrid>
      <w:tr>
        <w:trPr/>
        <w:tc>
          <w:tcPr>
            <w:tcW w:w="58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Gregory Tan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Gregory Tan /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07/22/2026</w:t>
                  </w:r>
                </w:p>
              </w:tc>
            </w:tr>
          </w:tbl>
          <w:p>
            <w:pPr>
              <w:pStyle w:val="TableContents"/>
              <w:bidi w:val="0"/>
              <w:spacing w:before="0" w:after="283"/>
              <w:jc w:val="left"/>
              <w:rPr/>
            </w:pPr>
            <w:r>
              <w:rPr/>
            </w:r>
          </w:p>
        </w:tc>
        <w:tc>
          <w:tcPr>
            <w:tcW w:w="4364" w:type="dxa"/>
            <w:tcBorders/>
            <w:vAlign w:val="center"/>
          </w:tcPr>
          <w:p>
            <w:pPr>
              <w:pStyle w:val="TableContents"/>
              <w:bidi w:val="0"/>
              <w:spacing w:before="0" w:after="283"/>
              <w:jc w:val="left"/>
              <w:rPr>
                <w:sz w:val="4"/>
                <w:szCs w:val="4"/>
              </w:rPr>
            </w:pPr>
            <w:r>
              <w:rPr>
                <w:sz w:val="4"/>
                <w:szCs w:val="4"/>
              </w:rPr>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Hotham Investments Pte. Ltd.</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Lim Ming Pey</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Lim Ming Pey / Director</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07/22/2026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5654" w:type="dxa"/>
        <w:jc w:val="left"/>
        <w:tblInd w:w="0" w:type="dxa"/>
        <w:tblLayout w:type="fixed"/>
        <w:tblCellMar>
          <w:top w:w="28" w:type="dxa"/>
          <w:left w:w="28" w:type="dxa"/>
          <w:bottom w:w="28" w:type="dxa"/>
          <w:right w:w="28" w:type="dxa"/>
        </w:tblCellMar>
      </w:tblPr>
      <w:tblGrid>
        <w:gridCol w:w="2827"/>
        <w:gridCol w:w="2827"/>
      </w:tblGrid>
      <w:tr>
        <w:trPr/>
        <w:tc>
          <w:tcPr>
            <w:tcW w:w="2827" w:type="dxa"/>
            <w:tcBorders/>
            <w:vAlign w:val="center"/>
          </w:tcPr>
          <w:p>
            <w:pPr>
              <w:pStyle w:val="TableContents"/>
              <w:bidi w:val="0"/>
              <w:spacing w:before="0" w:after="0"/>
              <w:jc w:val="left"/>
              <w:rPr/>
            </w:pPr>
            <w:r>
              <w:rPr/>
              <w:t> </w:t>
            </w:r>
          </w:p>
          <w:tbl>
            <w:tblPr>
              <w:tblW w:w="2686" w:type="dxa"/>
              <w:jc w:val="left"/>
              <w:tblInd w:w="0" w:type="dxa"/>
              <w:tblLayout w:type="fixed"/>
              <w:tblCellMar>
                <w:top w:w="28" w:type="dxa"/>
                <w:left w:w="28" w:type="dxa"/>
                <w:bottom w:w="28" w:type="dxa"/>
                <w:right w:w="28" w:type="dxa"/>
              </w:tblCellMar>
            </w:tblPr>
            <w:tblGrid>
              <w:gridCol w:w="2686"/>
            </w:tblGrid>
            <w:tr>
              <w:trPr/>
              <w:tc>
                <w:tcPr>
                  <w:tcW w:w="2686" w:type="dxa"/>
                  <w:tcBorders/>
                  <w:vAlign w:val="center"/>
                </w:tcPr>
                <w:p>
                  <w:pPr>
                    <w:pStyle w:val="TableContents"/>
                    <w:bidi w:val="0"/>
                    <w:spacing w:before="0" w:after="0"/>
                    <w:jc w:val="left"/>
                    <w:rPr/>
                  </w:pPr>
                  <w:r>
                    <w:rPr/>
                    <w:t>Ossa Investments Pte. Ltd.</w:t>
                  </w:r>
                </w:p>
              </w:tc>
            </w:tr>
          </w:tbl>
          <w:p>
            <w:pPr>
              <w:pStyle w:val="TableContents"/>
              <w:bidi w:val="0"/>
              <w:spacing w:before="0" w:after="283"/>
              <w:jc w:val="left"/>
              <w:rPr/>
            </w:pPr>
            <w:r>
              <w:rPr/>
            </w:r>
          </w:p>
        </w:tc>
        <w:tc>
          <w:tcPr>
            <w:tcW w:w="28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Tan Yee Pin, Stanley</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Tan Yee Pin, Stanley / Director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07/22/2026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 Joint Filing Agreement, dated as of February 14, 2022, by and among Temasek, Fullerton, Hotham and Ossa (incorporated by reference to Exhibit 99.1 to the Schedule 13G filed on February 14, 2022)</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1286</Words>
  <Characters>6740</Characters>
  <CharactersWithSpaces>7961</CharactersWithSpaces>
  <Paragraphs>303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