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168275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163830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FLYWIRE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152400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387" w:lineRule="exact"/>
        <w:rPr>
          <w:sz w:val="24"/>
          <w:szCs w:val="24"/>
          <w:color w:val="auto"/>
        </w:rPr>
      </w:pPr>
    </w:p>
    <w:p>
      <w:pPr>
        <w:ind w:left="1321"/>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001-40430</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27-0690799</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Times New Roman" w:cs="Times New Roman" w:eastAsia="Times New Roman" w:hAnsi="Times New Roman"/>
          <w:sz w:val="12"/>
          <w:szCs w:val="12"/>
          <w:b w:val="1"/>
          <w:bCs w:val="1"/>
          <w:color w:val="auto"/>
        </w:rPr>
        <w:t>(Commission</w:t>
      </w:r>
    </w:p>
    <w:p>
      <w:pPr>
        <w:jc w:val="center"/>
        <w:ind w:right="1620"/>
        <w:spacing w:after="0"/>
        <w:rPr>
          <w:sz w:val="20"/>
          <w:szCs w:val="20"/>
          <w:color w:val="auto"/>
        </w:rPr>
      </w:pPr>
      <w:r>
        <w:rPr>
          <w:rFonts w:ascii="Times New Roman" w:cs="Times New Roman" w:eastAsia="Times New Roman" w:hAnsi="Times New Roman"/>
          <w:sz w:val="13"/>
          <w:szCs w:val="13"/>
          <w:b w:val="1"/>
          <w:bCs w:val="1"/>
          <w:color w:val="auto"/>
        </w:rPr>
        <w:t>File No.)</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6" w:lineRule="exact"/>
        <w:rPr>
          <w:sz w:val="24"/>
          <w:szCs w:val="24"/>
          <w:color w:val="auto"/>
        </w:rPr>
      </w:pPr>
    </w:p>
    <w:p>
      <w:pPr>
        <w:sectPr>
          <w:pgSz w:w="11900" w:h="16838" w:orient="portrait"/>
          <w:cols w:equalWidth="0" w:num="3">
            <w:col w:w="3861" w:space="720"/>
            <w:col w:w="2320" w:space="720"/>
            <w:col w:w="2020"/>
          </w:cols>
          <w:pgMar w:left="1119" w:top="404" w:right="1139" w:bottom="1440" w:gutter="0" w:footer="0" w:header="0"/>
          <w:type w:val="continuous"/>
        </w:sectPr>
      </w:pPr>
    </w:p>
    <w:p>
      <w:pPr>
        <w:ind w:left="4161"/>
        <w:spacing w:after="0"/>
        <w:rPr>
          <w:sz w:val="20"/>
          <w:szCs w:val="20"/>
          <w:color w:val="auto"/>
        </w:rPr>
      </w:pPr>
      <w:r>
        <w:rPr>
          <w:rFonts w:ascii="Times New Roman" w:cs="Times New Roman" w:eastAsia="Times New Roman" w:hAnsi="Times New Roman"/>
          <w:sz w:val="16"/>
          <w:szCs w:val="16"/>
          <w:b w:val="1"/>
          <w:bCs w:val="1"/>
          <w:color w:val="auto"/>
        </w:rPr>
        <w:t>141 Tremont St #10</w:t>
      </w:r>
    </w:p>
    <w:p>
      <w:pPr>
        <w:spacing w:after="0" w:line="23" w:lineRule="exact"/>
        <w:rPr>
          <w:sz w:val="24"/>
          <w:szCs w:val="24"/>
          <w:color w:val="auto"/>
        </w:rPr>
      </w:pPr>
    </w:p>
    <w:p>
      <w:pPr>
        <w:ind w:left="4221"/>
        <w:spacing w:after="0"/>
        <w:rPr>
          <w:sz w:val="20"/>
          <w:szCs w:val="20"/>
          <w:color w:val="auto"/>
        </w:rPr>
      </w:pPr>
      <w:r>
        <w:rPr>
          <w:rFonts w:ascii="Times New Roman" w:cs="Times New Roman" w:eastAsia="Times New Roman" w:hAnsi="Times New Roman"/>
          <w:sz w:val="16"/>
          <w:szCs w:val="16"/>
          <w:b w:val="1"/>
          <w:bCs w:val="1"/>
          <w:color w:val="auto"/>
        </w:rPr>
        <w:t>Boston, MA 02111</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(617) 329-4524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141605</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p>
      <w:pPr>
        <w:spacing w:after="0" w:line="337" w:lineRule="exact"/>
        <w:rPr>
          <w:sz w:val="24"/>
          <w:szCs w:val="24"/>
          <w:color w:val="auto"/>
        </w:rPr>
      </w:pPr>
    </w:p>
    <w:p>
      <w:pPr>
        <w:ind w:left="1" w:right="400"/>
        <w:spacing w:after="0" w:line="271"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6"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6"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6"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71"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65"/>
        </w:trPr>
        <w:tc>
          <w:tcPr>
            <w:tcW w:w="32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Voting Common Stock, $0.0001 par value per share</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rPr>
              <w:t>FLYW</w:t>
            </w:r>
          </w:p>
        </w:tc>
        <w:tc>
          <w:tcPr>
            <w:tcW w:w="100" w:type="dxa"/>
            <w:vAlign w:val="bottom"/>
          </w:tcPr>
          <w:p>
            <w:pPr>
              <w:spacing w:after="0"/>
              <w:rPr>
                <w:sz w:val="14"/>
                <w:szCs w:val="14"/>
                <w:color w:val="auto"/>
              </w:rPr>
            </w:pPr>
          </w:p>
        </w:tc>
        <w:tc>
          <w:tcPr>
            <w:tcW w:w="308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The Nasdaq Stock Market LLC</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5"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150495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0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6"/>
          <w:szCs w:val="16"/>
          <w:color w:val="auto"/>
        </w:rPr>
        <w:t>On February 24, 2026, Flywire Corporation (“Flywire” or the “Company”) issued a press release (the “Press Release”) and is holding a conference call regarding its financial results for the year ended December 31, 2025. The Press Release is furnished as Exhibit 99.1 to this Current Report on Form 8-K and is incorporated by reference herein.</w:t>
      </w:r>
    </w:p>
    <w:p>
      <w:pPr>
        <w:spacing w:after="0" w:line="15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including growth in revenue and gross profit, expansion of margins, and increases in free cash flow;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and Quarterly Report on Form 10-Q for the quarter ended September 30, 2025 which are on file with the Securities and Exchange Commission (SEC) and available on the SEC’s website at https://www.sec.gov/. Additional factors may be described in those sections of Flywire’s Annual Report on Form 10-K for the year ended December 31, 2025, expected to be filed in the first quarter of 2026.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w:t>
      </w:r>
    </w:p>
    <w:p>
      <w:pPr>
        <w:sectPr>
          <w:pgSz w:w="11900" w:h="16838" w:orient="portrait"/>
          <w:cols w:equalWidth="0" w:num="1">
            <w:col w:w="9620"/>
          </w:cols>
          <w:pgMar w:left="1120" w:top="275" w:right="1159" w:bottom="1440" w:gutter="0" w:footer="0" w:header="0"/>
        </w:sectPr>
      </w:pPr>
    </w:p>
    <w:bookmarkStart w:id="2" w:name="page3"/>
    <w:bookmarkEnd w:id="2"/>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6"/>
          <w:szCs w:val="16"/>
          <w:color w:val="auto"/>
        </w:rPr>
        <w:t>On February 24, 2026,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6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02"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6"/>
          <w:szCs w:val="16"/>
          <w:color w:val="auto"/>
        </w:rPr>
        <w:t>On February 23, 2026, Flywire announced that Patrick Blanc has been appointed Chief Technology Officer (CTO), effective February 23, 2026. Mr. Blanc succeeds David King as CTO; as previously announced, Mr. King has fully transitioned into the role of Chief Product Officer and Co-President of Global Education effective February 23, 2026.</w:t>
      </w:r>
    </w:p>
    <w:p>
      <w:pPr>
        <w:spacing w:after="0" w:line="2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Exhibit</w:t>
      </w:r>
    </w:p>
    <w:p>
      <w:pPr>
        <w:ind w:left="160"/>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6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Flywire Corporation Press Release dated February 24, 2026.</w:t>
      </w:r>
    </w:p>
    <w:p>
      <w:pPr>
        <w:spacing w:after="0" w:line="10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Flywire Corporation Investor Presentation dated February 24, 2026.</w:t>
      </w:r>
    </w:p>
    <w:p>
      <w:pPr>
        <w:spacing w:after="0" w:line="10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20"/>
          </w:cols>
          <w:pgMar w:left="1120" w:top="275" w:right="115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FLYWIRE CORPORATION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Cosmin Pitigoi</w:t>
            </w:r>
          </w:p>
        </w:tc>
      </w:tr>
      <w:tr>
        <w:trPr>
          <w:trHeight w:val="176"/>
        </w:trPr>
        <w:tc>
          <w:tcPr>
            <w:tcW w:w="5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332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Cosmin Pitigoi</w:t>
            </w:r>
          </w:p>
        </w:tc>
      </w:tr>
      <w:tr>
        <w:trPr>
          <w:trHeight w:val="206"/>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February 24, 2026</w:t>
      </w:r>
    </w:p>
    <w:p>
      <w:pPr>
        <w:sectPr>
          <w:pgSz w:w="11900" w:h="16838" w:orient="portrait"/>
          <w:cols w:equalWidth="0" w:num="1">
            <w:col w:w="9339"/>
          </w:cols>
          <w:pgMar w:left="1120" w:top="27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Flywire Reports Fourth Quarter and Fiscal-Year 2025 Financial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Fourth Quarter Revenue Increased 34.0% Year-over-Year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Fourth Quarter Revenue Less Ancillary Services Increased 35.3% Year-over-Year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Company Provides First Quarter and Fiscal-Year 2026 Outlook</w:t>
      </w:r>
    </w:p>
    <w:p>
      <w:pPr>
        <w:spacing w:after="0" w:line="194"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Boston, MA – February 24, 2025: </w:t>
      </w:r>
      <w:r>
        <w:rPr>
          <w:rFonts w:ascii="Times New Roman" w:cs="Times New Roman" w:eastAsia="Times New Roman" w:hAnsi="Times New Roman"/>
          <w:sz w:val="16"/>
          <w:szCs w:val="16"/>
          <w:u w:val="single" w:color="auto"/>
          <w:color w:val="auto"/>
        </w:rPr>
        <w:t>Flywire Corporation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(Nasdaq: FLYW) (“Flywire” or the “Company”), a global payments enablement and software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today reported financial results for its fourth quarter and fiscal-year ended December 31, 2025.</w:t>
      </w:r>
    </w:p>
    <w:p>
      <w:pPr>
        <w:spacing w:after="0" w:line="14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“Flywire delivered a strong fourth quarter, further validating the strength of our model and execution,” </w:t>
      </w:r>
      <w:r>
        <w:rPr>
          <w:rFonts w:ascii="Times New Roman" w:cs="Times New Roman" w:eastAsia="Times New Roman" w:hAnsi="Times New Roman"/>
          <w:sz w:val="15"/>
          <w:szCs w:val="15"/>
          <w:color w:val="auto"/>
        </w:rPr>
        <w:t>said Mike Massaro, Flywire’s CEO.</w:t>
      </w:r>
      <w:r>
        <w:rPr>
          <w:rFonts w:ascii="Times New Roman" w:cs="Times New Roman" w:eastAsia="Times New Roman" w:hAnsi="Times New Roman"/>
          <w:sz w:val="15"/>
          <w:szCs w:val="15"/>
          <w:i w:val="1"/>
          <w:iCs w:val="1"/>
          <w:color w:val="auto"/>
        </w:rPr>
        <w:t xml:space="preserve"> “We have built a disciplined playbook that allows us to consistently win new enterprise clients, embed deeply within their workflows, and expand the value we deliver over time. That model is underpinned by structural efficiency gains that fuel faster innovation and product development. As a result, we are driving durable top-line growth, expanding margins, and increasing free cash flow — positioning us with strong confidence as we enter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Fourth Quarter 2025 Financial Highlights: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Results</w:t>
      </w:r>
    </w:p>
    <w:p>
      <w:pPr>
        <w:spacing w:after="0" w:line="112" w:lineRule="exact"/>
        <w:rPr>
          <w:sz w:val="20"/>
          <w:szCs w:val="20"/>
          <w:color w:val="auto"/>
        </w:rPr>
      </w:pPr>
    </w:p>
    <w:p>
      <w:pPr>
        <w:ind w:left="86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increased 34.0% to $157.5 million in the Fourth quarter of 2025, compared to $117.6 million in the Fourth quarter of 2024. Sertifi contributed $14.2 million in revenue in the Fourth quarter of 2025, adding 12 points of revenue growth year over year.</w:t>
      </w:r>
    </w:p>
    <w:p>
      <w:pPr>
        <w:spacing w:after="0" w:line="61" w:lineRule="exact"/>
        <w:rPr>
          <w:rFonts w:ascii="Times New Roman" w:cs="Times New Roman" w:eastAsia="Times New Roman" w:hAnsi="Times New Roman"/>
          <w:sz w:val="16"/>
          <w:szCs w:val="16"/>
          <w:color w:val="auto"/>
        </w:rPr>
      </w:pPr>
    </w:p>
    <w:p>
      <w:pPr>
        <w:ind w:left="860" w:right="220" w:hanging="388"/>
        <w:spacing w:after="0" w:line="276" w:lineRule="auto"/>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Profit increased to $90.7 million, resulting in Gross Margin of 57.6%, for the Fourth quarter of 2025, compared to Gross Profit of $74.3 million and Gross Margin of 63.2% in the Fourth quarter of 2024.</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near break-even in the Fourth quarter of 2025, compared to net loss of ($15.9) million in the Fourth quarter of 2024.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Key Operating Metrics and Non-GAAP Results</w:t>
      </w:r>
    </w:p>
    <w:p>
      <w:pPr>
        <w:spacing w:after="0" w:line="112" w:lineRule="exact"/>
        <w:rPr>
          <w:sz w:val="20"/>
          <w:szCs w:val="20"/>
          <w:color w:val="auto"/>
        </w:rPr>
      </w:pPr>
    </w:p>
    <w:p>
      <w:pPr>
        <w:ind w:left="860" w:right="140" w:hanging="388"/>
        <w:spacing w:after="0" w:line="261"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Payment Volume increased 35.6% to $9.3 billion in the Fourth quarter of 2025, compared to $6.9 billion in the Fourth quarter of 2024. Excluding Sertifi, Total Payment Volume increased 31.0% to $9.0 billion in the Fourth quarter of 2025, compared to $6.9 billion in the Fourth quarter of 2024.</w:t>
      </w:r>
    </w:p>
    <w:p>
      <w:pPr>
        <w:sectPr>
          <w:pgSz w:w="11900" w:h="16838" w:orient="portrait"/>
          <w:cols w:equalWidth="0" w:num="1">
            <w:col w:w="9640"/>
          </w:cols>
          <w:pgMar w:left="1120" w:top="121" w:right="1139" w:bottom="1440" w:gutter="0" w:footer="0" w:header="0"/>
        </w:sectPr>
      </w:pPr>
    </w:p>
    <w:bookmarkStart w:id="5" w:name="page6"/>
    <w:bookmarkEnd w:id="5"/>
    <w:p>
      <w:pPr>
        <w:ind w:left="861" w:right="40" w:hanging="388"/>
        <w:spacing w:after="0" w:line="256" w:lineRule="auto"/>
        <w:tabs>
          <w:tab w:leader="none" w:pos="86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Revenue Less Ancillary Services increased 35.3% to $152.7 million in the Fourth quarter of 2025, compared to $112.8 million in the Fourth quarter of 2024. On an FX-neutral basis, Revenue Less Ancillary Services increased 32.6% year-over-year. Excluding Sertifi, Revenue Less Ancillary Services increased 22.8% year over year to $138.6 million or 20.1% year over year on an FX-Neutral basis in the Fourth quarter of 2025.</w:t>
      </w:r>
    </w:p>
    <w:p>
      <w:pPr>
        <w:spacing w:after="0" w:line="78" w:lineRule="exact"/>
        <w:rPr>
          <w:rFonts w:ascii="Times New Roman" w:cs="Times New Roman" w:eastAsia="Times New Roman" w:hAnsi="Times New Roman"/>
          <w:sz w:val="16"/>
          <w:szCs w:val="16"/>
          <w:color w:val="auto"/>
        </w:rPr>
      </w:pPr>
    </w:p>
    <w:p>
      <w:pPr>
        <w:ind w:left="861" w:right="360" w:hanging="388"/>
        <w:spacing w:after="0" w:line="276" w:lineRule="auto"/>
        <w:tabs>
          <w:tab w:leader="none" w:pos="86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Gross Profit increased to $93.7 million, up 23.9% compared to $75.6 million in the Fourth quarter of 2024. Adjusted Gross Margin was 61.3% in the Fourth quarter of 2025 compared to 67.0% in the Fourth quarter of 2024.</w:t>
      </w:r>
    </w:p>
    <w:p>
      <w:pPr>
        <w:spacing w:after="0" w:line="61" w:lineRule="exact"/>
        <w:rPr>
          <w:rFonts w:ascii="Times New Roman" w:cs="Times New Roman" w:eastAsia="Times New Roman" w:hAnsi="Times New Roman"/>
          <w:sz w:val="16"/>
          <w:szCs w:val="16"/>
          <w:color w:val="auto"/>
        </w:rPr>
      </w:pPr>
    </w:p>
    <w:p>
      <w:pPr>
        <w:ind w:left="861" w:right="60" w:hanging="388"/>
        <w:spacing w:after="0" w:line="276" w:lineRule="auto"/>
        <w:tabs>
          <w:tab w:leader="none" w:pos="86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increased to $25.4 million in the Fourth quarter of 2025, compared to $16.7 million in the Fourth quarter of 2024. Our Adjusted EBITDA margin increased by approximately 190 bps year-over-year to 16.6% in the Fourth quarter of 2025.</w:t>
      </w:r>
    </w:p>
    <w:p>
      <w:pPr>
        <w:spacing w:after="0" w:line="61" w:lineRule="exact"/>
        <w:rPr>
          <w:rFonts w:ascii="Times New Roman" w:cs="Times New Roman" w:eastAsia="Times New Roman" w:hAnsi="Times New Roman"/>
          <w:sz w:val="16"/>
          <w:szCs w:val="16"/>
          <w:color w:val="auto"/>
        </w:rPr>
      </w:pPr>
    </w:p>
    <w:p>
      <w:pPr>
        <w:ind w:left="861" w:right="360" w:hanging="388"/>
        <w:spacing w:after="0" w:line="276" w:lineRule="auto"/>
        <w:tabs>
          <w:tab w:leader="none" w:pos="86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Repurchased approximately 0.7 million shares of our common stock for approximately $10.0 million (excluding commissions), with approximately $182 million remaining in the share repurchase program as of the end of the Fourth quarter 2025.</w:t>
      </w:r>
    </w:p>
    <w:p>
      <w:pPr>
        <w:spacing w:after="0" w:line="61" w:lineRule="exact"/>
        <w:rPr>
          <w:rFonts w:ascii="Times New Roman" w:cs="Times New Roman" w:eastAsia="Times New Roman" w:hAnsi="Times New Roman"/>
          <w:sz w:val="16"/>
          <w:szCs w:val="16"/>
          <w:color w:val="auto"/>
        </w:rPr>
      </w:pPr>
    </w:p>
    <w:p>
      <w:pPr>
        <w:ind w:left="861" w:hanging="388"/>
        <w:spacing w:after="0"/>
        <w:tabs>
          <w:tab w:leader="none" w:pos="86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down the remaining $15 million of debt borrowed to fund the Sertifi-acquisition.</w:t>
      </w:r>
    </w:p>
    <w:p>
      <w:pPr>
        <w:spacing w:after="0" w:line="28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Key Business Performance highlights:</w:t>
      </w:r>
    </w:p>
    <w:p>
      <w:pPr>
        <w:spacing w:after="0" w:line="10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u w:val="single" w:color="auto"/>
          <w:color w:val="auto"/>
        </w:rPr>
        <w:t>Commercial Highlights</w:t>
      </w:r>
    </w:p>
    <w:p>
      <w:pPr>
        <w:spacing w:after="0" w:line="112" w:lineRule="exact"/>
        <w:rPr>
          <w:sz w:val="20"/>
          <w:szCs w:val="20"/>
          <w:color w:val="auto"/>
        </w:rPr>
      </w:pPr>
    </w:p>
    <w:p>
      <w:pPr>
        <w:ind w:left="861" w:hanging="388"/>
        <w:spacing w:after="0" w:line="278" w:lineRule="auto"/>
        <w:tabs>
          <w:tab w:leader="none" w:pos="86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Enterprise Transformation via SFS: </w:t>
      </w:r>
      <w:r>
        <w:rPr>
          <w:rFonts w:ascii="Times New Roman" w:cs="Times New Roman" w:eastAsia="Times New Roman" w:hAnsi="Times New Roman"/>
          <w:sz w:val="16"/>
          <w:szCs w:val="16"/>
          <w:color w:val="auto"/>
        </w:rPr>
        <w:t>Leveraged our Student Financial Software (SFS) solution as a high-value entry point as institutions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increasingly commit to full-suite software over standalone payment processing.</w:t>
      </w:r>
    </w:p>
    <w:p>
      <w:pPr>
        <w:spacing w:after="0" w:line="58" w:lineRule="exact"/>
        <w:rPr>
          <w:rFonts w:ascii="Times New Roman" w:cs="Times New Roman" w:eastAsia="Times New Roman" w:hAnsi="Times New Roman"/>
          <w:sz w:val="16"/>
          <w:szCs w:val="16"/>
          <w:color w:val="auto"/>
        </w:rPr>
      </w:pPr>
    </w:p>
    <w:p>
      <w:pPr>
        <w:ind w:left="861" w:right="140" w:hanging="388"/>
        <w:spacing w:after="0" w:line="278" w:lineRule="auto"/>
        <w:tabs>
          <w:tab w:leader="none" w:pos="86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High-Velocity ARR Growth: </w:t>
      </w:r>
      <w:r>
        <w:rPr>
          <w:rFonts w:ascii="Times New Roman" w:cs="Times New Roman" w:eastAsia="Times New Roman" w:hAnsi="Times New Roman"/>
          <w:sz w:val="16"/>
          <w:szCs w:val="16"/>
          <w:color w:val="auto"/>
        </w:rPr>
        <w:t>Achieved over 35% growth in 2025 projected ARR from new signings (normalized to exclude healthcare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 processing contracts), underpinned by a robust 35% YoY increase in new sales pipeline generation.</w:t>
      </w:r>
    </w:p>
    <w:p>
      <w:pPr>
        <w:spacing w:after="0" w:line="58" w:lineRule="exact"/>
        <w:rPr>
          <w:rFonts w:ascii="Times New Roman" w:cs="Times New Roman" w:eastAsia="Times New Roman" w:hAnsi="Times New Roman"/>
          <w:sz w:val="16"/>
          <w:szCs w:val="16"/>
          <w:color w:val="auto"/>
        </w:rPr>
      </w:pPr>
    </w:p>
    <w:p>
      <w:pPr>
        <w:ind w:left="861" w:right="20" w:hanging="388"/>
        <w:spacing w:after="0" w:line="278" w:lineRule="auto"/>
        <w:tabs>
          <w:tab w:leader="none" w:pos="86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Client Wins &amp; Retention: </w:t>
      </w:r>
      <w:r>
        <w:rPr>
          <w:rFonts w:ascii="Times New Roman" w:cs="Times New Roman" w:eastAsia="Times New Roman" w:hAnsi="Times New Roman"/>
          <w:sz w:val="16"/>
          <w:szCs w:val="16"/>
          <w:color w:val="auto"/>
        </w:rPr>
        <w:t>Secured approximately 750 new customer wins across 52 countries, while maintaining elite-tier retention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sub-1% revenue churn across our core Education and Travel verticals.</w:t>
      </w:r>
    </w:p>
    <w:p>
      <w:pPr>
        <w:spacing w:after="0" w:line="58" w:lineRule="exact"/>
        <w:rPr>
          <w:rFonts w:ascii="Times New Roman" w:cs="Times New Roman" w:eastAsia="Times New Roman" w:hAnsi="Times New Roman"/>
          <w:sz w:val="16"/>
          <w:szCs w:val="16"/>
          <w:color w:val="auto"/>
        </w:rPr>
      </w:pPr>
    </w:p>
    <w:p>
      <w:pPr>
        <w:ind w:left="861" w:right="440" w:hanging="388"/>
        <w:spacing w:after="0" w:line="292" w:lineRule="auto"/>
        <w:tabs>
          <w:tab w:leader="none" w:pos="86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Upmarket Enterprise Mix: </w:t>
      </w:r>
      <w:r>
        <w:rPr>
          <w:rFonts w:ascii="Times New Roman" w:cs="Times New Roman" w:eastAsia="Times New Roman" w:hAnsi="Times New Roman"/>
          <w:sz w:val="16"/>
          <w:szCs w:val="16"/>
          <w:color w:val="auto"/>
        </w:rPr>
        <w:t>Optimized the quality of our revenue streams, with 80% of Education and 70% of Travel revenue now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derived from large-scale enterprise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756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ind w:left="381" w:hanging="381"/>
        <w:spacing w:after="0" w:line="187" w:lineRule="auto"/>
        <w:tabs>
          <w:tab w:leader="none" w:pos="38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Enterprise clients are defined as clients that generated over USD 100,000 in LTM revenue (spot USD-translated)</w:t>
      </w:r>
    </w:p>
    <w:p>
      <w:pPr>
        <w:sectPr>
          <w:pgSz w:w="11900" w:h="16838" w:orient="portrait"/>
          <w:cols w:equalWidth="0" w:num="1">
            <w:col w:w="9581"/>
          </w:cols>
          <w:pgMar w:left="1119" w:top="253"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Product &amp; Partner Highlights</w:t>
      </w:r>
    </w:p>
    <w:p>
      <w:pPr>
        <w:spacing w:after="0" w:line="112" w:lineRule="exact"/>
        <w:rPr>
          <w:sz w:val="20"/>
          <w:szCs w:val="20"/>
          <w:color w:val="auto"/>
        </w:rPr>
      </w:pPr>
    </w:p>
    <w:p>
      <w:pPr>
        <w:ind w:left="860" w:right="60" w:hanging="388"/>
        <w:spacing w:after="0" w:line="278"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Strengthened our EDU market position </w:t>
      </w:r>
      <w:r>
        <w:rPr>
          <w:rFonts w:ascii="Times New Roman" w:cs="Times New Roman" w:eastAsia="Times New Roman" w:hAnsi="Times New Roman"/>
          <w:sz w:val="16"/>
          <w:szCs w:val="16"/>
          <w:color w:val="auto"/>
        </w:rPr>
        <w:t>and increased platform stickiness by achieving “Workday Certified” status for Global Payments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SFS, validating our integrations as enterprise-grade and removing technical barriers to close.</w:t>
      </w:r>
    </w:p>
    <w:p>
      <w:pPr>
        <w:spacing w:after="0" w:line="58" w:lineRule="exact"/>
        <w:rPr>
          <w:rFonts w:ascii="Times New Roman" w:cs="Times New Roman" w:eastAsia="Times New Roman" w:hAnsi="Times New Roman"/>
          <w:sz w:val="16"/>
          <w:szCs w:val="16"/>
          <w:color w:val="auto"/>
        </w:rPr>
      </w:pPr>
    </w:p>
    <w:p>
      <w:pPr>
        <w:ind w:left="860" w:right="360" w:hanging="388"/>
        <w:spacing w:after="0" w:line="278"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Strengthened global payment network </w:t>
      </w:r>
      <w:r>
        <w:rPr>
          <w:rFonts w:ascii="Times New Roman" w:cs="Times New Roman" w:eastAsia="Times New Roman" w:hAnsi="Times New Roman"/>
          <w:sz w:val="16"/>
          <w:szCs w:val="16"/>
          <w:color w:val="auto"/>
        </w:rPr>
        <w:t>with addition of stablecoin (digital currency) capabilities and expanded our partnership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TenPay to integrate WeChat Pay for Chinese Students in South Korea and Malaysia</w:t>
      </w:r>
    </w:p>
    <w:p>
      <w:pPr>
        <w:spacing w:after="0" w:line="58"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Integrating with Oracle Fusion </w:t>
      </w:r>
      <w:r>
        <w:rPr>
          <w:rFonts w:ascii="Times New Roman" w:cs="Times New Roman" w:eastAsia="Times New Roman" w:hAnsi="Times New Roman"/>
          <w:sz w:val="16"/>
          <w:szCs w:val="16"/>
          <w:color w:val="auto"/>
        </w:rPr>
        <w:t>to unlock new growth in the UK education market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Leadership &amp; Organization Highlights</w:t>
      </w:r>
    </w:p>
    <w:p>
      <w:pPr>
        <w:spacing w:after="0" w:line="112" w:lineRule="exact"/>
        <w:rPr>
          <w:sz w:val="20"/>
          <w:szCs w:val="20"/>
          <w:color w:val="auto"/>
        </w:rPr>
      </w:pPr>
    </w:p>
    <w:p>
      <w:pPr>
        <w:ind w:left="860" w:right="24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Strengthened Executive team </w:t>
      </w:r>
      <w:r>
        <w:rPr>
          <w:rFonts w:ascii="Times New Roman" w:cs="Times New Roman" w:eastAsia="Times New Roman" w:hAnsi="Times New Roman"/>
          <w:sz w:val="16"/>
          <w:szCs w:val="16"/>
          <w:color w:val="auto"/>
        </w:rPr>
        <w:t>with several key appointments designed to drive strategic growth and commercial excellence,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newly-formed Chief Commercial Officer and Chief Product Officer positions.</w:t>
      </w:r>
    </w:p>
    <w:p>
      <w:pPr>
        <w:spacing w:after="0" w:line="58" w:lineRule="exact"/>
        <w:rPr>
          <w:rFonts w:ascii="Times New Roman" w:cs="Times New Roman" w:eastAsia="Times New Roman" w:hAnsi="Times New Roman"/>
          <w:sz w:val="16"/>
          <w:szCs w:val="16"/>
          <w:color w:val="auto"/>
        </w:rPr>
      </w:pPr>
    </w:p>
    <w:p>
      <w:pPr>
        <w:ind w:left="860" w:hanging="388"/>
        <w:spacing w:after="0" w:line="278" w:lineRule="auto"/>
        <w:tabs>
          <w:tab w:leader="none" w:pos="8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Appointed Patrick Blanc (former Visa Value-Added Services CTO and PayPal GM) as CTO, </w:t>
      </w:r>
      <w:r>
        <w:rPr>
          <w:rFonts w:ascii="Times New Roman" w:cs="Times New Roman" w:eastAsia="Times New Roman" w:hAnsi="Times New Roman"/>
          <w:sz w:val="16"/>
          <w:szCs w:val="16"/>
          <w:color w:val="auto"/>
        </w:rPr>
        <w:t>bringing a track record of scaling global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payments infrastructure and large-scale architectural transformation to Flywire.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Guidance</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For 2026, we are guiding to revenue less ancillary services growth of 15% to 21% on a FX neutral basis, alongside 150 to 350 basis points of adjusted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EBITDA margin expansion</w:t>
      </w:r>
      <w:r>
        <w:rPr>
          <w:rFonts w:ascii="Times New Roman" w:cs="Times New Roman" w:eastAsia="Times New Roman" w:hAnsi="Times New Roman"/>
          <w:sz w:val="16"/>
          <w:szCs w:val="16"/>
          <w:color w:val="auto"/>
        </w:rPr>
        <w:t>,” said Flywire’s CFO, Cosmin Pitigoi. “</w:t>
      </w:r>
      <w:r>
        <w:rPr>
          <w:rFonts w:ascii="Times New Roman" w:cs="Times New Roman" w:eastAsia="Times New Roman" w:hAnsi="Times New Roman"/>
          <w:sz w:val="16"/>
          <w:szCs w:val="16"/>
          <w:i w:val="1"/>
          <w:iCs w:val="1"/>
          <w:color w:val="auto"/>
        </w:rPr>
        <w:t>This outlook reflects continued durable demand across our verticals, disciplined cost management, and the structural operating leverage embedded in our platform. We are maintaining a prudent, data-driven approach given the broader macro environment.</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information available as of February 24, 2026, Flywire anticipates the following results for the first quarter and fiscal-year 2026*.</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152"/>
        </w:trPr>
        <w:tc>
          <w:tcPr>
            <w:tcW w:w="5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Fiscal Year 2026</w:t>
            </w:r>
          </w:p>
        </w:tc>
      </w:tr>
      <w:tr>
        <w:trPr>
          <w:trHeight w:val="181"/>
        </w:trPr>
        <w:tc>
          <w:tcPr>
            <w:tcW w:w="5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FX-Neutral Revenue Less Ancillary Services Growth</w:t>
            </w:r>
          </w:p>
        </w:tc>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15-21% YoY</w:t>
            </w:r>
          </w:p>
        </w:tc>
      </w:tr>
      <w:tr>
        <w:trPr>
          <w:trHeight w:val="20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 Growth</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+150-350 bps YoY</w:t>
            </w:r>
          </w:p>
        </w:tc>
      </w:tr>
    </w:tbl>
    <w:p>
      <w:pPr>
        <w:sectPr>
          <w:pgSz w:w="11900" w:h="16838" w:orient="portrait"/>
          <w:cols w:equalWidth="0" w:num="1">
            <w:col w:w="9640"/>
          </w:cols>
          <w:pgMar w:left="1120" w:top="251" w:right="11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1541" w:type="dxa"/>
        <w:tblCellMar>
          <w:top w:w="0" w:type="dxa"/>
          <w:left w:w="0" w:type="dxa"/>
          <w:bottom w:w="0" w:type="dxa"/>
          <w:right w:w="0" w:type="dxa"/>
        </w:tblCellMar>
      </w:tblPr>
      <w:tr>
        <w:trPr>
          <w:trHeight w:val="152"/>
        </w:trPr>
        <w:tc>
          <w:tcPr>
            <w:tcW w:w="5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First Quarter 2026</w:t>
            </w:r>
          </w:p>
        </w:tc>
      </w:tr>
      <w:tr>
        <w:trPr>
          <w:trHeight w:val="181"/>
        </w:trPr>
        <w:tc>
          <w:tcPr>
            <w:tcW w:w="5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FX-Neutral Revenue Less Ancillary Services Growth</w:t>
            </w:r>
          </w:p>
        </w:tc>
        <w:tc>
          <w:tcPr>
            <w:tcW w:w="12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5"/>
              </w:rPr>
              <w:t>26-30% YoY</w:t>
            </w:r>
          </w:p>
        </w:tc>
      </w:tr>
      <w:tr>
        <w:trPr>
          <w:trHeight w:val="20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 Growth</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+100-350 bps YoY</w:t>
            </w:r>
          </w:p>
        </w:tc>
      </w:tr>
    </w:tbl>
    <w:p>
      <w:pPr>
        <w:spacing w:after="0" w:line="179" w:lineRule="exact"/>
        <w:rPr>
          <w:sz w:val="20"/>
          <w:szCs w:val="20"/>
          <w:color w:val="auto"/>
        </w:rPr>
      </w:pPr>
    </w:p>
    <w:p>
      <w:pPr>
        <w:ind w:left="381" w:hanging="381"/>
        <w:spacing w:after="0" w:line="254" w:lineRule="auto"/>
        <w:tabs>
          <w:tab w:leader="none" w:pos="38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w:t>
      </w:r>
    </w:p>
    <w:p>
      <w:pPr>
        <w:spacing w:after="0" w:line="162" w:lineRule="exact"/>
        <w:rPr>
          <w:sz w:val="20"/>
          <w:szCs w:val="20"/>
          <w:color w:val="auto"/>
        </w:rPr>
      </w:pPr>
    </w:p>
    <w:p>
      <w:pPr>
        <w:ind w:left="1" w:right="420"/>
        <w:spacing w:after="0" w:line="276" w:lineRule="auto"/>
        <w:rPr>
          <w:sz w:val="20"/>
          <w:szCs w:val="20"/>
          <w:color w:val="auto"/>
        </w:rPr>
      </w:pPr>
      <w:r>
        <w:rPr>
          <w:rFonts w:ascii="Times New Roman" w:cs="Times New Roman" w:eastAsia="Times New Roman" w:hAnsi="Times New Roman"/>
          <w:sz w:val="16"/>
          <w:szCs w:val="16"/>
          <w:color w:val="auto"/>
        </w:rPr>
        <w:t>These statements are forward-looking, and actual results may differ materially. Refer to the “Safe Harbor Statement” below for information on the factors that could cause Flywire’s actual results to differ materially from these forward-looking statements.</w:t>
      </w:r>
    </w:p>
    <w:p>
      <w:pPr>
        <w:spacing w:after="0" w:line="23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Conference Call</w:t>
      </w:r>
    </w:p>
    <w:p>
      <w:pPr>
        <w:spacing w:after="0" w:line="102" w:lineRule="exact"/>
        <w:rPr>
          <w:sz w:val="20"/>
          <w:szCs w:val="20"/>
          <w:color w:val="auto"/>
        </w:rPr>
      </w:pPr>
    </w:p>
    <w:p>
      <w:pPr>
        <w:ind w:left="1" w:right="240"/>
        <w:spacing w:after="0" w:line="261" w:lineRule="auto"/>
        <w:rPr>
          <w:sz w:val="20"/>
          <w:szCs w:val="20"/>
          <w:color w:val="auto"/>
        </w:rPr>
      </w:pPr>
      <w:r>
        <w:rPr>
          <w:rFonts w:ascii="Times New Roman" w:cs="Times New Roman" w:eastAsia="Times New Roman" w:hAnsi="Times New Roman"/>
          <w:sz w:val="16"/>
          <w:szCs w:val="16"/>
          <w:color w:val="auto"/>
        </w:rPr>
        <w:t xml:space="preserve">The Company will host a conference call to discuss fourth quarter and fiscal-year 2025 financial results today at 5:00 pm ET. Hosting the call will be Mike Massaro, CEO, Rob Orgel, President and COO, and Cosmin Pitigoi, CFO. The conference call can be accessed live via webcast from the Company’s investor relations website at </w:t>
      </w:r>
      <w:r>
        <w:rPr>
          <w:rFonts w:ascii="Times New Roman" w:cs="Times New Roman" w:eastAsia="Times New Roman" w:hAnsi="Times New Roman"/>
          <w:sz w:val="16"/>
          <w:szCs w:val="16"/>
          <w:u w:val="single" w:color="auto"/>
          <w:color w:val="auto"/>
        </w:rPr>
        <w:t>https://ir.flywire.com/</w:t>
      </w:r>
      <w:r>
        <w:rPr>
          <w:rFonts w:ascii="Times New Roman" w:cs="Times New Roman" w:eastAsia="Times New Roman" w:hAnsi="Times New Roman"/>
          <w:sz w:val="16"/>
          <w:szCs w:val="16"/>
          <w:color w:val="auto"/>
        </w:rPr>
        <w:t>. A replay will be available on the investor relations website following the call.</w:t>
      </w:r>
    </w:p>
    <w:p>
      <w:pPr>
        <w:spacing w:after="0" w:line="24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Note Regarding Share Repurchase Program</w:t>
      </w:r>
    </w:p>
    <w:p>
      <w:pPr>
        <w:spacing w:after="0" w:line="102" w:lineRule="exact"/>
        <w:rPr>
          <w:sz w:val="20"/>
          <w:szCs w:val="20"/>
          <w:color w:val="auto"/>
        </w:rPr>
      </w:pPr>
    </w:p>
    <w:p>
      <w:pPr>
        <w:ind w:left="1" w:right="20"/>
        <w:spacing w:after="0" w:line="254" w:lineRule="auto"/>
        <w:rPr>
          <w:sz w:val="20"/>
          <w:szCs w:val="20"/>
          <w:color w:val="auto"/>
        </w:rPr>
      </w:pPr>
      <w:r>
        <w:rPr>
          <w:rFonts w:ascii="Times New Roman" w:cs="Times New Roman" w:eastAsia="Times New Roman" w:hAnsi="Times New Roman"/>
          <w:sz w:val="16"/>
          <w:szCs w:val="16"/>
          <w:color w:val="auto"/>
        </w:rPr>
        <w:t>Repurchases under the Company’s share repurchase program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w:t>
      </w:r>
    </w:p>
    <w:p>
      <w:pPr>
        <w:sectPr>
          <w:pgSz w:w="11900" w:h="16838" w:orient="portrait"/>
          <w:cols w:equalWidth="0" w:num="1">
            <w:col w:w="9641"/>
          </w:cols>
          <w:pgMar w:left="1119" w:top="248" w:right="1139" w:bottom="1440" w:gutter="0" w:footer="0" w:header="0"/>
        </w:sectPr>
      </w:pPr>
    </w:p>
    <w:bookmarkStart w:id="8" w:name="page9"/>
    <w:bookmarkEnd w:id="8"/>
    <w:p>
      <w:pPr>
        <w:ind w:right="6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Operating Metrics and Non-GAAP Financial Measures</w:t>
      </w:r>
    </w:p>
    <w:p>
      <w:pPr>
        <w:spacing w:after="0" w:line="1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5"/>
          <w:szCs w:val="15"/>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pacing w:after="0" w:line="15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62" w:lineRule="exact"/>
        <w:rPr>
          <w:sz w:val="20"/>
          <w:szCs w:val="20"/>
          <w:color w:val="auto"/>
        </w:rPr>
      </w:pPr>
    </w:p>
    <w:p>
      <w:pPr>
        <w:ind w:left="860" w:right="100" w:hanging="388"/>
        <w:spacing w:after="0" w:line="286" w:lineRule="auto"/>
        <w:tabs>
          <w:tab w:leader="none" w:pos="8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Less Ancillary Services. Revenue Less Ancillary Services represents the Company’s consolidated revenue in accordance with GAAP less (i) pass-through cost for printing and mailing services and (ii) marketing fees. The Company excludes these amounts to arrive at this supplemental non-GAAP financial measure as it views these services as ancillary to the primary services it provides to its clients.</w:t>
      </w:r>
    </w:p>
    <w:p>
      <w:pPr>
        <w:spacing w:after="0" w:line="57" w:lineRule="exact"/>
        <w:rPr>
          <w:rFonts w:ascii="Times New Roman" w:cs="Times New Roman" w:eastAsia="Times New Roman" w:hAnsi="Times New Roman"/>
          <w:sz w:val="15"/>
          <w:szCs w:val="15"/>
          <w:color w:val="auto"/>
        </w:rPr>
      </w:pPr>
    </w:p>
    <w:p>
      <w:pPr>
        <w:ind w:left="860" w:hanging="388"/>
        <w:spacing w:after="0" w:line="272" w:lineRule="auto"/>
        <w:tabs>
          <w:tab w:leader="none" w:pos="8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 processing-related services, which are the primary services it provides to its clients.</w:t>
      </w:r>
    </w:p>
    <w:p>
      <w:pPr>
        <w:sectPr>
          <w:pgSz w:w="11900" w:h="16838" w:orient="portrait"/>
          <w:cols w:equalWidth="0" w:num="1">
            <w:col w:w="9640"/>
          </w:cols>
          <w:pgMar w:left="1120" w:top="253" w:right="1139" w:bottom="1440" w:gutter="0" w:footer="0" w:header="0"/>
        </w:sectPr>
      </w:pPr>
    </w:p>
    <w:bookmarkStart w:id="9" w:name="page10"/>
    <w:bookmarkEnd w:id="9"/>
    <w:p>
      <w:pPr>
        <w:ind w:left="540" w:right="60" w:hanging="388"/>
        <w:spacing w:after="0" w:line="251"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Adjusted EBITDA. EBITDA represents our consolidated net income (loss) in accordance with GAAP adjusted to exclude (i) interest expense, (ii) interest income, (iii) provision for (benefit from)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(g) restructuring costs, and (h) gain (loss) from investments. Management believes that the exclusion of these amounts to calculate Adjusted EBITDA provides useful measures for period-to-period comparisons of the Company’s business.</w:t>
      </w:r>
    </w:p>
    <w:p>
      <w:pPr>
        <w:spacing w:after="0" w:line="80" w:lineRule="exact"/>
        <w:rPr>
          <w:rFonts w:ascii="Times New Roman" w:cs="Times New Roman" w:eastAsia="Times New Roman" w:hAnsi="Times New Roman"/>
          <w:sz w:val="16"/>
          <w:szCs w:val="16"/>
          <w:color w:val="auto"/>
        </w:rPr>
      </w:pPr>
    </w:p>
    <w:p>
      <w:pPr>
        <w:ind w:left="540" w:right="120" w:hanging="388"/>
        <w:spacing w:after="0" w:line="261"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Margin - Adjusted EBITDA Margin represents Adjusted EBITDA divided by Revenue Less Ancillary Services. Management believes this presentation supplements the GAAP presentation of gross margin with a useful measure of the gross margin of the Company’s payment-related services, which are the primary services it provides to its clients.</w:t>
      </w:r>
    </w:p>
    <w:p>
      <w:pPr>
        <w:spacing w:after="0" w:line="73" w:lineRule="exact"/>
        <w:rPr>
          <w:rFonts w:ascii="Times New Roman" w:cs="Times New Roman" w:eastAsia="Times New Roman" w:hAnsi="Times New Roman"/>
          <w:sz w:val="16"/>
          <w:szCs w:val="16"/>
          <w:color w:val="auto"/>
        </w:rPr>
      </w:pPr>
    </w:p>
    <w:p>
      <w:pPr>
        <w:ind w:left="540" w:right="100" w:hanging="388"/>
        <w:spacing w:after="0" w:line="254"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w:t>
      </w:r>
    </w:p>
    <w:p>
      <w:pPr>
        <w:spacing w:after="0" w:line="78" w:lineRule="exact"/>
        <w:rPr>
          <w:rFonts w:ascii="Times New Roman" w:cs="Times New Roman" w:eastAsia="Times New Roman" w:hAnsi="Times New Roman"/>
          <w:sz w:val="16"/>
          <w:szCs w:val="16"/>
          <w:color w:val="auto"/>
        </w:rPr>
      </w:pPr>
    </w:p>
    <w:p>
      <w:pPr>
        <w:ind w:left="540" w:right="60" w:hanging="388"/>
        <w:spacing w:after="0" w:line="256"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Expenses -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spacing w:after="0" w:line="78" w:lineRule="exact"/>
        <w:rPr>
          <w:rFonts w:ascii="Times New Roman" w:cs="Times New Roman" w:eastAsia="Times New Roman" w:hAnsi="Times New Roman"/>
          <w:sz w:val="16"/>
          <w:szCs w:val="16"/>
          <w:color w:val="auto"/>
        </w:rPr>
      </w:pPr>
    </w:p>
    <w:p>
      <w:pPr>
        <w:ind w:left="540" w:hanging="388"/>
        <w:spacing w:after="0" w:line="256" w:lineRule="auto"/>
        <w:tabs>
          <w:tab w:leader="none" w:pos="5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FX Neutral Revenue Less Ancillary Services and Adjusted EBITDA, excluding Sertifi - FX Neutral Revenue Less Ancillary Services and Adjusted EBITDA, excluding Sertifi, represents FX Neutral Revenue Less Ancillary Services and Adjusted EBITDA, respectively, adjusted by excluding the contributions from Sertifi. Flywire believes these measures are useful in understanding the ongoing results of our operations.</w:t>
      </w:r>
    </w:p>
    <w:p>
      <w:pPr>
        <w:sectPr>
          <w:pgSz w:w="11900" w:h="16838" w:orient="portrait"/>
          <w:cols w:equalWidth="0" w:num="1">
            <w:col w:w="9320"/>
          </w:cols>
          <w:pgMar w:left="1440" w:top="253" w:right="1139" w:bottom="1440" w:gutter="0" w:footer="0" w:header="0"/>
        </w:sectPr>
      </w:pPr>
    </w:p>
    <w:bookmarkStart w:id="10" w:name="page11"/>
    <w:bookmarkEnd w:id="10"/>
    <w:p>
      <w:pPr>
        <w:ind w:left="1"/>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These non-GAAP financial measures are not meant to be considered as indicators of performance in isolation from or as a substitute for the Company’s revenue, gross profit, gross margin, operating expenses or net income (loss),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w:t>
      </w:r>
    </w:p>
    <w:p>
      <w:pPr>
        <w:spacing w:after="0" w:line="165" w:lineRule="exact"/>
        <w:rPr>
          <w:sz w:val="20"/>
          <w:szCs w:val="20"/>
          <w:color w:val="auto"/>
        </w:rPr>
      </w:pPr>
    </w:p>
    <w:p>
      <w:pPr>
        <w:ind w:left="1" w:right="40"/>
        <w:spacing w:after="0" w:line="272" w:lineRule="auto"/>
        <w:rPr>
          <w:sz w:val="20"/>
          <w:szCs w:val="20"/>
          <w:color w:val="auto"/>
        </w:rPr>
      </w:pPr>
      <w:r>
        <w:rPr>
          <w:rFonts w:ascii="Times New Roman" w:cs="Times New Roman" w:eastAsia="Times New Roman" w:hAnsi="Times New Roman"/>
          <w:sz w:val="15"/>
          <w:szCs w:val="15"/>
          <w:color w:val="auto"/>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For figures in this press release reported on an “FX-Neutral basis,” Flywire calculates the year-over-year impact of foreign currency movements using prior period weighted average foreign currency exchange rates.</w:t>
      </w:r>
    </w:p>
    <w:p>
      <w:pPr>
        <w:spacing w:after="0" w:line="2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About Flywire</w:t>
      </w:r>
    </w:p>
    <w:p>
      <w:pPr>
        <w:spacing w:after="0" w:line="102" w:lineRule="exact"/>
        <w:rPr>
          <w:sz w:val="20"/>
          <w:szCs w:val="20"/>
          <w:color w:val="auto"/>
        </w:rPr>
      </w:pPr>
    </w:p>
    <w:p>
      <w:pPr>
        <w:ind w:left="1" w:right="220"/>
        <w:spacing w:after="0" w:line="276" w:lineRule="auto"/>
        <w:rPr>
          <w:sz w:val="20"/>
          <w:szCs w:val="20"/>
          <w:color w:val="auto"/>
        </w:rPr>
      </w:pPr>
      <w:r>
        <w:rPr>
          <w:rFonts w:ascii="Times New Roman" w:cs="Times New Roman" w:eastAsia="Times New Roman" w:hAnsi="Times New Roman"/>
          <w:sz w:val="16"/>
          <w:szCs w:val="16"/>
          <w:color w:val="auto"/>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45" w:lineRule="exact"/>
        <w:rPr>
          <w:sz w:val="20"/>
          <w:szCs w:val="20"/>
          <w:color w:val="auto"/>
        </w:rPr>
      </w:pPr>
    </w:p>
    <w:p>
      <w:pPr>
        <w:ind w:left="1" w:right="40"/>
        <w:spacing w:after="0" w:line="261" w:lineRule="auto"/>
        <w:rPr>
          <w:sz w:val="20"/>
          <w:szCs w:val="20"/>
          <w:color w:val="auto"/>
        </w:rPr>
      </w:pPr>
      <w:r>
        <w:rPr>
          <w:rFonts w:ascii="Times New Roman" w:cs="Times New Roman" w:eastAsia="Times New Roman" w:hAnsi="Times New Roman"/>
          <w:sz w:val="16"/>
          <w:szCs w:val="16"/>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pacing w:after="0" w:line="157" w:lineRule="exact"/>
        <w:rPr>
          <w:sz w:val="20"/>
          <w:szCs w:val="20"/>
          <w:color w:val="auto"/>
        </w:rPr>
      </w:pPr>
    </w:p>
    <w:p>
      <w:pPr>
        <w:ind w:left="1" w:right="100"/>
        <w:spacing w:after="0" w:line="261" w:lineRule="auto"/>
        <w:rPr>
          <w:sz w:val="20"/>
          <w:szCs w:val="20"/>
          <w:color w:val="auto"/>
        </w:rPr>
      </w:pPr>
      <w:r>
        <w:rPr>
          <w:rFonts w:ascii="Times New Roman" w:cs="Times New Roman" w:eastAsia="Times New Roman" w:hAnsi="Times New Roman"/>
          <w:sz w:val="16"/>
          <w:szCs w:val="16"/>
          <w:color w:val="auto"/>
        </w:rPr>
        <w:t xml:space="preserve">Flywire supports approximately 5,000** clients with diverse payment methods in more than 140 currencies across more than 240 countries and territories around the world. Flywire is headquartered in Boston, MA, USA, with global offices. For more information, visit </w:t>
      </w:r>
      <w:r>
        <w:rPr>
          <w:rFonts w:ascii="Times New Roman" w:cs="Times New Roman" w:eastAsia="Times New Roman" w:hAnsi="Times New Roman"/>
          <w:sz w:val="16"/>
          <w:szCs w:val="16"/>
          <w:u w:val="single" w:color="auto"/>
          <w:color w:val="auto"/>
        </w:rPr>
        <w:t>www.flywire.com</w:t>
      </w:r>
      <w:r>
        <w:rPr>
          <w:rFonts w:ascii="Times New Roman" w:cs="Times New Roman" w:eastAsia="Times New Roman" w:hAnsi="Times New Roman"/>
          <w:sz w:val="16"/>
          <w:szCs w:val="16"/>
          <w:color w:val="auto"/>
        </w:rPr>
        <w:t xml:space="preserve">. Follow Flywire on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xml:space="preserve"> (formerly known as Twitter), </w:t>
      </w:r>
      <w:r>
        <w:rPr>
          <w:rFonts w:ascii="Times New Roman" w:cs="Times New Roman" w:eastAsia="Times New Roman" w:hAnsi="Times New Roman"/>
          <w:sz w:val="16"/>
          <w:szCs w:val="16"/>
          <w:u w:val="single" w:color="auto"/>
          <w:color w:val="auto"/>
        </w:rPr>
        <w:t>LinkedIn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Facebook</w:t>
      </w:r>
      <w:r>
        <w:rPr>
          <w:rFonts w:ascii="Times New Roman" w:cs="Times New Roman" w:eastAsia="Times New Roman" w:hAnsi="Times New Roman"/>
          <w:sz w:val="16"/>
          <w:szCs w:val="16"/>
          <w:color w:val="auto"/>
        </w:rPr>
        <w:t>.</w:t>
      </w:r>
    </w:p>
    <w:p>
      <w:pPr>
        <w:spacing w:after="0" w:line="285" w:lineRule="exact"/>
        <w:rPr>
          <w:sz w:val="20"/>
          <w:szCs w:val="20"/>
          <w:color w:val="auto"/>
        </w:rPr>
      </w:pPr>
    </w:p>
    <w:p>
      <w:pPr>
        <w:ind w:left="381" w:hanging="381"/>
        <w:spacing w:after="0"/>
        <w:tabs>
          <w:tab w:leader="none" w:pos="38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Excludes clients from Flywire’s Invoiced and Sertifi acquisitions</w:t>
      </w:r>
    </w:p>
    <w:p>
      <w:pPr>
        <w:sectPr>
          <w:pgSz w:w="11900" w:h="16838" w:orient="portrait"/>
          <w:cols w:equalWidth="0" w:num="1">
            <w:col w:w="9601"/>
          </w:cols>
          <w:pgMar w:left="1119" w:top="253" w:right="11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Safe Harbor Statement</w:t>
      </w:r>
    </w:p>
    <w:p>
      <w:pPr>
        <w:spacing w:after="0" w:line="1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including growth in revenue and gross profit, expansion of margins, and increases in free cash flow;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w:t>
      </w:r>
    </w:p>
    <w:p>
      <w:pPr>
        <w:sectPr>
          <w:pgSz w:w="11900" w:h="16838" w:orient="portrait"/>
          <w:cols w:equalWidth="0" w:num="1">
            <w:col w:w="9640"/>
          </w:cols>
          <w:pgMar w:left="1120" w:top="249" w:right="1139" w:bottom="1440" w:gutter="0" w:footer="0" w:header="0"/>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U.S. policy towards Venezuela or Greenland and the recent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2024 and Quarterly Report on Form 10-Q for the quarter ended September 30, 2025 which are on file with the Securities and Exchange Commission (SEC) and available on the SEC’s website at https://www.sec.gov/. Additional factors may be described in those sections of Flywire’s Annual Report on Form 10-K for the year ended December 31, 2025, expected to be filed in the first quarter of 2026.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Masha Kahn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ir@Flywire.com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Sarah King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Media@Flywire.com</w:t>
      </w:r>
    </w:p>
    <w:p>
      <w:pPr>
        <w:sectPr>
          <w:pgSz w:w="11900" w:h="16838" w:orient="portrait"/>
          <w:cols w:equalWidth="0" w:num="1">
            <w:col w:w="9620"/>
          </w:cols>
          <w:pgMar w:left="1120" w:top="253" w:right="1159" w:bottom="1440" w:gutter="0" w:footer="0" w:header="0"/>
        </w:sectPr>
      </w:pPr>
    </w:p>
    <w:bookmarkStart w:id="13" w:name="page14"/>
    <w:bookmarkEnd w:id="13"/>
    <w:p>
      <w:pPr>
        <w:ind w:left="23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Consolidated Statements of Operations and Comprehensive Income (Loss)</w:t>
      </w:r>
    </w:p>
    <w:p>
      <w:pPr>
        <w:spacing w:after="0" w:line="2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(Unaudited) (Amounts in thousands, except share and per share amount)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9"/>
              </w:rPr>
              <w:t>Three Months Ended 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8"/>
              </w:rPr>
              <w:t>Twelve Months Ended December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3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4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26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157,544</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117,550</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623,025</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492,144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Costs and operating expenses: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processing services costs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63,592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41,384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240,360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177,490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18,540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17,370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70,207</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66,636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40,134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33,353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156,991</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129,435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36,243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31,218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135,482</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125,838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8,690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123,325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611,730</w:t>
            </w: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499,399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11,295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(7,255)</w:t>
            </w:r>
          </w:p>
        </w:tc>
        <w:tc>
          <w:tcPr>
            <w:tcW w:w="0" w:type="dxa"/>
            <w:vAlign w:val="bottom"/>
          </w:tcPr>
          <w:p>
            <w:pPr>
              <w:spacing w:after="0"/>
              <w:rPr>
                <w:sz w:val="1"/>
                <w:szCs w:val="1"/>
                <w:color w:val="auto"/>
              </w:rPr>
            </w:pPr>
          </w:p>
        </w:tc>
      </w:tr>
      <w:tr>
        <w:trPr>
          <w:trHeight w:val="19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(540)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(3,526)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4,872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5,640</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21,440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from remeasurement of foreign currency</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(13,866)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7,865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Gain on available-for-sale debt securities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(9,129)</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10,145</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9,115</w:t>
            </w:r>
          </w:p>
        </w:tc>
        <w:tc>
          <w:tcPr>
            <w:tcW w:w="0" w:type="dxa"/>
            <w:vAlign w:val="bottom"/>
          </w:tcPr>
          <w:p>
            <w:pPr>
              <w:spacing w:after="0"/>
              <w:rPr>
                <w:sz w:val="1"/>
                <w:szCs w:val="1"/>
                <w:color w:val="auto"/>
              </w:rPr>
            </w:pPr>
          </w:p>
        </w:tc>
      </w:tr>
      <w:tr>
        <w:trPr>
          <w:trHeight w:val="19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4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995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7,943</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19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13,497</w:t>
            </w:r>
          </w:p>
        </w:tc>
        <w:tc>
          <w:tcPr>
            <w:tcW w:w="4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(2,708)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(7,330)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4,707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(3,594)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Unrealized (losses) gains on available-for-sale debt securities, net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taxes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(2,716)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4,554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(3,386)</w:t>
            </w:r>
          </w:p>
        </w:tc>
        <w:tc>
          <w:tcPr>
            <w:tcW w:w="0" w:type="dxa"/>
            <w:vAlign w:val="bottom"/>
          </w:tcPr>
          <w:p>
            <w:pPr>
              <w:spacing w:after="0"/>
              <w:rPr>
                <w:sz w:val="1"/>
                <w:szCs w:val="1"/>
                <w:color w:val="auto"/>
              </w:rPr>
            </w:pPr>
          </w:p>
        </w:tc>
      </w:tr>
      <w:tr>
        <w:trPr>
          <w:trHeight w:val="193"/>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18,051</w:t>
            </w:r>
          </w:p>
        </w:tc>
        <w:tc>
          <w:tcPr>
            <w:tcW w:w="4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38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Net income (loss) attributable to common stockholders - basic and</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(15,899)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13,497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Net income (loss) per share attributable to common stockholders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Net income (loss) per share attributable to common stockholders -</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122,001,958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124,463,252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97"/>
              </w:rPr>
              <w:t>122,377,814</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124,269,820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128,288,795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128,924,166</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7"/>
              </w:rPr>
              <w:t>127,747,476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129,339,462</w:t>
            </w:r>
          </w:p>
        </w:tc>
        <w:tc>
          <w:tcPr>
            <w:tcW w:w="0" w:type="dxa"/>
            <w:vAlign w:val="bottom"/>
          </w:tcPr>
          <w:p>
            <w:pPr>
              <w:spacing w:after="0"/>
              <w:rPr>
                <w:sz w:val="1"/>
                <w:szCs w:val="1"/>
                <w:color w:val="auto"/>
              </w:rPr>
            </w:pPr>
          </w:p>
        </w:tc>
      </w:tr>
    </w:tbl>
    <w:p>
      <w:pPr>
        <w:sectPr>
          <w:pgSz w:w="11900" w:h="16838" w:orient="portrait"/>
          <w:cols w:equalWidth="0" w:num="1">
            <w:col w:w="9640"/>
          </w:cols>
          <w:pgMar w:left="1120" w:top="251" w:right="11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(Amounts in thousands, except par value per share and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9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330,303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495,242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24,692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34,776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 net</w:t>
            </w: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Funds receivable from payment partners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155,455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602,288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762,884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80" w:type="dxa"/>
            <w:vAlign w:val="bottom"/>
          </w:tcPr>
          <w:p>
            <w:pPr>
              <w:spacing w:after="0"/>
              <w:rPr>
                <w:sz w:val="16"/>
                <w:szCs w:val="16"/>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50,125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22,125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17,160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189,050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118,684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406,507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149,558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33,343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6"/>
              </w:rPr>
              <w:t>1,253,313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1,122,446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15,298</w:t>
            </w:r>
          </w:p>
        </w:tc>
        <w:tc>
          <w:tcPr>
            <w:tcW w:w="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Funds payable to clients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310,799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217,788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55,715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49,297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19,951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7,337</w:t>
            </w:r>
          </w:p>
        </w:tc>
        <w:tc>
          <w:tcPr>
            <w:tcW w:w="0" w:type="dxa"/>
            <w:vAlign w:val="bottom"/>
          </w:tcPr>
          <w:p>
            <w:pPr>
              <w:spacing w:after="0"/>
              <w:rPr>
                <w:sz w:val="1"/>
                <w:szCs w:val="1"/>
                <w:color w:val="auto"/>
              </w:rPr>
            </w:pPr>
          </w:p>
        </w:tc>
      </w:tr>
      <w:tr>
        <w:trPr>
          <w:trHeight w:val="193"/>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401,763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289,775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12,643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418,142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307,679</w:t>
            </w:r>
          </w:p>
        </w:tc>
        <w:tc>
          <w:tcPr>
            <w:tcW w:w="0" w:type="dxa"/>
            <w:vAlign w:val="bottom"/>
          </w:tcPr>
          <w:p>
            <w:pPr>
              <w:spacing w:after="0"/>
              <w:rPr>
                <w:sz w:val="1"/>
                <w:szCs w:val="1"/>
                <w:color w:val="auto"/>
              </w:rPr>
            </w:pPr>
          </w:p>
        </w:tc>
      </w:tr>
      <w:tr>
        <w:trPr>
          <w:trHeight w:val="193"/>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Preferred stock, $0.0001 par value; 10,000,000 shares authorized, none issued and outstanding as of December 31, 2025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December 31, 2024</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Voting common stock, $0.0001 par value; 2,000,000,000 shares authorized, 130,335,519 shares issued and 120,086,090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outstanding as of December 31, 2025; 126,853,852 shares issued and 122,182,878 shares outstanding as of</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2024</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0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w w:val="99"/>
              </w:rPr>
              <w:t>Non-voting common stock, $0.0001 par value; 10,000,000 shares authorized, 1,873,320 shares issued and outstanding as of</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2025 and December 31, 2024, respectively</w:t>
            </w:r>
          </w:p>
        </w:tc>
        <w:tc>
          <w:tcPr>
            <w:tcW w:w="80" w:type="dxa"/>
            <w:vAlign w:val="bottom"/>
          </w:tcPr>
          <w:p>
            <w:pPr>
              <w:spacing w:after="0"/>
              <w:rPr>
                <w:sz w:val="17"/>
                <w:szCs w:val="17"/>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w w:val="99"/>
              </w:rPr>
              <w:t>Treasury voting common stock, at cost; 10,249,429 and 4,670,974 shares as of December 31, 2025 and December 31, 2024,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(118,636)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6"/>
              </w:rPr>
              <w:t>1,108,679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6"/>
              </w:rPr>
              <w:t>1,033,958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(2,066)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(157,373)</w:t>
            </w: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(170,870)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835,171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1,253,313</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1,122,446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251" w:right="11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Consolidated Statement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(Amounts in thousands)</w:t>
      </w:r>
    </w:p>
    <w:p>
      <w:pPr>
        <w:spacing w:after="0" w:line="196" w:lineRule="exact"/>
        <w:rPr>
          <w:sz w:val="20"/>
          <w:szCs w:val="20"/>
          <w:color w:val="auto"/>
        </w:rPr>
      </w:pPr>
    </w:p>
    <w:tbl>
      <w:tblPr>
        <w:tblLayout w:type="fixed"/>
        <w:tblInd w:w="1"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gridSpan w:val="7"/>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Twelve Months Ended December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4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6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13,497</w:t>
            </w:r>
          </w:p>
        </w:tc>
        <w:tc>
          <w:tcPr>
            <w:tcW w:w="28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loss on remeasurement of foreign currency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(11,939)</w:t>
            </w: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26,058</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71,777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64,933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1,664</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(1,901)</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(benefit) provision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(1,365)</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Change in provision for uncollectible accounts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2,361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interest income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accretion of discounts and amortization of premiums on investments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(607)</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(6,813)</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Unbilled receivables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(4,462)</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Funds receivable from payment partners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(63,716)</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(17,722)</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Funds payable to clients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91,838</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(676)</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(2,340)</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197"/>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100,175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(324,921)</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(45,230)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short-term and long-term investments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(16,093)</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(192,120)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the maturity and sale of short-term and long-term investments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156,637</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29,598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Capitalization of internally developed software</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(8,506)</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(1,350)</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(194,233)</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(213,993)</w:t>
            </w:r>
          </w:p>
        </w:tc>
        <w:tc>
          <w:tcPr>
            <w:tcW w:w="0" w:type="dxa"/>
            <w:vAlign w:val="bottom"/>
          </w:tcPr>
          <w:p>
            <w:pPr>
              <w:spacing w:after="0"/>
              <w:rPr>
                <w:sz w:val="1"/>
                <w:szCs w:val="1"/>
                <w:color w:val="auto"/>
              </w:rPr>
            </w:pPr>
          </w:p>
        </w:tc>
      </w:tr>
      <w:tr>
        <w:trPr>
          <w:trHeight w:val="193"/>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issuance of revolving credit facility</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125,000</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Payment of revolving credit facility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(125,000)</w:t>
            </w:r>
          </w:p>
        </w:tc>
        <w:tc>
          <w:tcPr>
            <w:tcW w:w="2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(758)</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paid for acquisitions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(3,738)</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of tax withholdings for net settled equity awards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(4,214)</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repurchased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(74,333)</w:t>
            </w:r>
          </w:p>
        </w:tc>
        <w:tc>
          <w:tcPr>
            <w:tcW w:w="20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(43,740)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the issuance of stock under Employee Stock Purchase Plan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3,338</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acquisition payment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rates changes on cash and cash equivalents</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7,521</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(6,411)</w:t>
            </w:r>
          </w:p>
        </w:tc>
        <w:tc>
          <w:tcPr>
            <w:tcW w:w="0" w:type="dxa"/>
            <w:vAlign w:val="bottom"/>
          </w:tcPr>
          <w:p>
            <w:pPr>
              <w:spacing w:after="0"/>
              <w:rPr>
                <w:sz w:val="1"/>
                <w:szCs w:val="1"/>
                <w:color w:val="auto"/>
              </w:rPr>
            </w:pPr>
          </w:p>
        </w:tc>
      </w:tr>
      <w:tr>
        <w:trPr>
          <w:trHeight w:val="193"/>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(164,939)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495,242</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654,608</w:t>
            </w:r>
          </w:p>
        </w:tc>
        <w:tc>
          <w:tcPr>
            <w:tcW w:w="0" w:type="dxa"/>
            <w:vAlign w:val="bottom"/>
          </w:tcPr>
          <w:p>
            <w:pPr>
              <w:spacing w:after="0"/>
              <w:rPr>
                <w:sz w:val="1"/>
                <w:szCs w:val="1"/>
                <w:color w:val="auto"/>
              </w:rPr>
            </w:pPr>
          </w:p>
        </w:tc>
      </w:tr>
      <w:tr>
        <w:trPr>
          <w:trHeight w:val="193"/>
        </w:trPr>
        <w:tc>
          <w:tcPr>
            <w:tcW w:w="7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330,303</w:t>
            </w:r>
          </w:p>
        </w:tc>
        <w:tc>
          <w:tcPr>
            <w:tcW w:w="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495,242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81" w:right="20" w:hanging="381"/>
        <w:spacing w:after="0" w:line="276" w:lineRule="auto"/>
        <w:tabs>
          <w:tab w:leader="none" w:pos="38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Flywire has revised the twelve months ended December 31, 2024 Consolidated Statements of Cash Flows to correct classification errors identified during the preparation of our current form 10-K.</w:t>
      </w:r>
    </w:p>
    <w:p>
      <w:pPr>
        <w:sectPr>
          <w:pgSz w:w="11900" w:h="16838" w:orient="portrait"/>
          <w:cols w:equalWidth="0" w:num="1">
            <w:col w:w="9641"/>
          </w:cols>
          <w:pgMar w:left="1119" w:top="251" w:right="11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Reconciliation of Non-GAAP Financial Measures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(Amounts in millions, except percentages)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Less Ancillary Services, Adjusted Gross Profit, and Adjusted Gross Margin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6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6"/>
              </w:rPr>
              <w:t>Three Months Ended 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6"/>
              </w:rPr>
              <w:t>Twelve Months Ended December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8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8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0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157.5</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117.6</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623.0</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492.1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Adjusted to exclude gross up for:</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Pass-through cost for printing and mailing</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(17.6)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Marketing fees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Less Ancillary Services</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152.7</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112.8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603.1</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474.2</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Payment processing services costs</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63.6</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41.4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240.4</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177.5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color w:val="auto"/>
              </w:rPr>
              <w:t>Hosting and amortization costs within technology and</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 expenses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193"/>
        </w:trPr>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5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6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9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Adjusted to:</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Exclude printing and mailing costs</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(17.6)</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Offset marketing fees against related costs</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Exclude depreciation and amortization</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Cost of Revenue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59.1</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221.5</w:t>
            </w:r>
          </w:p>
        </w:tc>
        <w:tc>
          <w:tcPr>
            <w:tcW w:w="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90.7</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371.1</w:t>
            </w:r>
          </w:p>
        </w:tc>
        <w:tc>
          <w:tcPr>
            <w:tcW w:w="4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57.6%</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63.2%</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59.6%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Adjusted Gross Profit</w:t>
            </w: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0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93.7</w:t>
            </w:r>
          </w:p>
        </w:tc>
        <w:tc>
          <w:tcPr>
            <w:tcW w:w="640" w:type="dxa"/>
            <w:vAlign w:val="bottom"/>
          </w:tcPr>
          <w:p>
            <w:pPr>
              <w:spacing w:after="0"/>
              <w:rPr>
                <w:sz w:val="15"/>
                <w:szCs w:val="15"/>
                <w:color w:val="auto"/>
              </w:rPr>
            </w:pPr>
          </w:p>
        </w:tc>
        <w:tc>
          <w:tcPr>
            <w:tcW w:w="180" w:type="dxa"/>
            <w:vAlign w:val="bottom"/>
          </w:tcPr>
          <w:p>
            <w:pPr>
              <w:jc w:val="right"/>
              <w:ind w:right="2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75.6</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381.6</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ind w:right="21"/>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312.8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Gross Margin</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61.3%</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63.3%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Less Ancillary Services Disaggregated by Revenue Type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w w:val="99"/>
              </w:rPr>
              <w:t>Three Months Ended December 31, 2025</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w w:val="98"/>
              </w:rPr>
              <w:t>Twelve Months Ended December 31, 2025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20" w:type="dxa"/>
            <w:vAlign w:val="bottom"/>
          </w:tcPr>
          <w:p>
            <w:pPr>
              <w:spacing w:after="0"/>
              <w:rPr>
                <w:sz w:val="8"/>
                <w:szCs w:val="8"/>
                <w:color w:val="auto"/>
              </w:rPr>
            </w:pPr>
          </w:p>
        </w:tc>
        <w:tc>
          <w:tcPr>
            <w:tcW w:w="1160" w:type="dxa"/>
            <w:vAlign w:val="bottom"/>
            <w:gridSpan w:val="3"/>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Platform and</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120" w:type="dxa"/>
            <w:vAlign w:val="bottom"/>
          </w:tcPr>
          <w:p>
            <w:pPr>
              <w:spacing w:after="0"/>
              <w:rPr>
                <w:sz w:val="8"/>
                <w:szCs w:val="8"/>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180" w:type="dxa"/>
            <w:vAlign w:val="bottom"/>
            <w:gridSpan w:val="3"/>
          </w:tcPr>
          <w:p>
            <w:pPr>
              <w:jc w:val="right"/>
              <w:ind w:right="420"/>
              <w:spacing w:after="0" w:line="100" w:lineRule="exact"/>
              <w:rPr>
                <w:sz w:val="20"/>
                <w:szCs w:val="20"/>
                <w:color w:val="auto"/>
              </w:rPr>
            </w:pPr>
            <w:r>
              <w:rPr>
                <w:rFonts w:ascii="Times New Roman" w:cs="Times New Roman" w:eastAsia="Times New Roman" w:hAnsi="Times New Roman"/>
                <w:sz w:val="11"/>
                <w:szCs w:val="11"/>
                <w:b w:val="1"/>
                <w:bCs w:val="1"/>
                <w:color w:val="auto"/>
              </w:rPr>
              <w:t>Platform and</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2"/>
              </w:rPr>
              <w:t>Revenue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126.5</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31.0</w:t>
            </w: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5"/>
              </w:rPr>
              <w:t>$ 157.5</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502.7</w:t>
            </w: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120.4</w:t>
            </w: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5"/>
              </w:rPr>
              <w:t>$ 623.0</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Adjusted to exclude gross up for: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Pass-through cost for printing and mailing</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(17.6)</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Marketing fees</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Less Ancillary Services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26.7</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5"/>
              </w:rPr>
              <w:t>$ 152.7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500.3</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102.7</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$ 603.1</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Percentage of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line="177" w:lineRule="exact"/>
              <w:rPr>
                <w:sz w:val="20"/>
                <w:szCs w:val="20"/>
                <w:color w:val="auto"/>
              </w:rPr>
            </w:pPr>
            <w:r>
              <w:rPr>
                <w:rFonts w:ascii="Times New Roman" w:cs="Times New Roman" w:eastAsia="Times New Roman" w:hAnsi="Times New Roman"/>
                <w:sz w:val="16"/>
                <w:szCs w:val="16"/>
                <w:color w:val="auto"/>
              </w:rPr>
              <w:t>80.3%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19.7%</w:t>
            </w:r>
          </w:p>
        </w:tc>
        <w:tc>
          <w:tcPr>
            <w:tcW w:w="740" w:type="dxa"/>
            <w:vAlign w:val="bottom"/>
            <w:gridSpan w:val="2"/>
          </w:tcPr>
          <w:p>
            <w:pPr>
              <w:jc w:val="right"/>
              <w:ind w:right="120"/>
              <w:spacing w:after="0" w:line="177" w:lineRule="exact"/>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80.7%</w:t>
            </w:r>
          </w:p>
        </w:tc>
        <w:tc>
          <w:tcPr>
            <w:tcW w:w="260" w:type="dxa"/>
            <w:vAlign w:val="bottom"/>
          </w:tcPr>
          <w:p>
            <w:pPr>
              <w:spacing w:after="0"/>
              <w:rPr>
                <w:sz w:val="15"/>
                <w:szCs w:val="15"/>
                <w:color w:val="auto"/>
              </w:rPr>
            </w:pPr>
          </w:p>
        </w:tc>
        <w:tc>
          <w:tcPr>
            <w:tcW w:w="92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19.3%</w:t>
            </w:r>
          </w:p>
        </w:tc>
        <w:tc>
          <w:tcPr>
            <w:tcW w:w="6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Revenue Less Ancillary Services</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83.0%</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w w:val="99"/>
              </w:rPr>
              <w:t>Three Months Ended December 31, 2024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w w:val="98"/>
              </w:rPr>
              <w:t>Twelve Months Ended December 31, 2024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20" w:type="dxa"/>
            <w:vAlign w:val="bottom"/>
          </w:tcPr>
          <w:p>
            <w:pPr>
              <w:spacing w:after="0"/>
              <w:rPr>
                <w:sz w:val="8"/>
                <w:szCs w:val="8"/>
                <w:color w:val="auto"/>
              </w:rPr>
            </w:pPr>
          </w:p>
        </w:tc>
        <w:tc>
          <w:tcPr>
            <w:tcW w:w="1160" w:type="dxa"/>
            <w:vAlign w:val="bottom"/>
            <w:gridSpan w:val="3"/>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Platform and</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120" w:type="dxa"/>
            <w:vAlign w:val="bottom"/>
          </w:tcPr>
          <w:p>
            <w:pPr>
              <w:spacing w:after="0"/>
              <w:rPr>
                <w:sz w:val="8"/>
                <w:szCs w:val="8"/>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1180" w:type="dxa"/>
            <w:vAlign w:val="bottom"/>
            <w:gridSpan w:val="3"/>
          </w:tcPr>
          <w:p>
            <w:pPr>
              <w:jc w:val="right"/>
              <w:ind w:right="420"/>
              <w:spacing w:after="0" w:line="100" w:lineRule="exact"/>
              <w:rPr>
                <w:sz w:val="20"/>
                <w:szCs w:val="20"/>
                <w:color w:val="auto"/>
              </w:rPr>
            </w:pPr>
            <w:r>
              <w:rPr>
                <w:rFonts w:ascii="Times New Roman" w:cs="Times New Roman" w:eastAsia="Times New Roman" w:hAnsi="Times New Roman"/>
                <w:sz w:val="11"/>
                <w:szCs w:val="11"/>
                <w:b w:val="1"/>
                <w:bCs w:val="1"/>
                <w:color w:val="auto"/>
              </w:rPr>
              <w:t>Platform and</w:t>
            </w: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2"/>
              </w:rPr>
              <w:t>Revenue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other revenues</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6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95.3</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22.3</w:t>
            </w: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5"/>
              </w:rPr>
              <w:t>$ 117.6</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410.2</w:t>
            </w: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81.9</w:t>
            </w:r>
          </w:p>
        </w:tc>
        <w:tc>
          <w:tcPr>
            <w:tcW w:w="3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95"/>
              </w:rPr>
              <w:t>$ 492.1</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Adjusted to exclude gross up for: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Pass-through cost for printing</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(4.5)</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(15.9)</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Marketing fees</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Less Ancillary Services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6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17.8</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5"/>
              </w:rPr>
              <w:t>$ 112.8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408.2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66.0</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$ 474.2</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Percentage of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140"/>
              <w:spacing w:after="0" w:line="177" w:lineRule="exact"/>
              <w:rPr>
                <w:sz w:val="20"/>
                <w:szCs w:val="20"/>
                <w:color w:val="auto"/>
              </w:rPr>
            </w:pPr>
            <w:r>
              <w:rPr>
                <w:rFonts w:ascii="Times New Roman" w:cs="Times New Roman" w:eastAsia="Times New Roman" w:hAnsi="Times New Roman"/>
                <w:sz w:val="16"/>
                <w:szCs w:val="16"/>
                <w:color w:val="auto"/>
              </w:rPr>
              <w:t>81.0%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19.0%</w:t>
            </w:r>
          </w:p>
        </w:tc>
        <w:tc>
          <w:tcPr>
            <w:tcW w:w="740" w:type="dxa"/>
            <w:vAlign w:val="bottom"/>
            <w:gridSpan w:val="2"/>
          </w:tcPr>
          <w:p>
            <w:pPr>
              <w:jc w:val="right"/>
              <w:ind w:right="120"/>
              <w:spacing w:after="0" w:line="177" w:lineRule="exact"/>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83.4%</w:t>
            </w:r>
          </w:p>
        </w:tc>
        <w:tc>
          <w:tcPr>
            <w:tcW w:w="260" w:type="dxa"/>
            <w:vAlign w:val="bottom"/>
          </w:tcPr>
          <w:p>
            <w:pPr>
              <w:spacing w:after="0"/>
              <w:rPr>
                <w:sz w:val="15"/>
                <w:szCs w:val="15"/>
                <w:color w:val="auto"/>
              </w:rPr>
            </w:pPr>
          </w:p>
        </w:tc>
        <w:tc>
          <w:tcPr>
            <w:tcW w:w="92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6"/>
                <w:szCs w:val="16"/>
                <w:color w:val="auto"/>
              </w:rPr>
              <w:t>16.6%</w:t>
            </w:r>
          </w:p>
        </w:tc>
        <w:tc>
          <w:tcPr>
            <w:tcW w:w="640" w:type="dxa"/>
            <w:vAlign w:val="bottom"/>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of Revenue Less Ancillary Services</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86.1%</w:t>
            </w:r>
          </w:p>
        </w:tc>
        <w:tc>
          <w:tcPr>
            <w:tcW w:w="2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ectPr>
          <w:pgSz w:w="11900" w:h="16838" w:orient="portrait"/>
          <w:cols w:equalWidth="0" w:num="1">
            <w:col w:w="9640"/>
          </w:cols>
          <w:pgMar w:left="1120" w:top="251" w:right="11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FX Neutral Revenue Less Ancillary Services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320" w:type="dxa"/>
            <w:vAlign w:val="bottom"/>
            <w:gridSpan w:val="8"/>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9"/>
              </w:rPr>
              <w:t>Three Months Ended December 31,</w:t>
            </w: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Growth</w:t>
            </w:r>
          </w:p>
        </w:tc>
        <w:tc>
          <w:tcPr>
            <w:tcW w:w="80" w:type="dxa"/>
            <w:vAlign w:val="bottom"/>
          </w:tcPr>
          <w:p>
            <w:pPr>
              <w:spacing w:after="0"/>
              <w:rPr>
                <w:sz w:val="13"/>
                <w:szCs w:val="13"/>
                <w:color w:val="auto"/>
              </w:rPr>
            </w:pPr>
          </w:p>
        </w:tc>
        <w:tc>
          <w:tcPr>
            <w:tcW w:w="2240" w:type="dxa"/>
            <w:vAlign w:val="bottom"/>
            <w:gridSpan w:val="11"/>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Twelve Months Ended December 31,</w:t>
            </w:r>
          </w:p>
        </w:tc>
        <w:tc>
          <w:tcPr>
            <w:tcW w:w="140" w:type="dxa"/>
            <w:vAlign w:val="bottom"/>
          </w:tcPr>
          <w:p>
            <w:pPr>
              <w:spacing w:after="0"/>
              <w:rPr>
                <w:sz w:val="13"/>
                <w:szCs w:val="13"/>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2"/>
              </w:rPr>
              <w:t>Growth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0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0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bottom w:val="single" w:sz="8" w:color="auto"/>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9"/>
              </w:rPr>
              <w:t>Rate</w:t>
            </w: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
              <w:spacing w:after="0" w:line="122"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30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142"/>
              <w:spacing w:after="0" w:line="122"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Borders>
              <w:top w:val="single" w:sz="8" w:color="auto"/>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32"/>
              <w:spacing w:after="0" w:line="122" w:lineRule="exact"/>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Borders>
              <w:bottom w:val="single" w:sz="8" w:color="CCEEFF"/>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ind w:right="25"/>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157.5</w:t>
            </w: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117.6</w:t>
            </w:r>
          </w:p>
        </w:tc>
        <w:tc>
          <w:tcPr>
            <w:tcW w:w="28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center"/>
              <w:ind w:right="46"/>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623.0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492.1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Ancillary services</w:t>
            </w:r>
          </w:p>
        </w:tc>
        <w:tc>
          <w:tcPr>
            <w:tcW w:w="1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Less Ancillary Services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8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8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FX Neutral Revenue Less Ancillary Services</w:t>
            </w: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3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112.8</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Sertifi Revenue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60" w:type="dxa"/>
            <w:vAlign w:val="bottom"/>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(14.2)</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line="177" w:lineRule="exact"/>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(44.1)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Less Ancillary Services excluding Sertifi</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138.6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112.8</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3"/>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FX Neutral Revenue Less Ancillary Services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8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474.2</w:t>
            </w: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Reconciliation of Non-GAAP Operating Expenses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(in millions)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gridSpan w:val="10"/>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Three Months Ended December 31,</w:t>
            </w:r>
          </w:p>
        </w:tc>
        <w:tc>
          <w:tcPr>
            <w:tcW w:w="360" w:type="dxa"/>
            <w:vAlign w:val="bottom"/>
          </w:tcPr>
          <w:p>
            <w:pPr>
              <w:spacing w:after="0"/>
              <w:rPr>
                <w:sz w:val="24"/>
                <w:szCs w:val="24"/>
                <w:color w:val="auto"/>
              </w:rPr>
            </w:pPr>
          </w:p>
        </w:tc>
        <w:tc>
          <w:tcPr>
            <w:tcW w:w="2340" w:type="dxa"/>
            <w:vAlign w:val="bottom"/>
            <w:gridSpan w:val="1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17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GAAP Technology and development</w:t>
            </w:r>
          </w:p>
        </w:tc>
        <w:tc>
          <w:tcPr>
            <w:tcW w:w="1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46"/>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18.5</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center"/>
              <w:ind w:right="10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2"/>
              </w:rPr>
              <w:t>17.4</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70.2</w:t>
            </w:r>
          </w:p>
        </w:tc>
        <w:tc>
          <w:tcPr>
            <w:tcW w:w="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66.6</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w w:val="98"/>
              </w:rPr>
              <w:t>(-) Stock-based compensation expense and related taxes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Depreciation and amortization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93"/>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Non-GAAP Technology and development</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2"/>
              </w:rPr>
              <w:t>12.2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GAAP Selling and marketing</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6"/>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20"/>
              <w:spacing w:after="0" w:line="177" w:lineRule="exact"/>
              <w:rPr>
                <w:sz w:val="20"/>
                <w:szCs w:val="20"/>
                <w:color w:val="auto"/>
              </w:rPr>
            </w:pPr>
            <w:r>
              <w:rPr>
                <w:rFonts w:ascii="Times New Roman" w:cs="Times New Roman" w:eastAsia="Times New Roman" w:hAnsi="Times New Roman"/>
                <w:sz w:val="16"/>
                <w:szCs w:val="16"/>
                <w:color w:val="auto"/>
              </w:rPr>
              <w:t>40.1</w:t>
            </w:r>
          </w:p>
        </w:tc>
        <w:tc>
          <w:tcPr>
            <w:tcW w:w="2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w w:val="99"/>
              </w:rPr>
              <w:t>33.4</w:t>
            </w:r>
          </w:p>
        </w:tc>
        <w:tc>
          <w:tcPr>
            <w:tcW w:w="560" w:type="dxa"/>
            <w:vAlign w:val="bottom"/>
            <w:gridSpan w:val="2"/>
            <w:shd w:val="clear" w:color="auto" w:fill="CCEEFF"/>
          </w:tcPr>
          <w:p>
            <w:pPr>
              <w:jc w:val="right"/>
              <w:ind w:right="45"/>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157.0</w:t>
            </w: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w w:val="98"/>
              </w:rPr>
              <w:t>(-) Stock-based compensation expense and related taxes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Depreciation and amortization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 Acquisition related employee retention costs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Selling and marketing</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26.4</w:t>
            </w:r>
          </w:p>
        </w:tc>
        <w:tc>
          <w:tcPr>
            <w:tcW w:w="5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GAAP General and administrative</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gridSpan w:val="2"/>
          </w:tcPr>
          <w:p>
            <w:pPr>
              <w:jc w:val="right"/>
              <w:ind w:right="46"/>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jc w:val="center"/>
              <w:ind w:right="101"/>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5"/>
                <w:szCs w:val="15"/>
                <w:color w:val="auto"/>
              </w:rPr>
            </w:pPr>
          </w:p>
        </w:tc>
        <w:tc>
          <w:tcPr>
            <w:tcW w:w="2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color w:val="auto"/>
                <w:w w:val="92"/>
              </w:rPr>
              <w:t>31.2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jc w:val="right"/>
              <w:ind w:right="45"/>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5"/>
                <w:szCs w:val="15"/>
                <w:color w:val="auto"/>
              </w:rPr>
            </w:pPr>
          </w:p>
        </w:tc>
        <w:tc>
          <w:tcPr>
            <w:tcW w:w="5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135.5</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5"/>
                <w:szCs w:val="15"/>
                <w:color w:val="auto"/>
              </w:rPr>
            </w:pPr>
          </w:p>
        </w:tc>
        <w:tc>
          <w:tcPr>
            <w:tcW w:w="66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6"/>
                <w:szCs w:val="16"/>
                <w:color w:val="auto"/>
              </w:rPr>
              <w:t>125.8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8"/>
              </w:rPr>
              <w:t>(-) Stock-based compensation expense and related taxes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 Depreciation and amortization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Acquisition related transaction costs</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 Change in fair value of contingent consideration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w w:val="83"/>
              </w:rPr>
              <w:t>— </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General and administrative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w:t>
            </w:r>
          </w:p>
        </w:tc>
        <w:tc>
          <w:tcPr>
            <w:tcW w:w="2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21.4</w:t>
            </w:r>
          </w:p>
        </w:tc>
        <w:tc>
          <w:tcPr>
            <w:tcW w:w="5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251" w:right="11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EBITDA, Adjusted EBITDA, and Adjusted EBITDA Margin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70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23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Twelve Months Ended December 31,</w:t>
            </w:r>
          </w:p>
        </w:tc>
      </w:tr>
      <w:tr>
        <w:trPr>
          <w:trHeight w:val="122"/>
        </w:trPr>
        <w:tc>
          <w:tcPr>
            <w:tcW w:w="20" w:type="dxa"/>
            <w:vAlign w:val="bottom"/>
          </w:tcPr>
          <w:p>
            <w:pPr>
              <w:spacing w:after="0"/>
              <w:rPr>
                <w:sz w:val="10"/>
                <w:szCs w:val="10"/>
                <w:color w:val="auto"/>
              </w:rPr>
            </w:pPr>
          </w:p>
        </w:tc>
        <w:tc>
          <w:tcPr>
            <w:tcW w:w="454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Borders>
              <w:top w:val="single" w:sz="8" w:color="auto"/>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2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2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top w:val="single" w:sz="8" w:color="auto"/>
              <w:bottom w:val="single" w:sz="8" w:color="CCEEFF"/>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22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81"/>
        </w:trPr>
        <w:tc>
          <w:tcPr>
            <w:tcW w:w="20" w:type="dxa"/>
            <w:vAlign w:val="bottom"/>
          </w:tcPr>
          <w:p>
            <w:pPr>
              <w:spacing w:after="0"/>
              <w:rPr>
                <w:sz w:val="15"/>
                <w:szCs w:val="15"/>
                <w:color w:val="auto"/>
              </w:rPr>
            </w:pPr>
          </w:p>
        </w:tc>
        <w:tc>
          <w:tcPr>
            <w:tcW w:w="45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Net income (loss)</w:t>
            </w:r>
          </w:p>
        </w:tc>
        <w:tc>
          <w:tcPr>
            <w:tcW w:w="7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0.0</w:t>
            </w:r>
          </w:p>
        </w:tc>
        <w:tc>
          <w:tcPr>
            <w:tcW w:w="6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440"/>
              <w:spacing w:after="0" w:line="181" w:lineRule="exact"/>
              <w:rPr>
                <w:sz w:val="20"/>
                <w:szCs w:val="20"/>
                <w:color w:val="auto"/>
              </w:rPr>
            </w:pPr>
            <w:r>
              <w:rPr>
                <w:rFonts w:ascii="Times New Roman" w:cs="Times New Roman" w:eastAsia="Times New Roman" w:hAnsi="Times New Roman"/>
                <w:sz w:val="16"/>
                <w:szCs w:val="16"/>
                <w:color w:val="auto"/>
              </w:rPr>
              <w:t>(15.9)</w:t>
            </w:r>
          </w:p>
        </w:tc>
        <w:tc>
          <w:tcPr>
            <w:tcW w:w="86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13.5</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0.5</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0.1</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3.5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0.5</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(0.8)</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(4.8)</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(benefit from) income</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0.3</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1.0</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7.9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6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6"/>
                <w:szCs w:val="16"/>
                <w:color w:val="auto"/>
              </w:rPr>
            </w:pPr>
          </w:p>
        </w:tc>
      </w:tr>
      <w:tr>
        <w:trPr>
          <w:trHeight w:val="193"/>
        </w:trPr>
        <w:tc>
          <w:tcPr>
            <w:tcW w:w="4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EBITDA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2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(14.6)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6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(0.5)</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 and related taxes</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18.7</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16.8</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69.7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65.8</w:t>
            </w: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(0.7)</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from remeasurement of foreign currency</w:t>
            </w: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(1.0)</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13.9</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(7.9)</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Gain on available-for-sale debt</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Indirect taxes related to intercompany activity</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0.9</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0.5</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2.5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189"/>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(0.0)</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0.1</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2.6</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— </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8.7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r>
      <w:tr>
        <w:trPr>
          <w:trHeight w:val="193"/>
        </w:trPr>
        <w:tc>
          <w:tcPr>
            <w:tcW w:w="2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employee retention costs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6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6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rPr>
              <w:t>25.4</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16.7</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120.6</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77.9</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640"/>
          </w:cols>
          <w:pgMar w:left="1120" w:top="251" w:right="113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2026-02-24T15:25:11Z</dcterms:created>
  <dcterms:modified xsi:type="dcterms:W3CDTF">2026-02-24T15:25:11Z</dcterms:modified>
</cp:coreProperties>
</file>