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111" w:lineRule="exact"/>
        <w:rPr>
          <w:sz w:val="24"/>
          <w:szCs w:val="24"/>
          <w:color w:val="auto"/>
        </w:rPr>
      </w:pPr>
    </w:p>
    <w:p>
      <w:pPr>
        <w:sectPr>
          <w:pgSz w:w="11900" w:h="16864"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12/06/2022</w:t>
      </w:r>
    </w:p>
    <w:p>
      <w:pPr>
        <w:spacing w:after="0" w:line="20" w:lineRule="exact"/>
        <w:rPr>
          <w:sz w:val="24"/>
          <w:szCs w:val="24"/>
          <w:color w:val="auto"/>
        </w:rPr>
      </w:pPr>
      <w:r>
        <w:rPr>
          <w:sz w:val="24"/>
          <w:szCs w:val="24"/>
          <w:color w:val="auto"/>
        </w:rPr>
        <w:br w:type="column"/>
      </w:r>
    </w:p>
    <w:p>
      <w:pPr>
        <w:ind w:left="-1" w:right="740" w:firstLine="1"/>
        <w:spacing w:after="0" w:line="268"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1" w:lineRule="exact"/>
        <w:rPr>
          <w:sz w:val="24"/>
          <w:szCs w:val="24"/>
          <w:color w:val="auto"/>
        </w:rPr>
      </w:pPr>
    </w:p>
    <w:p>
      <w:pPr>
        <w:sectPr>
          <w:pgSz w:w="11900" w:h="16864"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9"/>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29"/>
              <w:spacing w:after="0"/>
              <w:rPr>
                <w:sz w:val="20"/>
                <w:szCs w:val="20"/>
                <w:color w:val="auto"/>
              </w:rPr>
            </w:pPr>
            <w:r>
              <w:rPr>
                <w:rFonts w:ascii="Times New Roman" w:cs="Times New Roman" w:eastAsia="Times New Roman" w:hAnsi="Times New Roman"/>
                <w:sz w:val="16"/>
                <w:szCs w:val="16"/>
                <w:color w:val="0000FF"/>
              </w:rPr>
              <w:t>12/06/2022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506,359</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1,070,903</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29"/>
              <w:spacing w:after="0"/>
              <w:rPr>
                <w:sz w:val="20"/>
                <w:szCs w:val="20"/>
                <w:color w:val="auto"/>
              </w:rPr>
            </w:pPr>
            <w:r>
              <w:rPr>
                <w:rFonts w:ascii="Times New Roman" w:cs="Times New Roman" w:eastAsia="Times New Roman" w:hAnsi="Times New Roman"/>
                <w:sz w:val="16"/>
                <w:szCs w:val="16"/>
                <w:color w:val="0000FF"/>
              </w:rPr>
              <w:t>12/06/2022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506,359</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21.15</w:t>
            </w:r>
          </w:p>
        </w:tc>
        <w:tc>
          <w:tcPr>
            <w:tcW w:w="1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564,544</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29"/>
              <w:spacing w:after="0"/>
              <w:rPr>
                <w:sz w:val="20"/>
                <w:szCs w:val="20"/>
                <w:color w:val="auto"/>
              </w:rPr>
            </w:pPr>
            <w:r>
              <w:rPr>
                <w:rFonts w:ascii="Times New Roman" w:cs="Times New Roman" w:eastAsia="Times New Roman" w:hAnsi="Times New Roman"/>
                <w:sz w:val="16"/>
                <w:szCs w:val="16"/>
                <w:color w:val="0000FF"/>
              </w:rPr>
              <w:t>12/07/2022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70,262</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717,955</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29"/>
              <w:spacing w:after="0"/>
              <w:rPr>
                <w:sz w:val="20"/>
                <w:szCs w:val="20"/>
                <w:color w:val="auto"/>
              </w:rPr>
            </w:pPr>
            <w:r>
              <w:rPr>
                <w:rFonts w:ascii="Times New Roman" w:cs="Times New Roman" w:eastAsia="Times New Roman" w:hAnsi="Times New Roman"/>
                <w:sz w:val="16"/>
                <w:szCs w:val="16"/>
                <w:color w:val="0000FF"/>
              </w:rPr>
              <w:t>12/07/2022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70,262</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21.12</w:t>
            </w:r>
          </w:p>
        </w:tc>
        <w:tc>
          <w:tcPr>
            <w:tcW w:w="1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647,693</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5"/>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3"/>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506,359</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12/06/2022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80"/>
              <w:spacing w:after="0" w:line="137" w:lineRule="exact"/>
              <w:rPr>
                <w:sz w:val="20"/>
                <w:szCs w:val="20"/>
                <w:color w:val="auto"/>
              </w:rPr>
            </w:pPr>
            <w:r>
              <w:rPr>
                <w:rFonts w:ascii="Times New Roman" w:cs="Times New Roman" w:eastAsia="Times New Roman" w:hAnsi="Times New Roman"/>
                <w:sz w:val="12"/>
                <w:szCs w:val="12"/>
                <w:color w:val="0000FF"/>
              </w:rPr>
              <w:t>506,359</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220"/>
              <w:spacing w:after="0" w:line="137" w:lineRule="exact"/>
              <w:rPr>
                <w:sz w:val="20"/>
                <w:szCs w:val="20"/>
                <w:color w:val="auto"/>
              </w:rPr>
            </w:pPr>
            <w:r>
              <w:rPr>
                <w:rFonts w:ascii="Times New Roman" w:cs="Times New Roman" w:eastAsia="Times New Roman" w:hAnsi="Times New Roman"/>
                <w:sz w:val="12"/>
                <w:szCs w:val="12"/>
                <w:color w:val="0000FF"/>
              </w:rPr>
              <w:t>542,441</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70,262</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12/07/2022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100"/>
              <w:spacing w:after="0" w:line="137" w:lineRule="exact"/>
              <w:rPr>
                <w:sz w:val="20"/>
                <w:szCs w:val="20"/>
                <w:color w:val="auto"/>
              </w:rPr>
            </w:pPr>
            <w:r>
              <w:rPr>
                <w:rFonts w:ascii="Times New Roman" w:cs="Times New Roman" w:eastAsia="Times New Roman" w:hAnsi="Times New Roman"/>
                <w:sz w:val="12"/>
                <w:szCs w:val="12"/>
                <w:color w:val="0000FF"/>
              </w:rPr>
              <w:t>70,262</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220"/>
              <w:spacing w:after="0" w:line="137" w:lineRule="exact"/>
              <w:rPr>
                <w:sz w:val="20"/>
                <w:szCs w:val="20"/>
                <w:color w:val="auto"/>
              </w:rPr>
            </w:pPr>
            <w:r>
              <w:rPr>
                <w:rFonts w:ascii="Times New Roman" w:cs="Times New Roman" w:eastAsia="Times New Roman" w:hAnsi="Times New Roman"/>
                <w:sz w:val="12"/>
                <w:szCs w:val="12"/>
                <w:color w:val="0000FF"/>
              </w:rPr>
              <w:t>472,149</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-5220335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ectPr>
          <w:pgSz w:w="11900" w:h="16864" w:orient="portrait"/>
          <w:cols w:equalWidth="0" w:num="1">
            <w:col w:w="11080"/>
          </w:cols>
          <w:pgMar w:left="460" w:top="213" w:right="359" w:bottom="0" w:gutter="0" w:footer="0" w:header="0"/>
          <w:type w:val="continuous"/>
        </w:sectPr>
      </w:pPr>
    </w:p>
    <w:p>
      <w:pPr>
        <w:spacing w:after="0" w:line="28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64" w:orient="portrait"/>
          <w:cols w:equalWidth="0" w:num="1">
            <w:col w:w="11080"/>
          </w:cols>
          <w:pgMar w:left="460" w:top="213"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10282-2198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8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December 6, 2022, the reporting person consummated the sale of all 506,359 shares of Non-Voting Common Stock, resulting in the automatic conversion of such shares into Voting Common Stock upon the execution of the sale of such shares as reported in Table I.</w:t>
      </w:r>
    </w:p>
    <w:p>
      <w:pPr>
        <w:spacing w:after="0" w:line="17" w:lineRule="exact"/>
        <w:rPr>
          <w:rFonts w:ascii="Times New Roman" w:cs="Times New Roman" w:eastAsia="Times New Roman" w:hAnsi="Times New Roman"/>
          <w:sz w:val="12"/>
          <w:szCs w:val="12"/>
          <w:color w:val="008000"/>
        </w:rPr>
      </w:pPr>
    </w:p>
    <w:p>
      <w:pPr>
        <w:ind w:left="20" w:right="180" w:hanging="4"/>
        <w:spacing w:after="0" w:line="24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2"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5" w:lineRule="exact"/>
        <w:rPr>
          <w:rFonts w:ascii="Times New Roman" w:cs="Times New Roman" w:eastAsia="Times New Roman" w:hAnsi="Times New Roman"/>
          <w:sz w:val="12"/>
          <w:szCs w:val="12"/>
          <w:color w:val="008000"/>
        </w:rPr>
      </w:pPr>
    </w:p>
    <w:p>
      <w:pPr>
        <w:ind w:left="20" w:right="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5" w:lineRule="exact"/>
        <w:rPr>
          <w:rFonts w:ascii="Times New Roman" w:cs="Times New Roman" w:eastAsia="Times New Roman" w:hAnsi="Times New Roman"/>
          <w:sz w:val="12"/>
          <w:szCs w:val="12"/>
          <w:color w:val="008000"/>
        </w:rPr>
      </w:pPr>
    </w:p>
    <w:p>
      <w:pPr>
        <w:ind w:left="20" w:right="1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5" w:lineRule="exact"/>
        <w:rPr>
          <w:rFonts w:ascii="Times New Roman" w:cs="Times New Roman" w:eastAsia="Times New Roman" w:hAnsi="Times New Roman"/>
          <w:sz w:val="12"/>
          <w:szCs w:val="12"/>
          <w:color w:val="008000"/>
        </w:rPr>
      </w:pPr>
    </w:p>
    <w:p>
      <w:pPr>
        <w:ind w:lef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December 7, 2022, the reporting person consummated the sale of all 70,262 shares of Non-Voting Common Stock, resulting in the automatic conversion of such shares into Voting Common Stock upon the execution of the sale of such shares as reported in Table 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95"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7"/>
              </w:rPr>
              <w:t>/s/ Jamison Yardley, Attorney-in-</w:t>
            </w:r>
          </w:p>
        </w:tc>
        <w:tc>
          <w:tcPr>
            <w:tcW w:w="40" w:type="dxa"/>
            <w:vAlign w:val="bottom"/>
          </w:tcPr>
          <w:p>
            <w:pPr>
              <w:spacing w:after="0"/>
              <w:rPr>
                <w:sz w:val="17"/>
                <w:szCs w:val="1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5"/>
              </w:rPr>
              <w:t>12/08/2022</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920" w:type="dxa"/>
            <w:vAlign w:val="bottom"/>
            <w:gridSpan w:val="3"/>
            <w:vMerge w:val="restart"/>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7"/>
              </w:rPr>
              <w:t>/s/ Jamison Yardley, Attorney-in-</w:t>
            </w:r>
          </w:p>
        </w:tc>
        <w:tc>
          <w:tcPr>
            <w:tcW w:w="40" w:type="dxa"/>
            <w:vAlign w:val="bottom"/>
          </w:tcPr>
          <w:p>
            <w:pPr>
              <w:spacing w:after="0"/>
              <w:rPr>
                <w:sz w:val="19"/>
                <w:szCs w:val="19"/>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5"/>
              </w:rPr>
              <w:t>12/08/2022</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920" w:type="dxa"/>
            <w:vAlign w:val="bottom"/>
            <w:gridSpan w:val="3"/>
            <w:vMerge w:val="restart"/>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7"/>
              </w:rPr>
              <w:t>/s/ Jamison Yardley, Attorney-in-</w:t>
            </w:r>
          </w:p>
        </w:tc>
        <w:tc>
          <w:tcPr>
            <w:tcW w:w="40" w:type="dxa"/>
            <w:vAlign w:val="bottom"/>
          </w:tcPr>
          <w:p>
            <w:pPr>
              <w:spacing w:after="0"/>
              <w:rPr>
                <w:sz w:val="19"/>
                <w:szCs w:val="19"/>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5"/>
              </w:rPr>
              <w:t>12/08/2022</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920" w:type="dxa"/>
            <w:vAlign w:val="bottom"/>
            <w:gridSpan w:val="3"/>
            <w:vMerge w:val="restart"/>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 Jamison Yardley</w:t>
            </w:r>
          </w:p>
        </w:tc>
        <w:tc>
          <w:tcPr>
            <w:tcW w:w="900" w:type="dxa"/>
            <w:vAlign w:val="bottom"/>
            <w:gridSpan w:val="2"/>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w w:val="95"/>
              </w:rPr>
              <w:t>12/08/2022</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7"/>
              </w:rPr>
              <w:t>/s/ Jamison Yardley, Attorney-in-</w:t>
            </w:r>
          </w:p>
        </w:tc>
        <w:tc>
          <w:tcPr>
            <w:tcW w:w="40" w:type="dxa"/>
            <w:vAlign w:val="bottom"/>
          </w:tcPr>
          <w:p>
            <w:pPr>
              <w:spacing w:after="0"/>
              <w:rPr>
                <w:sz w:val="19"/>
                <w:szCs w:val="19"/>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5"/>
              </w:rPr>
              <w:t>12/08/2022</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920" w:type="dxa"/>
            <w:vAlign w:val="bottom"/>
            <w:gridSpan w:val="3"/>
            <w:vMerge w:val="restart"/>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7"/>
              </w:rPr>
              <w:t>/s/ Jamison Yardley, Attorney-in-</w:t>
            </w:r>
          </w:p>
        </w:tc>
        <w:tc>
          <w:tcPr>
            <w:tcW w:w="40" w:type="dxa"/>
            <w:vAlign w:val="bottom"/>
          </w:tcPr>
          <w:p>
            <w:pPr>
              <w:spacing w:after="0"/>
              <w:rPr>
                <w:sz w:val="19"/>
                <w:szCs w:val="19"/>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5"/>
              </w:rPr>
              <w:t>12/08/2022</w:t>
            </w:r>
          </w:p>
        </w:tc>
        <w:tc>
          <w:tcPr>
            <w:tcW w:w="0" w:type="dxa"/>
            <w:vAlign w:val="bottom"/>
          </w:tcPr>
          <w:p>
            <w:pPr>
              <w:spacing w:after="0"/>
              <w:rPr>
                <w:sz w:val="1"/>
                <w:szCs w:val="1"/>
                <w:color w:val="auto"/>
              </w:rPr>
            </w:pPr>
          </w:p>
        </w:tc>
      </w:tr>
      <w:tr>
        <w:trPr>
          <w:trHeight w:val="79"/>
        </w:trPr>
        <w:tc>
          <w:tcPr>
            <w:tcW w:w="24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920" w:type="dxa"/>
            <w:vAlign w:val="bottom"/>
            <w:gridSpan w:val="3"/>
            <w:vMerge w:val="restart"/>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16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760" w:type="dxa"/>
            <w:vAlign w:val="bottom"/>
            <w:gridSpan w:val="2"/>
          </w:tcPr>
          <w:p>
            <w:pPr>
              <w:ind w:left="4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64" w:right="519" w:bottom="7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2022-12-08T17:11:01Z</dcterms:created>
  <dcterms:modified xsi:type="dcterms:W3CDTF">2022-12-08T17:11:01Z</dcterms:modified>
</cp:coreProperties>
</file>