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87210ds3asr.htm"/>
        <w:bookmarkStart w:id="1" w:name="ksd487210ds3asr"/>
        <w:bookmarkEnd w:id="0"/>
        <w:bookmarkEnd w:id="1"/>
        <w:r>
          <w:rPr>
            <w:rStyle w:val="InternetLink"/>
          </w:rPr>
          <w:t>Table of Contents</w:t>
        </w:r>
      </w:hyperlink>
    </w:p>
    <w:p>
      <w:pPr>
        <w:pStyle w:val="TextBody"/>
        <w:bidi w:val="0"/>
        <w:spacing w:before="0" w:after="0"/>
        <w:jc w:val="center"/>
        <w:rPr>
          <w:rFonts w:ascii="Times New Roman" w:hAnsi="Times New Roman"/>
          <w:b/>
          <w:sz w:val="19"/>
        </w:rPr>
      </w:pPr>
      <w:r>
        <w:rPr>
          <w:rFonts w:ascii="Times New Roman" w:hAnsi="Times New Roman"/>
          <w:b/>
          <w:sz w:val="19"/>
        </w:rPr>
        <w:t xml:space="preserve">As filed with the Securities and Exchange Commission on August 9, 2023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27-0690799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9"/>
        </w:rPr>
      </w:pPr>
      <w:r>
        <w:rPr>
          <w:rFonts w:ascii="Times New Roman" w:hAnsi="Times New Roman"/>
          <w:b/>
          <w:sz w:val="19"/>
        </w:rPr>
        <w:t xml:space="preserve">141 Tremont St #10 </w:t>
      </w:r>
    </w:p>
    <w:p>
      <w:pPr>
        <w:pStyle w:val="TextBody"/>
        <w:bidi w:val="0"/>
        <w:spacing w:before="0" w:after="0"/>
        <w:jc w:val="center"/>
        <w:rPr>
          <w:rFonts w:ascii="Times New Roman" w:hAnsi="Times New Roman"/>
          <w:b/>
          <w:sz w:val="19"/>
        </w:rPr>
      </w:pPr>
      <w:r>
        <w:rPr>
          <w:rFonts w:ascii="Times New Roman" w:hAnsi="Times New Roman"/>
          <w:b/>
          <w:sz w:val="19"/>
        </w:rPr>
        <w:t xml:space="preserve">Boston, MA 02111 </w:t>
      </w:r>
    </w:p>
    <w:p>
      <w:pPr>
        <w:pStyle w:val="TextBody"/>
        <w:bidi w:val="0"/>
        <w:spacing w:before="0" w:after="0"/>
        <w:jc w:val="center"/>
        <w:rPr>
          <w:rFonts w:ascii="Times New Roman" w:hAnsi="Times New Roman"/>
          <w:b/>
          <w:sz w:val="19"/>
        </w:rPr>
      </w:pPr>
      <w:r>
        <w:rPr>
          <w:rFonts w:ascii="Times New Roman" w:hAnsi="Times New Roman"/>
          <w:b/>
          <w:sz w:val="19"/>
        </w:rPr>
        <w:t xml:space="preserve">(617) 329-4524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sz w:val="19"/>
        </w:rPr>
      </w:pPr>
      <w:r>
        <w:rPr>
          <w:rFonts w:ascii="Times New Roman" w:hAnsi="Times New Roman"/>
          <w:b/>
          <w:sz w:val="19"/>
        </w:rPr>
        <w:t xml:space="preserve">Michael Massaro </w:t>
      </w:r>
    </w:p>
    <w:p>
      <w:pPr>
        <w:pStyle w:val="TextBody"/>
        <w:bidi w:val="0"/>
        <w:spacing w:before="0" w:after="0"/>
        <w:jc w:val="center"/>
        <w:rPr>
          <w:rFonts w:ascii="Times New Roman" w:hAnsi="Times New Roman"/>
          <w:b/>
          <w:sz w:val="19"/>
        </w:rPr>
      </w:pPr>
      <w:r>
        <w:rPr>
          <w:rFonts w:ascii="Times New Roman" w:hAnsi="Times New Roman"/>
          <w:b/>
          <w:sz w:val="19"/>
        </w:rPr>
        <w:t xml:space="preserve">Chief Executive Officer </w:t>
      </w:r>
    </w:p>
    <w:p>
      <w:pPr>
        <w:pStyle w:val="TextBody"/>
        <w:bidi w:val="0"/>
        <w:spacing w:before="0" w:after="0"/>
        <w:jc w:val="center"/>
        <w:rPr>
          <w:rFonts w:ascii="Times New Roman" w:hAnsi="Times New Roman"/>
          <w:b/>
          <w:sz w:val="19"/>
        </w:rPr>
      </w:pPr>
      <w:r>
        <w:rPr>
          <w:rFonts w:ascii="Times New Roman" w:hAnsi="Times New Roman"/>
          <w:b/>
          <w:sz w:val="19"/>
        </w:rPr>
        <w:t xml:space="preserve">Flywire Corporation </w:t>
      </w:r>
    </w:p>
    <w:p>
      <w:pPr>
        <w:pStyle w:val="TextBody"/>
        <w:bidi w:val="0"/>
        <w:spacing w:before="0" w:after="0"/>
        <w:jc w:val="center"/>
        <w:rPr>
          <w:rFonts w:ascii="Times New Roman" w:hAnsi="Times New Roman"/>
          <w:b/>
          <w:sz w:val="19"/>
        </w:rPr>
      </w:pPr>
      <w:r>
        <w:rPr>
          <w:rFonts w:ascii="Times New Roman" w:hAnsi="Times New Roman"/>
          <w:b/>
          <w:sz w:val="19"/>
        </w:rPr>
        <w:t xml:space="preserve">141 Tremont St #10 </w:t>
      </w:r>
    </w:p>
    <w:p>
      <w:pPr>
        <w:pStyle w:val="TextBody"/>
        <w:bidi w:val="0"/>
        <w:spacing w:before="0" w:after="0"/>
        <w:jc w:val="center"/>
        <w:rPr>
          <w:rFonts w:ascii="Times New Roman" w:hAnsi="Times New Roman"/>
          <w:b/>
          <w:sz w:val="19"/>
        </w:rPr>
      </w:pPr>
      <w:r>
        <w:rPr>
          <w:rFonts w:ascii="Times New Roman" w:hAnsi="Times New Roman"/>
          <w:b/>
          <w:sz w:val="19"/>
        </w:rPr>
        <w:t xml:space="preserve">Boston, MA 02111 </w:t>
      </w:r>
    </w:p>
    <w:p>
      <w:pPr>
        <w:pStyle w:val="TextBody"/>
        <w:bidi w:val="0"/>
        <w:spacing w:before="0" w:after="0"/>
        <w:jc w:val="center"/>
        <w:rPr>
          <w:rFonts w:ascii="Times New Roman" w:hAnsi="Times New Roman"/>
          <w:b/>
          <w:sz w:val="19"/>
        </w:rPr>
      </w:pPr>
      <w:r>
        <w:rPr>
          <w:rFonts w:ascii="Times New Roman" w:hAnsi="Times New Roman"/>
          <w:b/>
          <w:sz w:val="19"/>
        </w:rPr>
        <w:t xml:space="preserve">(617) 329-4524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9"/>
              </w:rPr>
            </w:pPr>
            <w:r>
              <w:rPr>
                <w:rFonts w:ascii="Times New Roman" w:hAnsi="Times New Roman"/>
                <w:b/>
                <w:sz w:val="19"/>
              </w:rPr>
              <w:t>Peter Butterfield</w:t>
            </w:r>
          </w:p>
          <w:p>
            <w:pPr>
              <w:pStyle w:val="TableContents"/>
              <w:bidi w:val="0"/>
              <w:spacing w:before="0" w:after="0"/>
              <w:jc w:val="center"/>
              <w:rPr>
                <w:rFonts w:ascii="Times New Roman" w:hAnsi="Times New Roman"/>
                <w:b/>
                <w:sz w:val="19"/>
              </w:rPr>
            </w:pPr>
            <w:r>
              <w:rPr>
                <w:rFonts w:ascii="Times New Roman" w:hAnsi="Times New Roman"/>
                <w:b/>
                <w:sz w:val="19"/>
              </w:rPr>
              <w:t>General Counsel &amp; Chief</w:t>
            </w:r>
          </w:p>
          <w:p>
            <w:pPr>
              <w:pStyle w:val="TableContents"/>
              <w:bidi w:val="0"/>
              <w:spacing w:before="0" w:after="0"/>
              <w:jc w:val="center"/>
              <w:rPr>
                <w:rFonts w:ascii="Times New Roman" w:hAnsi="Times New Roman"/>
                <w:b/>
                <w:sz w:val="19"/>
              </w:rPr>
            </w:pPr>
            <w:r>
              <w:rPr>
                <w:rFonts w:ascii="Times New Roman" w:hAnsi="Times New Roman"/>
                <w:b/>
                <w:sz w:val="19"/>
              </w:rPr>
              <w:t>Compliance Officer</w:t>
            </w:r>
          </w:p>
          <w:p>
            <w:pPr>
              <w:pStyle w:val="TableContents"/>
              <w:bidi w:val="0"/>
              <w:spacing w:before="0" w:after="0"/>
              <w:jc w:val="center"/>
              <w:rPr>
                <w:rFonts w:ascii="Times New Roman" w:hAnsi="Times New Roman"/>
                <w:b/>
                <w:sz w:val="19"/>
              </w:rPr>
            </w:pPr>
            <w:r>
              <w:rPr>
                <w:rFonts w:ascii="Times New Roman" w:hAnsi="Times New Roman"/>
                <w:b/>
                <w:sz w:val="19"/>
              </w:rPr>
              <w:t>Flywire Corporation</w:t>
            </w:r>
          </w:p>
          <w:p>
            <w:pPr>
              <w:pStyle w:val="TableContents"/>
              <w:bidi w:val="0"/>
              <w:spacing w:before="0" w:after="0"/>
              <w:jc w:val="center"/>
              <w:rPr>
                <w:rFonts w:ascii="Times New Roman" w:hAnsi="Times New Roman"/>
                <w:b/>
                <w:sz w:val="19"/>
              </w:rPr>
            </w:pPr>
            <w:r>
              <w:rPr>
                <w:rFonts w:ascii="Times New Roman" w:hAnsi="Times New Roman"/>
                <w:b/>
                <w:sz w:val="19"/>
              </w:rPr>
              <w:t>141 Tremont St #10F</w:t>
            </w:r>
          </w:p>
          <w:p>
            <w:pPr>
              <w:pStyle w:val="TableContents"/>
              <w:bidi w:val="0"/>
              <w:spacing w:before="0" w:after="0"/>
              <w:jc w:val="center"/>
              <w:rPr>
                <w:rFonts w:ascii="Times New Roman" w:hAnsi="Times New Roman"/>
                <w:b/>
                <w:sz w:val="19"/>
              </w:rPr>
            </w:pPr>
            <w:r>
              <w:rPr>
                <w:rFonts w:ascii="Times New Roman" w:hAnsi="Times New Roman"/>
                <w:b/>
                <w:sz w:val="19"/>
              </w:rPr>
              <w:t>Boston, MA 02111</w:t>
            </w:r>
          </w:p>
          <w:p>
            <w:pPr>
              <w:pStyle w:val="TableContents"/>
              <w:bidi w:val="0"/>
              <w:spacing w:before="0" w:after="20"/>
              <w:jc w:val="center"/>
              <w:rPr>
                <w:rFonts w:ascii="Times New Roman" w:hAnsi="Times New Roman"/>
                <w:b/>
                <w:sz w:val="19"/>
              </w:rPr>
            </w:pPr>
            <w:r>
              <w:rPr>
                <w:rFonts w:ascii="Times New Roman" w:hAnsi="Times New Roman"/>
                <w:b/>
                <w:sz w:val="19"/>
              </w:rPr>
              <w:t>(617) 329-4524</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9"/>
              </w:rPr>
            </w:pPr>
            <w:r>
              <w:rPr>
                <w:rFonts w:ascii="Times New Roman" w:hAnsi="Times New Roman"/>
                <w:b/>
                <w:sz w:val="19"/>
              </w:rPr>
              <w:t>David D. Gammell</w:t>
            </w:r>
          </w:p>
          <w:p>
            <w:pPr>
              <w:pStyle w:val="TableContents"/>
              <w:bidi w:val="0"/>
              <w:spacing w:before="0" w:after="0"/>
              <w:jc w:val="center"/>
              <w:rPr>
                <w:rFonts w:ascii="Times New Roman" w:hAnsi="Times New Roman"/>
                <w:b/>
                <w:sz w:val="19"/>
              </w:rPr>
            </w:pPr>
            <w:r>
              <w:rPr>
                <w:rFonts w:ascii="Times New Roman" w:hAnsi="Times New Roman"/>
                <w:b/>
                <w:sz w:val="19"/>
              </w:rPr>
              <w:t>Jeffrey R. Vetter</w:t>
            </w:r>
          </w:p>
          <w:p>
            <w:pPr>
              <w:pStyle w:val="TableContents"/>
              <w:bidi w:val="0"/>
              <w:spacing w:before="0" w:after="0"/>
              <w:jc w:val="center"/>
              <w:rPr>
                <w:rFonts w:ascii="Times New Roman" w:hAnsi="Times New Roman"/>
                <w:b/>
                <w:sz w:val="19"/>
              </w:rPr>
            </w:pPr>
            <w:r>
              <w:rPr>
                <w:rFonts w:ascii="Times New Roman" w:hAnsi="Times New Roman"/>
                <w:b/>
                <w:sz w:val="19"/>
              </w:rPr>
              <w:t>Keith J. Scherer</w:t>
            </w:r>
          </w:p>
          <w:p>
            <w:pPr>
              <w:pStyle w:val="TableContents"/>
              <w:bidi w:val="0"/>
              <w:spacing w:before="0" w:after="0"/>
              <w:jc w:val="center"/>
              <w:rPr>
                <w:rFonts w:ascii="Times New Roman" w:hAnsi="Times New Roman"/>
                <w:b/>
                <w:sz w:val="19"/>
              </w:rPr>
            </w:pPr>
            <w:r>
              <w:rPr>
                <w:rFonts w:ascii="Times New Roman" w:hAnsi="Times New Roman"/>
                <w:b/>
                <w:sz w:val="19"/>
              </w:rPr>
              <w:t>Gunderson Dettmer Stough Villeneuve</w:t>
            </w:r>
          </w:p>
          <w:p>
            <w:pPr>
              <w:pStyle w:val="TableContents"/>
              <w:bidi w:val="0"/>
              <w:spacing w:before="0" w:after="0"/>
              <w:jc w:val="center"/>
              <w:rPr>
                <w:rFonts w:ascii="Times New Roman" w:hAnsi="Times New Roman"/>
                <w:b/>
                <w:sz w:val="19"/>
              </w:rPr>
            </w:pPr>
            <w:r>
              <w:rPr>
                <w:rFonts w:ascii="Times New Roman" w:hAnsi="Times New Roman"/>
                <w:b/>
                <w:sz w:val="19"/>
              </w:rPr>
              <w:t>Franklin &amp; Hachigian, LLP</w:t>
            </w:r>
          </w:p>
          <w:p>
            <w:pPr>
              <w:pStyle w:val="TableContents"/>
              <w:bidi w:val="0"/>
              <w:spacing w:before="0" w:after="0"/>
              <w:jc w:val="center"/>
              <w:rPr>
                <w:rFonts w:ascii="Times New Roman" w:hAnsi="Times New Roman"/>
                <w:b/>
                <w:sz w:val="19"/>
              </w:rPr>
            </w:pPr>
            <w:r>
              <w:rPr>
                <w:rFonts w:ascii="Times New Roman" w:hAnsi="Times New Roman"/>
                <w:b/>
                <w:sz w:val="19"/>
              </w:rPr>
              <w:t>One Marina Park Drive, Suite 900</w:t>
            </w:r>
          </w:p>
          <w:p>
            <w:pPr>
              <w:pStyle w:val="TableContents"/>
              <w:bidi w:val="0"/>
              <w:spacing w:before="0" w:after="0"/>
              <w:jc w:val="center"/>
              <w:rPr>
                <w:rFonts w:ascii="Times New Roman" w:hAnsi="Times New Roman"/>
                <w:b/>
                <w:sz w:val="19"/>
              </w:rPr>
            </w:pPr>
            <w:r>
              <w:rPr>
                <w:rFonts w:ascii="Times New Roman" w:hAnsi="Times New Roman"/>
                <w:b/>
                <w:sz w:val="19"/>
              </w:rPr>
              <w:t>Boston, MA 02210</w:t>
            </w:r>
          </w:p>
          <w:p>
            <w:pPr>
              <w:pStyle w:val="TableContents"/>
              <w:bidi w:val="0"/>
              <w:spacing w:before="0" w:after="20"/>
              <w:jc w:val="center"/>
              <w:rPr>
                <w:rFonts w:ascii="Times New Roman" w:hAnsi="Times New Roman"/>
                <w:b/>
                <w:sz w:val="19"/>
              </w:rPr>
            </w:pPr>
            <w:r>
              <w:rPr>
                <w:rFonts w:ascii="Times New Roman" w:hAnsi="Times New Roman"/>
                <w:b/>
                <w:sz w:val="19"/>
              </w:rPr>
              <w:t>(617) 648-9100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9"/>
        <w:gridCol w:w="103"/>
        <w:gridCol w:w="4717"/>
        <w:gridCol w:w="129"/>
        <w:gridCol w:w="2694"/>
        <w:gridCol w:w="103"/>
        <w:gridCol w:w="260"/>
      </w:tblGrid>
      <w:tr>
        <w:trPr/>
        <w:tc>
          <w:tcPr>
            <w:tcW w:w="219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1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9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17" w:type="dxa"/>
            <w:tcBorders/>
            <w:vAlign w:val="bottom"/>
          </w:tcPr>
          <w:p>
            <w:pPr>
              <w:pStyle w:val="TableContents"/>
              <w:bidi w:val="0"/>
              <w:spacing w:before="0" w:after="283"/>
              <w:jc w:val="left"/>
              <w:rPr/>
            </w:pPr>
            <w:r>
              <w:rPr/>
              <w:t>☒</w:t>
            </w:r>
          </w:p>
        </w:tc>
        <w:tc>
          <w:tcPr>
            <w:tcW w:w="129" w:type="dxa"/>
            <w:tcBorders/>
            <w:vAlign w:val="bottom"/>
          </w:tcPr>
          <w:p>
            <w:pPr>
              <w:pStyle w:val="TableContents"/>
              <w:bidi w:val="0"/>
              <w:spacing w:before="0" w:after="283"/>
              <w:jc w:val="left"/>
              <w:rPr/>
            </w:pPr>
            <w:r>
              <w:rPr/>
              <w:t>  </w:t>
            </w:r>
          </w:p>
        </w:tc>
        <w:tc>
          <w:tcPr>
            <w:tcW w:w="2694"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99"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9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17" w:type="dxa"/>
            <w:tcBorders/>
            <w:vAlign w:val="bottom"/>
          </w:tcPr>
          <w:p>
            <w:pPr>
              <w:pStyle w:val="TableContents"/>
              <w:bidi w:val="0"/>
              <w:spacing w:before="0" w:after="283"/>
              <w:jc w:val="left"/>
              <w:rPr/>
            </w:pPr>
            <w:r>
              <w:rPr/>
              <w:t>☐</w:t>
            </w:r>
          </w:p>
        </w:tc>
        <w:tc>
          <w:tcPr>
            <w:tcW w:w="129" w:type="dxa"/>
            <w:tcBorders/>
            <w:vAlign w:val="bottom"/>
          </w:tcPr>
          <w:p>
            <w:pPr>
              <w:pStyle w:val="TableContents"/>
              <w:bidi w:val="0"/>
              <w:spacing w:before="0" w:after="283"/>
              <w:jc w:val="left"/>
              <w:rPr/>
            </w:pPr>
            <w:r>
              <w:rPr/>
              <w:t>  </w:t>
            </w:r>
          </w:p>
        </w:tc>
        <w:tc>
          <w:tcPr>
            <w:tcW w:w="2694"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99"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9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17"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2694"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765" cy="53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765" cy="53340"/>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 xml:space="preserve">We may, from time to time in one or more offerings, offer to sell common stock, preferred stock, debt securities or warrants. We refer to our common stock, preferred stock, debt securities and warrants collectively as the securities. The securities we may offer may be convertible into or exercisable or exchangeable for other securities. We may offer the securities separately or together, in separate classes, series and in amounts, at prices and on terms that will be determined at the time the securities are offered. </w:t>
      </w:r>
    </w:p>
    <w:p>
      <w:pPr>
        <w:pStyle w:val="TextBody"/>
        <w:bidi w:val="0"/>
        <w:spacing w:before="160" w:after="0"/>
        <w:jc w:val="left"/>
        <w:rPr>
          <w:rFonts w:ascii="Times New Roman" w:hAnsi="Times New Roman"/>
          <w:sz w:val="20"/>
        </w:rPr>
      </w:pPr>
      <w:r>
        <w:rPr>
          <w:rFonts w:ascii="Times New Roman" w:hAnsi="Times New Roman"/>
          <w:sz w:val="20"/>
        </w:rPr>
        <w:t xml:space="preserve">In addition, from time to time, the selling securityholders to be named in a prospectus supplement may offer our securities. We will not receive any of the proceeds from the sale of securities by the selling securityholders. </w:t>
      </w:r>
    </w:p>
    <w:p>
      <w:pPr>
        <w:pStyle w:val="TextBody"/>
        <w:bidi w:val="0"/>
        <w:spacing w:before="16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Each time securities are sold, the specific terms and amounts of the securities to be offered, and any other information relating to the specific offering and, if applicable, the selling securityholders, will be set forth in a supplement to this prospectus. You should read this prospectus and any prospectus supplement carefully before you invest in any of the securities. This prospectus may not be used to offer and sell securities unless accompanied by a prospectus supplement. </w:t>
      </w:r>
    </w:p>
    <w:p>
      <w:pPr>
        <w:pStyle w:val="TextBody"/>
        <w:bidi w:val="0"/>
        <w:spacing w:before="160" w:after="0"/>
        <w:jc w:val="left"/>
        <w:rPr>
          <w:rFonts w:ascii="Times New Roman" w:hAnsi="Times New Roman"/>
          <w:sz w:val="20"/>
        </w:rPr>
      </w:pPr>
      <w:r>
        <w:rPr>
          <w:rFonts w:ascii="Times New Roman" w:hAnsi="Times New Roman"/>
          <w:sz w:val="20"/>
        </w:rPr>
        <w:t xml:space="preserve">We or any selling securityholder may offer and sell these securities to or through one or more underwriters, dealers and agents, directly to purchasers, or through other means, on a continuous or delayed basis. If any underwriters are involved in the sale of any securities offered by this prospectus and any prospectus supplement, their names, and any applicable purchase price, fee, commission or discount arrangement between or among them, will be set forth, or may be calculable from the information set forth, in the accompanying prospectus supplement. </w:t>
      </w:r>
    </w:p>
    <w:p>
      <w:pPr>
        <w:pStyle w:val="TextBody"/>
        <w:bidi w:val="0"/>
        <w:spacing w:before="160" w:after="0"/>
        <w:jc w:val="left"/>
        <w:rPr>
          <w:rFonts w:ascii="Times New Roman" w:hAnsi="Times New Roman"/>
          <w:sz w:val="20"/>
        </w:rPr>
      </w:pPr>
      <w:r>
        <w:rPr>
          <w:rFonts w:ascii="Times New Roman" w:hAnsi="Times New Roman"/>
          <w:sz w:val="20"/>
        </w:rPr>
        <w:t xml:space="preserve">We have two classes of common stock, voting common stock and non-voting common stock. The rights of the holders of voting common stock and non-voting common stock are identical, except for voting and conversion rights. Each share of voting common stock is entitled to one vote and is not convertible into another class or series of our securities. Non-voting common stock is not entitled to vote, except as required by law, and automatically converts without the payment of additional consideration into voting common stock upon transfer by holders of non-voting common stock in certain circumstances. As such, only holders of voting common stock are entitled to vote on the election of members of our board of directors. Unless otherwise noted or unless the context provides otherwise, all references in this prospectus to our common stock refers to our voting common stock. </w:t>
      </w:r>
    </w:p>
    <w:p>
      <w:pPr>
        <w:pStyle w:val="TextBody"/>
        <w:bidi w:val="0"/>
        <w:spacing w:before="160" w:after="0"/>
        <w:jc w:val="left"/>
        <w:rPr>
          <w:rFonts w:ascii="Times New Roman" w:hAnsi="Times New Roman"/>
          <w:sz w:val="20"/>
        </w:rPr>
      </w:pPr>
      <w:r>
        <w:rPr>
          <w:rFonts w:ascii="Times New Roman" w:hAnsi="Times New Roman"/>
          <w:sz w:val="20"/>
        </w:rPr>
        <w:t xml:space="preserve">Our common stock, $0.0001 par value per share, is listed on The Nasdaq Global Select Market under the symbol FLYW. </w:t>
      </w:r>
    </w:p>
    <w:p>
      <w:pPr>
        <w:pStyle w:val="TextBody"/>
        <w:bidi w:val="0"/>
        <w:spacing w:before="160" w:after="0"/>
        <w:jc w:val="left"/>
        <w:rPr>
          <w:rFonts w:ascii="Times New Roman" w:hAnsi="Times New Roman"/>
          <w:b/>
          <w:sz w:val="20"/>
        </w:rPr>
      </w:pPr>
      <w:r>
        <w:rPr>
          <w:rFonts w:ascii="Times New Roman" w:hAnsi="Times New Roman"/>
          <w:b/>
          <w:sz w:val="20"/>
        </w:rPr>
        <w:t xml:space="preserve">Investing in our securities involves risks.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Times New Roman" w:hAnsi="Times New Roman"/>
          <w:b/>
          <w:sz w:val="24"/>
        </w:rPr>
        <w:t>See the section of this prospectus captioned </w:t>
      </w:r>
      <w:hyperlink w:anchor="tx487210_4">
        <w:r>
          <w:rPr>
            <w:rStyle w:val="InternetLink"/>
            <w:rFonts w:ascii="Times New Roman" w:hAnsi="Times New Roman"/>
            <w:b/>
            <w:sz w:val="24"/>
          </w:rPr>
          <w:t>Risk Factors</w:t>
        </w:r>
      </w:hyperlink>
      <w:r>
        <w:rPr>
          <w:rFonts w:ascii="Times New Roman" w:hAnsi="Times New Roman"/>
          <w:b/>
          <w:sz w:val="24"/>
        </w:rPr>
        <w:t xml:space="preserve"> beginning on page 4, in any applicable prospectus supplement and in our Securities and Exchange Commission (SEC) filings that are incorporated by reference herein. </w:t>
      </w:r>
    </w:p>
    <w:p>
      <w:pPr>
        <w:pStyle w:val="TextBody"/>
        <w:bidi w:val="0"/>
        <w:spacing w:before="1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0"/>
        </w:rPr>
      </w:pPr>
      <w:r>
        <w:rPr>
          <w:rFonts w:ascii="Times New Roman" w:hAnsi="Times New Roman"/>
          <w:b/>
          <w:sz w:val="20"/>
        </w:rPr>
        <w:t xml:space="preserve">The date of this prospectus is August 9,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42"/>
        <w:gridCol w:w="387"/>
        <w:gridCol w:w="154"/>
        <w:gridCol w:w="361"/>
        <w:gridCol w:w="61"/>
      </w:tblGrid>
      <w:tr>
        <w:trPr/>
        <w:tc>
          <w:tcPr>
            <w:tcW w:w="9242"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24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
              <w:r>
                <w:rPr>
                  <w:rStyle w:val="InternetLink"/>
                  <w:rFonts w:ascii="Times New Roman" w:hAnsi="Times New Roman"/>
                  <w:sz w:val="20"/>
                </w:rPr>
                <w:t xml:space="preserve">Special Note Regarding Forward-Looking Statements </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2">
              <w:r>
                <w:rPr>
                  <w:rStyle w:val="InternetLink"/>
                  <w:rFonts w:ascii="Times New Roman" w:hAnsi="Times New Roman"/>
                  <w:sz w:val="20"/>
                </w:rPr>
                <w:t>About This Prospectus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3">
              <w:r>
                <w:rPr>
                  <w:rStyle w:val="InternetLink"/>
                  <w:rFonts w:ascii="Times New Roman" w:hAnsi="Times New Roman"/>
                  <w:sz w:val="20"/>
                </w:rPr>
                <w:t>The Company</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4">
              <w:r>
                <w:rPr>
                  <w:rStyle w:val="InternetLink"/>
                  <w:rFonts w:ascii="Times New Roman" w:hAnsi="Times New Roman"/>
                  <w:sz w:val="20"/>
                </w:rPr>
                <w:t>Risk Factors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5">
              <w:r>
                <w:rPr>
                  <w:rStyle w:val="InternetLink"/>
                  <w:rFonts w:ascii="Times New Roman" w:hAnsi="Times New Roman"/>
                  <w:sz w:val="20"/>
                </w:rPr>
                <w:t>Use of Proceeds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6">
              <w:r>
                <w:rPr>
                  <w:rStyle w:val="InternetLink"/>
                  <w:rFonts w:ascii="Times New Roman" w:hAnsi="Times New Roman"/>
                  <w:sz w:val="20"/>
                </w:rPr>
                <w:t>Selling Securityholders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7">
              <w:r>
                <w:rPr>
                  <w:rStyle w:val="InternetLink"/>
                  <w:rFonts w:ascii="Times New Roman" w:hAnsi="Times New Roman"/>
                  <w:sz w:val="20"/>
                </w:rPr>
                <w:t>Plan of Distribution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8">
              <w:r>
                <w:rPr>
                  <w:rStyle w:val="InternetLink"/>
                  <w:rFonts w:ascii="Times New Roman" w:hAnsi="Times New Roman"/>
                  <w:sz w:val="20"/>
                </w:rPr>
                <w:t>Description of Capital Stock</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9">
              <w:r>
                <w:rPr>
                  <w:rStyle w:val="InternetLink"/>
                  <w:rFonts w:ascii="Times New Roman" w:hAnsi="Times New Roman"/>
                  <w:sz w:val="20"/>
                </w:rPr>
                <w:t>Description of Debt Securities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0">
              <w:r>
                <w:rPr>
                  <w:rStyle w:val="InternetLink"/>
                  <w:rFonts w:ascii="Times New Roman" w:hAnsi="Times New Roman"/>
                  <w:sz w:val="20"/>
                </w:rPr>
                <w:t>Description of Warrants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1">
              <w:r>
                <w:rPr>
                  <w:rStyle w:val="InternetLink"/>
                  <w:rFonts w:ascii="Times New Roman" w:hAnsi="Times New Roman"/>
                  <w:sz w:val="20"/>
                </w:rPr>
                <w:t>Legal Matters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2">
              <w:r>
                <w:rPr>
                  <w:rStyle w:val="InternetLink"/>
                  <w:rFonts w:ascii="Times New Roman" w:hAnsi="Times New Roman"/>
                  <w:sz w:val="20"/>
                </w:rPr>
                <w:t>Experts</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3">
              <w:r>
                <w:rPr>
                  <w:rStyle w:val="InternetLink"/>
                  <w:rFonts w:ascii="Times New Roman" w:hAnsi="Times New Roman"/>
                  <w:sz w:val="20"/>
                </w:rPr>
                <w:t>Where You Can Find More Information</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r>
        <w:trPr/>
        <w:tc>
          <w:tcPr>
            <w:tcW w:w="9242" w:type="dxa"/>
            <w:tcBorders/>
            <w:vAlign w:val="bottom"/>
          </w:tcPr>
          <w:p>
            <w:pPr>
              <w:pStyle w:val="TableContents"/>
              <w:bidi w:val="0"/>
              <w:spacing w:before="0" w:after="0"/>
              <w:jc w:val="left"/>
              <w:rPr/>
            </w:pPr>
            <w:hyperlink w:anchor="tx487210_14">
              <w:r>
                <w:rPr>
                  <w:rStyle w:val="InternetLink"/>
                  <w:rFonts w:ascii="Times New Roman" w:hAnsi="Times New Roman"/>
                  <w:sz w:val="20"/>
                </w:rPr>
                <w:t>Incorporation by Reference</w:t>
              </w:r>
            </w:hyperlink>
          </w:p>
        </w:tc>
        <w:tc>
          <w:tcPr>
            <w:tcW w:w="38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x487210_1"/>
      <w:bookmarkEnd w:id="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contain or may contain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 are forward-looking statements. Forward-looking statements are often identified by the use of words such as, but not limited to, believe, may, will, potentially, estimate, continue, anticipate, intend, could, would, project, target, plan, expect, or the negative of these terms or other similar expressions that concern our expectations, strategy, plans or intentions.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involve risks and uncertainties. The forward-looking statements contained in this prospectus, any prospectus supplement, and the information incorporated by reference in this prospectus or any prospectus supplement are based on information currently available to us and expectations and assumptions that we deem reasonable at the time the statements were made. We do not undertake any obligation to update any forward-looking statements in this prospectus, any prospectus supplement, and the information incorporated by reference in this prospectus or any prospectus supplement or in any of our other communications, except as required by law. Such forward-looking statements are subject to risks, uncertainties and other important factors that could cause actual results and the timing of certain events to differ materially from future results expressed or implied by such forward-looking statements. All such forward-looking statements should be read as of the time the statements were made and with the recognition that these forward-looking statements may not be complete or accurate at a later date.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or contribute to such differences include, but are not limited to, those identified below, and those discussed in the section titled Risk Factors of any Annual Report on Form 10-K and any Quarterly Report on Form 10-Q incorporated by reference in this prospectus and in the section of any related prospectus supplement entitled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x487210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and/or the selling securityholders to be named in a prospectus supplement may sell any combination of the securities described in this prospectus from time to time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(as supplemented and amended), including the information incorporated by reference. We have not authorized anyone to provide you with information that is different from that contained in this prospectus (as supplemented and amended). We take no responsibility for, and can provide no assurance as to the reliability of, any other information that others may give you. This prospectus (as supplemented and amended) does not constitute an offer to sell or the solicitation of an offer to buy any securities other than the securities described in this prospectus or an offer to sell or the solicitation of an offer to buy any such securities in any circumstances in which such offer or solicitation is unlawful. This document may only be used where it is legal to sell these securities. You should not assume that the information contained in this prospectus (as supplemented and amended) is accurate as of any dates other than their respective dates. We and/or the selling securityholders provided the information contained in the aforementioned documents only as of the date of the applicable document, and it is possible that the information, including our business, financial condition, and results of operations,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only provides you with a general description of the securities that we may offer. Each time we and/or the selling securityholders sell securities pursuant to this prospectus, we and/or the selling securityholders, as the case may be, will provide a prospectus supplement that contains specific information about the terms of that offering, including the specific amounts, prices and terms of the securities offered, and, if applicable, the selling securityholders. In addition, the prospectus supplement may also add, update or change the information contained in this prospectus. If this prospectus is inconsistent with the prospectus supplement, you should rely upon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carefully this prospectus (as supplemented and amended) before deciding whether to purchase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we use the terms Flywire, the Company, we, us, our and similar designations in this prospectus to refer to Flywire Corporation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x487210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 </w:t>
      </w:r>
    </w:p>
    <w:p>
      <w:pPr>
        <w:pStyle w:val="TextBody"/>
        <w:bidi w:val="0"/>
        <w:spacing w:before="240" w:after="0"/>
        <w:jc w:val="left"/>
        <w:rPr>
          <w:rFonts w:ascii="Times New Roman" w:hAnsi="Times New Roman"/>
          <w:sz w:val="20"/>
        </w:rPr>
      </w:pPr>
      <w:r>
        <w:rPr>
          <w:rFonts w:ascii="Times New Roman" w:hAnsi="Times New Roman"/>
          <w:sz w:val="20"/>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short message service (sms), chat, email, text, or phone) to enhance our clients ability to engage with their customers through a digital-first user experience. The result of these investments is our </w:t>
      </w:r>
      <w:r>
        <w:rPr>
          <w:rFonts w:ascii="Times New Roman" w:hAnsi="Times New Roman"/>
          <w:i/>
          <w:sz w:val="20"/>
        </w:rPr>
        <w:t>Flywire Advantage</w:t>
      </w:r>
      <w:r>
        <w:rPr>
          <w:rFonts w:ascii="Times New Roman" w:hAnsi="Times New Roman"/>
          <w:sz w:val="20"/>
        </w:rPr>
        <w:t xml:space="preserve">. Our </w:t>
      </w:r>
      <w:r>
        <w:rPr>
          <w:rFonts w:ascii="Times New Roman" w:hAnsi="Times New Roman"/>
          <w:i/>
          <w:sz w:val="20"/>
        </w:rPr>
        <w:t>Flywire Advantage</w:t>
      </w:r>
      <w:r>
        <w:rPr>
          <w:rFonts w:ascii="Times New Roman" w:hAnsi="Times New Roman"/>
          <w:sz w:val="20"/>
        </w:rPr>
        <w:t xml:space="preserve"> is derived from three core elements: (i) our next-gen payments platform; (ii) our proprietary global payment network; and (iii) our vertical-specific software backed by our deep industry expertise. With our </w:t>
      </w:r>
      <w:r>
        <w:rPr>
          <w:rFonts w:ascii="Times New Roman" w:hAnsi="Times New Roman"/>
          <w:i/>
          <w:sz w:val="20"/>
        </w:rPr>
        <w:t>Flywire Advantage</w:t>
      </w:r>
      <w:r>
        <w:rPr>
          <w:rFonts w:ascii="Times New Roman" w:hAnsi="Times New Roman"/>
          <w:sz w:val="20"/>
        </w:rPr>
        <w:t xml:space="preserv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initially formed in July 2009 as peerTransfer Corporation, a Delaware corporation. We changed our name to Flywire Corporation in December 2016. Our principal executive offices are located at 141 Tremont St., #10F, Boston, MA 02111. Our telephone number is (617) 329-4524. Our website address is www.flywire.com. The information contained on, or that can be accessed through, our website is not incorporated by reference herein or a part of this prospectus. Investors should not rely on any such information in deciding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48721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purchase our securities,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above titled Special Note Regarding Forward-Looking Statements. </w:t>
      </w:r>
    </w:p>
    <w:p>
      <w:pPr>
        <w:pStyle w:val="TextBody"/>
        <w:bidi w:val="0"/>
        <w:spacing w:before="480" w:after="0"/>
        <w:jc w:val="center"/>
        <w:rPr>
          <w:rFonts w:ascii="Times New Roman" w:hAnsi="Times New Roman"/>
          <w:b/>
          <w:sz w:val="20"/>
        </w:rPr>
      </w:pPr>
      <w:bookmarkStart w:id="7" w:name="tx48721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our securities offered hereby. Unless otherwise indicated in the applicable prospectus supplement, we currently intend to use the net proceeds from the sale of the securities under this prospectus for general corporate purposes; however, we do not currently have any specific uses of the net proceeds planned. General corporate purposes may include acquisitions, repayment of debt, investments, additions to working capital, capital expenditures, repurchases of common stock and advances to or investments in our subsidiaries. Pending the use of net proceeds, we intend to invest these funds in investment-grade, interest-bearing securities, or hold as cash. We will not receive any of the proceeds from the sale of securities by selling securityholders. </w:t>
      </w:r>
    </w:p>
    <w:p>
      <w:pPr>
        <w:pStyle w:val="TextBody"/>
        <w:bidi w:val="0"/>
        <w:spacing w:before="480" w:after="0"/>
        <w:jc w:val="center"/>
        <w:rPr>
          <w:rFonts w:ascii="Times New Roman" w:hAnsi="Times New Roman"/>
          <w:b/>
          <w:sz w:val="20"/>
        </w:rPr>
      </w:pPr>
      <w:bookmarkStart w:id="8" w:name="tx487210_6"/>
      <w:bookmarkEnd w:id="8"/>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an amendment to the registration statement of which this prospectus is a part, or in filings we make with the SEC under the Exchange Act, which are incorporated by reference. </w:t>
      </w:r>
    </w:p>
    <w:p>
      <w:pPr>
        <w:pStyle w:val="TextBody"/>
        <w:bidi w:val="0"/>
        <w:spacing w:before="480" w:after="0"/>
        <w:jc w:val="center"/>
        <w:rPr>
          <w:rFonts w:ascii="Times New Roman" w:hAnsi="Times New Roman"/>
          <w:b/>
          <w:sz w:val="20"/>
        </w:rPr>
      </w:pPr>
      <w:bookmarkStart w:id="9" w:name="tx487210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 any selling securityholder may offer and sell the securities being offered hereby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of these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 </w:t>
      </w:r>
    </w:p>
    <w:p>
      <w:pPr>
        <w:pStyle w:val="TextBody"/>
        <w:bidi w:val="0"/>
        <w:spacing w:before="480" w:after="0"/>
        <w:jc w:val="center"/>
        <w:rPr>
          <w:rFonts w:ascii="Times New Roman" w:hAnsi="Times New Roman"/>
          <w:b/>
          <w:sz w:val="20"/>
        </w:rPr>
      </w:pPr>
      <w:bookmarkStart w:id="10" w:name="tx487210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For a complete statement of the terms and rights of our capital stock, you should refer to the applicable provisions of our amended and restated certificate of incorporation, amended and restated bylaws and the documents that we have incorporated by reference, including the description of capital stock contained in the registration statement on Form 8-A, as updated by Exhibit 4.1 to our Annual Report on Form 10-K for the year ended December 31, 2021, and any amendment or report filed for the purpose of updating such description, copies of which are exhibits to the registration statement of which this prospectus forms a part, and which are incorporated herein by reference. Copies of our amended and restated certificate of incorporation and amended and restated bylaws will be sent to you at no charge upon request. See Where You Can Find More Information below. </w:t>
      </w:r>
    </w:p>
    <w:p>
      <w:pPr>
        <w:pStyle w:val="TextBody"/>
        <w:bidi w:val="0"/>
        <w:spacing w:before="480" w:after="0"/>
        <w:jc w:val="center"/>
        <w:rPr>
          <w:rFonts w:ascii="Times New Roman" w:hAnsi="Times New Roman"/>
          <w:b/>
          <w:sz w:val="20"/>
        </w:rPr>
      </w:pPr>
      <w:bookmarkStart w:id="11" w:name="tx487210_9"/>
      <w:bookmarkEnd w:id="1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Please note that the terms of any series of debt securities that we may offer may differ significantly from the general terms described in this prospectus. The prospectus supplement relating to the particular series of debt securities being offered will specify the particular amounts, prices and terms of those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487210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480" w:after="0"/>
        <w:jc w:val="center"/>
        <w:rPr>
          <w:rFonts w:ascii="Times New Roman" w:hAnsi="Times New Roman"/>
          <w:b/>
          <w:sz w:val="20"/>
        </w:rPr>
      </w:pPr>
      <w:bookmarkStart w:id="13" w:name="tx487210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any accompanying prospectus supplement, Gunderson Dettmer Stough Villeneuve Franklin &amp; Hachigian, LLP, Boston, Massachusetts, will opine as to the legality of the securities offered under this prospectus. As appropriate, legal counsel representing any underwriters, dealers, agents or selling securityholder(s) will be named in the applicable prospectus supplement. </w:t>
      </w:r>
    </w:p>
    <w:p>
      <w:pPr>
        <w:pStyle w:val="TextBody"/>
        <w:bidi w:val="0"/>
        <w:spacing w:before="480" w:after="0"/>
        <w:jc w:val="center"/>
        <w:rPr>
          <w:rFonts w:ascii="Times New Roman" w:hAnsi="Times New Roman"/>
          <w:b/>
          <w:sz w:val="20"/>
        </w:rPr>
      </w:pPr>
      <w:bookmarkStart w:id="14" w:name="tx487210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5" w:name="tx487210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www.flywire.com. Information accessible on or through our website is not incorporated herein or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the securities we or the selling securityholders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16" w:name="tx487210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to the extent set forth herein, this prospectus is continually updated and those future filings may modify or supersede some of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that we make with the SEC under Sections 13(a), 13(c), 14 or 15(d) of the Exchange Act (in each case, other than those documents or the portions of those documents furnished (but not filed) pursuant to Items 2.02 or 7.01 of any Current Report on Form 8-K), until the offering of the securities being registered under this prospectus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with the SEC on March 10,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and June 30, 2023 filed with the SEC on </w:t>
            </w:r>
            <w:hyperlink r:id="rId4">
              <w:r>
                <w:rPr>
                  <w:rStyle w:val="InternetLink"/>
                  <w:rFonts w:ascii="Times New Roman" w:hAnsi="Times New Roman"/>
                  <w:sz w:val="20"/>
                </w:rPr>
                <w:t>May  10, 2023</w:t>
              </w:r>
            </w:hyperlink>
            <w:r>
              <w:rPr>
                <w:rFonts w:ascii="Times New Roman" w:hAnsi="Times New Roman"/>
                <w:sz w:val="20"/>
              </w:rPr>
              <w:t xml:space="preserve"> and </w:t>
            </w:r>
            <w:hyperlink r:id="rId5">
              <w:r>
                <w:rPr>
                  <w:rStyle w:val="InternetLink"/>
                  <w:rFonts w:ascii="Times New Roman" w:hAnsi="Times New Roman"/>
                  <w:sz w:val="20"/>
                </w:rPr>
                <w:t>August 8,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10, 2023</w:t>
              </w:r>
            </w:hyperlink>
            <w:r>
              <w:rPr>
                <w:rFonts w:ascii="Times New Roman" w:hAnsi="Times New Roman"/>
                <w:sz w:val="20"/>
              </w:rPr>
              <w:t xml:space="preserve"> and </w:t>
            </w:r>
            <w:hyperlink r:id="rId7">
              <w:r>
                <w:rPr>
                  <w:rStyle w:val="InternetLink"/>
                  <w:rFonts w:ascii="Times New Roman" w:hAnsi="Times New Roman"/>
                  <w:sz w:val="20"/>
                </w:rPr>
                <w:t>June 9,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8">
              <w:r>
                <w:rPr>
                  <w:rStyle w:val="InternetLink"/>
                  <w:rFonts w:ascii="Times New Roman" w:hAnsi="Times New Roman"/>
                  <w:sz w:val="20"/>
                </w:rPr>
                <w:t>April 25, 2023</w:t>
              </w:r>
            </w:hyperlink>
            <w:r>
              <w:rPr>
                <w:rFonts w:ascii="Times New Roman" w:hAnsi="Times New Roman"/>
                <w:sz w:val="20"/>
              </w:rPr>
              <w:t xml:space="preserve"> (excluding those portions that are not incorporated by reference into our Annual Report on Form 10-K for the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dated May 21, 2021, as updated by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2021,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any such person, a copy of any or all of the documents that have been or may be incorporated by reference into this prospectus at no cost. Any such request may be made in writing or by telephoning us at the following address or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Flywire Corporation </w:t>
      </w:r>
    </w:p>
    <w:p>
      <w:pPr>
        <w:pStyle w:val="TextBody"/>
        <w:bidi w:val="0"/>
        <w:spacing w:before="0" w:after="0"/>
        <w:jc w:val="center"/>
        <w:rPr>
          <w:rFonts w:ascii="Times New Roman" w:hAnsi="Times New Roman"/>
          <w:sz w:val="20"/>
        </w:rPr>
      </w:pPr>
      <w:r>
        <w:rPr>
          <w:rFonts w:ascii="Times New Roman" w:hAnsi="Times New Roman"/>
          <w:sz w:val="20"/>
        </w:rPr>
        <w:t xml:space="preserve">141 Tremont St., 10th Floor </w:t>
      </w:r>
    </w:p>
    <w:p>
      <w:pPr>
        <w:pStyle w:val="TextBody"/>
        <w:bidi w:val="0"/>
        <w:spacing w:before="0" w:after="0"/>
        <w:jc w:val="center"/>
        <w:rPr>
          <w:rFonts w:ascii="Times New Roman" w:hAnsi="Times New Roman"/>
          <w:sz w:val="20"/>
        </w:rPr>
      </w:pPr>
      <w:r>
        <w:rPr>
          <w:rFonts w:ascii="Times New Roman" w:hAnsi="Times New Roman"/>
          <w:sz w:val="20"/>
        </w:rPr>
        <w:t xml:space="preserve">Boston, MA 02111 </w:t>
      </w:r>
    </w:p>
    <w:p>
      <w:pPr>
        <w:pStyle w:val="TextBody"/>
        <w:bidi w:val="0"/>
        <w:spacing w:before="0" w:after="0"/>
        <w:jc w:val="center"/>
        <w:rPr>
          <w:rFonts w:ascii="Times New Roman" w:hAnsi="Times New Roman"/>
          <w:sz w:val="20"/>
        </w:rPr>
      </w:pPr>
      <w:r>
        <w:rPr>
          <w:rFonts w:ascii="Times New Roman" w:hAnsi="Times New Roman"/>
          <w:sz w:val="20"/>
        </w:rPr>
        <w:t xml:space="preserve">(617) 329-4524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payable by the Registrant in connection with the offering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2"/>
        <w:gridCol w:w="460"/>
        <w:gridCol w:w="140"/>
        <w:gridCol w:w="874"/>
        <w:gridCol w:w="143"/>
      </w:tblGrid>
      <w:tr>
        <w:trPr/>
        <w:tc>
          <w:tcPr>
            <w:tcW w:w="5322"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r>
      <w:tr>
        <w:trPr/>
        <w:tc>
          <w:tcPr>
            <w:tcW w:w="532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014"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w:t>
            </w:r>
          </w:p>
          <w:p>
            <w:pPr>
              <w:pStyle w:val="TableContents"/>
              <w:bidi w:val="0"/>
              <w:spacing w:before="0" w:after="20"/>
              <w:jc w:val="center"/>
              <w:rPr>
                <w:rFonts w:ascii="Times New Roman" w:hAnsi="Times New Roman"/>
                <w:b/>
                <w:sz w:val="16"/>
              </w:rPr>
            </w:pPr>
            <w:r>
              <w:rPr>
                <w:rFonts w:ascii="Times New Roman" w:hAnsi="Times New Roman"/>
                <w:b/>
                <w:sz w:val="16"/>
              </w:rPr>
              <w:t>to be paid</w:t>
            </w:r>
          </w:p>
        </w:tc>
        <w:tc>
          <w:tcPr>
            <w:tcW w:w="14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225,500</w:t>
            </w:r>
          </w:p>
        </w:tc>
        <w:tc>
          <w:tcPr>
            <w:tcW w:w="143" w:type="dxa"/>
            <w:tcBorders/>
            <w:vAlign w:val="bottom"/>
          </w:tcPr>
          <w:p>
            <w:pPr>
              <w:pStyle w:val="TableContents"/>
              <w:bidi w:val="0"/>
              <w:spacing w:before="0" w:after="283"/>
              <w:jc w:val="left"/>
              <w:rPr>
                <w:sz w:val="4"/>
                <w:szCs w:val="4"/>
              </w:rPr>
            </w:pPr>
            <w:r>
              <w:rPr>
                <w:sz w:val="4"/>
                <w:szCs w:val="4"/>
              </w:rPr>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pPr>
            <w:r>
              <w:rPr/>
              <w:t>*</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pPr>
            <w:r>
              <w:rPr/>
              <w:t>*</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pPr>
            <w:r>
              <w:rPr/>
              <w:t>*</w:t>
            </w:r>
          </w:p>
        </w:tc>
      </w:tr>
      <w:tr>
        <w:trPr/>
        <w:tc>
          <w:tcPr>
            <w:tcW w:w="5322"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43" w:type="dxa"/>
            <w:tcBorders/>
            <w:vAlign w:val="center"/>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pPr>
            <w:r>
              <w:rPr/>
              <w:t>*</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Rules 456(b) and 457(r) of the Securities Act, we are deferring payment of the registration fee for the securities offered.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as applicable by amendment, prospectus supplement or in a filing with the SEC pursuant to the Exchange Act, and incorporated herein by reference.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 of the Delaware General Corporation Law, the amended and restated certificate of incorporation and amended and restated bylaws of the Registrant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to indemnify its directors and executive officers to the fullest extent permitted by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in its discretion, indemnify the Registrants other officers, employees and agents as set forth in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upon satisfaction of certain conditions, to advance all expenses incurred by its directors and executive officers in connection with certain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in the amended and restated bylaws are not exclusive;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authorized to enter into indemnification agreements with its directors, officers, employees and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secure insurance on behalf of any director, officer, employee or other agent for any liability arising out of his or her actions in that capacity regardless of whether the Registrant would otherwise be permitted to indemnify him or her under the provisions of Delaware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Registrants policy is to enter into agreements with its directors and executive officers that require the Registrant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to or participant in by reason of the fact that such person is or was a director, officer, employee, agent or fiduciary of the Registrant or any of its affiliates, provided such person acted in good faith and in a manner such person reasonably believed to be in, or not opposed to, the Registrants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a directors and officers liability insurance policy. The policy insures directors and officers against unindemnified losses arising from certain wrongful acts in their capacities as directors and officers and reimburses the Registrant for those losses for which the Registrant has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2"/>
        <w:gridCol w:w="559"/>
        <w:gridCol w:w="8764"/>
      </w:tblGrid>
      <w:tr>
        <w:trPr/>
        <w:tc>
          <w:tcPr>
            <w:tcW w:w="882"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8764" w:type="dxa"/>
            <w:tcBorders/>
            <w:vAlign w:val="center"/>
          </w:tcPr>
          <w:p>
            <w:pPr>
              <w:pStyle w:val="TableContents"/>
              <w:bidi w:val="0"/>
              <w:spacing w:before="0" w:after="283"/>
              <w:jc w:val="left"/>
              <w:rPr>
                <w:sz w:val="4"/>
                <w:szCs w:val="4"/>
              </w:rPr>
            </w:pPr>
            <w:r>
              <w:rPr>
                <w:sz w:val="4"/>
                <w:szCs w:val="4"/>
              </w:rPr>
            </w:r>
          </w:p>
        </w:tc>
      </w:tr>
      <w:tr>
        <w:trPr/>
        <w:tc>
          <w:tcPr>
            <w:tcW w:w="882"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59" w:type="dxa"/>
            <w:tcBorders/>
            <w:vAlign w:val="bottom"/>
          </w:tcPr>
          <w:p>
            <w:pPr>
              <w:pStyle w:val="TableContents"/>
              <w:bidi w:val="0"/>
              <w:spacing w:before="0" w:after="283"/>
              <w:jc w:val="left"/>
              <w:rPr/>
            </w:pPr>
            <w:r>
              <w:rPr/>
              <w:t>  </w:t>
            </w:r>
          </w:p>
        </w:tc>
        <w:tc>
          <w:tcPr>
            <w:tcW w:w="87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1.1*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r>
              <w:rPr/>
              <w:t>Form of Underwriting Agreement</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11">
              <w:r>
                <w:rPr>
                  <w:rStyle w:val="InternetLink"/>
                </w:rPr>
                <w:t>Amended and Restated Certificate of Incorporation of Flywire Corporation, incorporated by reference to Exhibit 3.1 to the Registrants Current Report on Form 8-K filed on June 1, 2021</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4.2</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12">
              <w:r>
                <w:rPr>
                  <w:rStyle w:val="InternetLink"/>
                </w:rPr>
                <w:t>Amended and Restated Bylaws of Flywire Corporation, incorporated by reference to Exhibit 3.2 to the Registrants Current Report on Form 8-K filed on June 1, 2021</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4.3</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43.htm">
              <w:r>
                <w:rPr>
                  <w:rStyle w:val="InternetLink"/>
                </w:rPr>
                <w:t xml:space="preserve">Form of Voting Common Stock Certificate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4.4*</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r>
              <w:rPr/>
              <w:t>Form of Preferred Stock Certificate</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4.5*</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r>
              <w:rPr/>
              <w:t>Form of Warrant Agreement (including Form of Warrant Certificate)</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4.6*</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r>
              <w:rPr/>
              <w:t>Form of Debt Securities</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4.7</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47.htm">
              <w:r>
                <w:rPr>
                  <w:rStyle w:val="InternetLink"/>
                </w:rPr>
                <w:t xml:space="preserve">Form of Indenture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5.1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51.htm">
              <w:r>
                <w:rPr>
                  <w:rStyle w:val="InternetLink"/>
                </w:rPr>
                <w:t xml:space="preserve">Opinion of Gunderson Dettmer Stough Villeneuve Franklin &amp; Hachigian, LLP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231.htm">
              <w:r>
                <w:rPr>
                  <w:rStyle w:val="InternetLink"/>
                </w:rPr>
                <w:t xml:space="preserve">Consent of PricewaterhouseCoopers LLP, independent registered public accounting firm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23.2</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51.htm">
              <w:r>
                <w:rPr>
                  <w:rStyle w:val="InternetLink"/>
                </w:rPr>
                <w:t xml:space="preserve">Consent of Gunderson Dettmer Stough Villeneuve Franklin &amp; Hachigian, LLP (included in Exhibit 5.1)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24.1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sig">
              <w:r>
                <w:rPr>
                  <w:rStyle w:val="InternetLink"/>
                </w:rPr>
                <w:t xml:space="preserve">Power of Attorney (included on the signature page of this Registration Statement)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25.1**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r>
              <w:rPr/>
              <w:t>Form T-1 Statement of Eligibility of Trustee for the Indenture under the Trust Indenture Act of 1939</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107</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48721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as an exhibit to a report on Form 8-K under the Exchange Act or by other applicable filing with the SEC, and incorporated herein by reference.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as amended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 as amended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(7)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 </w:t>
      </w:r>
    </w:p>
    <w:p>
      <w:pPr>
        <w:pStyle w:val="TextBody"/>
        <w:bidi w:val="0"/>
        <w:spacing w:before="240" w:after="0"/>
        <w:jc w:val="left"/>
        <w:rPr>
          <w:rFonts w:ascii="Times New Roman" w:hAnsi="Times New Roman"/>
          <w:sz w:val="20"/>
        </w:rPr>
      </w:pPr>
      <w:r>
        <w:rPr>
          <w:rFonts w:ascii="Times New Roman" w:hAnsi="Times New Roman"/>
          <w:sz w:val="20"/>
        </w:rPr>
        <w:t xml:space="preserve">(8)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Boston, Massachusetts, on the 9th day of August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FLYWIRE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Michael Massaro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Michael Massaro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of the undersigned directors or officers of Flywire Corporation, a Delaware corporation (the Company), hereby constitutes and appoints Michael Massaro and Michael Ellis, and each of them, as his or her true and lawful attorney-in-fact, with full power of substitution and resubstitution, for him or her and in his or her name, place and stead, in any and all capacities, to execute a Registration Statement on Form S-3 of the Company, and any and all amendments (including post-effective amendments) to such Registration Statement and any Registration Statement relating to any offering made pursuant to this Registration Statement, and to file such Registration Statement(s) and any and all amendments thereto, with all exhibits thereto, and other documents in connection therewith, with the Securities and Exchange Commission, granting unto said attorney-in-fact full power and authority to do and perform each and every act and thing necessary or desirable to be done in and about the premises, as fully to all intents and purposes, as he or she might or could do in person, hereby ratifying and confirming all that said attorney-in-fact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6"/>
        <w:gridCol w:w="120"/>
        <w:gridCol w:w="3532"/>
        <w:gridCol w:w="200"/>
        <w:gridCol w:w="1927"/>
      </w:tblGrid>
      <w:tr>
        <w:trPr/>
        <w:tc>
          <w:tcPr>
            <w:tcW w:w="4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3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0" w:type="dxa"/>
            <w:tcBorders/>
            <w:vAlign w:val="bottom"/>
          </w:tcPr>
          <w:p>
            <w:pPr>
              <w:pStyle w:val="TableContents"/>
              <w:bidi w:val="0"/>
              <w:spacing w:before="0" w:after="283"/>
              <w:jc w:val="left"/>
              <w:rPr/>
            </w:pPr>
            <w:r>
              <w:rPr/>
              <w:t> </w:t>
            </w:r>
          </w:p>
        </w:tc>
        <w:tc>
          <w:tcPr>
            <w:tcW w:w="19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Massaro</w:t>
            </w:r>
          </w:p>
          <w:p>
            <w:pPr>
              <w:pStyle w:val="TableContents"/>
              <w:bidi w:val="0"/>
              <w:spacing w:before="0" w:after="20"/>
              <w:jc w:val="center"/>
              <w:rPr>
                <w:rFonts w:ascii="Times New Roman" w:hAnsi="Times New Roman"/>
                <w:sz w:val="20"/>
              </w:rPr>
            </w:pPr>
            <w:r>
              <w:rPr>
                <w:rFonts w:ascii="Times New Roman" w:hAnsi="Times New Roman"/>
                <w:sz w:val="20"/>
              </w:rPr>
              <w:t>Michael Massaro</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Director and Chief Executive Officer (Principal Executive Officer)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Ellis</w:t>
            </w:r>
          </w:p>
          <w:p>
            <w:pPr>
              <w:pStyle w:val="TableContents"/>
              <w:bidi w:val="0"/>
              <w:spacing w:before="0" w:after="20"/>
              <w:jc w:val="center"/>
              <w:rPr>
                <w:rFonts w:ascii="Times New Roman" w:hAnsi="Times New Roman"/>
                <w:sz w:val="20"/>
              </w:rPr>
            </w:pPr>
            <w:r>
              <w:rPr>
                <w:rFonts w:ascii="Times New Roman" w:hAnsi="Times New Roman"/>
                <w:sz w:val="20"/>
              </w:rPr>
              <w:t>Michael Ellis</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Chief Financial Officer (Principal Financial Officer and Principal Accounting Officer)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Phillip Riese</w:t>
            </w:r>
          </w:p>
          <w:p>
            <w:pPr>
              <w:pStyle w:val="TableContents"/>
              <w:bidi w:val="0"/>
              <w:spacing w:before="0" w:after="20"/>
              <w:jc w:val="center"/>
              <w:rPr>
                <w:rFonts w:ascii="Times New Roman" w:hAnsi="Times New Roman"/>
                <w:sz w:val="20"/>
              </w:rPr>
            </w:pPr>
            <w:r>
              <w:rPr>
                <w:rFonts w:ascii="Times New Roman" w:hAnsi="Times New Roman"/>
                <w:sz w:val="20"/>
              </w:rPr>
              <w:t>Phillip Riese</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Chairman of the Board of Directors</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Alex Finkelstein</w:t>
            </w:r>
          </w:p>
          <w:p>
            <w:pPr>
              <w:pStyle w:val="TableContents"/>
              <w:bidi w:val="0"/>
              <w:spacing w:before="0" w:after="20"/>
              <w:jc w:val="center"/>
              <w:rPr>
                <w:rFonts w:ascii="Times New Roman" w:hAnsi="Times New Roman"/>
                <w:sz w:val="20"/>
              </w:rPr>
            </w:pPr>
            <w:r>
              <w:rPr>
                <w:rFonts w:ascii="Times New Roman" w:hAnsi="Times New Roman"/>
                <w:sz w:val="20"/>
              </w:rPr>
              <w:t>Alex Finkelstein</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 Harris</w:t>
            </w:r>
          </w:p>
          <w:p>
            <w:pPr>
              <w:pStyle w:val="TableContents"/>
              <w:bidi w:val="0"/>
              <w:spacing w:before="0" w:after="20"/>
              <w:jc w:val="center"/>
              <w:rPr>
                <w:rFonts w:ascii="Times New Roman" w:hAnsi="Times New Roman"/>
                <w:sz w:val="20"/>
              </w:rPr>
            </w:pPr>
            <w:r>
              <w:rPr>
                <w:rFonts w:ascii="Times New Roman" w:hAnsi="Times New Roman"/>
                <w:sz w:val="20"/>
              </w:rPr>
              <w:t>Matt Harris</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Diane Offereins</w:t>
            </w:r>
          </w:p>
          <w:p>
            <w:pPr>
              <w:pStyle w:val="TableContents"/>
              <w:bidi w:val="0"/>
              <w:spacing w:before="0" w:after="20"/>
              <w:jc w:val="center"/>
              <w:rPr>
                <w:rFonts w:ascii="Times New Roman" w:hAnsi="Times New Roman"/>
                <w:sz w:val="20"/>
              </w:rPr>
            </w:pPr>
            <w:r>
              <w:rPr>
                <w:rFonts w:ascii="Times New Roman" w:hAnsi="Times New Roman"/>
                <w:sz w:val="20"/>
              </w:rPr>
              <w:t>Diane Offereins</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r>
        <w:trPr>
          <w:trHeight w:val="240" w:hRule="atLeast"/>
        </w:trPr>
        <w:tc>
          <w:tcPr>
            <w:tcW w:w="4426" w:type="dxa"/>
            <w:tcBorders/>
            <w:vAlign w:val="center"/>
          </w:tcPr>
          <w:p>
            <w:pPr>
              <w:pStyle w:val="TableContents"/>
              <w:bidi w:val="0"/>
              <w:spacing w:before="0" w:after="283"/>
              <w:jc w:val="left"/>
              <w:rPr>
                <w:sz w:val="4"/>
                <w:szCs w:val="4"/>
              </w:rPr>
            </w:pPr>
            <w:r>
              <w:rPr>
                <w:sz w:val="4"/>
                <w:szCs w:val="4"/>
              </w:rPr>
            </w:r>
          </w:p>
        </w:tc>
        <w:tc>
          <w:tcPr>
            <w:tcW w:w="3652" w:type="dxa"/>
            <w:gridSpan w:val="2"/>
            <w:tcBorders/>
            <w:vAlign w:val="center"/>
          </w:tcPr>
          <w:p>
            <w:pPr>
              <w:pStyle w:val="TableContents"/>
              <w:bidi w:val="0"/>
              <w:spacing w:before="0" w:after="283"/>
              <w:jc w:val="left"/>
              <w:rPr>
                <w:sz w:val="4"/>
                <w:szCs w:val="4"/>
              </w:rPr>
            </w:pPr>
            <w:r>
              <w:rPr>
                <w:sz w:val="4"/>
                <w:szCs w:val="4"/>
              </w:rPr>
            </w:r>
          </w:p>
        </w:tc>
        <w:tc>
          <w:tcPr>
            <w:tcW w:w="2127" w:type="dxa"/>
            <w:gridSpan w:val="2"/>
            <w:tcBorders/>
            <w:vAlign w:val="center"/>
          </w:tcPr>
          <w:p>
            <w:pPr>
              <w:pStyle w:val="TableContents"/>
              <w:bidi w:val="0"/>
              <w:spacing w:before="0" w:after="283"/>
              <w:jc w:val="left"/>
              <w:rPr>
                <w:sz w:val="4"/>
                <w:szCs w:val="4"/>
              </w:rPr>
            </w:pPr>
            <w:r>
              <w:rPr>
                <w:sz w:val="4"/>
                <w:szCs w:val="4"/>
              </w:rPr>
            </w:r>
          </w:p>
        </w:tc>
      </w:tr>
      <w:tr>
        <w:trPr/>
        <w:tc>
          <w:tcPr>
            <w:tcW w:w="442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Ed Santos</w:t>
            </w:r>
          </w:p>
          <w:p>
            <w:pPr>
              <w:pStyle w:val="TableContents"/>
              <w:bidi w:val="0"/>
              <w:spacing w:before="0" w:after="20"/>
              <w:jc w:val="center"/>
              <w:rPr>
                <w:rFonts w:ascii="Times New Roman" w:hAnsi="Times New Roman"/>
                <w:sz w:val="20"/>
              </w:rPr>
            </w:pPr>
            <w:r>
              <w:rPr>
                <w:rFonts w:ascii="Times New Roman" w:hAnsi="Times New Roman"/>
                <w:sz w:val="20"/>
              </w:rPr>
              <w:t>Ed Santos</w:t>
            </w:r>
          </w:p>
        </w:tc>
        <w:tc>
          <w:tcPr>
            <w:tcW w:w="120" w:type="dxa"/>
            <w:tcBorders/>
            <w:vAlign w:val="bottom"/>
          </w:tcPr>
          <w:p>
            <w:pPr>
              <w:pStyle w:val="TableContents"/>
              <w:bidi w:val="0"/>
              <w:spacing w:before="0" w:after="283"/>
              <w:jc w:val="left"/>
              <w:rPr/>
            </w:pPr>
            <w:r>
              <w:rPr/>
              <w:t>  </w:t>
            </w:r>
          </w:p>
        </w:tc>
        <w:tc>
          <w:tcPr>
            <w:tcW w:w="3532"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1927" w:type="dxa"/>
            <w:tcBorders/>
          </w:tcPr>
          <w:p>
            <w:pPr>
              <w:pStyle w:val="TableContents"/>
              <w:bidi w:val="0"/>
              <w:spacing w:before="0" w:after="283"/>
              <w:jc w:val="left"/>
              <w:rPr/>
            </w:pPr>
            <w:r>
              <w:rPr/>
              <w:t>August 9,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center"/>
        <w:rPr/>
      </w:pPr>
      <w:bookmarkStart w:id="18" w:name="d487210dex43.htm"/>
      <w:bookmarkStart w:id="19" w:name="ksd487210dex43"/>
      <w:bookmarkEnd w:id="18"/>
      <w:bookmarkEnd w:id="19"/>
      <w:r>
        <w:rPr/>
        <w:drawing>
          <wp:inline distT="0" distB="0" distL="0" distR="0">
            <wp:extent cx="7810500" cy="474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7810500" cy="4743450"/>
                    </a:xfrm>
                    <a:prstGeom prst="rect">
                      <a:avLst/>
                    </a:prstGeom>
                  </pic:spPr>
                </pic:pic>
              </a:graphicData>
            </a:graphic>
          </wp:inline>
        </w:drawing>
      </w:r>
      <w:r>
        <w:rPr/>
        <w:t xml:space="preserve"> </w:t>
      </w:r>
      <w:r>
        <w:br w:type="page"/>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553075" cy="9144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5553075" cy="9144000"/>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20" w:name="d487210dex47.htm"/>
      <w:bookmarkStart w:id="21" w:name="ksd487210dex47"/>
      <w:bookmarkEnd w:id="20"/>
      <w:bookmarkEnd w:id="21"/>
      <w:r>
        <w:rPr>
          <w:rFonts w:ascii="Times New Roman" w:hAnsi="Times New Roman"/>
          <w:b/>
          <w:sz w:val="20"/>
        </w:rPr>
        <w:t xml:space="preserve">Exhibit 4.7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FLYWIRE </w:t>
      </w:r>
    </w:p>
    <w:p>
      <w:pPr>
        <w:pStyle w:val="TextBody"/>
        <w:bidi w:val="0"/>
        <w:spacing w:before="0" w:after="0"/>
        <w:jc w:val="center"/>
        <w:rPr>
          <w:rFonts w:ascii="Times New Roman" w:hAnsi="Times New Roman"/>
          <w:b/>
          <w:sz w:val="20"/>
        </w:rPr>
      </w:pPr>
      <w:r>
        <w:rPr>
          <w:rFonts w:ascii="Times New Roman" w:hAnsi="Times New Roman"/>
          <w:b/>
          <w:sz w:val="20"/>
        </w:rPr>
        <w:t xml:space="preserve">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 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69"/>
        <w:gridCol w:w="60"/>
        <w:gridCol w:w="266"/>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1DEFINITIONS AND INCORPORATION BY REFERENCE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1.1 DEFINITIONS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1.2. OTHER DEFINITIONS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1.3. INCORPORATION BY REFERENCE OF TRUST INDENTURE ACT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1.4. RULES OF CONSTRUCTION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2THE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 ISSUABLE IN SERIES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2.2. ESTABLISHMENT OF TERMS OF SERIES OF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2.3. EXECUTION AND AUTHENTICATION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2.4. REGISTRAR AND PAYING AGENT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2.5. PAYING AGENT TO HOLD ASSETS IN TRUST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2.6. SECURITYHOLDER LISTS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2.7. TRANSFER AND EXCHANGE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2.8. REPLACEMENT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2.9. OUTSTANDING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2.10. WHEN TREASURY SECURITIES DISREGARDED; DETERMINATION OF HOLDERS ACTION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2.11. TEMPORARY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2.12. CANCELLATION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2.13. PAYMENT OF INTEREST; DEFAULTED INTEREST; COMPUTATION OF INTEREST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2.14. CUSIP NUMBER</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2.15. PROVISIONS FOR GLOBAL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2.16. PERSONS DEEMED OWNERS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3REDEMPTION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3.1. NOTICES TO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3.2. SELECTION BY TRUSTEE OF SECURITIES TO BE REDEEMED</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3.3. NOTICE OF REDEMPTION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3.4. EFFECT OF NOTICE OF REDEMPTION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3.5. DEPOSIT OF REDEMPTION PRICE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3.6. SECURITIES REDEEMED IN PART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4COVENANTS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4.1. PAYMENT OF SECURITIES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4.2. SEC REPORTS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4.3. WAIVER OF STAY, EXTENSION OR USURY LAWS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4.4. COMPLIANCE CERTIFICATE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4.5. CORPORATE EXISTENCE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5SUCCESSOR CORPORATION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5.1. LIMITATION ON CONSOLIDATION, MERGER AND SALE OF ASSETS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5.2. SUCCESSOR PERSON SUBSTITUTED</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ARTICLE 6DEFAULTS AND REMEDIES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6.1. EVENTS OF DEFAULT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6.2. ACCELERATION</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6.3. REMEDIES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0"/>
        <w:gridCol w:w="169"/>
        <w:gridCol w:w="60"/>
        <w:gridCol w:w="263"/>
        <w:gridCol w:w="63"/>
      </w:tblGrid>
      <w:tr>
        <w:trPr/>
        <w:tc>
          <w:tcPr>
            <w:tcW w:w="965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6.4. WAIVER OF PAST DEFAULTS AND EVENTS OF DEFAULT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6.5. CONTROL BY MAJORITY</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6.6. LIMITATION ON SUITS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6.7. RIGHTS OF HOLDERS TO RECEIVE PAYMENT</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6.8. COLLECTION SUIT BY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6.9. TRUSTEE MAY FILE PROOFS OF CLAIM</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6.10. PRIORITIES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6.11. UNDERTAKING FOR COSTS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ARTICLE 7TRUSTEE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7.1. DUTIES OF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7.2. RIGHTS OF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7.3. INDIVIDUAL RIGHTS OF TRUSTEE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0" w:type="dxa"/>
            <w:tcBorders/>
          </w:tcPr>
          <w:p>
            <w:pPr>
              <w:pStyle w:val="TableContents"/>
              <w:bidi w:val="0"/>
              <w:spacing w:before="0" w:after="0"/>
              <w:jc w:val="left"/>
              <w:rPr>
                <w:rFonts w:ascii="Times New Roman" w:hAnsi="Times New Roman"/>
                <w:sz w:val="20"/>
              </w:rPr>
            </w:pPr>
            <w:r>
              <w:rPr>
                <w:rFonts w:ascii="Times New Roman" w:hAnsi="Times New Roman"/>
                <w:sz w:val="20"/>
              </w:rPr>
              <w:t>7.4. TRUSTEES DISCLAIMER</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5"/>
        <w:gridCol w:w="170"/>
        <w:gridCol w:w="60"/>
        <w:gridCol w:w="268"/>
        <w:gridCol w:w="62"/>
      </w:tblGrid>
      <w:tr>
        <w:trPr/>
        <w:tc>
          <w:tcPr>
            <w:tcW w:w="964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7.5. NOTICE OF DEFAULT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7.6. REPORTS BY TRUSTEE TO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7.7. COMPENSATION AND INDEMNITY</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7.8. REPLACEMENT OF TRUSTEE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7.9. SUCCESSOR TRUSTEE BY CONSOLIDATION, MERGER OR CONVERSION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7.10. ELIGIBILITY; DISQUALIFICATION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7.11. PREFERENTIAL COLLECTION OF CLAIMS AGAINST COMPANY</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7.12. PAYING AGENTS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ARTICLE 8AMENDMENTS, SUPPLEMENTS AND WAIVERS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8.1. WITHOUT CONSENT OF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8.2. WITH CONSENT OF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8.3. COMPLIANCE WITH TRUST INDENTURE ACT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8.4. REVOCATION AND EFFECT OF CONSENTS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8.5. NOTATION ON OR EXCHANGE OF SECURITIES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8.6. TRUSTEE TO SIGN AMENDMENTS, ETC.</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ARTICLE 9DISCHARGE OF INDENTURE; DEFEASANCE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9.1. DISCHARGE OF INDENTURE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9.2. LEGAL DEFEASANCE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9.3. COVENANT DEFEASANCE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9.4. CONDITIONS TO LEGAL DEFEASANCE OR COVENANT DEFEASANCE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9.5. DEPOSITED MONEY AND U.S. AND FOREIGN GOVERNMENT OBLIGATIONS TO BE HELD IN TRUST;</w:t>
            </w:r>
          </w:p>
          <w:p>
            <w:pPr>
              <w:pStyle w:val="TableContents"/>
              <w:bidi w:val="0"/>
              <w:spacing w:before="0" w:after="20"/>
              <w:jc w:val="left"/>
              <w:rPr>
                <w:rFonts w:ascii="Times New Roman" w:hAnsi="Times New Roman"/>
                <w:sz w:val="20"/>
              </w:rPr>
            </w:pPr>
            <w:r>
              <w:rPr>
                <w:rFonts w:ascii="Times New Roman" w:hAnsi="Times New Roman"/>
                <w:sz w:val="20"/>
              </w:rPr>
              <w:t>OTHER MISCELLANEOUS PROVISIONS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9.6. REINSTATEMENT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9.7. MONEYS HELD BY PAYING AGENT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9.8. MONEYS HELD BY TRUSTEE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ARTICLE 10MISCELLANEOUS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45" w:type="dxa"/>
            <w:tcBorders/>
            <w:vAlign w:val="center"/>
          </w:tcPr>
          <w:p>
            <w:pPr>
              <w:pStyle w:val="TableContents"/>
              <w:bidi w:val="0"/>
              <w:spacing w:before="0" w:after="283"/>
              <w:jc w:val="left"/>
              <w:rPr>
                <w:sz w:val="4"/>
                <w:szCs w:val="4"/>
              </w:rPr>
            </w:pPr>
            <w:r>
              <w:rPr>
                <w:sz w:val="4"/>
                <w:szCs w:val="4"/>
              </w:rPr>
            </w:r>
          </w:p>
        </w:tc>
        <w:tc>
          <w:tcPr>
            <w:tcW w:w="560" w:type="dxa"/>
            <w:gridSpan w:val="4"/>
            <w:tcBorders/>
            <w:vAlign w:val="center"/>
          </w:tcPr>
          <w:p>
            <w:pPr>
              <w:pStyle w:val="TableContents"/>
              <w:bidi w:val="0"/>
              <w:spacing w:before="0" w:after="283"/>
              <w:jc w:val="left"/>
              <w:rPr>
                <w:sz w:val="4"/>
                <w:szCs w:val="4"/>
              </w:rPr>
            </w:pPr>
            <w:r>
              <w:rPr>
                <w:sz w:val="4"/>
                <w:szCs w:val="4"/>
              </w:rPr>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 TRUST INDENTURE ACT CONTROLS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10.2. NOTICES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10.3. COMMUNICATIONS BY HOLDERS WITH OTHER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10.4. CERTIFICATE AND OPINION AS TO CONDITIONS PRECEDENT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10.5. STATEMENT REQUIRED IN CERTIFICATE AND OPINION</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10.6. RULES BY TRUSTEE AND AGENTS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10.7. BUSINESS DAYS; LEGAL HOLIDAYS; PLACE OF PAYMENT</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10.8. GOVERNING LAW</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10.9. NO ADVERSE INTERPRETATION OF OTHER AGREEMENTS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10.10. NO RECOURSE AGAINST OTHERS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10.11. SUCCESSORS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10.12. MULTIPLE COUNTERPARTS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10.13. TABLE OF CONTENTS, HEADINGS, ETC.</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10.14. SEVERABILITY</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10.15. SECURITIES IN A FOREIGN CURRENCY OR IN EUROS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45" w:type="dxa"/>
            <w:tcBorders/>
          </w:tcPr>
          <w:p>
            <w:pPr>
              <w:pStyle w:val="TableContents"/>
              <w:bidi w:val="0"/>
              <w:spacing w:before="0" w:after="0"/>
              <w:jc w:val="left"/>
              <w:rPr>
                <w:rFonts w:ascii="Times New Roman" w:hAnsi="Times New Roman"/>
                <w:sz w:val="20"/>
              </w:rPr>
            </w:pPr>
            <w:r>
              <w:rPr>
                <w:rFonts w:ascii="Times New Roman" w:hAnsi="Times New Roman"/>
                <w:sz w:val="20"/>
              </w:rPr>
              <w:t>10.16. JUDGMENT CURRENCY</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TIA SECTION</w:t>
            </w:r>
          </w:p>
        </w:tc>
        <w:tc>
          <w:tcPr>
            <w:tcW w:w="203"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INDENTURE</w:t>
              <w:br/>
              <w:t>SECTION</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310(a)(1)(2)(5)</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7.10</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310(a)(3)(4)</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7.8; 7.10</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311(a)(b)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7.11</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2.6</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312(b)(c)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10.3</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313(a)(b)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7.6</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7.6; 10.2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7.6</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4.2; 4.4; 10.2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N/A</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314(c)(1)(2)</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10.4; 10.5</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314(c)(3)</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10.5</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Inapplicable</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7.1, 7.2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7.5; 10.2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7.1</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7.1; 7.2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6.11</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316(a)(last sentence)</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2.10</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316(a)(1)(A)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6.5</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316(a)(1)(B)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6.4</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316(a)(2)</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8.2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6.7</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8.4</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317(a)(1)</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6.8</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317(a)(2)</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6.9</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2.5; 7.12</w:t>
            </w:r>
          </w:p>
        </w:tc>
      </w:tr>
      <w:tr>
        <w:trPr/>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left"/>
              <w:rPr/>
            </w:pPr>
            <w:r>
              <w:rPr/>
              <w:t>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Cross-Reference Table shall not, for any purpose, be deemed to be a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dated as of         ,         by and between Flywire Corporation, a Delaware corporation, as Issuer (the Company) and                     , a                     organized under the laws of                     , as Trustee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and the execution and delivery thereof have been in all respects duly authorized by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agreed, for the equal and proportionate benefit of all Holders of the Securities of a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1.1 DEFINITIONS. </w:t>
      </w:r>
    </w:p>
    <w:p>
      <w:pPr>
        <w:pStyle w:val="TextBody"/>
        <w:bidi w:val="0"/>
        <w:spacing w:before="120" w:after="0"/>
        <w:jc w:val="left"/>
        <w:rPr>
          <w:rFonts w:ascii="Times New Roman" w:hAnsi="Times New Roman"/>
          <w:sz w:val="20"/>
        </w:rPr>
      </w:pPr>
      <w:r>
        <w:rPr>
          <w:rFonts w:ascii="Times New Roman" w:hAnsi="Times New Roman"/>
          <w:sz w:val="20"/>
        </w:rPr>
        <w:t xml:space="preserve">Affiliate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Agent means any Registrar, Paying Agent, co-registrar or agent for service of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means the Board of Directors of the Company or any committee duly authorized to act therefor. </w:t>
      </w:r>
    </w:p>
    <w:p>
      <w:pPr>
        <w:pStyle w:val="TextBody"/>
        <w:bidi w:val="0"/>
        <w:spacing w:before="240" w:after="0"/>
        <w:jc w:val="left"/>
        <w:rPr>
          <w:rFonts w:ascii="Times New Roman" w:hAnsi="Times New Roman"/>
          <w:sz w:val="20"/>
        </w:rPr>
      </w:pPr>
      <w:r>
        <w:rPr>
          <w:rFonts w:ascii="Times New Roman" w:hAnsi="Times New Roman"/>
          <w:sz w:val="20"/>
        </w:rPr>
        <w:t xml:space="preserve">Board Resolution means a copy of a resolution certified pursuant to an Officers Certificate to have been duly adopted by the Board of Directors of the Company and to be in full force and effect on the date of such certification which has been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Company means the party named as such in the first paragraph of this Indenture until a successor replaces such party pursuant to Article 5 of this Indenture, and thereafter means the successor and any other primary obligor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Company Order means a written order signed in the name of the Company by two Officers, one of whom must be its Chief Executive Officer or its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Company Request means any written request signed in the name of the Company by its Chief Executive Officer, its Chief Operating Officer, its General Counsel, its President, any Vice President, its Chief Financial Officer or its Treasurer and attested to by its Secretary or any Assistant Secretary. </w:t>
      </w:r>
    </w:p>
    <w:p>
      <w:pPr>
        <w:pStyle w:val="TextBody"/>
        <w:bidi w:val="0"/>
        <w:spacing w:before="240" w:after="0"/>
        <w:jc w:val="left"/>
        <w:rPr>
          <w:rFonts w:ascii="Times New Roman" w:hAnsi="Times New Roman"/>
          <w:sz w:val="20"/>
        </w:rPr>
      </w:pPr>
      <w:r>
        <w:rPr>
          <w:rFonts w:ascii="Times New Roman" w:hAnsi="Times New Roman"/>
          <w:sz w:val="20"/>
        </w:rPr>
        <w:t xml:space="preserve">Corporate Trust Office means the office of the Trustee at which at any particular time its corporate trust business shall be principally administered.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 means any event that is, or that with the passing of time or giving of notice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 </w:t>
      </w:r>
    </w:p>
    <w:p>
      <w:pPr>
        <w:pStyle w:val="TextBody"/>
        <w:bidi w:val="0"/>
        <w:spacing w:before="240" w:after="0"/>
        <w:jc w:val="left"/>
        <w:rPr>
          <w:rFonts w:ascii="Times New Roman" w:hAnsi="Times New Roman"/>
          <w:sz w:val="20"/>
        </w:rPr>
      </w:pPr>
      <w:r>
        <w:rPr>
          <w:rFonts w:ascii="Times New Roman" w:hAnsi="Times New Roman"/>
          <w:sz w:val="20"/>
        </w:rPr>
        <w:t xml:space="preserve">Dollars means the currency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Euro means the single currency of participating member states of the economic and monetary union as contemplated in the Treaty on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Exchange Act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means any currency or currency unit issued by a government other than the government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 </w:t>
      </w:r>
    </w:p>
    <w:p>
      <w:pPr>
        <w:pStyle w:val="TextBody"/>
        <w:bidi w:val="0"/>
        <w:spacing w:before="240" w:after="0"/>
        <w:jc w:val="left"/>
        <w:rPr>
          <w:rFonts w:ascii="Times New Roman" w:hAnsi="Times New Roman"/>
          <w:sz w:val="20"/>
        </w:rPr>
      </w:pPr>
      <w:r>
        <w:rPr>
          <w:rFonts w:ascii="Times New Roman" w:hAnsi="Times New Roman"/>
          <w:sz w:val="20"/>
        </w:rPr>
        <w:t xml:space="preserve">GAAP means generally accepted accounting principles consistently applied as in effect in the United States of America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 </w:t>
      </w:r>
    </w:p>
    <w:p>
      <w:pPr>
        <w:pStyle w:val="TextBody"/>
        <w:bidi w:val="0"/>
        <w:spacing w:before="240" w:after="0"/>
        <w:jc w:val="left"/>
        <w:rPr>
          <w:rFonts w:ascii="Times New Roman" w:hAnsi="Times New Roman"/>
          <w:sz w:val="20"/>
        </w:rPr>
      </w:pPr>
      <w:r>
        <w:rPr>
          <w:rFonts w:ascii="Times New Roman" w:hAnsi="Times New Roman"/>
          <w:sz w:val="20"/>
        </w:rPr>
        <w:t xml:space="preserve">Holder or Securityholder means the Person in whose name a Security is registered on the Registrars books. </w:t>
      </w:r>
    </w:p>
    <w:p>
      <w:pPr>
        <w:pStyle w:val="TextBody"/>
        <w:bidi w:val="0"/>
        <w:spacing w:before="240" w:after="0"/>
        <w:jc w:val="left"/>
        <w:rPr>
          <w:rFonts w:ascii="Times New Roman" w:hAnsi="Times New Roman"/>
          <w:sz w:val="20"/>
        </w:rPr>
      </w:pPr>
      <w:r>
        <w:rPr>
          <w:rFonts w:ascii="Times New Roman" w:hAnsi="Times New Roman"/>
          <w:sz w:val="20"/>
        </w:rPr>
        <w:t xml:space="preserve">Indebtedness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Indenture means this Indenture as amended, restated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 when used with respect to any Security, means the Stated Maturity of an installment of interest 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 means the Chief Executive Officer, the Chief Operating Officer, the General Counsel, the President, any Vice President, the Chief Financial Officer, the Treasurer or the Secretary of the Company, or any other officer designated by the Board of Directors,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Officers Certificate means, with respect to any Person, a certificate signed by the Chairman, Chief Executive Officer, Chief Operating Officer, General Counsel, President or any Senior or Executive Vice President and the Chief Financial Officer or any Treasurer of such Person, that shall comply with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Opinion of Counsel means a written opinion from legal counsel, which counsel is reasonably acceptable to the Trustee. The counsel may be an employee of or counsel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Person means any individual, corporation, limited liability company, partnership, joint venture, association, joint-stock company, trust, unincorporated organization or government (including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Redemption Date, when used with respect to any Security to be redeemed, means the date fixed for such redemption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 xml:space="preserve">SEC means the United States Securities and Exchange Commission as constituted from time to time, or any successor performing substantially the same functions. </w:t>
      </w:r>
    </w:p>
    <w:p>
      <w:pPr>
        <w:pStyle w:val="TextBody"/>
        <w:bidi w:val="0"/>
        <w:spacing w:before="240" w:after="0"/>
        <w:jc w:val="left"/>
        <w:rPr>
          <w:rFonts w:ascii="Times New Roman" w:hAnsi="Times New Roman"/>
          <w:sz w:val="20"/>
        </w:rPr>
      </w:pPr>
      <w:r>
        <w:rPr>
          <w:rFonts w:ascii="Times New Roman" w:hAnsi="Times New Roman"/>
          <w:sz w:val="20"/>
        </w:rPr>
        <w:t xml:space="preserve">Securities means the securities that are issued under this Indenture, as amended or supplemented from time to time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Securities Act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Series or Series of Securities means each series of debentures, notes or other debt instruments of the Company created pursuant to Sections 2.1 and 2.2. </w:t>
      </w:r>
    </w:p>
    <w:p>
      <w:pPr>
        <w:pStyle w:val="TextBody"/>
        <w:bidi w:val="0"/>
        <w:spacing w:before="240" w:after="0"/>
        <w:jc w:val="left"/>
        <w:rPr>
          <w:rFonts w:ascii="Times New Roman" w:hAnsi="Times New Roman"/>
          <w:sz w:val="20"/>
        </w:rPr>
      </w:pPr>
      <w:r>
        <w:rPr>
          <w:rFonts w:ascii="Times New Roman" w:hAnsi="Times New Roman"/>
          <w:sz w:val="20"/>
        </w:rPr>
        <w:t xml:space="preserve">Significant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 </w:t>
      </w:r>
    </w:p>
    <w:p>
      <w:pPr>
        <w:pStyle w:val="TextBody"/>
        <w:bidi w:val="0"/>
        <w:spacing w:before="240" w:after="0"/>
        <w:jc w:val="left"/>
        <w:rPr>
          <w:rFonts w:ascii="Times New Roman" w:hAnsi="Times New Roman"/>
          <w:sz w:val="20"/>
        </w:rPr>
      </w:pPr>
      <w:r>
        <w:rPr>
          <w:rFonts w:ascii="Times New Roman" w:hAnsi="Times New Roman"/>
          <w:sz w:val="20"/>
        </w:rPr>
        <w:t xml:space="preserve">TIA means the Trust Indenture Act of 1939 (15 U.S. Code Section 77aaa-77bbbb) as in effect on the date of this Indenture (except as provided in Section 8.3).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U.S. Government Obligations means direct non-callable obligations of, or non-callable obligations guaranteed by, the United States of America for the payment of which obligation or guarantee the full faith and credit of the United States of America is pledged. </w:t>
      </w:r>
    </w:p>
    <w:p>
      <w:pPr>
        <w:pStyle w:val="TextBody"/>
        <w:bidi w:val="0"/>
        <w:spacing w:before="360" w:after="0"/>
        <w:jc w:val="left"/>
        <w:rPr>
          <w:rFonts w:ascii="Times New Roman" w:hAnsi="Times New Roman"/>
          <w:b/>
          <w:sz w:val="20"/>
        </w:rPr>
      </w:pPr>
      <w:r>
        <w:rPr>
          <w:rFonts w:ascii="Times New Roman" w:hAnsi="Times New Roman"/>
          <w:b/>
          <w:sz w:val="20"/>
        </w:rPr>
        <w:t xml:space="preserve">1.2. OTHER 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definitions of the following terms may be found in the sections indicated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7"/>
        <w:gridCol w:w="123"/>
        <w:gridCol w:w="4855"/>
      </w:tblGrid>
      <w:tr>
        <w:trPr/>
        <w:tc>
          <w:tcPr>
            <w:tcW w:w="52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r>
      <w:tr>
        <w:trPr/>
        <w:tc>
          <w:tcPr>
            <w:tcW w:w="522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TERM</w:t>
            </w:r>
          </w:p>
        </w:tc>
        <w:tc>
          <w:tcPr>
            <w:tcW w:w="123" w:type="dxa"/>
            <w:tcBorders/>
            <w:vAlign w:val="bottom"/>
          </w:tcPr>
          <w:p>
            <w:pPr>
              <w:pStyle w:val="TableContents"/>
              <w:bidi w:val="0"/>
              <w:spacing w:before="0" w:after="283"/>
              <w:jc w:val="left"/>
              <w:rPr/>
            </w:pPr>
            <w:r>
              <w:rPr/>
              <w:t>  </w:t>
            </w:r>
          </w:p>
        </w:tc>
        <w:tc>
          <w:tcPr>
            <w:tcW w:w="4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DEFINED IN SECTION</w:t>
            </w:r>
          </w:p>
        </w:tc>
      </w:tr>
      <w:tr>
        <w:trPr/>
        <w:tc>
          <w:tcPr>
            <w:tcW w:w="5227" w:type="dxa"/>
            <w:tcBorders/>
          </w:tcPr>
          <w:p>
            <w:pPr>
              <w:pStyle w:val="TableContents"/>
              <w:bidi w:val="0"/>
              <w:spacing w:before="0" w:after="283"/>
              <w:jc w:val="left"/>
              <w:rPr/>
            </w:pPr>
            <w:r>
              <w:rPr/>
              <w:t>Bankruptcy Law</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6.1</w:t>
            </w:r>
          </w:p>
        </w:tc>
      </w:tr>
      <w:tr>
        <w:trPr/>
        <w:tc>
          <w:tcPr>
            <w:tcW w:w="5227" w:type="dxa"/>
            <w:tcBorders/>
          </w:tcPr>
          <w:p>
            <w:pPr>
              <w:pStyle w:val="TableContents"/>
              <w:bidi w:val="0"/>
              <w:spacing w:before="0" w:after="283"/>
              <w:jc w:val="left"/>
              <w:rPr/>
            </w:pPr>
            <w:r>
              <w:rPr/>
              <w:t>Business Day</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10.7</w:t>
            </w:r>
          </w:p>
        </w:tc>
      </w:tr>
      <w:tr>
        <w:trPr/>
        <w:tc>
          <w:tcPr>
            <w:tcW w:w="5227" w:type="dxa"/>
            <w:tcBorders/>
          </w:tcPr>
          <w:p>
            <w:pPr>
              <w:pStyle w:val="TableContents"/>
              <w:bidi w:val="0"/>
              <w:spacing w:before="0" w:after="283"/>
              <w:jc w:val="left"/>
              <w:rPr/>
            </w:pPr>
            <w:r>
              <w:rPr/>
              <w:t>Covenant Defeasance</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9.3</w:t>
            </w:r>
          </w:p>
        </w:tc>
      </w:tr>
      <w:tr>
        <w:trPr/>
        <w:tc>
          <w:tcPr>
            <w:tcW w:w="5227" w:type="dxa"/>
            <w:tcBorders/>
          </w:tcPr>
          <w:p>
            <w:pPr>
              <w:pStyle w:val="TableContents"/>
              <w:bidi w:val="0"/>
              <w:spacing w:before="0" w:after="283"/>
              <w:jc w:val="left"/>
              <w:rPr/>
            </w:pPr>
            <w:r>
              <w:rPr/>
              <w:t>Custodian</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6.1</w:t>
            </w:r>
          </w:p>
        </w:tc>
      </w:tr>
      <w:tr>
        <w:trPr/>
        <w:tc>
          <w:tcPr>
            <w:tcW w:w="5227" w:type="dxa"/>
            <w:tcBorders/>
          </w:tcPr>
          <w:p>
            <w:pPr>
              <w:pStyle w:val="TableContents"/>
              <w:bidi w:val="0"/>
              <w:spacing w:before="0" w:after="283"/>
              <w:jc w:val="left"/>
              <w:rPr/>
            </w:pPr>
            <w:r>
              <w:rPr/>
              <w:t>Event of Default</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6.1</w:t>
            </w:r>
          </w:p>
        </w:tc>
      </w:tr>
      <w:tr>
        <w:trPr/>
        <w:tc>
          <w:tcPr>
            <w:tcW w:w="5227" w:type="dxa"/>
            <w:tcBorders/>
          </w:tcPr>
          <w:p>
            <w:pPr>
              <w:pStyle w:val="TableContents"/>
              <w:bidi w:val="0"/>
              <w:spacing w:before="0" w:after="283"/>
              <w:jc w:val="left"/>
              <w:rPr/>
            </w:pPr>
            <w:r>
              <w:rPr/>
              <w:t>Journal</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10.15</w:t>
            </w:r>
          </w:p>
        </w:tc>
      </w:tr>
      <w:tr>
        <w:trPr/>
        <w:tc>
          <w:tcPr>
            <w:tcW w:w="5227" w:type="dxa"/>
            <w:tcBorders/>
          </w:tcPr>
          <w:p>
            <w:pPr>
              <w:pStyle w:val="TableContents"/>
              <w:bidi w:val="0"/>
              <w:spacing w:before="0" w:after="283"/>
              <w:jc w:val="left"/>
              <w:rPr/>
            </w:pPr>
            <w:r>
              <w:rPr/>
              <w:t>Judgment Currency</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10.16</w:t>
            </w:r>
          </w:p>
        </w:tc>
      </w:tr>
      <w:tr>
        <w:trPr/>
        <w:tc>
          <w:tcPr>
            <w:tcW w:w="5227" w:type="dxa"/>
            <w:tcBorders/>
          </w:tcPr>
          <w:p>
            <w:pPr>
              <w:pStyle w:val="TableContents"/>
              <w:bidi w:val="0"/>
              <w:spacing w:before="0" w:after="283"/>
              <w:jc w:val="left"/>
              <w:rPr/>
            </w:pPr>
            <w:r>
              <w:rPr/>
              <w:t>Legal Defeasance</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9.2</w:t>
            </w:r>
          </w:p>
        </w:tc>
      </w:tr>
      <w:tr>
        <w:trPr/>
        <w:tc>
          <w:tcPr>
            <w:tcW w:w="5227" w:type="dxa"/>
            <w:tcBorders/>
          </w:tcPr>
          <w:p>
            <w:pPr>
              <w:pStyle w:val="TableContents"/>
              <w:bidi w:val="0"/>
              <w:spacing w:before="0" w:after="283"/>
              <w:jc w:val="left"/>
              <w:rPr/>
            </w:pPr>
            <w:r>
              <w:rPr/>
              <w:t>Legal Holiday</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10.7</w:t>
            </w:r>
          </w:p>
        </w:tc>
      </w:tr>
      <w:tr>
        <w:trPr/>
        <w:tc>
          <w:tcPr>
            <w:tcW w:w="5227" w:type="dxa"/>
            <w:tcBorders/>
          </w:tcPr>
          <w:p>
            <w:pPr>
              <w:pStyle w:val="TableContents"/>
              <w:bidi w:val="0"/>
              <w:spacing w:before="0" w:after="283"/>
              <w:jc w:val="left"/>
              <w:rPr/>
            </w:pPr>
            <w:r>
              <w:rPr/>
              <w:t>Market Exchange Rate</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10.15</w:t>
            </w:r>
          </w:p>
        </w:tc>
      </w:tr>
      <w:tr>
        <w:trPr/>
        <w:tc>
          <w:tcPr>
            <w:tcW w:w="5227" w:type="dxa"/>
            <w:tcBorders/>
          </w:tcPr>
          <w:p>
            <w:pPr>
              <w:pStyle w:val="TableContents"/>
              <w:bidi w:val="0"/>
              <w:spacing w:before="0" w:after="283"/>
              <w:jc w:val="left"/>
              <w:rPr/>
            </w:pPr>
            <w:r>
              <w:rPr/>
              <w:t>New York Paying Agent</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2.4</w:t>
            </w:r>
          </w:p>
        </w:tc>
      </w:tr>
      <w:tr>
        <w:trPr/>
        <w:tc>
          <w:tcPr>
            <w:tcW w:w="5227" w:type="dxa"/>
            <w:tcBorders/>
          </w:tcPr>
          <w:p>
            <w:pPr>
              <w:pStyle w:val="TableContents"/>
              <w:bidi w:val="0"/>
              <w:spacing w:before="0" w:after="283"/>
              <w:jc w:val="left"/>
              <w:rPr/>
            </w:pPr>
            <w:r>
              <w:rPr/>
              <w:t>Paying Agent</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2.4</w:t>
            </w:r>
          </w:p>
        </w:tc>
      </w:tr>
      <w:tr>
        <w:trPr/>
        <w:tc>
          <w:tcPr>
            <w:tcW w:w="5227" w:type="dxa"/>
            <w:tcBorders/>
          </w:tcPr>
          <w:p>
            <w:pPr>
              <w:pStyle w:val="TableContents"/>
              <w:bidi w:val="0"/>
              <w:spacing w:before="0" w:after="283"/>
              <w:jc w:val="left"/>
              <w:rPr/>
            </w:pPr>
            <w:r>
              <w:rPr/>
              <w:t>Place of Payment</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10.7</w:t>
            </w:r>
          </w:p>
        </w:tc>
      </w:tr>
      <w:tr>
        <w:trPr/>
        <w:tc>
          <w:tcPr>
            <w:tcW w:w="5227" w:type="dxa"/>
            <w:tcBorders/>
          </w:tcPr>
          <w:p>
            <w:pPr>
              <w:pStyle w:val="TableContents"/>
              <w:bidi w:val="0"/>
              <w:spacing w:before="0" w:after="283"/>
              <w:jc w:val="left"/>
              <w:rPr/>
            </w:pPr>
            <w:r>
              <w:rPr/>
              <w:t>Registrar</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2.4</w:t>
            </w:r>
          </w:p>
        </w:tc>
      </w:tr>
      <w:tr>
        <w:trPr/>
        <w:tc>
          <w:tcPr>
            <w:tcW w:w="5227" w:type="dxa"/>
            <w:tcBorders/>
          </w:tcPr>
          <w:p>
            <w:pPr>
              <w:pStyle w:val="TableContents"/>
              <w:bidi w:val="0"/>
              <w:spacing w:before="0" w:after="283"/>
              <w:jc w:val="left"/>
              <w:rPr/>
            </w:pPr>
            <w:r>
              <w:rPr/>
              <w:t>Required Currency</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10.16</w:t>
            </w:r>
          </w:p>
        </w:tc>
      </w:tr>
      <w:tr>
        <w:trPr/>
        <w:tc>
          <w:tcPr>
            <w:tcW w:w="5227" w:type="dxa"/>
            <w:tcBorders/>
          </w:tcPr>
          <w:p>
            <w:pPr>
              <w:pStyle w:val="TableContents"/>
              <w:bidi w:val="0"/>
              <w:spacing w:before="0" w:after="283"/>
              <w:jc w:val="left"/>
              <w:rPr/>
            </w:pPr>
            <w:r>
              <w:rPr/>
              <w:t>Service Agent</w:t>
            </w:r>
          </w:p>
        </w:tc>
        <w:tc>
          <w:tcPr>
            <w:tcW w:w="123" w:type="dxa"/>
            <w:tcBorders/>
            <w:vAlign w:val="bottom"/>
          </w:tcPr>
          <w:p>
            <w:pPr>
              <w:pStyle w:val="TableContents"/>
              <w:bidi w:val="0"/>
              <w:spacing w:before="0" w:after="283"/>
              <w:jc w:val="left"/>
              <w:rPr/>
            </w:pPr>
            <w:r>
              <w:rPr/>
              <w:t>  </w:t>
            </w:r>
          </w:p>
        </w:tc>
        <w:tc>
          <w:tcPr>
            <w:tcW w:w="4855" w:type="dxa"/>
            <w:tcBorders/>
          </w:tcPr>
          <w:p>
            <w:pPr>
              <w:pStyle w:val="TableContents"/>
              <w:bidi w:val="0"/>
              <w:spacing w:before="0" w:after="283"/>
              <w:jc w:val="center"/>
              <w:rPr/>
            </w:pPr>
            <w:r>
              <w:rPr/>
              <w:t>2.4</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INCORPORATION BY REFERENCE OF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 </w:t>
      </w:r>
    </w:p>
    <w:p>
      <w:pPr>
        <w:pStyle w:val="TextBody"/>
        <w:bidi w:val="0"/>
        <w:spacing w:before="240" w:after="0"/>
        <w:jc w:val="left"/>
        <w:rPr>
          <w:rFonts w:ascii="Times New Roman" w:hAnsi="Times New Roman"/>
          <w:sz w:val="20"/>
        </w:rPr>
      </w:pPr>
      <w:r>
        <w:rPr>
          <w:rFonts w:ascii="Times New Roman" w:hAnsi="Times New Roman"/>
          <w:sz w:val="20"/>
        </w:rPr>
        <w:t xml:space="preserve">Commission means the SEC. </w:t>
      </w:r>
    </w:p>
    <w:p>
      <w:pPr>
        <w:pStyle w:val="TextBody"/>
        <w:bidi w:val="0"/>
        <w:spacing w:before="240" w:after="0"/>
        <w:jc w:val="left"/>
        <w:rPr>
          <w:rFonts w:ascii="Times New Roman" w:hAnsi="Times New Roman"/>
          <w:sz w:val="20"/>
        </w:rPr>
      </w:pPr>
      <w:r>
        <w:rPr>
          <w:rFonts w:ascii="Times New Roman" w:hAnsi="Times New Roman"/>
          <w:sz w:val="20"/>
        </w:rPr>
        <w:t xml:space="preserve">Indenture securities means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Indenture securityholder means a Holder or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Indenture to be qualified means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Indenture trustee or institutional trustee means the Trustee. </w:t>
      </w:r>
    </w:p>
    <w:p>
      <w:pPr>
        <w:pStyle w:val="TextBody"/>
        <w:bidi w:val="0"/>
        <w:spacing w:before="240" w:after="0"/>
        <w:jc w:val="left"/>
        <w:rPr>
          <w:rFonts w:ascii="Times New Roman" w:hAnsi="Times New Roman"/>
          <w:sz w:val="20"/>
        </w:rPr>
      </w:pPr>
      <w:r>
        <w:rPr>
          <w:rFonts w:ascii="Times New Roman" w:hAnsi="Times New Roman"/>
          <w:sz w:val="20"/>
        </w:rPr>
        <w:t xml:space="preserve">Obligor on the indenture securities means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in the TIA by reference to another statute or defined by SEC rule have the meanings therein assigned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RULES OF CONSTRUCTION.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herein, whether defined expressly or by reference; </w:t>
      </w:r>
    </w:p>
    <w:p>
      <w:pPr>
        <w:pStyle w:val="TextBody"/>
        <w:bidi w:val="0"/>
        <w:spacing w:before="240" w:after="0"/>
        <w:jc w:val="left"/>
        <w:rPr>
          <w:rFonts w:ascii="Times New Roman" w:hAnsi="Times New Roman"/>
          <w:sz w:val="20"/>
        </w:rPr>
      </w:pPr>
      <w:r>
        <w:rPr>
          <w:rFonts w:ascii="Times New Roman" w:hAnsi="Times New Roman"/>
          <w:sz w:val="20"/>
        </w:rPr>
        <w:t xml:space="preserve">(2) an accounting term not otherwise defined has the meaning assigned to it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(4) words in the singular include the plural, and in the plural include the singular; </w:t>
      </w:r>
    </w:p>
    <w:p>
      <w:pPr>
        <w:pStyle w:val="TextBody"/>
        <w:bidi w:val="0"/>
        <w:spacing w:before="240" w:after="0"/>
        <w:jc w:val="left"/>
        <w:rPr>
          <w:rFonts w:ascii="Times New Roman" w:hAnsi="Times New Roman"/>
          <w:sz w:val="20"/>
        </w:rPr>
      </w:pPr>
      <w:r>
        <w:rPr>
          <w:rFonts w:ascii="Times New Roman" w:hAnsi="Times New Roman"/>
          <w:sz w:val="20"/>
        </w:rPr>
        <w:t xml:space="preserve">(5) words used herein implying any gender shall apply to each gender; and </w:t>
      </w:r>
    </w:p>
    <w:p>
      <w:pPr>
        <w:pStyle w:val="TextBody"/>
        <w:bidi w:val="0"/>
        <w:spacing w:before="240" w:after="0"/>
        <w:jc w:val="left"/>
        <w:rPr>
          <w:rFonts w:ascii="Times New Roman" w:hAnsi="Times New Roman"/>
          <w:sz w:val="20"/>
        </w:rPr>
      </w:pPr>
      <w:r>
        <w:rPr>
          <w:rFonts w:ascii="Times New Roman" w:hAnsi="Times New Roman"/>
          <w:sz w:val="20"/>
        </w:rPr>
        <w:t xml:space="preserve">(6) the words herein, hereof and hereunder and other words of similar import refer to this Indenture as a whole and not to any particular Article, Section or other subdivision.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2.1. ISSUABLE IN SERIES.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                ,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2.2. ESTABLISHMENT OF TERMS OF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 </w:t>
      </w:r>
    </w:p>
    <w:p>
      <w:pPr>
        <w:pStyle w:val="TextBody"/>
        <w:bidi w:val="0"/>
        <w:spacing w:before="120" w:after="0"/>
        <w:jc w:val="left"/>
        <w:rPr>
          <w:rFonts w:ascii="Times New Roman" w:hAnsi="Times New Roman"/>
          <w:sz w:val="20"/>
        </w:rPr>
      </w:pPr>
      <w:r>
        <w:rPr>
          <w:rFonts w:ascii="Times New Roman" w:hAnsi="Times New Roman"/>
          <w:sz w:val="20"/>
        </w:rPr>
        <w:t xml:space="preserve">(1) the title of the Series (which shall distinguish the Securities of that particular Series from the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(2)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 </w:t>
      </w:r>
    </w:p>
    <w:p>
      <w:pPr>
        <w:pStyle w:val="TextBody"/>
        <w:bidi w:val="0"/>
        <w:spacing w:before="240" w:after="0"/>
        <w:jc w:val="left"/>
        <w:rPr>
          <w:rFonts w:ascii="Times New Roman" w:hAnsi="Times New Roman"/>
          <w:sz w:val="20"/>
        </w:rPr>
      </w:pPr>
      <w:r>
        <w:rPr>
          <w:rFonts w:ascii="Times New Roman" w:hAnsi="Times New Roman"/>
          <w:sz w:val="20"/>
        </w:rPr>
        <w:t xml:space="preserve">(3)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(4)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(6) the place or places where the principal of, and interest and premium, if any, on, the Securities of the Series shall be payable, or the method of such payment, if by wire transfer, mail or other means; </w:t>
      </w:r>
    </w:p>
    <w:p>
      <w:pPr>
        <w:pStyle w:val="TextBody"/>
        <w:bidi w:val="0"/>
        <w:spacing w:before="240" w:after="0"/>
        <w:jc w:val="left"/>
        <w:rPr>
          <w:rFonts w:ascii="Times New Roman" w:hAnsi="Times New Roman"/>
          <w:sz w:val="20"/>
        </w:rPr>
      </w:pPr>
      <w:r>
        <w:rPr>
          <w:rFonts w:ascii="Times New Roman" w:hAnsi="Times New Roman"/>
          <w:sz w:val="20"/>
        </w:rPr>
        <w:t xml:space="preserve">(7) if applicable, the period or periods within which, the price or prices at which and the terms and conditions upon which the Securities of the Series may be redeemed, in whole or in part, at the option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(10) if other than denominations of $1,000 and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(11) the forms of the Securities of the Series in bearer (if to be issued outside of the United States of America) or fully registered form (and, if in fully registered form, whether the Securities will be issuable as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(13) 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 </w:t>
      </w:r>
    </w:p>
    <w:p>
      <w:pPr>
        <w:pStyle w:val="TextBody"/>
        <w:bidi w:val="0"/>
        <w:spacing w:before="240" w:after="0"/>
        <w:jc w:val="left"/>
        <w:rPr>
          <w:rFonts w:ascii="Times New Roman" w:hAnsi="Times New Roman"/>
          <w:sz w:val="20"/>
        </w:rPr>
      </w:pPr>
      <w:r>
        <w:rPr>
          <w:rFonts w:ascii="Times New Roman" w:hAnsi="Times New Roman"/>
          <w:sz w:val="20"/>
        </w:rPr>
        <w:t xml:space="preserve">(14) the designation of the currency, currencies or currency units in which payment of the principal of, and interest and premium,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(15) 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(16) 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(17) the provisions, if any, relating to any collateral provided for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(18) any addition to or change in the covenants set forth in Articles 4 or 5 that applies to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(19) 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(20) the terms and conditions, if any, for conversion of the Securities into or exchange of the Securities for shares of common stock, preferred stock, other debt securities or warrants for common stock, preferred stock or other securities of any kind of the Company that apply to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(21) any Trustees, depositories, interest rate calculation agents, exchange rate calculation agents or other agents with respect to Securities of such Series if other than those appointed herein; </w:t>
      </w:r>
    </w:p>
    <w:p>
      <w:pPr>
        <w:pStyle w:val="TextBody"/>
        <w:bidi w:val="0"/>
        <w:spacing w:before="240" w:after="0"/>
        <w:jc w:val="left"/>
        <w:rPr>
          <w:rFonts w:ascii="Times New Roman" w:hAnsi="Times New Roman"/>
          <w:sz w:val="20"/>
        </w:rPr>
      </w:pPr>
      <w:r>
        <w:rPr>
          <w:rFonts w:ascii="Times New Roman" w:hAnsi="Times New Roman"/>
          <w:sz w:val="20"/>
        </w:rPr>
        <w:t xml:space="preserve">(22) the terms and conditions, if any, upon which the Securities shall be subordinated in right of payment to other Indebtedness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(23) if applicable, that the Securities of the Series, in whole or any specified part, shall be defeasible pursuant to Article 9;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any other terms of the Securities of the Series (which terms shall not be inconsistent with the provisions of this Indenture, except as permitted by Section 8.1, but which may modify or delete any provision of this Indenture insofar as it applies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 </w:t>
      </w:r>
    </w:p>
    <w:p>
      <w:pPr>
        <w:pStyle w:val="TextBody"/>
        <w:bidi w:val="0"/>
        <w:spacing w:before="360" w:after="0"/>
        <w:jc w:val="left"/>
        <w:rPr>
          <w:rFonts w:ascii="Times New Roman" w:hAnsi="Times New Roman"/>
          <w:b/>
          <w:sz w:val="20"/>
        </w:rPr>
      </w:pPr>
      <w:r>
        <w:rPr>
          <w:rFonts w:ascii="Times New Roman" w:hAnsi="Times New Roman"/>
          <w:b/>
          <w:sz w:val="20"/>
        </w:rPr>
        <w:t xml:space="preserve">2.3. EXECUTION AND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7.1)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2.4. REGISTRAR AND 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 The Company designates                     , as the New York Paying Agent, with offices at                     . </w:t>
      </w:r>
    </w:p>
    <w:p>
      <w:pPr>
        <w:pStyle w:val="TextBody"/>
        <w:bidi w:val="0"/>
        <w:spacing w:before="360" w:after="0"/>
        <w:jc w:val="left"/>
        <w:rPr>
          <w:rFonts w:ascii="Times New Roman" w:hAnsi="Times New Roman"/>
          <w:b/>
          <w:sz w:val="20"/>
        </w:rPr>
      </w:pPr>
      <w:r>
        <w:rPr>
          <w:rFonts w:ascii="Times New Roman" w:hAnsi="Times New Roman"/>
          <w:b/>
          <w:sz w:val="20"/>
        </w:rPr>
        <w:t xml:space="preserve">2.5. PAYING AGENT TO HOLD ASSETS IN TRUST. </w:t>
      </w:r>
    </w:p>
    <w:p>
      <w:pPr>
        <w:pStyle w:val="TextBody"/>
        <w:bidi w:val="0"/>
        <w:spacing w:before="120" w:after="0"/>
        <w:jc w:val="left"/>
        <w:rPr>
          <w:rFonts w:ascii="Times New Roman" w:hAnsi="Times New Roman"/>
          <w:sz w:val="20"/>
        </w:rPr>
      </w:pPr>
      <w:r>
        <w:rPr>
          <w:rFonts w:ascii="Times New Roman" w:hAnsi="Times New Roman"/>
          <w:sz w:val="20"/>
        </w:rPr>
        <w:t xml:space="preserve">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 </w:t>
      </w:r>
    </w:p>
    <w:p>
      <w:pPr>
        <w:pStyle w:val="TextBody"/>
        <w:bidi w:val="0"/>
        <w:spacing w:before="360" w:after="0"/>
        <w:jc w:val="left"/>
        <w:rPr>
          <w:rFonts w:ascii="Times New Roman" w:hAnsi="Times New Roman"/>
          <w:b/>
          <w:sz w:val="20"/>
        </w:rPr>
      </w:pPr>
      <w:r>
        <w:rPr>
          <w:rFonts w:ascii="Times New Roman" w:hAnsi="Times New Roman"/>
          <w:b/>
          <w:sz w:val="20"/>
        </w:rPr>
        <w:t xml:space="preserve">2.6. SECURITYHOLDER LISTS.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2.7.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Securities are issued as Global Securities, the provisions of Section 2.15 shall apply.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 </w:t>
      </w:r>
    </w:p>
    <w:p>
      <w:pPr>
        <w:pStyle w:val="TextBody"/>
        <w:bidi w:val="0"/>
        <w:spacing w:before="360" w:after="0"/>
        <w:jc w:val="left"/>
        <w:rPr>
          <w:rFonts w:ascii="Times New Roman" w:hAnsi="Times New Roman"/>
          <w:b/>
          <w:sz w:val="20"/>
        </w:rPr>
      </w:pPr>
      <w:r>
        <w:rPr>
          <w:rFonts w:ascii="Times New Roman" w:hAnsi="Times New Roman"/>
          <w:b/>
          <w:sz w:val="20"/>
        </w:rPr>
        <w:t xml:space="preserve">2.8. REPLACEMENT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2.9. 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Securities outstanding at any time are all Securities authenticated by the Trustee, except for those canceled by it, those delivered to it for cancellation and those described in this Section 2.9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 </w:t>
      </w:r>
    </w:p>
    <w:p>
      <w:pPr>
        <w:pStyle w:val="TextBody"/>
        <w:bidi w:val="0"/>
        <w:spacing w:before="240" w:after="0"/>
        <w:jc w:val="left"/>
        <w:rPr>
          <w:rFonts w:ascii="Times New Roman" w:hAnsi="Times New Roman"/>
          <w:sz w:val="20"/>
        </w:rPr>
      </w:pPr>
      <w:r>
        <w:rPr>
          <w:rFonts w:ascii="Times New Roman" w:hAnsi="Times New Roman"/>
          <w:sz w:val="20"/>
        </w:rPr>
        <w:t xml:space="preserve">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A Security does not cease to be outstanding solely because the Company or an Affiliate holds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2.10. WHEN TREASURY SECURITIES DISREGARDED; DETERMINATION OF HOLDERS ACTION.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 </w:t>
      </w:r>
    </w:p>
    <w:p>
      <w:pPr>
        <w:pStyle w:val="TextBody"/>
        <w:bidi w:val="0"/>
        <w:spacing w:before="360" w:after="0"/>
        <w:jc w:val="left"/>
        <w:rPr>
          <w:rFonts w:ascii="Times New Roman" w:hAnsi="Times New Roman"/>
          <w:b/>
          <w:sz w:val="20"/>
        </w:rPr>
      </w:pPr>
      <w:r>
        <w:rPr>
          <w:rFonts w:ascii="Times New Roman" w:hAnsi="Times New Roman"/>
          <w:b/>
          <w:sz w:val="20"/>
        </w:rPr>
        <w:t xml:space="preserve">2.11. TEMPORARY SECURITIES. </w:t>
      </w:r>
    </w:p>
    <w:p>
      <w:pPr>
        <w:pStyle w:val="TextBody"/>
        <w:bidi w:val="0"/>
        <w:spacing w:before="120" w:after="0"/>
        <w:jc w:val="left"/>
        <w:rPr>
          <w:rFonts w:ascii="Times New Roman" w:hAnsi="Times New Roman"/>
          <w:sz w:val="20"/>
        </w:rPr>
      </w:pPr>
      <w:r>
        <w:rPr>
          <w:rFonts w:ascii="Times New Roman" w:hAnsi="Times New Roman"/>
          <w:sz w:val="20"/>
        </w:rPr>
        <w:t xml:space="preserve">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2.12. CANCELLATION. </w:t>
      </w:r>
    </w:p>
    <w:p>
      <w:pPr>
        <w:pStyle w:val="TextBody"/>
        <w:bidi w:val="0"/>
        <w:spacing w:before="120" w:after="0"/>
        <w:jc w:val="left"/>
        <w:rPr>
          <w:rFonts w:ascii="Times New Roman" w:hAnsi="Times New Roman"/>
          <w:sz w:val="20"/>
        </w:rPr>
      </w:pPr>
      <w:r>
        <w:rPr>
          <w:rFonts w:ascii="Times New Roman" w:hAnsi="Times New Roman"/>
          <w:sz w:val="20"/>
        </w:rPr>
        <w:t xml:space="preserve">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2.13. PAYMENT OF INTEREST; DEFAULTED INTEREST; COMPUTATION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 interest, if any, to be paid.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2.2 for Securities of any Series, interest on the Securities of each Series shall be computed on the basis of a 360-day year of twelve 30-day months. </w:t>
      </w:r>
    </w:p>
    <w:p>
      <w:pPr>
        <w:pStyle w:val="TextBody"/>
        <w:bidi w:val="0"/>
        <w:spacing w:before="360" w:after="0"/>
        <w:jc w:val="left"/>
        <w:rPr>
          <w:rFonts w:ascii="Times New Roman" w:hAnsi="Times New Roman"/>
          <w:b/>
          <w:sz w:val="20"/>
        </w:rPr>
      </w:pPr>
      <w:r>
        <w:rPr>
          <w:rFonts w:ascii="Times New Roman" w:hAnsi="Times New Roman"/>
          <w:b/>
          <w:sz w:val="20"/>
        </w:rPr>
        <w:t xml:space="preserve">2.14. CUSIP NUMBER. </w:t>
      </w:r>
    </w:p>
    <w:p>
      <w:pPr>
        <w:pStyle w:val="TextBody"/>
        <w:bidi w:val="0"/>
        <w:spacing w:before="120" w:after="0"/>
        <w:jc w:val="left"/>
        <w:rPr>
          <w:rFonts w:ascii="Times New Roman" w:hAnsi="Times New Roman"/>
          <w:sz w:val="20"/>
        </w:rPr>
      </w:pPr>
      <w:r>
        <w:rPr>
          <w:rFonts w:ascii="Times New Roman" w:hAnsi="Times New Roman"/>
          <w:sz w:val="20"/>
        </w:rPr>
        <w:t xml:space="preserve">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2.15. PROVISIONS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A Board Resolution, a supplemental indenture hereto or an Officers Certificate shall establish whether the Securities of a Series shall be issued in whole or in part in the form of one or more Global Securities, and the Depository for such Global Securities or Securities.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(c) Any Global Security issued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(d) The Depository,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the other provisions of this Indenture, unless otherwise specified as contemplated by Section 2.2, payment of the principal of, and interest and premium, if any, on, any Global Security shall be made to the Depository or its nominee in its capacity as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2.16. PERSONS DEEMED OWNERS. </w:t>
      </w:r>
    </w:p>
    <w:p>
      <w:pPr>
        <w:pStyle w:val="TextBody"/>
        <w:bidi w:val="0"/>
        <w:spacing w:before="120" w:after="0"/>
        <w:jc w:val="left"/>
        <w:rPr>
          <w:rFonts w:ascii="Times New Roman" w:hAnsi="Times New Roman"/>
          <w:sz w:val="20"/>
        </w:rPr>
      </w:pPr>
      <w:r>
        <w:rPr>
          <w:rFonts w:ascii="Times New Roman" w:hAnsi="Times New Roman"/>
          <w:sz w:val="20"/>
        </w:rPr>
        <w:t xml:space="preserve">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w:t>
      </w:r>
    </w:p>
    <w:p>
      <w:pPr>
        <w:pStyle w:val="TextBody"/>
        <w:bidi w:val="0"/>
        <w:spacing w:before="240" w:after="0"/>
        <w:jc w:val="left"/>
        <w:rPr>
          <w:rFonts w:ascii="Times New Roman" w:hAnsi="Times New Roman"/>
          <w:b/>
          <w:sz w:val="20"/>
        </w:rPr>
      </w:pPr>
      <w:r>
        <w:rPr>
          <w:rFonts w:ascii="Times New Roman" w:hAnsi="Times New Roman"/>
          <w:b/>
          <w:sz w:val="20"/>
        </w:rPr>
        <w:t xml:space="preserve">3.1. NOTICES TO TRUSTEE.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 </w:t>
      </w:r>
    </w:p>
    <w:p>
      <w:pPr>
        <w:pStyle w:val="TextBody"/>
        <w:bidi w:val="0"/>
        <w:spacing w:before="360" w:after="0"/>
        <w:jc w:val="left"/>
        <w:rPr>
          <w:rFonts w:ascii="Times New Roman" w:hAnsi="Times New Roman"/>
          <w:b/>
          <w:sz w:val="20"/>
        </w:rPr>
      </w:pPr>
      <w:r>
        <w:rPr>
          <w:rFonts w:ascii="Times New Roman" w:hAnsi="Times New Roman"/>
          <w:b/>
          <w:sz w:val="20"/>
        </w:rPr>
        <w:t xml:space="preserve">3.2. SELECTION BY TRUSTEE OF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3.3.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and shall state: </w:t>
      </w:r>
    </w:p>
    <w:p>
      <w:pPr>
        <w:pStyle w:val="TextBody"/>
        <w:bidi w:val="0"/>
        <w:spacing w:before="24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(2) the redemption price, and that such redemption price shall become due and payable 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(3) 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(4) the name and address of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(5) that Securities of a Series called for redemption must be surrendered to the Paying Agent to collect the redemption price, and the place or places where each such Security is to be surrendered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(6) 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 </w:t>
      </w:r>
    </w:p>
    <w:p>
      <w:pPr>
        <w:pStyle w:val="TextBody"/>
        <w:bidi w:val="0"/>
        <w:spacing w:before="240" w:after="0"/>
        <w:jc w:val="left"/>
        <w:rPr>
          <w:rFonts w:ascii="Times New Roman" w:hAnsi="Times New Roman"/>
          <w:sz w:val="20"/>
        </w:rPr>
      </w:pPr>
      <w:r>
        <w:rPr>
          <w:rFonts w:ascii="Times New Roman" w:hAnsi="Times New Roman"/>
          <w:sz w:val="20"/>
        </w:rPr>
        <w:t xml:space="preserve">(8) the CUSIP number, if any, printed on the Securities being redeemed; and </w:t>
      </w:r>
    </w:p>
    <w:p>
      <w:pPr>
        <w:pStyle w:val="TextBody"/>
        <w:bidi w:val="0"/>
        <w:spacing w:before="240" w:after="0"/>
        <w:jc w:val="left"/>
        <w:rPr>
          <w:rFonts w:ascii="Times New Roman" w:hAnsi="Times New Roman"/>
          <w:sz w:val="20"/>
        </w:rPr>
      </w:pPr>
      <w:r>
        <w:rPr>
          <w:rFonts w:ascii="Times New Roman" w:hAnsi="Times New Roman"/>
          <w:sz w:val="20"/>
        </w:rPr>
        <w:t xml:space="preserve">(9) that no representation is made as to the correctness or accuracy of the CUSIP number, if any, listed in such notice or printed on the Securities. </w:t>
      </w:r>
    </w:p>
    <w:p>
      <w:pPr>
        <w:pStyle w:val="TextBody"/>
        <w:bidi w:val="0"/>
        <w:spacing w:before="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the Companys sole expense. </w:t>
      </w:r>
    </w:p>
    <w:p>
      <w:pPr>
        <w:pStyle w:val="TextBody"/>
        <w:bidi w:val="0"/>
        <w:spacing w:before="360" w:after="0"/>
        <w:jc w:val="left"/>
        <w:rPr>
          <w:rFonts w:ascii="Times New Roman" w:hAnsi="Times New Roman"/>
          <w:b/>
          <w:sz w:val="20"/>
        </w:rPr>
      </w:pPr>
      <w:r>
        <w:rPr>
          <w:rFonts w:ascii="Times New Roman" w:hAnsi="Times New Roman"/>
          <w:b/>
          <w:sz w:val="20"/>
        </w:rPr>
        <w:t xml:space="preserve">3.4. EFFECT OF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 </w:t>
      </w:r>
    </w:p>
    <w:p>
      <w:pPr>
        <w:pStyle w:val="TextBody"/>
        <w:bidi w:val="0"/>
        <w:spacing w:before="360" w:after="0"/>
        <w:jc w:val="left"/>
        <w:rPr>
          <w:rFonts w:ascii="Times New Roman" w:hAnsi="Times New Roman"/>
          <w:b/>
          <w:sz w:val="20"/>
        </w:rPr>
      </w:pPr>
      <w:r>
        <w:rPr>
          <w:rFonts w:ascii="Times New Roman" w:hAnsi="Times New Roman"/>
          <w:b/>
          <w:sz w:val="20"/>
        </w:rPr>
        <w:t xml:space="preserve">3.5. DEPOSIT OF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3.6. SECURITIES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Upon surrender of a Security of a Series that is redeemed in part, the Company shall execute, and the Trustee shall authenticate, for a Holder a new Security of the same Series equal in principal amount to the unredeemed portion of the Security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4.1. PAYMENT OF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the principal of, and interest and premium, if any, on, each Series of Securities on the dates and in the manner provided in such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interest on overdue principal, and overdue interest, to the extent lawful, at the rate specified in the Series of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4.2. SEC REPORTS.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 </w:t>
      </w:r>
    </w:p>
    <w:p>
      <w:pPr>
        <w:pStyle w:val="TextBody"/>
        <w:bidi w:val="0"/>
        <w:spacing w:before="360" w:after="0"/>
        <w:jc w:val="left"/>
        <w:rPr>
          <w:rFonts w:ascii="Times New Roman" w:hAnsi="Times New Roman"/>
          <w:b/>
          <w:sz w:val="20"/>
        </w:rPr>
      </w:pPr>
      <w:r>
        <w:rPr>
          <w:rFonts w:ascii="Times New Roman" w:hAnsi="Times New Roman"/>
          <w:b/>
          <w:sz w:val="20"/>
        </w:rPr>
        <w:t xml:space="preserve">4.3. WAIVER OF STAY, EXTENSION OR USURY LAWS.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360" w:after="0"/>
        <w:jc w:val="left"/>
        <w:rPr>
          <w:rFonts w:ascii="Times New Roman" w:hAnsi="Times New Roman"/>
          <w:b/>
          <w:sz w:val="20"/>
        </w:rPr>
      </w:pPr>
      <w:r>
        <w:rPr>
          <w:rFonts w:ascii="Times New Roman" w:hAnsi="Times New Roman"/>
          <w:b/>
          <w:sz w:val="20"/>
        </w:rPr>
        <w:t xml:space="preserve">4.4. COMPLIANCE CERTIFICATE.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4.5. CORPORATE EXISTENCE.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 </w:t>
      </w:r>
    </w:p>
    <w:p>
      <w:pPr>
        <w:pStyle w:val="TextBody"/>
        <w:bidi w:val="0"/>
        <w:spacing w:before="0" w:after="0"/>
        <w:jc w:val="center"/>
        <w:rPr>
          <w:rFonts w:ascii="Times New Roman" w:hAnsi="Times New Roman"/>
          <w:b/>
          <w:sz w:val="20"/>
        </w:rPr>
      </w:pPr>
      <w:r>
        <w:rPr>
          <w:rFonts w:ascii="Times New Roman" w:hAnsi="Times New Roman"/>
          <w:b/>
          <w:sz w:val="20"/>
        </w:rPr>
        <w:t xml:space="preserve">SUCCESSOR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5.1. LIMITATION ON 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 indenture in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comply with this Section 5.1, and that all conditions precedent herein provided for relating to such transaction or transactions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5.2. SUCCESSOR PERSON SUBSTITUTED.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b/>
          <w:sz w:val="20"/>
        </w:rPr>
      </w:pPr>
      <w:r>
        <w:rPr>
          <w:rFonts w:ascii="Times New Roman" w:hAnsi="Times New Roman"/>
          <w:b/>
          <w:sz w:val="20"/>
        </w:rPr>
        <w:t xml:space="preserve">6.1.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(1) there is a default in the payment of any principal of, or premium, if any, on, the Securities when the same becomes due and payable at Maturity, upon acceleration,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(2) there is a default in the payment of any interest on any Security of a Series when the same becomes due and payable, and the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Company defaults in the observance or performance of any other covenant in the Securities of a Series or in this Indenture for 90 days after written notice from the Trustee or the Holders of not less than 25% in the aggregate principal amount of the Securities of such Series then outstanding, which notice must specify the Default, demand that it be remedied and state that the notice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(4) the Company or any Significant Subsidiary pursuant to or within the meaning of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24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(D)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sz w:val="20"/>
        </w:rPr>
        <w:t xml:space="preserve">(E) generally is not paying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(5) a court of competent jurisdiction enters an order or decree under any Bankruptcy Law that: </w:t>
      </w:r>
    </w:p>
    <w:p>
      <w:pPr>
        <w:pStyle w:val="TextBody"/>
        <w:bidi w:val="0"/>
        <w:spacing w:before="240" w:after="0"/>
        <w:jc w:val="left"/>
        <w:rPr>
          <w:rFonts w:ascii="Times New Roman" w:hAnsi="Times New Roman"/>
          <w:sz w:val="20"/>
        </w:rPr>
      </w:pPr>
      <w:r>
        <w:rPr>
          <w:rFonts w:ascii="Times New Roman" w:hAnsi="Times New Roman"/>
          <w:sz w:val="20"/>
        </w:rPr>
        <w:t xml:space="preserve">(A) is for relief against the Company or any Significant Subsidiary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(B) appoints a Custodian of the Company or any Significant Subsidiary, or for all or substantially all of the property of the Company or any Significant Subsidiary; or </w:t>
      </w:r>
    </w:p>
    <w:p>
      <w:pPr>
        <w:pStyle w:val="TextBody"/>
        <w:bidi w:val="0"/>
        <w:spacing w:before="240" w:after="0"/>
        <w:jc w:val="left"/>
        <w:rPr>
          <w:rFonts w:ascii="Times New Roman" w:hAnsi="Times New Roman"/>
          <w:sz w:val="20"/>
        </w:rPr>
      </w:pPr>
      <w:r>
        <w:rPr>
          <w:rFonts w:ascii="Times New Roman" w:hAnsi="Times New Roman"/>
          <w:sz w:val="20"/>
        </w:rPr>
        <w:t xml:space="preserve">(C) orders the liquidation of the Company or any Significant Subsidiary, and the order or decree remains unstayed and in effect for 90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(6) any other Event of Default provided with respect to Securities of that Series, which is specified in a Board Resolution, a supplemental indenture hereto or an Officers Certificate, in accordance with Section 2.2(19). </w:t>
      </w:r>
    </w:p>
    <w:p>
      <w:pPr>
        <w:pStyle w:val="TextBody"/>
        <w:bidi w:val="0"/>
        <w:spacing w:before="240" w:after="0"/>
        <w:jc w:val="left"/>
        <w:rPr>
          <w:rFonts w:ascii="Times New Roman" w:hAnsi="Times New Roman"/>
          <w:sz w:val="20"/>
        </w:rPr>
      </w:pPr>
      <w:r>
        <w:rPr>
          <w:rFonts w:ascii="Times New Roman" w:hAnsi="Times New Roman"/>
          <w:sz w:val="20"/>
        </w:rPr>
        <w:t xml:space="preserve">The term Bankruptcy Law means Title 11, U.S. Code, or any similar federal or state law for the relief of debtors. The term Custodian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withhold notice of any Default (except in the payment of the principal of, or interest or premium, if any, on, the Securities) to the Holders of the Securities of any Series in accordance with Section 7.5. When a Default is cured, it ceases to exist. </w:t>
      </w:r>
    </w:p>
    <w:p>
      <w:pPr>
        <w:pStyle w:val="TextBody"/>
        <w:bidi w:val="0"/>
        <w:spacing w:before="360" w:after="0"/>
        <w:jc w:val="left"/>
        <w:rPr>
          <w:rFonts w:ascii="Times New Roman" w:hAnsi="Times New Roman"/>
          <w:b/>
          <w:sz w:val="20"/>
        </w:rPr>
      </w:pPr>
      <w:r>
        <w:rPr>
          <w:rFonts w:ascii="Times New Roman" w:hAnsi="Times New Roman"/>
          <w:b/>
          <w:sz w:val="20"/>
        </w:rPr>
        <w:t xml:space="preserve">6.2. ACCELERATION.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6.3. REMEDIES.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6.4. WAIVER OF PAST DEFAULTS AND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 </w:t>
      </w:r>
    </w:p>
    <w:p>
      <w:pPr>
        <w:pStyle w:val="TextBody"/>
        <w:bidi w:val="0"/>
        <w:spacing w:before="360" w:after="0"/>
        <w:jc w:val="left"/>
        <w:rPr>
          <w:rFonts w:ascii="Times New Roman" w:hAnsi="Times New Roman"/>
          <w:b/>
          <w:sz w:val="20"/>
        </w:rPr>
      </w:pPr>
      <w:r>
        <w:rPr>
          <w:rFonts w:ascii="Times New Roman" w:hAnsi="Times New Roman"/>
          <w:b/>
          <w:sz w:val="20"/>
        </w:rPr>
        <w:t xml:space="preserve">6.5. CONTROL BY MAJORITY.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 </w:t>
      </w:r>
    </w:p>
    <w:p>
      <w:pPr>
        <w:pStyle w:val="TextBody"/>
        <w:bidi w:val="0"/>
        <w:spacing w:before="360" w:after="0"/>
        <w:jc w:val="left"/>
        <w:rPr>
          <w:rFonts w:ascii="Times New Roman" w:hAnsi="Times New Roman"/>
          <w:b/>
          <w:sz w:val="20"/>
        </w:rPr>
      </w:pPr>
      <w:r>
        <w:rPr>
          <w:rFonts w:ascii="Times New Roman" w:hAnsi="Times New Roman"/>
          <w:b/>
          <w:sz w:val="20"/>
        </w:rPr>
        <w:t xml:space="preserve">6.6.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6.7, a Securityholder may not institute any proceeding or pursue any remedy with respect to this Indenture or the Securities of a Series unless: </w:t>
      </w:r>
    </w:p>
    <w:p>
      <w:pPr>
        <w:pStyle w:val="TextBody"/>
        <w:bidi w:val="0"/>
        <w:spacing w:before="120" w:after="0"/>
        <w:jc w:val="left"/>
        <w:rPr>
          <w:rFonts w:ascii="Times New Roman" w:hAnsi="Times New Roman"/>
          <w:sz w:val="20"/>
        </w:rPr>
      </w:pPr>
      <w:r>
        <w:rPr>
          <w:rFonts w:ascii="Times New Roman" w:hAnsi="Times New Roman"/>
          <w:sz w:val="20"/>
        </w:rPr>
        <w:t xml:space="preserve">(1) the Holder gives to the Trustee written notice of a continuing Event of Default with respect to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at least 25% in aggregate principal amount of the Securities of such Series then outstanding make a written request to the Trustee to pursue the remedy; </w:t>
      </w:r>
    </w:p>
    <w:p>
      <w:pPr>
        <w:pStyle w:val="TextBody"/>
        <w:bidi w:val="0"/>
        <w:spacing w:before="240" w:after="0"/>
        <w:jc w:val="left"/>
        <w:rPr>
          <w:rFonts w:ascii="Times New Roman" w:hAnsi="Times New Roman"/>
          <w:sz w:val="20"/>
        </w:rPr>
      </w:pPr>
      <w:r>
        <w:rPr>
          <w:rFonts w:ascii="Times New Roman" w:hAnsi="Times New Roman"/>
          <w:sz w:val="20"/>
        </w:rPr>
        <w:t xml:space="preserve">(3) such Holder or Holders offer to the Trustee indemnity reasonably satisfactory to the Trustee against any loss, liability or expense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(4) the Trustee does not comply with the request within 60 days after receipt of the request and the offer of indemnity; and </w:t>
      </w:r>
    </w:p>
    <w:p>
      <w:pPr>
        <w:pStyle w:val="TextBody"/>
        <w:bidi w:val="0"/>
        <w:spacing w:before="240" w:after="0"/>
        <w:jc w:val="left"/>
        <w:rPr>
          <w:rFonts w:ascii="Times New Roman" w:hAnsi="Times New Roman"/>
          <w:sz w:val="20"/>
        </w:rPr>
      </w:pPr>
      <w:r>
        <w:rPr>
          <w:rFonts w:ascii="Times New Roman" w:hAnsi="Times New Roman"/>
          <w:sz w:val="20"/>
        </w:rPr>
        <w:t xml:space="preserve">(5) no direction inconsistent with such written request has been given to the Trustee during such 60-day period by the Holders of a majority in aggregate principal amount of the Securities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A Securityholder may not use this Indenture to prejudice the rights of another Securityholder, or to obtain a preference or priority over another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6.7. RIGHTS OF HOLDERS TO RECEIVE PAYMENT.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6.8. COLLECTION SUIT BY TRUSTEE.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 </w:t>
      </w:r>
    </w:p>
    <w:p>
      <w:pPr>
        <w:pStyle w:val="TextBody"/>
        <w:bidi w:val="0"/>
        <w:spacing w:before="360" w:after="0"/>
        <w:jc w:val="left"/>
        <w:rPr>
          <w:rFonts w:ascii="Times New Roman" w:hAnsi="Times New Roman"/>
          <w:b/>
          <w:sz w:val="20"/>
        </w:rPr>
      </w:pPr>
      <w:r>
        <w:rPr>
          <w:rFonts w:ascii="Times New Roman" w:hAnsi="Times New Roman"/>
          <w:b/>
          <w:sz w:val="20"/>
        </w:rPr>
        <w:t xml:space="preserve">6.9. TRUSTEE MAY FILE PROOFS OF CLAIM.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 </w:t>
      </w:r>
    </w:p>
    <w:p>
      <w:pPr>
        <w:pStyle w:val="TextBody"/>
        <w:bidi w:val="0"/>
        <w:spacing w:before="360" w:after="0"/>
        <w:jc w:val="left"/>
        <w:rPr>
          <w:rFonts w:ascii="Times New Roman" w:hAnsi="Times New Roman"/>
          <w:b/>
          <w:sz w:val="20"/>
        </w:rPr>
      </w:pPr>
      <w:r>
        <w:rPr>
          <w:rFonts w:ascii="Times New Roman" w:hAnsi="Times New Roman"/>
          <w:b/>
          <w:sz w:val="20"/>
        </w:rPr>
        <w:t xml:space="preserve">6.10. PRIORITIES.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collects any money pursuant to this Article 6, it shall pay out the money in the following order: </w:t>
      </w:r>
    </w:p>
    <w:p>
      <w:pPr>
        <w:pStyle w:val="TextBody"/>
        <w:bidi w:val="0"/>
        <w:spacing w:before="240" w:after="0"/>
        <w:jc w:val="left"/>
        <w:rPr>
          <w:rFonts w:ascii="Times New Roman" w:hAnsi="Times New Roman"/>
          <w:sz w:val="20"/>
        </w:rPr>
      </w:pPr>
      <w:r>
        <w:rPr>
          <w:rFonts w:ascii="Times New Roman" w:hAnsi="Times New Roman"/>
          <w:sz w:val="20"/>
        </w:rPr>
        <w:t xml:space="preserve">FIRST: to the Trustee for amounts due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Securityholders pursuant to this Section 6.10. At least 15 days before such record date, the Trustee shall mail to each Securityholder a notice that states the record date, the payment date and amount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6.11.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left"/>
        <w:rPr>
          <w:rFonts w:ascii="Times New Roman" w:hAnsi="Times New Roman"/>
          <w:b/>
          <w:sz w:val="20"/>
        </w:rPr>
      </w:pPr>
      <w:r>
        <w:rPr>
          <w:rFonts w:ascii="Times New Roman" w:hAnsi="Times New Roman"/>
          <w:b/>
          <w:sz w:val="20"/>
        </w:rPr>
        <w:t xml:space="preserve">7.1. DUTIES OF TRUSTEE. </w:t>
      </w:r>
    </w:p>
    <w:p>
      <w:pPr>
        <w:pStyle w:val="TextBody"/>
        <w:bidi w:val="0"/>
        <w:spacing w:before="120" w:after="0"/>
        <w:jc w:val="left"/>
        <w:rPr>
          <w:rFonts w:ascii="Times New Roman" w:hAnsi="Times New Roman"/>
          <w:sz w:val="20"/>
        </w:rPr>
      </w:pPr>
      <w:r>
        <w:rPr>
          <w:rFonts w:ascii="Times New Roman" w:hAnsi="Times New Roman"/>
          <w:sz w:val="20"/>
        </w:rPr>
        <w:t xml:space="preserve">(a) 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The Trustee need perform only those duties that are specifically set forth in this Indenture, and no covenants or obligations shall be implied in this Indenture against the Trustee. </w:t>
      </w:r>
    </w:p>
    <w:p>
      <w:pPr>
        <w:pStyle w:val="TextBody"/>
        <w:bidi w:val="0"/>
        <w:spacing w:before="240" w:after="0"/>
        <w:jc w:val="left"/>
        <w:rPr>
          <w:rFonts w:ascii="Times New Roman" w:hAnsi="Times New Roman"/>
          <w:sz w:val="20"/>
        </w:rPr>
      </w:pPr>
      <w:r>
        <w:rPr>
          <w:rFonts w:ascii="Times New Roman" w:hAnsi="Times New Roman"/>
          <w:sz w:val="20"/>
        </w:rPr>
        <w:t xml:space="preserve">(2)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240" w:after="0"/>
        <w:jc w:val="left"/>
        <w:rPr>
          <w:rFonts w:ascii="Times New Roman" w:hAnsi="Times New Roman"/>
          <w:sz w:val="20"/>
        </w:rPr>
      </w:pPr>
      <w:r>
        <w:rPr>
          <w:rFonts w:ascii="Times New Roman" w:hAnsi="Times New Roman"/>
          <w:sz w:val="20"/>
        </w:rPr>
        <w:t xml:space="preserve">(1) This paragraph does not limit the effect of paragraph (b) of this Section 7.1.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not be liable for any error of judgment made in good faith by a Responsible Officer, unless it is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not be liable with respect to any action it takes or omits to take in good faith in accordance with a direction received by it pursuant to Sections 6.2 and 6.5. </w:t>
      </w:r>
    </w:p>
    <w:p>
      <w:pPr>
        <w:pStyle w:val="TextBody"/>
        <w:bidi w:val="0"/>
        <w:spacing w:before="240" w:after="0"/>
        <w:jc w:val="left"/>
        <w:rPr>
          <w:rFonts w:ascii="Times New Roman" w:hAnsi="Times New Roman"/>
          <w:sz w:val="20"/>
        </w:rPr>
      </w:pPr>
      <w:r>
        <w:rPr>
          <w:rFonts w:ascii="Times New Roman" w:hAnsi="Times New Roman"/>
          <w:sz w:val="20"/>
        </w:rPr>
        <w:t xml:space="preserve">(d) 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(e) Whether or not therein expressly so provided, paragraphs (a), (b), (c) and (d) of this Section 7.1 shall govern every provision of this Indenture that in any way relates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(f) 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 </w:t>
      </w:r>
    </w:p>
    <w:p>
      <w:pPr>
        <w:pStyle w:val="TextBody"/>
        <w:bidi w:val="0"/>
        <w:spacing w:before="240" w:after="0"/>
        <w:jc w:val="left"/>
        <w:rPr>
          <w:rFonts w:ascii="Times New Roman" w:hAnsi="Times New Roman"/>
          <w:sz w:val="20"/>
        </w:rPr>
      </w:pPr>
      <w:r>
        <w:rPr>
          <w:rFonts w:ascii="Times New Roman" w:hAnsi="Times New Roman"/>
          <w:sz w:val="20"/>
        </w:rPr>
        <w:t xml:space="preserve">(g) The Paying Agent, the Registrar and any authenticating agent shall be entitled to the protections, immunities and standard of care set forth in paragraphs (a), (b), (c), (d) and (f) of this Section 7.1 and in Section 7.2 with respect to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7.2. RIGHTS OF TRUSTEE.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7.1: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rely on, and shall be protected in acting or refraining from acting upon, any document reasonably believed by it to be genuine and to have been signed or presented by the proper Person. The Trustee need not investigate any fact or matter stated in the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 </w:t>
      </w:r>
    </w:p>
    <w:p>
      <w:pPr>
        <w:pStyle w:val="TextBody"/>
        <w:bidi w:val="0"/>
        <w:spacing w:before="240" w:after="0"/>
        <w:jc w:val="left"/>
        <w:rPr>
          <w:rFonts w:ascii="Times New Roman" w:hAnsi="Times New Roman"/>
          <w:sz w:val="20"/>
        </w:rPr>
      </w:pPr>
      <w:r>
        <w:rPr>
          <w:rFonts w:ascii="Times New Roman" w:hAnsi="Times New Roman"/>
          <w:sz w:val="20"/>
        </w:rPr>
        <w:t xml:space="preserve">(3) The Trustee may act through agents and attorneys, and shall not be responsible for the misconduct or negligence of any agent appointed by it with due care. </w:t>
      </w:r>
    </w:p>
    <w:p>
      <w:pPr>
        <w:pStyle w:val="TextBody"/>
        <w:bidi w:val="0"/>
        <w:spacing w:before="240" w:after="0"/>
        <w:jc w:val="left"/>
        <w:rPr>
          <w:rFonts w:ascii="Times New Roman" w:hAnsi="Times New Roman"/>
          <w:sz w:val="20"/>
        </w:rPr>
      </w:pPr>
      <w:r>
        <w:rPr>
          <w:rFonts w:ascii="Times New Roman" w:hAnsi="Times New Roman"/>
          <w:sz w:val="20"/>
        </w:rPr>
        <w:t xml:space="preserve">(4) The Trustee shall not be liable for any action it takes or omits to take in good faith which it reasonably believes to be authorized or within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(5) 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 </w:t>
      </w:r>
    </w:p>
    <w:p>
      <w:pPr>
        <w:pStyle w:val="TextBody"/>
        <w:bidi w:val="0"/>
        <w:spacing w:before="240" w:after="0"/>
        <w:jc w:val="left"/>
        <w:rPr>
          <w:rFonts w:ascii="Times New Roman" w:hAnsi="Times New Roman"/>
          <w:sz w:val="20"/>
        </w:rPr>
      </w:pPr>
      <w:r>
        <w:rPr>
          <w:rFonts w:ascii="Times New Roman" w:hAnsi="Times New Roman"/>
          <w:sz w:val="20"/>
        </w:rPr>
        <w:t xml:space="preserve">(6) 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(7) The Trustee shall not be deemed to have knowledge of any fact or matter (including, without limitation, a Default or Event of Default) unless such fact or matter is known to a Responsible Officer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(8) 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 </w:t>
      </w:r>
    </w:p>
    <w:p>
      <w:pPr>
        <w:pStyle w:val="TextBody"/>
        <w:bidi w:val="0"/>
        <w:spacing w:before="360" w:after="0"/>
        <w:jc w:val="left"/>
        <w:rPr>
          <w:rFonts w:ascii="Times New Roman" w:hAnsi="Times New Roman"/>
          <w:b/>
          <w:sz w:val="20"/>
        </w:rPr>
      </w:pPr>
      <w:r>
        <w:rPr>
          <w:rFonts w:ascii="Times New Roman" w:hAnsi="Times New Roman"/>
          <w:b/>
          <w:sz w:val="20"/>
        </w:rPr>
        <w:t xml:space="preserve">7.3. INDIVIDUAL RIGHTS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 </w:t>
      </w:r>
    </w:p>
    <w:p>
      <w:pPr>
        <w:pStyle w:val="TextBody"/>
        <w:bidi w:val="0"/>
        <w:spacing w:before="360" w:after="0"/>
        <w:jc w:val="left"/>
        <w:rPr>
          <w:rFonts w:ascii="Times New Roman" w:hAnsi="Times New Roman"/>
          <w:b/>
          <w:sz w:val="20"/>
        </w:rPr>
      </w:pPr>
      <w:r>
        <w:rPr>
          <w:rFonts w:ascii="Times New Roman" w:hAnsi="Times New Roman"/>
          <w:b/>
          <w:sz w:val="20"/>
        </w:rPr>
        <w:t xml:space="preserve">7.4. TRUSTEES DISCLAIMER. </w:t>
      </w:r>
    </w:p>
    <w:p>
      <w:pPr>
        <w:pStyle w:val="TextBody"/>
        <w:bidi w:val="0"/>
        <w:spacing w:before="12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 </w:t>
      </w:r>
    </w:p>
    <w:p>
      <w:pPr>
        <w:pStyle w:val="TextBody"/>
        <w:bidi w:val="0"/>
        <w:spacing w:before="360" w:after="0"/>
        <w:jc w:val="left"/>
        <w:rPr>
          <w:rFonts w:ascii="Times New Roman" w:hAnsi="Times New Roman"/>
          <w:b/>
          <w:sz w:val="20"/>
        </w:rPr>
      </w:pPr>
      <w:r>
        <w:rPr>
          <w:rFonts w:ascii="Times New Roman" w:hAnsi="Times New Roman"/>
          <w:b/>
          <w:sz w:val="20"/>
        </w:rPr>
        <w:t xml:space="preserve">7.5. 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7.6. REPORTS BY TRUSTEE TO HOLDERS.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 </w:t>
      </w:r>
    </w:p>
    <w:p>
      <w:pPr>
        <w:pStyle w:val="TextBody"/>
        <w:bidi w:val="0"/>
        <w:spacing w:before="360" w:after="0"/>
        <w:jc w:val="left"/>
        <w:rPr>
          <w:rFonts w:ascii="Times New Roman" w:hAnsi="Times New Roman"/>
          <w:b/>
          <w:sz w:val="20"/>
        </w:rPr>
      </w:pPr>
      <w:r>
        <w:rPr>
          <w:rFonts w:ascii="Times New Roman" w:hAnsi="Times New Roman"/>
          <w:b/>
          <w:sz w:val="20"/>
        </w:rPr>
        <w:t xml:space="preserve">7.7. COMPENSATION AND INDEMNITY.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 </w:t>
      </w:r>
    </w:p>
    <w:p>
      <w:pPr>
        <w:pStyle w:val="TextBody"/>
        <w:bidi w:val="0"/>
        <w:spacing w:before="240" w:after="0"/>
        <w:jc w:val="left"/>
        <w:rPr>
          <w:rFonts w:ascii="Times New Roman" w:hAnsi="Times New Roman"/>
          <w:sz w:val="20"/>
        </w:rPr>
      </w:pPr>
      <w:r>
        <w:rPr>
          <w:rFonts w:ascii="Times New Roman" w:hAnsi="Times New Roman"/>
          <w:sz w:val="20"/>
        </w:rPr>
        <w:t xml:space="preserve">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6.1(4) or (5)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7.7, the term Trustee shall include any trustee appointed pursuant to this Article 7. </w:t>
      </w:r>
    </w:p>
    <w:p>
      <w:pPr>
        <w:pStyle w:val="TextBody"/>
        <w:bidi w:val="0"/>
        <w:spacing w:before="360" w:after="0"/>
        <w:jc w:val="left"/>
        <w:rPr>
          <w:rFonts w:ascii="Times New Roman" w:hAnsi="Times New Roman"/>
          <w:b/>
          <w:sz w:val="20"/>
        </w:rPr>
      </w:pPr>
      <w:r>
        <w:rPr>
          <w:rFonts w:ascii="Times New Roman" w:hAnsi="Times New Roman"/>
          <w:b/>
          <w:sz w:val="20"/>
        </w:rPr>
        <w:t xml:space="preserve">7.8. REPLACEMENT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in writing at least 90 days in advance of such resignation.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fails to comply with, or ceases to be eligible under, Section 7.10; </w:t>
      </w:r>
    </w:p>
    <w:p>
      <w:pPr>
        <w:pStyle w:val="TextBody"/>
        <w:bidi w:val="0"/>
        <w:spacing w:before="24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(3) a Custodian or other public officer takes charge of the Trustee or its property;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Trustee otherwise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(5) If the Trustee resigns or is removed, or if a vacancy exists in the office of Trustee, with respect to any Series of Securities for any reason, the Company shall promptly appoint, by Board Resolution,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with respect to the Securities of one or more Series fails to comply with Section 7.10, any Securityholder of the applicable Series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7.9. SUCCESSOR TRUSTEE BY CONSOLIDATION, MERGER OR CONVERSION.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7.10. ELIGIBILITY; DISQUALIFICATION.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 </w:t>
      </w:r>
    </w:p>
    <w:p>
      <w:pPr>
        <w:pStyle w:val="TextBody"/>
        <w:bidi w:val="0"/>
        <w:spacing w:before="360" w:after="0"/>
        <w:jc w:val="left"/>
        <w:rPr>
          <w:rFonts w:ascii="Times New Roman" w:hAnsi="Times New Roman"/>
          <w:b/>
          <w:sz w:val="20"/>
        </w:rPr>
      </w:pPr>
      <w:r>
        <w:rPr>
          <w:rFonts w:ascii="Times New Roman" w:hAnsi="Times New Roman"/>
          <w:b/>
          <w:sz w:val="20"/>
        </w:rPr>
        <w:t xml:space="preserve">7.11. PREFERENTIAL COLLECTION OF CLAIMS AGAINST COMPANY.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comply with TIA Section 311(a), excluding any creditor relationship listed in TIA Section 311(b). A Trustee who has resigned or been removed shall be subject to TIA Section 311(a) to the extent indicated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7.12. PAYING AGENTS.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cause each Paying Agent other than the Trustee to execute and deliver to it and the Trustee an instrument in which such agent shall agree with the Trustee, subject to the provisions of this Section 7.12: </w:t>
      </w:r>
    </w:p>
    <w:p>
      <w:pPr>
        <w:pStyle w:val="TextBody"/>
        <w:bidi w:val="0"/>
        <w:spacing w:before="120" w:after="0"/>
        <w:jc w:val="left"/>
        <w:rPr>
          <w:rFonts w:ascii="Times New Roman" w:hAnsi="Times New Roman"/>
          <w:sz w:val="20"/>
        </w:rPr>
      </w:pPr>
      <w:r>
        <w:rPr>
          <w:rFonts w:ascii="Times New Roman" w:hAnsi="Times New Roman"/>
          <w:sz w:val="20"/>
        </w:rPr>
        <w:t xml:space="preserve">(1) 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(2) that it will at any time during the continuance of any Event of Default, upon written request from the Trustee, deliver to the Trustee all sums so held in trust by it together with a full accounting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SUPPLEMENTS AND WAIVERS </w:t>
      </w:r>
    </w:p>
    <w:p>
      <w:pPr>
        <w:pStyle w:val="TextBody"/>
        <w:bidi w:val="0"/>
        <w:spacing w:before="240" w:after="0"/>
        <w:jc w:val="left"/>
        <w:rPr>
          <w:rFonts w:ascii="Times New Roman" w:hAnsi="Times New Roman"/>
          <w:b/>
          <w:sz w:val="20"/>
        </w:rPr>
      </w:pPr>
      <w:r>
        <w:rPr>
          <w:rFonts w:ascii="Times New Roman" w:hAnsi="Times New Roman"/>
          <w:b/>
          <w:sz w:val="20"/>
        </w:rPr>
        <w:t xml:space="preserve">8.1. WITHOUT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when authorized by a Board Resolution, and the Trustee may amend or supplement this Indenture or the Securities of one or more Series without notice to or consent of any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(1) to comply with Section 5.1; </w:t>
      </w:r>
    </w:p>
    <w:p>
      <w:pPr>
        <w:pStyle w:val="TextBody"/>
        <w:bidi w:val="0"/>
        <w:spacing w:before="240" w:after="0"/>
        <w:jc w:val="left"/>
        <w:rPr>
          <w:rFonts w:ascii="Times New Roman" w:hAnsi="Times New Roman"/>
          <w:sz w:val="20"/>
        </w:rPr>
      </w:pPr>
      <w:r>
        <w:rPr>
          <w:rFonts w:ascii="Times New Roman" w:hAnsi="Times New Roman"/>
          <w:sz w:val="20"/>
        </w:rPr>
        <w:t xml:space="preserve">(2) to provide for certificated Securities in addition to uncertificated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(3) to comply with any requirements of the SEC under the TIA; </w:t>
      </w:r>
    </w:p>
    <w:p>
      <w:pPr>
        <w:pStyle w:val="TextBody"/>
        <w:bidi w:val="0"/>
        <w:spacing w:before="240" w:after="0"/>
        <w:jc w:val="left"/>
        <w:rPr>
          <w:rFonts w:ascii="Times New Roman" w:hAnsi="Times New Roman"/>
          <w:sz w:val="20"/>
        </w:rPr>
      </w:pPr>
      <w:r>
        <w:rPr>
          <w:rFonts w:ascii="Times New Roman" w:hAnsi="Times New Roman"/>
          <w:sz w:val="20"/>
        </w:rPr>
        <w:t xml:space="preserve">(4) to cure any ambiguity, defect or inconsistency, or to make any other change herein or in the Securities that does not materially and adversely affect the rights of any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(5) to provide for the issuance of, and establish the form and terms and conditions of, Securities of any Series as permitted by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(6)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8.2.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(1) reduce the amount of Securities whose Holders must consent to an amendment, supplement or waiver to this Indenture 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change the time for payment of, interest on any Security;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or change the Stated Maturity, of any Security, or reduce the amount of, or postpone the date fixed for, the payment of any sinking fund or analogous obligation; </w:t>
      </w:r>
    </w:p>
    <w:p>
      <w:pPr>
        <w:pStyle w:val="TextBody"/>
        <w:bidi w:val="0"/>
        <w:spacing w:before="240" w:after="0"/>
        <w:jc w:val="left"/>
        <w:rPr>
          <w:rFonts w:ascii="Times New Roman" w:hAnsi="Times New Roman"/>
          <w:sz w:val="20"/>
        </w:rPr>
      </w:pPr>
      <w:r>
        <w:rPr>
          <w:rFonts w:ascii="Times New Roman" w:hAnsi="Times New Roman"/>
          <w:sz w:val="20"/>
        </w:rPr>
        <w:t xml:space="preserve">(4) make any Security payable in money other than that stated in the Security; </w:t>
      </w:r>
    </w:p>
    <w:p>
      <w:pPr>
        <w:pStyle w:val="TextBody"/>
        <w:bidi w:val="0"/>
        <w:spacing w:before="240" w:after="0"/>
        <w:jc w:val="left"/>
        <w:rPr>
          <w:rFonts w:ascii="Times New Roman" w:hAnsi="Times New Roman"/>
          <w:sz w:val="20"/>
        </w:rPr>
      </w:pPr>
      <w:r>
        <w:rPr>
          <w:rFonts w:ascii="Times New Roman" w:hAnsi="Times New Roman"/>
          <w:sz w:val="20"/>
        </w:rPr>
        <w:t xml:space="preserve">(5) change the amount or time of any payment required by the Securities, or reduce the premium payable upon any redemption of the Securities, or change the time before which no such redemption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(7) waive a redemption payment with respect to any Security, or change any of the provisions with respect to the redemption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(8) make any changes in Section 6.6 or this Section 8.2, except to increase any percentage of Securities the Holders of which must consent to any matter; or </w:t>
      </w:r>
    </w:p>
    <w:p>
      <w:pPr>
        <w:pStyle w:val="TextBody"/>
        <w:bidi w:val="0"/>
        <w:spacing w:before="240" w:after="0"/>
        <w:jc w:val="left"/>
        <w:rPr>
          <w:rFonts w:ascii="Times New Roman" w:hAnsi="Times New Roman"/>
          <w:sz w:val="20"/>
        </w:rPr>
      </w:pPr>
      <w:r>
        <w:rPr>
          <w:rFonts w:ascii="Times New Roman" w:hAnsi="Times New Roman"/>
          <w:sz w:val="20"/>
        </w:rPr>
        <w:t xml:space="preserve">(9) take any other action otherwise prohibited by this Indenture to be taken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(b) 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(c) It shall not be necessary for the consent of the Holders under this section to approve the particular form of any proposed amendment, supplement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8.3. COMPLIANCE WITH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Every amendment to, or supplement of, this Indenture or the Securities shall comply with the TIA as then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8.4. REVOCATION AND EFFECT OF CONSENTS. </w:t>
      </w:r>
    </w:p>
    <w:p>
      <w:pPr>
        <w:pStyle w:val="TextBody"/>
        <w:bidi w:val="0"/>
        <w:spacing w:before="120" w:after="0"/>
        <w:jc w:val="left"/>
        <w:rPr>
          <w:rFonts w:ascii="Times New Roman" w:hAnsi="Times New Roman"/>
          <w:sz w:val="20"/>
        </w:rPr>
      </w:pPr>
      <w:r>
        <w:rPr>
          <w:rFonts w:ascii="Times New Roman" w:hAnsi="Times New Roman"/>
          <w:sz w:val="20"/>
        </w:rPr>
        <w:t xml:space="preserve">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8.5. NOTATION ON OR EXCHANGE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 the changed terms. Failure to make the appropriate notation or issue a new Security shall not affect the validity and effect of such amendment, supplement or waiver. </w:t>
      </w:r>
    </w:p>
    <w:p>
      <w:pPr>
        <w:pStyle w:val="TextBody"/>
        <w:bidi w:val="0"/>
        <w:spacing w:before="360" w:after="0"/>
        <w:jc w:val="left"/>
        <w:rPr>
          <w:rFonts w:ascii="Times New Roman" w:hAnsi="Times New Roman"/>
          <w:b/>
          <w:sz w:val="20"/>
        </w:rPr>
      </w:pPr>
      <w:r>
        <w:rPr>
          <w:rFonts w:ascii="Times New Roman" w:hAnsi="Times New Roman"/>
          <w:b/>
          <w:sz w:val="20"/>
        </w:rPr>
        <w:t xml:space="preserve">8.6. TRUSTEE TO SIGN AMENDMENTS, ETC.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 </w:t>
      </w:r>
    </w:p>
    <w:p>
      <w:pPr>
        <w:pStyle w:val="TextBody"/>
        <w:bidi w:val="0"/>
        <w:spacing w:before="0" w:after="0"/>
        <w:jc w:val="center"/>
        <w:rPr>
          <w:rFonts w:ascii="Times New Roman" w:hAnsi="Times New Roman"/>
          <w:b/>
          <w:sz w:val="20"/>
        </w:rPr>
      </w:pPr>
      <w:r>
        <w:rPr>
          <w:rFonts w:ascii="Times New Roman" w:hAnsi="Times New Roman"/>
          <w:b/>
          <w:sz w:val="20"/>
        </w:rPr>
        <w:t xml:space="preserve">DISCHARGE OF INDENTURE; DEFEASANCE </w:t>
      </w:r>
    </w:p>
    <w:p>
      <w:pPr>
        <w:pStyle w:val="TextBody"/>
        <w:bidi w:val="0"/>
        <w:spacing w:before="240" w:after="0"/>
        <w:jc w:val="left"/>
        <w:rPr>
          <w:rFonts w:ascii="Times New Roman" w:hAnsi="Times New Roman"/>
          <w:b/>
          <w:sz w:val="20"/>
        </w:rPr>
      </w:pPr>
      <w:r>
        <w:rPr>
          <w:rFonts w:ascii="Times New Roman" w:hAnsi="Times New Roman"/>
          <w:b/>
          <w:sz w:val="20"/>
        </w:rPr>
        <w:t xml:space="preserve">9.1. DISCHARGE OF INDENTURE.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After such delivery the Trustee upon request shall acknowledge in a writing prepared by or on behalf of the Company the discharge of the Companys obligations under the Securities of such Series and this Indenture, except for those surviving obligations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in Sections 7.7, 9.5 and 9.6 shall survive. </w:t>
      </w:r>
    </w:p>
    <w:p>
      <w:pPr>
        <w:pStyle w:val="TextBody"/>
        <w:bidi w:val="0"/>
        <w:spacing w:before="360" w:after="0"/>
        <w:jc w:val="left"/>
        <w:rPr>
          <w:rFonts w:ascii="Times New Roman" w:hAnsi="Times New Roman"/>
          <w:b/>
          <w:sz w:val="20"/>
        </w:rPr>
      </w:pPr>
      <w:r>
        <w:rPr>
          <w:rFonts w:ascii="Times New Roman" w:hAnsi="Times New Roman"/>
          <w:b/>
          <w:sz w:val="20"/>
        </w:rPr>
        <w:t xml:space="preserve">9.2. 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9.3.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9.4. CONDITIONS TO LEGAL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shall be the conditions to application of Section 9.2 or Section 9.3 to the outstanding Securities of a Series: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(2) 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(3) such Legal Defeasance or Covenant Defeasance shall not cause the Trustee to have a conflicting interest for purposes of the TIA with respect to any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such Legal Defeasance or Covenant Defeasance shall not result in a breach or violation of, or constitute default under,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(5) 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(6) 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(7) 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(9) the Company shall have delivered to the Trustee an Officers Certificate stating that the deposit under clause (1) was not made by the Company with the intent of defeating, hindering, delaying or defrauding any creditors of the Company or others; and </w:t>
      </w:r>
    </w:p>
    <w:p>
      <w:pPr>
        <w:pStyle w:val="TextBody"/>
        <w:bidi w:val="0"/>
        <w:spacing w:before="240" w:after="0"/>
        <w:jc w:val="left"/>
        <w:rPr>
          <w:rFonts w:ascii="Times New Roman" w:hAnsi="Times New Roman"/>
          <w:sz w:val="20"/>
        </w:rPr>
      </w:pPr>
      <w:r>
        <w:rPr>
          <w:rFonts w:ascii="Times New Roman" w:hAnsi="Times New Roman"/>
          <w:sz w:val="20"/>
        </w:rPr>
        <w:t xml:space="preserve">(10) the Company shall have paid, or duly provided for payment under terms mutually satisfactory to the Company and the Trustee, all amounts then due to the Trustee pursuant to Section 7.7. </w:t>
      </w:r>
    </w:p>
    <w:p>
      <w:pPr>
        <w:pStyle w:val="TextBody"/>
        <w:bidi w:val="0"/>
        <w:spacing w:before="360" w:after="0"/>
        <w:jc w:val="left"/>
        <w:rPr>
          <w:rFonts w:ascii="Times New Roman" w:hAnsi="Times New Roman"/>
          <w:b/>
          <w:sz w:val="20"/>
        </w:rPr>
      </w:pPr>
      <w:r>
        <w:rPr>
          <w:rFonts w:ascii="Times New Roman" w:hAnsi="Times New Roman"/>
          <w:b/>
          <w:sz w:val="20"/>
        </w:rPr>
        <w:t xml:space="preserve">9.5. DEPOSITED MONEY AND U.S. AND FOREIGN GOVERNMENT OBLIGATIONS TO BE HELD IN TRUST; OTHER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 </w:t>
      </w:r>
    </w:p>
    <w:p>
      <w:pPr>
        <w:pStyle w:val="TextBody"/>
        <w:bidi w:val="0"/>
        <w:spacing w:before="360" w:after="0"/>
        <w:jc w:val="left"/>
        <w:rPr>
          <w:rFonts w:ascii="Times New Roman" w:hAnsi="Times New Roman"/>
          <w:b/>
          <w:sz w:val="20"/>
        </w:rPr>
      </w:pPr>
      <w:r>
        <w:rPr>
          <w:rFonts w:ascii="Times New Roman" w:hAnsi="Times New Roman"/>
          <w:b/>
          <w:sz w:val="20"/>
        </w:rPr>
        <w:t xml:space="preserve">9.6.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9.7. MONEYS HELD BY PAYING AGENT.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9.8. MONEYS HELD BY TRUSTEE. </w:t>
      </w:r>
    </w:p>
    <w:p>
      <w:pPr>
        <w:pStyle w:val="TextBody"/>
        <w:bidi w:val="0"/>
        <w:spacing w:before="120" w:after="0"/>
        <w:jc w:val="left"/>
        <w:rPr>
          <w:rFonts w:ascii="Times New Roman" w:hAnsi="Times New Roman"/>
          <w:sz w:val="20"/>
        </w:rPr>
      </w:pPr>
      <w:r>
        <w:rPr>
          <w:rFonts w:ascii="Times New Roman" w:hAnsi="Times New Roman"/>
          <w:sz w:val="20"/>
        </w:rPr>
        <w:t xml:space="preserve">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10.1. TRUST INDENTURE ACT CONTROLS. </w:t>
      </w:r>
    </w:p>
    <w:p>
      <w:pPr>
        <w:pStyle w:val="TextBody"/>
        <w:bidi w:val="0"/>
        <w:spacing w:before="12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 </w:t>
      </w:r>
    </w:p>
    <w:p>
      <w:pPr>
        <w:pStyle w:val="TextBody"/>
        <w:bidi w:val="0"/>
        <w:spacing w:before="360" w:after="0"/>
        <w:jc w:val="left"/>
        <w:rPr>
          <w:rFonts w:ascii="Times New Roman" w:hAnsi="Times New Roman"/>
          <w:b/>
          <w:sz w:val="20"/>
        </w:rPr>
      </w:pPr>
      <w:r>
        <w:rPr>
          <w:rFonts w:ascii="Times New Roman" w:hAnsi="Times New Roman"/>
          <w:b/>
          <w:sz w:val="20"/>
        </w:rPr>
        <w:t xml:space="preserve">10.2. 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 or communication shall be given in writing and delivered in Person, sent by facsimile (and receipt confirmed by telephone or electronic transmission report), delivered by commercial courier service or mailed by first-class mail, postage prepaid,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Flywire Corporation </w:t>
      </w:r>
    </w:p>
    <w:p>
      <w:pPr>
        <w:pStyle w:val="TextBody"/>
        <w:bidi w:val="0"/>
        <w:spacing w:before="0" w:after="0"/>
        <w:jc w:val="left"/>
        <w:rPr>
          <w:rFonts w:ascii="Times New Roman" w:hAnsi="Times New Roman"/>
          <w:sz w:val="20"/>
        </w:rPr>
      </w:pPr>
      <w:r>
        <w:rPr>
          <w:rFonts w:ascii="Times New Roman" w:hAnsi="Times New Roman"/>
          <w:sz w:val="20"/>
        </w:rPr>
        <w:t xml:space="preserve">141 Tremont St #10F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Copy to: </w:t>
      </w:r>
    </w:p>
    <w:p>
      <w:pPr>
        <w:pStyle w:val="TextBody"/>
        <w:bidi w:val="0"/>
        <w:spacing w:before="120" w:after="0"/>
        <w:jc w:val="left"/>
        <w:rPr>
          <w:rFonts w:ascii="Times New Roman" w:hAnsi="Times New Roman"/>
          <w:sz w:val="20"/>
        </w:rPr>
      </w:pPr>
      <w:r>
        <w:rPr>
          <w:rFonts w:ascii="Times New Roman" w:hAnsi="Times New Roman"/>
          <w:sz w:val="20"/>
        </w:rPr>
        <w:t xml:space="preserve">Gunderson Dettmer Stough Villeneuve Franklin &amp; Hachigian, LLP </w:t>
      </w:r>
    </w:p>
    <w:p>
      <w:pPr>
        <w:pStyle w:val="TextBody"/>
        <w:bidi w:val="0"/>
        <w:spacing w:before="0" w:after="0"/>
        <w:jc w:val="left"/>
        <w:rPr>
          <w:rFonts w:ascii="Times New Roman" w:hAnsi="Times New Roman"/>
          <w:sz w:val="20"/>
        </w:rPr>
      </w:pPr>
      <w:r>
        <w:rPr>
          <w:rFonts w:ascii="Times New Roman" w:hAnsi="Times New Roman"/>
          <w:sz w:val="20"/>
        </w:rPr>
        <w:t xml:space="preserve">One Marina Park Drive, Suite 900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David D. Gammell; Jeffrey R. Vetter; Keith J. Scherer </w:t>
      </w:r>
    </w:p>
    <w:p>
      <w:pPr>
        <w:pStyle w:val="TextBody"/>
        <w:bidi w:val="0"/>
        <w:spacing w:before="12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mailed to a Securityholder shall be mailed to such Securityholder by first-class mail, postage prepaid, at such Securityholders address shown on the register kept by the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Global Securities, notices or communications to be given to Securityholders shall be given to the Depository, in accordance with its applicable policies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manner provided for in the foregoing provisions, notices or communications to Securityholders shall be given by the Company by release made to Reuters Economic Services and Bloomberg Business News. </w:t>
      </w:r>
    </w:p>
    <w:p>
      <w:pPr>
        <w:pStyle w:val="TextBody"/>
        <w:bidi w:val="0"/>
        <w:spacing w:before="360" w:after="0"/>
        <w:jc w:val="left"/>
        <w:rPr>
          <w:rFonts w:ascii="Times New Roman" w:hAnsi="Times New Roman"/>
          <w:b/>
          <w:sz w:val="20"/>
        </w:rPr>
      </w:pPr>
      <w:r>
        <w:rPr>
          <w:rFonts w:ascii="Times New Roman" w:hAnsi="Times New Roman"/>
          <w:b/>
          <w:sz w:val="20"/>
        </w:rPr>
        <w:t xml:space="preserve">10.3. COMMUNICATIONS BY HOLDERS WITH OTHER HOLDERS. </w:t>
      </w:r>
    </w:p>
    <w:p>
      <w:pPr>
        <w:pStyle w:val="TextBody"/>
        <w:bidi w:val="0"/>
        <w:spacing w:before="120" w:after="0"/>
        <w:jc w:val="left"/>
        <w:rPr>
          <w:rFonts w:ascii="Times New Roman" w:hAnsi="Times New Roman"/>
          <w:sz w:val="20"/>
        </w:rPr>
      </w:pPr>
      <w:r>
        <w:rPr>
          <w:rFonts w:ascii="Times New Roman" w:hAnsi="Times New Roman"/>
          <w:sz w:val="20"/>
        </w:rPr>
        <w:t xml:space="preserve">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 </w:t>
      </w:r>
    </w:p>
    <w:p>
      <w:pPr>
        <w:pStyle w:val="TextBody"/>
        <w:bidi w:val="0"/>
        <w:spacing w:before="360" w:after="0"/>
        <w:jc w:val="left"/>
        <w:rPr>
          <w:rFonts w:ascii="Times New Roman" w:hAnsi="Times New Roman"/>
          <w:b/>
          <w:sz w:val="20"/>
        </w:rPr>
      </w:pPr>
      <w:r>
        <w:rPr>
          <w:rFonts w:ascii="Times New Roman" w:hAnsi="Times New Roman"/>
          <w:b/>
          <w:sz w:val="20"/>
        </w:rPr>
        <w:t xml:space="preserve">10.4. CERTIFICATE AND OPINION AS TO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(which shall include the statements set forth in Section 10.5 below) stating that, in the opinion of the signers, all conditions precedent, if any, provided for in this Indenture relating to the proposed action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(2) an Opinion of Counsel (which shall include the statements set forth in Section 10.5 below) stating that, in the opinion of such counsel, all such conditions precedent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10.5. STATEMENT REQUIRED IN CERTIFICATE AND OPINION. </w:t>
      </w:r>
    </w:p>
    <w:p>
      <w:pPr>
        <w:pStyle w:val="TextBody"/>
        <w:bidi w:val="0"/>
        <w:spacing w:before="120" w:after="0"/>
        <w:jc w:val="left"/>
        <w:rPr>
          <w:rFonts w:ascii="Times New Roman" w:hAnsi="Times New Roman"/>
          <w:sz w:val="20"/>
        </w:rPr>
      </w:pPr>
      <w:r>
        <w:rPr>
          <w:rFonts w:ascii="Times New Roman" w:hAnsi="Times New Roman"/>
          <w:sz w:val="20"/>
        </w:rPr>
        <w:t xml:space="preserve">Each certificate and opinion with respect to compliance with a condition or covenant provided for in this Indenture (other than pursuant to Section 4.4) shall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(3) a statement that, in the opinion of such Person, it or he has made such examination or investigation as is necessary to enable it or him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(4) a statement as to whether or not, in the opinion of such Person, such covenant or condition has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10.6. RULES BY TRUSTEE AND AGENTS.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make reasonable rules for action by or at meetings of Securityholders. The Registrar and Paying Agent may make reasonable rules for their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10.7. BUSINESS DAYS; LEGAL HOLIDAYS; PLACE OF PAYMENT. </w:t>
      </w:r>
    </w:p>
    <w:p>
      <w:pPr>
        <w:pStyle w:val="TextBody"/>
        <w:bidi w:val="0"/>
        <w:spacing w:before="120" w:after="0"/>
        <w:jc w:val="left"/>
        <w:rPr>
          <w:rFonts w:ascii="Times New Roman" w:hAnsi="Times New Roman"/>
          <w:sz w:val="20"/>
        </w:rPr>
      </w:pPr>
      <w:r>
        <w:rPr>
          <w:rFonts w:ascii="Times New Roman" w:hAnsi="Times New Roman"/>
          <w:sz w:val="20"/>
        </w:rPr>
        <w:t xml:space="preserve">A Business Day is a day that is not a Legal Holiday. A Legal Holiday is a Saturday, a Sunday, a federally-recognized holiday or a day on which banking institutions are not authorized or required by law, regulation or executive order to be open in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10.8. GOVERNING LAW. </w:t>
      </w:r>
    </w:p>
    <w:p>
      <w:pPr>
        <w:pStyle w:val="TextBody"/>
        <w:bidi w:val="0"/>
        <w:spacing w:before="120" w:after="0"/>
        <w:jc w:val="left"/>
        <w:rPr>
          <w:rFonts w:ascii="Times New Roman" w:hAnsi="Times New Roman"/>
          <w:b/>
          <w:sz w:val="20"/>
        </w:rPr>
      </w:pPr>
      <w:r>
        <w:rPr>
          <w:rFonts w:ascii="Times New Roman" w:hAnsi="Times New Roman"/>
          <w:b/>
          <w:sz w:val="20"/>
        </w:rPr>
        <w:t xml:space="preserve">THIS INDENTURE AND THE SECURITIES SHALL BE GOVERNED BY AND CONSTRUED IN ACCORDANCE WITH THE LAWS OF THE STATE OF NEW YORK, AS APPLIED TO CONTRACTS MADE AND PERFORMED WITHIN THE STATE OF NEW YORK WITHOUT REGARD TO PRINCIPLES OF CONFLICTS OF LAW. </w:t>
      </w:r>
    </w:p>
    <w:p>
      <w:pPr>
        <w:pStyle w:val="TextBody"/>
        <w:bidi w:val="0"/>
        <w:spacing w:before="360" w:after="0"/>
        <w:jc w:val="left"/>
        <w:rPr>
          <w:rFonts w:ascii="Times New Roman" w:hAnsi="Times New Roman"/>
          <w:b/>
          <w:sz w:val="20"/>
        </w:rPr>
      </w:pPr>
      <w:r>
        <w:rPr>
          <w:rFonts w:ascii="Times New Roman" w:hAnsi="Times New Roman"/>
          <w:b/>
          <w:sz w:val="20"/>
        </w:rPr>
        <w:t xml:space="preserve">10.9. NO ADVERSE INTERPRETATION OF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not be used to interpret another indenture, loan, security or debt agreement of the Company or any Subsidiary thereof. No such indenture, loan, security or debt agreement may be used to interpret this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10.10. NO RECOURSE AGAINST OTHERS. </w:t>
      </w:r>
    </w:p>
    <w:p>
      <w:pPr>
        <w:pStyle w:val="TextBody"/>
        <w:bidi w:val="0"/>
        <w:spacing w:before="120" w:after="0"/>
        <w:jc w:val="left"/>
        <w:rPr>
          <w:rFonts w:ascii="Times New Roman" w:hAnsi="Times New Roman"/>
          <w:sz w:val="20"/>
        </w:rPr>
      </w:pPr>
      <w:r>
        <w:rPr>
          <w:rFonts w:ascii="Times New Roman" w:hAnsi="Times New Roman"/>
          <w:sz w:val="20"/>
        </w:rPr>
        <w:t xml:space="preserve">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10.11. SUCCESSORS.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 </w:t>
      </w:r>
    </w:p>
    <w:p>
      <w:pPr>
        <w:pStyle w:val="TextBody"/>
        <w:bidi w:val="0"/>
        <w:spacing w:before="360" w:after="0"/>
        <w:jc w:val="left"/>
        <w:rPr>
          <w:rFonts w:ascii="Times New Roman" w:hAnsi="Times New Roman"/>
          <w:b/>
          <w:sz w:val="20"/>
        </w:rPr>
      </w:pPr>
      <w:r>
        <w:rPr>
          <w:rFonts w:ascii="Times New Roman" w:hAnsi="Times New Roman"/>
          <w:b/>
          <w:sz w:val="20"/>
        </w:rPr>
        <w:t xml:space="preserve">10.12. MULTIPLE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sign multiple counterparts of this Indenture. Each signed counterpart shall be deemed an original, but all of them together represent one and the same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10.13. TABLE OF CONTENTS, HEADINGS, ETC.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cross-reference sheet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360" w:after="0"/>
        <w:jc w:val="left"/>
        <w:rPr>
          <w:rFonts w:ascii="Times New Roman" w:hAnsi="Times New Roman"/>
          <w:b/>
          <w:sz w:val="20"/>
        </w:rPr>
      </w:pPr>
      <w:r>
        <w:rPr>
          <w:rFonts w:ascii="Times New Roman" w:hAnsi="Times New Roman"/>
          <w:b/>
          <w:sz w:val="20"/>
        </w:rPr>
        <w:t xml:space="preserve">10.14. SEVERABILITY. </w:t>
      </w:r>
    </w:p>
    <w:p>
      <w:pPr>
        <w:pStyle w:val="TextBody"/>
        <w:bidi w:val="0"/>
        <w:spacing w:before="120" w:after="0"/>
        <w:jc w:val="left"/>
        <w:rPr>
          <w:rFonts w:ascii="Times New Roman" w:hAnsi="Times New Roman"/>
          <w:sz w:val="20"/>
        </w:rPr>
      </w:pPr>
      <w:r>
        <w:rPr>
          <w:rFonts w:ascii="Times New Roman" w:hAnsi="Times New Roman"/>
          <w:sz w:val="20"/>
        </w:rPr>
        <w:t xml:space="preserve">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 </w:t>
      </w:r>
    </w:p>
    <w:p>
      <w:pPr>
        <w:pStyle w:val="TextBody"/>
        <w:bidi w:val="0"/>
        <w:spacing w:before="360" w:after="0"/>
        <w:jc w:val="left"/>
        <w:rPr>
          <w:rFonts w:ascii="Times New Roman" w:hAnsi="Times New Roman"/>
          <w:b/>
          <w:sz w:val="20"/>
        </w:rPr>
      </w:pPr>
      <w:r>
        <w:rPr>
          <w:rFonts w:ascii="Times New Roman" w:hAnsi="Times New Roman"/>
          <w:b/>
          <w:sz w:val="20"/>
        </w:rPr>
        <w:t xml:space="preserve">10.15. SECURITIES IN A FOREIGN CURRENCY OR IN EUROS.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10.16. JUDGMENT CURRENCY.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THIS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and their respective corporate seals to be hereunto affixed and attested, all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98"/>
        <w:gridCol w:w="95"/>
        <w:gridCol w:w="930"/>
        <w:gridCol w:w="95"/>
        <w:gridCol w:w="2464"/>
      </w:tblGrid>
      <w:tr>
        <w:trPr/>
        <w:tc>
          <w:tcPr>
            <w:tcW w:w="49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FLYWIRE CORPORATION</w:t>
            </w:r>
          </w:p>
        </w:tc>
      </w:tr>
      <w:tr>
        <w:trPr>
          <w:trHeight w:val="240" w:hRule="atLeast"/>
        </w:trPr>
        <w:tc>
          <w:tcPr>
            <w:tcW w:w="498" w:type="dxa"/>
            <w:tcBorders/>
            <w:vAlign w:val="center"/>
          </w:tcPr>
          <w:p>
            <w:pPr>
              <w:pStyle w:val="TableContents"/>
              <w:bidi w:val="0"/>
              <w:spacing w:before="0" w:after="283"/>
              <w:jc w:val="left"/>
              <w:rPr>
                <w:sz w:val="4"/>
                <w:szCs w:val="4"/>
              </w:rPr>
            </w:pPr>
            <w:r>
              <w:rPr>
                <w:sz w:val="4"/>
                <w:szCs w:val="4"/>
              </w:rPr>
            </w:r>
          </w:p>
        </w:tc>
        <w:tc>
          <w:tcPr>
            <w:tcW w:w="3584" w:type="dxa"/>
            <w:gridSpan w:val="4"/>
            <w:tcBorders/>
            <w:vAlign w:val="center"/>
          </w:tcPr>
          <w:p>
            <w:pPr>
              <w:pStyle w:val="TableContents"/>
              <w:bidi w:val="0"/>
              <w:spacing w:before="0" w:after="283"/>
              <w:jc w:val="left"/>
              <w:rPr>
                <w:sz w:val="4"/>
                <w:szCs w:val="4"/>
              </w:rPr>
            </w:pPr>
            <w:r>
              <w:rPr>
                <w:sz w:val="4"/>
                <w:szCs w:val="4"/>
              </w:rPr>
            </w:r>
          </w:p>
        </w:tc>
      </w:tr>
      <w:tr>
        <w:trPr/>
        <w:tc>
          <w:tcPr>
            <w:tcW w:w="49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489"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98"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46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c>
          <w:tcPr>
            <w:tcW w:w="498"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2464"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2"/>
        <w:gridCol w:w="60"/>
        <w:gridCol w:w="675"/>
        <w:gridCol w:w="60"/>
        <w:gridCol w:w="2925"/>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[Name of Trustee]</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925"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925"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2"/>
        <w:gridCol w:w="60"/>
        <w:gridCol w:w="675"/>
        <w:gridCol w:w="60"/>
        <w:gridCol w:w="2925"/>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gridSpan w:val="3"/>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925"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r>
        <w:trPr/>
        <w:tc>
          <w:tcPr>
            <w:tcW w:w="3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925" w:type="dxa"/>
            <w:tcBorders>
              <w:bottom w:val="single" w:sz="2" w:space="0" w:color="000000"/>
            </w:tcBorders>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right"/>
        <w:rPr>
          <w:rFonts w:ascii="Times New Roman" w:hAnsi="Times New Roman"/>
          <w:b/>
          <w:sz w:val="20"/>
          <w:u w:val="single"/>
        </w:rPr>
      </w:pPr>
      <w:bookmarkStart w:id="22" w:name="d487210dex51.htm"/>
      <w:bookmarkStart w:id="23" w:name="ksd487210dex51"/>
      <w:bookmarkEnd w:id="22"/>
      <w:bookmarkEnd w:id="23"/>
      <w:r>
        <w:rPr>
          <w:rFonts w:ascii="Times New Roman" w:hAnsi="Times New Roman"/>
          <w:b/>
          <w:sz w:val="20"/>
          <w:u w:val="single"/>
        </w:rPr>
        <w:t xml:space="preserve">EXHIBIT 5.1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August 9, 2023 </w:t>
      </w:r>
    </w:p>
    <w:p>
      <w:pPr>
        <w:pStyle w:val="TextBody"/>
        <w:bidi w:val="0"/>
        <w:spacing w:before="240" w:after="0"/>
        <w:jc w:val="left"/>
        <w:rPr>
          <w:rFonts w:ascii="Times New Roman" w:hAnsi="Times New Roman"/>
          <w:sz w:val="20"/>
        </w:rPr>
      </w:pPr>
      <w:r>
        <w:rPr>
          <w:rFonts w:ascii="Times New Roman" w:hAnsi="Times New Roman"/>
          <w:sz w:val="20"/>
        </w:rPr>
        <w:t xml:space="preserve">Flywire Corporation </w:t>
      </w:r>
    </w:p>
    <w:p>
      <w:pPr>
        <w:pStyle w:val="TextBody"/>
        <w:bidi w:val="0"/>
        <w:spacing w:before="0" w:after="0"/>
        <w:jc w:val="left"/>
        <w:rPr>
          <w:rFonts w:ascii="Times New Roman" w:hAnsi="Times New Roman"/>
          <w:sz w:val="20"/>
        </w:rPr>
      </w:pPr>
      <w:r>
        <w:rPr>
          <w:rFonts w:ascii="Times New Roman" w:hAnsi="Times New Roman"/>
          <w:sz w:val="20"/>
        </w:rPr>
        <w:t xml:space="preserve">141 Tremont St #10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At your request, we have examined the automatically effective Registration Statement on Form S-3 filed by Flywire Corporation, a Delaware corporation (the </w:t>
      </w:r>
      <w:r>
        <w:rPr>
          <w:rFonts w:ascii="Times New Roman" w:hAnsi="Times New Roman"/>
          <w:b/>
          <w:i/>
          <w:sz w:val="20"/>
        </w:rPr>
        <w:t>Company</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on August 9, 2023 (the </w:t>
      </w:r>
      <w:r>
        <w:rPr>
          <w:rFonts w:ascii="Times New Roman" w:hAnsi="Times New Roman"/>
          <w:b/>
          <w:i/>
          <w:sz w:val="20"/>
        </w:rPr>
        <w:t>Registration Statement</w:t>
      </w:r>
      <w:r>
        <w:rPr>
          <w:rFonts w:ascii="Times New Roman" w:hAnsi="Times New Roman"/>
          <w:sz w:val="20"/>
        </w:rPr>
        <w:t>) in connection with the registration under the Securities Act of 1933, as amended (the </w:t>
      </w:r>
      <w:r>
        <w:rPr>
          <w:rFonts w:ascii="Times New Roman" w:hAnsi="Times New Roman"/>
          <w:b/>
          <w:i/>
          <w:sz w:val="20"/>
        </w:rPr>
        <w:t>Securities Act</w:t>
      </w:r>
      <w:r>
        <w:rPr>
          <w:rFonts w:ascii="Times New Roman" w:hAnsi="Times New Roman"/>
          <w:sz w:val="20"/>
        </w:rPr>
        <w:t>), of the offering and sale from time to time of (i) shares of the Companys voting common stock, $0.0001 par value per share (the </w:t>
      </w:r>
      <w:r>
        <w:rPr>
          <w:rFonts w:ascii="Times New Roman" w:hAnsi="Times New Roman"/>
          <w:b/>
          <w:i/>
          <w:sz w:val="20"/>
        </w:rPr>
        <w:t>Common Stock</w:t>
      </w:r>
      <w:r>
        <w:rPr>
          <w:rFonts w:ascii="Times New Roman" w:hAnsi="Times New Roman"/>
          <w:sz w:val="20"/>
        </w:rPr>
        <w:t>), (ii) shares of the Companys preferred stock, $0.0001 par value per share (the </w:t>
      </w:r>
      <w:r>
        <w:rPr>
          <w:rFonts w:ascii="Times New Roman" w:hAnsi="Times New Roman"/>
          <w:b/>
          <w:i/>
          <w:sz w:val="20"/>
        </w:rPr>
        <w:t>Preferred Stock</w:t>
      </w:r>
      <w:r>
        <w:rPr>
          <w:rFonts w:ascii="Times New Roman" w:hAnsi="Times New Roman"/>
          <w:sz w:val="20"/>
        </w:rPr>
        <w:t>), (iii) one or more series of debt securities (the </w:t>
      </w:r>
      <w:r>
        <w:rPr>
          <w:rFonts w:ascii="Times New Roman" w:hAnsi="Times New Roman"/>
          <w:b/>
          <w:i/>
          <w:sz w:val="20"/>
        </w:rPr>
        <w:t>Debt Securities</w:t>
      </w:r>
      <w:r>
        <w:rPr>
          <w:rFonts w:ascii="Times New Roman" w:hAnsi="Times New Roman"/>
          <w:sz w:val="20"/>
        </w:rPr>
        <w:t>) issuable pursuant to an indenture (the </w:t>
      </w:r>
      <w:r>
        <w:rPr>
          <w:rFonts w:ascii="Times New Roman" w:hAnsi="Times New Roman"/>
          <w:b/>
          <w:i/>
          <w:sz w:val="20"/>
        </w:rPr>
        <w:t>Indenture</w:t>
      </w:r>
      <w:r>
        <w:rPr>
          <w:rFonts w:ascii="Times New Roman" w:hAnsi="Times New Roman"/>
          <w:sz w:val="20"/>
        </w:rPr>
        <w:t>) by and between the Company and a financial institution to be identified therein as trustee (the </w:t>
      </w:r>
      <w:r>
        <w:rPr>
          <w:rFonts w:ascii="Times New Roman" w:hAnsi="Times New Roman"/>
          <w:b/>
          <w:i/>
          <w:sz w:val="20"/>
        </w:rPr>
        <w:t>Trustee</w:t>
      </w:r>
      <w:r>
        <w:rPr>
          <w:rFonts w:ascii="Times New Roman" w:hAnsi="Times New Roman"/>
          <w:sz w:val="20"/>
        </w:rPr>
        <w:t>), and/or (iv) warrants to purchase shares of Common Stock, Preferred Stock and/or Debt Securities (the </w:t>
      </w:r>
      <w:r>
        <w:rPr>
          <w:rFonts w:ascii="Times New Roman" w:hAnsi="Times New Roman"/>
          <w:b/>
          <w:i/>
          <w:sz w:val="20"/>
        </w:rPr>
        <w:t>Warrants</w:t>
      </w:r>
      <w:r>
        <w:rPr>
          <w:rFonts w:ascii="Times New Roman" w:hAnsi="Times New Roman"/>
          <w:sz w:val="20"/>
        </w:rPr>
        <w:t>). The Common Stock, the Preferred Stock, the Debt Securities and the Warrants are collectively referred to herein as the </w:t>
      </w:r>
      <w:r>
        <w:rPr>
          <w:rFonts w:ascii="Times New Roman" w:hAnsi="Times New Roman"/>
          <w:b/>
          <w:i/>
          <w:sz w:val="20"/>
        </w:rPr>
        <w:t>Securities</w:t>
      </w:r>
      <w:r>
        <w:rPr>
          <w:rFonts w:ascii="Times New Roman" w:hAnsi="Times New Roman"/>
          <w:sz w:val="20"/>
        </w:rPr>
        <w:t>. The Securities may be sold from time to time by the Company or selling securityholders to be named in a prospectus supplement as set forth in the Registration Statement, the prospectus contained within the Registration Statement (the </w:t>
      </w:r>
      <w:r>
        <w:rPr>
          <w:rFonts w:ascii="Times New Roman" w:hAnsi="Times New Roman"/>
          <w:b/>
          <w:i/>
          <w:sz w:val="20"/>
        </w:rPr>
        <w:t>Prospectus</w:t>
      </w:r>
      <w:r>
        <w:rPr>
          <w:rFonts w:ascii="Times New Roman" w:hAnsi="Times New Roman"/>
          <w:sz w:val="20"/>
        </w:rPr>
        <w:t xml:space="preserve">) and supplements to the Prospectus. </w:t>
      </w:r>
    </w:p>
    <w:p>
      <w:pPr>
        <w:pStyle w:val="TextBody"/>
        <w:bidi w:val="0"/>
        <w:spacing w:before="240" w:after="0"/>
        <w:jc w:val="left"/>
        <w:rPr>
          <w:rFonts w:ascii="Times New Roman" w:hAnsi="Times New Roman"/>
          <w:sz w:val="20"/>
        </w:rPr>
      </w:pPr>
      <w:r>
        <w:rPr>
          <w:rFonts w:ascii="Times New Roman" w:hAnsi="Times New Roman"/>
          <w:sz w:val="20"/>
        </w:rPr>
        <w:t>In connection with our opinion, we have examined such matters of fact as we have deemed necessary, which included examination of originals or copies of: the Companys current Amended and Restated Certificate of Incorporation, as amended (the </w:t>
      </w:r>
      <w:r>
        <w:rPr>
          <w:rFonts w:ascii="Times New Roman" w:hAnsi="Times New Roman"/>
          <w:b/>
          <w:i/>
          <w:sz w:val="20"/>
        </w:rPr>
        <w:t>Restated Certificate</w:t>
      </w:r>
      <w:r>
        <w:rPr>
          <w:rFonts w:ascii="Times New Roman" w:hAnsi="Times New Roman"/>
          <w:sz w:val="20"/>
        </w:rPr>
        <w:t>), and the Companys Amended and Restated Bylaws (the </w:t>
      </w:r>
      <w:r>
        <w:rPr>
          <w:rFonts w:ascii="Times New Roman" w:hAnsi="Times New Roman"/>
          <w:b/>
          <w:i/>
          <w:sz w:val="20"/>
        </w:rPr>
        <w:t>Restated Bylaws</w:t>
      </w:r>
      <w:r>
        <w:rPr>
          <w:rFonts w:ascii="Times New Roman" w:hAnsi="Times New Roman"/>
          <w:sz w:val="20"/>
        </w:rPr>
        <w:t>), the Registration Statement and the exhibits thereto; the Prospectus; certain corporate proceedings of the Companys Board of Directors (the </w:t>
      </w:r>
      <w:r>
        <w:rPr>
          <w:rFonts w:ascii="Times New Roman" w:hAnsi="Times New Roman"/>
          <w:b/>
          <w:i/>
          <w:sz w:val="20"/>
        </w:rPr>
        <w:t>Board</w:t>
      </w:r>
      <w:r>
        <w:rPr>
          <w:rFonts w:ascii="Times New Roman" w:hAnsi="Times New Roman"/>
          <w:sz w:val="20"/>
        </w:rPr>
        <w:t xml:space="preserve">), the committee or the committees of the Board and the Companys stockholders relating to adoption or approval of the Restated Certificate and Restated Bylaws, the filing of the Registration Statement and the registration of the Securities under the Securities Act and documents (including a report from the Companys transfer agent) regarding the Companys outstanding and reserved capital stock and other securities and such other documents as we have deemed advisable, and we have examined such questions of law as we have considered necessary.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In determining the good standing of the Company, we have relied solely upon a Certificate of Good Standing dated August 9, 2023 issued by the Delaware Secretary of State with respect to the Company, and a management certificate addressed to us and dated of even date herewith executed by the Company containing certain factual representations (the </w:t>
      </w:r>
      <w:r>
        <w:rPr>
          <w:rFonts w:ascii="Times New Roman" w:hAnsi="Times New Roman"/>
          <w:b/>
          <w:i/>
          <w:sz w:val="20"/>
        </w:rPr>
        <w:t>Management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have assumed that any certificates or instruments representing the Securities will be, when issued, properly signed by authorized officers of the Company or their agents, and, in the case of Debt Securities, properly authenticated in accordance with the terms of the Indenture and delivered to the intended recipients with the intent that the Company be bound thereby. We also have assumed that the Indenture at the time of execution, authentication, issuance and delivery of the Debt Securities will be a valid and legally binding obligation of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We render this opinion only with respect to, and express no opinion herein concerning the application or effect of the laws of any jurisdiction other than, (i) the existing federal laws of the United States of America, (ii) the Delaware General Corporation Law and reported judicial decisions relating thereto and (iii) solely with respect to whether or not the Debt Securities and Warrants are the valid and binding obligations of the Company, the existing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opinions expressed below, we have assumed that (i) at or prior to the time of the delivery of any of the Securities, there will not have occurred any change in the law or the facts affecting the validity or enforceability of the Securities, (ii) if any Debt Securities are issued, such Debt Securities will only be issued pursuant to the Indenture in the form filed with the Registration Statement as an exhibit, that there will not have occurred any change in law affecting the enforceability of the Debt Securities, and that the Indenture will be entered into in the state of New York, (iii) all applicable Company covenants restricting the issuance of Debt Securities will have been waived, (iv) if any Warrants are issued, such Warrants will be governed by the laws of the state of New York, that there will not have occurred any change in law affecting the enforceability of the Warrants, and that the Warrants will be entered into in the state of New York, (v) the Registration Statement and any amendments (including any necessary post-effective amendments) will have automatically become or been declared effective under the Securities Act and (vi) at the time of the offer, issuance and sale of any Securities, no stop order suspending the Registration Statements effectiveness will have been issued and remain in effect.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result in a violation of any provision of any instrument or agreement then binding upon the Company or any restriction imposed by any court or governmental body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qualified by, and is subject to, and we render no opinion with respect to, the following limitations and exceptions to the enforceability of the Debt Securities and the Warrants: </w:t>
      </w:r>
    </w:p>
    <w:p>
      <w:pPr>
        <w:pStyle w:val="TextBody"/>
        <w:bidi w:val="0"/>
        <w:spacing w:before="120" w:after="0"/>
        <w:jc w:val="left"/>
        <w:rPr>
          <w:rFonts w:ascii="Times New Roman" w:hAnsi="Times New Roman"/>
          <w:sz w:val="20"/>
        </w:rPr>
      </w:pPr>
      <w:r>
        <w:rPr>
          <w:rFonts w:ascii="Times New Roman" w:hAnsi="Times New Roman"/>
          <w:sz w:val="20"/>
        </w:rPr>
        <w:t xml:space="preserve">(1) 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 </w:t>
      </w:r>
    </w:p>
    <w:p>
      <w:pPr>
        <w:pStyle w:val="TextBody"/>
        <w:bidi w:val="0"/>
        <w:spacing w:before="240" w:after="0"/>
        <w:jc w:val="left"/>
        <w:rPr>
          <w:rFonts w:ascii="Times New Roman" w:hAnsi="Times New Roman"/>
          <w:sz w:val="20"/>
        </w:rPr>
      </w:pPr>
      <w:r>
        <w:rPr>
          <w:rFonts w:ascii="Times New Roman" w:hAnsi="Times New Roman"/>
          <w:sz w:val="20"/>
        </w:rPr>
        <w:t xml:space="preserve">(2) 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 In the case of the Debt Securities, the effect of laws relating to usury or permissible rates of interest for loans, forbearances or the use of money.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regarding the effectiveness of any waiver or stay, extension or usury laws, or of unknown future rights. Further, we express no opinion regarding the effect of provisions relating to indemnification, exculpation or contribution to the extent such provisions may be held unenforceable as contrary to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informed us that the Company intends to issue, and/or selling securityholders to be named in a prospectus supplement intend to resell, the Securities from time to time on a delayed or continuous basis. This opinion is limited to the laws, including the rules and regulations, as in effect on the date hereof. We are basing this opinion on our understanding that, prior to issuing or reselling any Securities in connection with the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the Company or selling securityholders will advise us in writing of the terms thereof and other information material thereto, will afford us an opportunity to review the operative documents pursuant to which such Securities are to be issued and/or resold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or if necessary because the Company does not have a sufficient number of authorized but unissued and unreserved shares of capital stock at the time of issuance. We also assume the Company will timely file any and all supplements to the Registration Statement and Prospectus as are necessary to comply with applicable laws in effect from time to time and duly amend its Restated Certificate, as amended, to increase the authorized number of shares of its capital stock if the number of such shares to be sold pursuant to the Registration Statement would cause the Company to issue more shares than it has authorized.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exceptions contained herein, we are of the following opinion: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the shares of Common Stock registered pursuant to the Registration Statement, when (i) the issuance of and the terms of the offering of the shares of Common Stock and related matters have been duly authorized by appropriate corporate action of the Board or a duly authorized committee thereof, and, if required, the stockholders of the Company and (ii) if required, certificates representing the shares of Common Stock have been duly executed, countersigned, registered and delivered either (a)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Common Stock), then such shares of Common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2. 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Restated Certificate, Restated Bylaws and the Delaware General Corporation Law (a </w:t>
      </w:r>
      <w:r>
        <w:rPr>
          <w:rFonts w:ascii="Times New Roman" w:hAnsi="Times New Roman"/>
          <w:b/>
          <w:i/>
          <w:sz w:val="20"/>
        </w:rPr>
        <w:t>Certificate</w:t>
      </w:r>
      <w:r>
        <w:rPr>
          <w:rFonts w:ascii="Times New Roman" w:hAnsi="Times New Roman"/>
          <w:sz w:val="20"/>
        </w:rPr>
        <w:t xml:space="preserve">) and the filing of the Certificate with the Delaware Secretary of State, have been duly authorized by appropriate corporate action of the Board and, if required, the stockholders of the Company and (ii) if required, certificates representing the shares of Preferred Stock have been duly executed, countersigned, registered and delivered either (a) in accordance with the applicable definitive purchase, underwriting or similar agreement approved by the Board, or upon the exercise of Warrants to purchase Preferred Stock, upon payment of the consideration therefor (in an amount not less than the par value per share of the Preferred Stock) provided for therein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Preferred Stock), then such shares of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With respect to any Debt Securities registered pursuant to the Registration Statement, when (i) the issuance of such Debt Securities has been duly authorized by appropriate corporate action of the Board and, if required, the stockholders of the Company,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and as set forth in an officers certificate or supplemental indenture duly authorized by the Board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and stated in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the Prospectus and any prospectus supplement relating thereto (as amended as of the date of such issuance, sale and delivery) and any applicable definitive purchase, underwriting or similar agreement, or upon the exercise of Warrants to purchase Debt Securities, upon payment of the consideration therefor provided for therein, then the Debt Securities will be validly issued and will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4. With respect to any Warrants registered pursuant to the Registration Statement, when (i) the issuance and terms of such Warrants, the terms, execution and delivery of the warrant agreement relating to the Warrants (</w:t>
      </w:r>
      <w:r>
        <w:rPr>
          <w:rFonts w:ascii="Times New Roman" w:hAnsi="Times New Roman"/>
          <w:b/>
          <w:i/>
          <w:sz w:val="20"/>
        </w:rPr>
        <w:t>Warrant Agreement</w:t>
      </w:r>
      <w:r>
        <w:rPr>
          <w:rFonts w:ascii="Times New Roman" w:hAnsi="Times New Roman"/>
          <w:sz w:val="20"/>
        </w:rPr>
        <w:t xml:space="preserve">), the terms of the offering thereof and related matters have been duly authorized by appropriate corporate action of the Board and, if required, the stockholders of the Company, (ii) the Warrant Agreement has been duly authorized and validly executed and delivered by the Company by duly authorized officers of the Company, and (iii) such Warrants have been duly executed, issued and delivered by duly authorized officers of the Company in accordance with the provisions of the applicable Warrant Agreement and the applicable definitive purchase, underwriting or similar agreement approved by the Board, upon payment of the consideration therefor provided for therein and approved by the Board, such Warrants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 constituting a part thereof and any amendments thereto. In giving this consent we do not thereby admit that we come within the category of persons whose consent is required by the Securities Act or by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and based solely on our understanding of facts in existence as of such date after the aforementioned examination and does not address any potential changes in facts, circumstances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center"/>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 Gunderson Dettmer Stough Villeneuve</w:t>
            </w:r>
          </w:p>
          <w:p>
            <w:pPr>
              <w:pStyle w:val="TableContents"/>
              <w:bidi w:val="0"/>
              <w:spacing w:before="0" w:after="20"/>
              <w:jc w:val="center"/>
              <w:rPr>
                <w:rFonts w:ascii="Times New Roman" w:hAnsi="Times New Roman"/>
                <w:sz w:val="20"/>
              </w:rPr>
            </w:pPr>
            <w:r>
              <w:rPr>
                <w:rFonts w:ascii="Times New Roman" w:hAnsi="Times New Roman"/>
                <w:sz w:val="20"/>
              </w:rPr>
              <w:t>Franklin &amp; Hachigian,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GUNDERSON DETTMER STOUGH</w:t>
              <w:br/>
              <w:t>VILLENEUVE FRANKLIN &amp;</w:t>
            </w:r>
          </w:p>
          <w:p>
            <w:pPr>
              <w:pStyle w:val="TableContents"/>
              <w:bidi w:val="0"/>
              <w:spacing w:before="0" w:after="20"/>
              <w:jc w:val="center"/>
              <w:rPr>
                <w:rFonts w:ascii="Times New Roman" w:hAnsi="Times New Roman"/>
                <w:b/>
                <w:sz w:val="20"/>
              </w:rPr>
            </w:pPr>
            <w:r>
              <w:rPr>
                <w:rFonts w:ascii="Times New Roman" w:hAnsi="Times New Roman"/>
                <w:b/>
                <w:sz w:val="20"/>
              </w:rPr>
              <w:t>HACHIGIAN, LLP</w:t>
            </w:r>
          </w:p>
        </w:tc>
      </w:tr>
    </w:tbl>
    <w:p>
      <w:pPr>
        <w:pStyle w:val="TextBody"/>
        <w:bidi w:val="0"/>
        <w:spacing w:before="0" w:after="0"/>
        <w:jc w:val="right"/>
        <w:rPr>
          <w:rFonts w:ascii="Times New Roman" w:hAnsi="Times New Roman"/>
          <w:b/>
          <w:sz w:val="20"/>
        </w:rPr>
      </w:pPr>
      <w:bookmarkStart w:id="24" w:name="d487210dex231.htm"/>
      <w:bookmarkStart w:id="25" w:name="ksd487210dex231"/>
      <w:bookmarkEnd w:id="24"/>
      <w:bookmarkEnd w:id="25"/>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Flywire Corporation of our report dated March 10, 2023 relating to the financial statements and the effectiveness of internal control over financial reporting, which appears in Flywire Corporations Annual Report on Form 10-K for the year ended December 31, 2022. We also consent to the reference to us under the heading Experts in such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/s/ PricewaterhouseCoopers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August 9, 2023 </w:t>
      </w:r>
    </w:p>
    <w:p>
      <w:pPr>
        <w:pStyle w:val="TextBody"/>
        <w:bidi w:val="0"/>
        <w:spacing w:before="0" w:after="0"/>
        <w:jc w:val="right"/>
        <w:rPr>
          <w:rFonts w:ascii="Times New Roman" w:hAnsi="Times New Roman"/>
          <w:b/>
          <w:sz w:val="20"/>
        </w:rPr>
      </w:pPr>
      <w:bookmarkStart w:id="26" w:name="d487210dexfilingfees.htm"/>
      <w:bookmarkStart w:id="27" w:name="ksd487210dexfilingfees"/>
      <w:bookmarkEnd w:id="26"/>
      <w:bookmarkEnd w:id="27"/>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Flywire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4420" w:type="dxa"/>
        <w:jc w:val="center"/>
        <w:tblInd w:w="0" w:type="dxa"/>
        <w:tblLayout w:type="fixed"/>
        <w:tblCellMar>
          <w:top w:w="0" w:type="dxa"/>
          <w:left w:w="0" w:type="dxa"/>
          <w:bottom w:w="0" w:type="dxa"/>
          <w:right w:w="0" w:type="dxa"/>
        </w:tblCellMar>
      </w:tblPr>
      <w:tblGrid>
        <w:gridCol w:w="1025"/>
        <w:gridCol w:w="60"/>
        <w:gridCol w:w="860"/>
        <w:gridCol w:w="60"/>
        <w:gridCol w:w="1565"/>
        <w:gridCol w:w="60"/>
        <w:gridCol w:w="1190"/>
        <w:gridCol w:w="60"/>
        <w:gridCol w:w="1100"/>
        <w:gridCol w:w="60"/>
        <w:gridCol w:w="1070"/>
        <w:gridCol w:w="60"/>
        <w:gridCol w:w="1070"/>
        <w:gridCol w:w="60"/>
        <w:gridCol w:w="500"/>
        <w:gridCol w:w="60"/>
        <w:gridCol w:w="1265"/>
        <w:gridCol w:w="60"/>
        <w:gridCol w:w="935"/>
        <w:gridCol w:w="60"/>
        <w:gridCol w:w="935"/>
        <w:gridCol w:w="60"/>
        <w:gridCol w:w="935"/>
        <w:gridCol w:w="60"/>
        <w:gridCol w:w="125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center"/>
              <w:rPr>
                <w:b/>
              </w:rPr>
            </w:pPr>
            <w:r>
              <w:rPr>
                <w:b/>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0"/>
              <w:jc w:val="center"/>
              <w:rPr>
                <w:rFonts w:ascii="Times New Roman" w:hAnsi="Times New Roman"/>
                <w:b/>
                <w:sz w:val="14"/>
              </w:rPr>
            </w:pPr>
            <w:r>
              <w:rPr>
                <w:rFonts w:ascii="Times New Roman" w:hAnsi="Times New Roman"/>
                <w:b/>
                <w:sz w:val="14"/>
              </w:rPr>
              <w:t>Security</w:t>
              <w:br/>
              <w:t>Class</w:t>
            </w:r>
          </w:p>
          <w:p>
            <w:pPr>
              <w:pStyle w:val="TableContents"/>
              <w:bidi w:val="0"/>
              <w:spacing w:before="0" w:after="20"/>
              <w:jc w:val="center"/>
              <w:rPr>
                <w:rFonts w:ascii="Times New Roman" w:hAnsi="Times New Roman"/>
                <w:b/>
                <w:sz w:val="14"/>
              </w:rPr>
            </w:pPr>
            <w:r>
              <w:rPr>
                <w:rFonts w:ascii="Times New Roman" w:hAnsi="Times New Roman"/>
                <w:b/>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b/>
              </w:rPr>
            </w:pPr>
            <w:r>
              <w:rPr>
                <w:b/>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Maximum</w:t>
              <w:br/>
              <w:t>Aggregate</w:t>
              <w:br/>
              <w:t>Offering</w:t>
              <w:b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b/>
              </w:rPr>
            </w:pPr>
            <w:r>
              <w:rPr>
                <w:b/>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center"/>
              <w:rPr>
                <w:b/>
              </w:rPr>
            </w:pPr>
            <w:r>
              <w:rPr>
                <w:b/>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File</w:t>
              <w:b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b/>
              </w:rPr>
            </w:pPr>
            <w:r>
              <w:rPr>
                <w:b/>
              </w:rPr>
              <w:t>Carry</w:t>
              <w:br/>
              <w:t>Forward</w:t>
              <w:br/>
              <w:t>Initial</w:t>
              <w:br/>
              <w:t>effective</w:t>
              <w:b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center"/>
              <w:rPr>
                <w:b/>
              </w:rPr>
            </w:pPr>
            <w:r>
              <w:rPr>
                <w:b/>
              </w:rPr>
              <w:t>Filing Fee</w:t>
              <w:br/>
              <w:t>Previously</w:t>
              <w:br/>
              <w:t>Paid In</w:t>
              <w:br/>
              <w:t>Connection</w:t>
              <w:br/>
              <w:t>with Unsold</w:t>
              <w:br/>
              <w:t>Securities to</w:t>
              <w:br/>
              <w:t>be Carried</w:t>
              <w:br/>
              <w:t>Forward</w:t>
            </w:r>
          </w:p>
        </w:tc>
      </w:tr>
      <w:tr>
        <w:trPr>
          <w:trHeight w:val="15" w:hRule="atLeast"/>
        </w:trPr>
        <w:tc>
          <w:tcPr>
            <w:tcW w:w="1442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42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Newly Registered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center"/>
              <w:rPr/>
            </w:pPr>
            <w:r>
              <w:rPr/>
              <w:t>Fees to Be</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tcPr>
          <w:p>
            <w:pPr>
              <w:pStyle w:val="TableContents"/>
              <w:bidi w:val="0"/>
              <w:spacing w:before="0" w:after="283"/>
              <w:jc w:val="center"/>
              <w:rPr/>
            </w:pPr>
            <w:r>
              <w:rPr/>
              <w:t>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tcPr>
          <w:p>
            <w:pPr>
              <w:pStyle w:val="TableContents"/>
              <w:bidi w:val="0"/>
              <w:spacing w:before="0" w:after="283"/>
              <w:jc w:val="center"/>
              <w:rPr/>
            </w:pPr>
            <w:r>
              <w:rPr/>
              <w:t>Common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tcPr>
          <w:p>
            <w:pPr>
              <w:pStyle w:val="TableContents"/>
              <w:bidi w:val="0"/>
              <w:spacing w:before="0" w:after="283"/>
              <w:jc w:val="center"/>
              <w:rPr/>
            </w:pPr>
            <w:r>
              <w:rPr/>
              <w:t>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tcPr>
          <w:p>
            <w:pPr>
              <w:pStyle w:val="TableContents"/>
              <w:bidi w:val="0"/>
              <w:spacing w:before="0" w:after="283"/>
              <w:jc w:val="center"/>
              <w:rPr/>
            </w:pPr>
            <w:r>
              <w:rPr/>
              <w:t>Preferred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tcPr>
          <w:p>
            <w:pPr>
              <w:pStyle w:val="TableContents"/>
              <w:bidi w:val="0"/>
              <w:spacing w:before="0" w:after="283"/>
              <w:jc w:val="center"/>
              <w:rPr/>
            </w:pPr>
            <w:r>
              <w:rPr/>
              <w:t>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tcPr>
          <w:p>
            <w:pPr>
              <w:pStyle w:val="TableContents"/>
              <w:bidi w:val="0"/>
              <w:spacing w:before="0" w:after="283"/>
              <w:jc w:val="center"/>
              <w:rPr/>
            </w:pPr>
            <w:r>
              <w:rPr/>
              <w:t>456(b) and 457(r)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center"/>
              <w:rPr/>
            </w:pPr>
            <w:r>
              <w:rPr/>
              <w:t>Fees</w:t>
              <w:br/>
              <w:t>Previously</w:t>
              <w:br/>
              <w:t>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4420"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420"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b/>
              </w:rPr>
            </w:pPr>
            <w:r>
              <w:rPr>
                <w:b/>
              </w:rPr>
              <w:t>Carry Forward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6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center"/>
              <w:rPr/>
            </w:pPr>
            <w:r>
              <w:rPr/>
              <w:t>Carry</w:t>
              <w:br/>
              <w:t>Forward</w:t>
              <w:br/>
              <w:t>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tcPr>
          <w:p>
            <w:pPr>
              <w:pStyle w:val="TableContents"/>
              <w:bidi w:val="0"/>
              <w:spacing w:before="0" w:after="283"/>
              <w:jc w:val="center"/>
              <w:rPr/>
            </w:pPr>
            <w:r>
              <w:rPr/>
              <w:t>N/A</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b/>
              </w:rPr>
            </w:pPr>
            <w:r>
              <w:rPr>
                <w:b/>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b/>
              </w:rPr>
            </w:pPr>
            <w:r>
              <w:rPr>
                <w:b/>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895" w:type="dxa"/>
            <w:gridSpan w:val="7"/>
            <w:tcBorders/>
            <w:vAlign w:val="bottom"/>
          </w:tcPr>
          <w:p>
            <w:pPr>
              <w:pStyle w:val="TableContents"/>
              <w:bidi w:val="0"/>
              <w:spacing w:before="0" w:after="283"/>
              <w:jc w:val="right"/>
              <w:rPr>
                <w:b/>
              </w:rPr>
            </w:pPr>
            <w:r>
              <w:rPr>
                <w:b/>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95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5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9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95" w:type="dxa"/>
            <w:gridSpan w:val="7"/>
            <w:tcBorders>
              <w:bottom w:val="single" w:sz="2" w:space="0" w:color="000000"/>
            </w:tcBorders>
            <w:tcMar>
              <w:bottom w:w="28" w:type="dxa"/>
            </w:tcMar>
            <w:vAlign w:val="bottom"/>
          </w:tcPr>
          <w:p>
            <w:pPr>
              <w:pStyle w:val="TableContents"/>
              <w:bidi w:val="0"/>
              <w:spacing w:before="0" w:after="283"/>
              <w:jc w:val="right"/>
              <w:rPr>
                <w:b/>
              </w:rPr>
            </w:pPr>
            <w:r>
              <w:rPr>
                <w:b/>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5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reliance on and in accordance with Rules 456(b) and 457(r) under the Securities Act of 1933 (the Securities Act), the Registrant is deferring payment of all of the registration fee. This registration statement registers an indeterminate aggregate initial offering price or number of securities of each identified class as may from time to time be offered at indeterminate prices. In addition, pursuant to Rule 416 of the Securities Act, the shares of common stock and preferred stock being offered hereunder include such indeterminate number of shares of common stock and preferred stock as may be issuable with respect to the shares of common stock and preferred stock being offered hereunder as a result of stock splits, stock dividends or similar transactions.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0560/000095017023007149/flyw-20221231.htm" TargetMode="External"/><Relationship Id="rId4" Type="http://schemas.openxmlformats.org/officeDocument/2006/relationships/hyperlink" Target="http://www.sec.gov/Archives/edgar/data/../../../ix?doc=/Archives/edgar/data/1580560/000095017023019929/flyw-20230331.htm" TargetMode="External"/><Relationship Id="rId5" Type="http://schemas.openxmlformats.org/officeDocument/2006/relationships/hyperlink" Target="http://www.sec.gov/Archives/edgar/data/../../../ix?doc=/Archives/edgar/data/1580560/000095017023039957/flyw-20230630.htm" TargetMode="External"/><Relationship Id="rId6" Type="http://schemas.openxmlformats.org/officeDocument/2006/relationships/hyperlink" Target="http://www.sec.gov/Archives/edgar/data/../../../ix?doc=/Archives/edgar/data/1580560/000119312523005671/d432856d8k.htm" TargetMode="External"/><Relationship Id="rId7" Type="http://schemas.openxmlformats.org/officeDocument/2006/relationships/hyperlink" Target="http://www.sec.gov/Archives/edgar/data/../../../ix?doc=/Archives/edgar/data/1580560/000119312523164473/d517395d8k.htm" TargetMode="External"/><Relationship Id="rId8" Type="http://schemas.openxmlformats.org/officeDocument/2006/relationships/hyperlink" Target="http://www.sec.gov/Archives/edgar/data/../../../ix?doc=/Archives/edgar/data/1580560/000119312523115432/d359255ddef14a.htm" TargetMode="External"/><Relationship Id="rId9" Type="http://schemas.openxmlformats.org/officeDocument/2006/relationships/hyperlink" Target="http://www.sec.gov/Archives/edgar/data/1580560/000119312521169294/d140633d8a12b.htm" TargetMode="External"/><Relationship Id="rId10" Type="http://schemas.openxmlformats.org/officeDocument/2006/relationships/hyperlink" Target="http://www.sec.gov/Archives/edgar/data/1580560/000095017022004937/flyw-ex4_1.htm" TargetMode="External"/><Relationship Id="rId11" Type="http://schemas.openxmlformats.org/officeDocument/2006/relationships/hyperlink" Target="http://www.sec.gov/Archives/edgar/data/1580560/000119312521178711/d109060dex31.htm" TargetMode="External"/><Relationship Id="rId12" Type="http://schemas.openxmlformats.org/officeDocument/2006/relationships/hyperlink" Target="http://www.sec.gov/Archives/edgar/data/1580560/000119312521178711/d109060dex32.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32817</Words>
  <Characters>165819</Characters>
  <CharactersWithSpaces>198932</CharactersWithSpaces>
  <Paragraphs>2157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