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82377d8k.htm"/>
      <w:bookmarkStart w:id="1" w:name="ksd88237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6,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001-40430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27-0690799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141 Tremont St #10</w:t>
      </w:r>
    </w:p>
    <w:p>
      <w:pPr>
        <w:pStyle w:val="TextBody"/>
        <w:bidi w:val="0"/>
        <w:spacing w:before="0" w:after="0"/>
        <w:jc w:val="center"/>
        <w:rPr>
          <w:rFonts w:ascii="Times New Roman" w:hAnsi="Times New Roman"/>
          <w:b/>
          <w:sz w:val="20"/>
        </w:rPr>
      </w:pPr>
      <w:r>
        <w:rPr>
          <w:rFonts w:ascii="Times New Roman" w:hAnsi="Times New Roman"/>
          <w:b/>
          <w:sz w:val="20"/>
        </w:rPr>
        <w:t>Boston, MA 02111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329-4524</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95" w:type="dxa"/>
        <w:jc w:val="left"/>
        <w:tblInd w:w="0" w:type="dxa"/>
        <w:tblLayout w:type="fixed"/>
        <w:tblCellMar>
          <w:top w:w="0" w:type="dxa"/>
          <w:left w:w="0" w:type="dxa"/>
          <w:bottom w:w="0" w:type="dxa"/>
          <w:right w:w="0" w:type="dxa"/>
        </w:tblCellMar>
      </w:tblPr>
      <w:tblGrid>
        <w:gridCol w:w="4985"/>
        <w:gridCol w:w="60"/>
        <w:gridCol w:w="740"/>
        <w:gridCol w:w="60"/>
        <w:gridCol w:w="3050"/>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FLYW</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2024, Flywire Corporation (“Flywire” or the “Company”) issued a press release (the “Press Release”) and is holding a conference call regarding its preliminary and unaudited financial results for the quarter ended June 30, 2024. The Press Release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the effects of global events and geopolitical conflicts, including without limitation the continuing hostilities in Ukraine and involving Israel;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2023. Additional factors may be described in those sections of Flywire’s Quarterly Report on Form 10-Q for the quarter ended June 30, 2024, expected to be filed with the SEC in the third quarter of 2024. The information conveyed on the conference call is provided only as of the date of the conference call, and Flywire undertakes no obligation to update any forward-looking statements presented during the conference call on account of new information, future events, or otherwise, except as required by law.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2024,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82377dex991.htm">
              <w:r>
                <w:rPr>
                  <w:rStyle w:val="InternetLink"/>
                </w:rPr>
                <w:t xml:space="preserve">Flywire Corporation Press Release dated August 6, 2024.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82377dex992.htm">
              <w:r>
                <w:rPr>
                  <w:rStyle w:val="InternetLink"/>
                </w:rPr>
                <w:t xml:space="preserve">Flywire Corporation Investor Presentation dated August 6, 2024.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665"/>
        <w:gridCol w:w="60"/>
        <w:gridCol w:w="22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pPr>
            <w:r>
              <w:rPr/>
              <w:t>FLYWIRE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Cosmin Pitigoi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Cosmin Pitigoi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August 6, 2024 </w:t>
      </w:r>
    </w:p>
    <w:p>
      <w:pPr>
        <w:pStyle w:val="TextBody"/>
        <w:bidi w:val="0"/>
        <w:spacing w:before="0" w:after="0"/>
        <w:jc w:val="right"/>
        <w:rPr>
          <w:rFonts w:ascii="Times New Roman" w:hAnsi="Times New Roman"/>
          <w:b/>
          <w:sz w:val="20"/>
        </w:rPr>
      </w:pPr>
      <w:bookmarkStart w:id="2" w:name="d882377dex991.htm"/>
      <w:bookmarkStart w:id="3" w:name="ksd882377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Flywire Reports Second Quarter 2024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Second Quarter Revenue Increased 22%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Second Quarter Revenue Less Ancillary Services Increased 26%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Announces Acquisition of Invoiced, an Award-Winning Accounts Receivable SaaS Platform </w:t>
      </w:r>
    </w:p>
    <w:p>
      <w:pPr>
        <w:pStyle w:val="TextBody"/>
        <w:bidi w:val="0"/>
        <w:spacing w:before="240" w:after="0"/>
        <w:jc w:val="center"/>
        <w:rPr>
          <w:rFonts w:ascii="Times New Roman" w:hAnsi="Times New Roman"/>
          <w:i/>
          <w:sz w:val="20"/>
        </w:rPr>
      </w:pPr>
      <w:r>
        <w:rPr>
          <w:rFonts w:ascii="Times New Roman" w:hAnsi="Times New Roman"/>
          <w:i/>
          <w:sz w:val="20"/>
        </w:rPr>
        <w:t xml:space="preserve">Board of Directors Authorizes $150 Million Share Repurchase Program </w:t>
      </w:r>
    </w:p>
    <w:p>
      <w:pPr>
        <w:pStyle w:val="TextBody"/>
        <w:bidi w:val="0"/>
        <w:spacing w:before="240" w:after="0"/>
        <w:jc w:val="left"/>
        <w:rPr>
          <w:rFonts w:ascii="Times New Roman" w:hAnsi="Times New Roman"/>
          <w:sz w:val="20"/>
        </w:rPr>
      </w:pPr>
      <w:r>
        <w:rPr>
          <w:rFonts w:ascii="Times New Roman" w:hAnsi="Times New Roman"/>
          <w:b/>
          <w:sz w:val="20"/>
        </w:rPr>
        <w:t>Boston, MA  August</w:t>
      </w:r>
      <w:r>
        <w:rPr>
          <w:rFonts w:ascii="Times New Roman" w:hAnsi="Times New Roman"/>
          <w:sz w:val="20"/>
        </w:rPr>
        <w:t> </w:t>
      </w:r>
      <w:r>
        <w:rPr>
          <w:rFonts w:ascii="Times New Roman" w:hAnsi="Times New Roman"/>
          <w:b/>
          <w:sz w:val="20"/>
        </w:rPr>
        <w:t>6, 2024:</w:t>
      </w:r>
      <w:r>
        <w:rPr>
          <w:rFonts w:ascii="Times New Roman" w:hAnsi="Times New Roman"/>
          <w:sz w:val="20"/>
        </w:rPr>
        <w:t xml:space="preserve"> </w:t>
      </w:r>
      <w:r>
        <w:rPr>
          <w:rFonts w:ascii="Times New Roman" w:hAnsi="Times New Roman"/>
          <w:sz w:val="20"/>
          <w:u w:val="single"/>
        </w:rPr>
        <w:t>Flywire Corporation</w:t>
      </w:r>
      <w:r>
        <w:rPr>
          <w:rFonts w:ascii="Times New Roman" w:hAnsi="Times New Roman"/>
          <w:sz w:val="20"/>
        </w:rPr>
        <w:t xml:space="preserve"> (Nasdaq: FLYW) (Flywire or the Company) a global payments enablement and software company, today reported financial results for its second quarter ended June 30, 2024. </w:t>
      </w:r>
    </w:p>
    <w:p>
      <w:pPr>
        <w:pStyle w:val="TextBody"/>
        <w:bidi w:val="0"/>
        <w:spacing w:before="240" w:after="0"/>
        <w:jc w:val="left"/>
        <w:rPr>
          <w:rFonts w:ascii="Times New Roman" w:hAnsi="Times New Roman"/>
          <w:sz w:val="20"/>
        </w:rPr>
      </w:pPr>
      <w:r>
        <w:rPr>
          <w:rFonts w:ascii="Times New Roman" w:hAnsi="Times New Roman"/>
          <w:sz w:val="20"/>
        </w:rPr>
        <w:t xml:space="preserve">Our second quarter results demonstrate resilient performance across the business where we signed more than 200 new clients and grew revenue by 22% and revenue less ancillary services by 26% year-over-year, despite revenue headwinds related to the ongoing Canadian government actions involving student study permits, said Mike Massaro, CEO of Flywire. These results reflect our ability to both grow within our existing accounts and drive revenue diversity, demonstrating continued progress against our strategy of optimizing our Go-To-Market capabilities, expanding our Flywire Advantage and strengthening our FlyMate community. I am also thrilled to be welcoming a talented group of new FlyMates to our global team with the acquisition of Invoiced, an award-winning Accounts Receivable SaaS platform. We expect Invoiced to help accelerate our organic progress to date in the fast growing B2B vertical.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2024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22% to $103.7 million in the second quarter of 2024, compared to $84.9 million in the second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increased to $61.9 million, resulting in Gross Margin of 59.7%, for the second quarter of 2024, compared to Gross Profit of $48.8 million and Gross Margin of 57.5% in the second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was $13.9 million in the second quarter of 2024, compared to net loss of $16.8 million in the second quarter of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Key Operating Metrics and Non-GAAP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Payment Volume increased 19% to $4.9 billion in the second quarter of 2024, compared to $4.1 billion in the second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increased 26% to $99.9 million in the second quarter of 2024, compared to $79.5 million in the second quarter of 2023. Revenue Less Ancillary Services in the second quarter of 2024 was estimated to be unfavorably impacted by changes in foreign exchange rates between March 31, 2024 and June 30, 2024 by approximately $0.1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increased to $63.4 million, resulting in Adjusted Gross Margin of 63.5% in the second quarter of 2024, compared to Adjusted Gross Profit of $50.5 million and Adjusted Gross Margin of 63.5% in the second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increased to $5.8 million in the second quarter of 2024, compared to $(0.1) million in the second quarter of 2023, a 593 bps adjusted EBITDA margin expansion compared to the second quarter of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2024 and Recent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more than 200 new clients across all verticals.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availability of third-party invoicing, streamlining the payment experience for third-party sponsors paying a students tuition and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Partnership with HDFC by Credila, the largest independent student loan provider in India, to enable Indian payers to seamlessly and digitally disburse their loan payments in their local currency (Indian Rupees) directly to higher education institutions all over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Invoiced to bolster Flywires global B2B payment network with award-winning Accounts Receivable SaaS platform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As part of Flywires capital allocation strategy to maximize shareholder value, the Companys Board of Directors authorized a share repurchase program, pursuant to which the Company may, from time to time, purchase shares of its common stock, up to an aggregate repurchase price of $150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and Fiscal-Year 2024 Outlook: </w:t>
      </w:r>
    </w:p>
    <w:p>
      <w:pPr>
        <w:pStyle w:val="TextBody"/>
        <w:bidi w:val="0"/>
        <w:spacing w:before="120" w:after="0"/>
        <w:jc w:val="left"/>
        <w:rPr>
          <w:rFonts w:ascii="Times New Roman" w:hAnsi="Times New Roman"/>
          <w:sz w:val="20"/>
        </w:rPr>
      </w:pPr>
      <w:r>
        <w:rPr>
          <w:rFonts w:ascii="Times New Roman" w:hAnsi="Times New Roman"/>
          <w:sz w:val="20"/>
        </w:rPr>
        <w:t xml:space="preserve">We had a strong quarter across many of our key operating metrics and financial measures, said Cosmin Pitigoi, CFO of Flywire. Our first half results demonstrate the resilience of our team and our business model despite softer than expected performance in our Canadian education business. For Fiscal Year 2024, we are lowering our revenue outlook due to our current expectations regarding the external headwinds in Canada and raising our Full Year Adjusted EBITDA guidance which reflects 490 basis points of margin improvement at the midpoint, 170 basis points higher than our prior guidance. Lastly, our share repurchase program is a direct reflection of our confidence in the long term potential of the business and the strength of our balance sheet. We believe this program still allows us ample capacity to continue investing organically and to pursue strategic value-enhancing acquisitions.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information available as of August 6, 2024, Flywire anticipates the following results for the third quarter and Fiscal-Year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97"/>
        <w:gridCol w:w="221"/>
        <w:gridCol w:w="2021"/>
      </w:tblGrid>
      <w:tr>
        <w:trPr/>
        <w:tc>
          <w:tcPr>
            <w:tcW w:w="469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469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021" w:type="dxa"/>
            <w:tcBorders>
              <w:bottom w:val="single" w:sz="8" w:space="0" w:color="000000"/>
            </w:tcBorders>
            <w:tcMar>
              <w:bottom w:w="28" w:type="dxa"/>
            </w:tcMar>
            <w:vAlign w:val="bottom"/>
          </w:tcPr>
          <w:p>
            <w:pPr>
              <w:pStyle w:val="TableContents"/>
              <w:bidi w:val="0"/>
              <w:spacing w:before="0" w:after="283"/>
              <w:jc w:val="center"/>
              <w:rPr>
                <w:b/>
              </w:rPr>
            </w:pPr>
            <w:r>
              <w:rPr>
                <w:b/>
              </w:rPr>
              <w:t>Fiscal-Year 2024*</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1"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$483 to $506 million</w:t>
            </w:r>
          </w:p>
        </w:tc>
      </w:tr>
      <w:tr>
        <w:trPr/>
        <w:tc>
          <w:tcPr>
            <w:tcW w:w="4697"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21"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center"/>
              <w:rPr/>
            </w:pPr>
            <w:r>
              <w:rPr/>
              <w:t>$469 to $485 million</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1"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$72 to $80 million</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97"/>
        <w:gridCol w:w="221"/>
        <w:gridCol w:w="2021"/>
      </w:tblGrid>
      <w:tr>
        <w:trPr/>
        <w:tc>
          <w:tcPr>
            <w:tcW w:w="469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469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021" w:type="dxa"/>
            <w:tcBorders>
              <w:bottom w:val="single" w:sz="8" w:space="0" w:color="000000"/>
            </w:tcBorders>
            <w:tcMar>
              <w:bottom w:w="28" w:type="dxa"/>
            </w:tcMar>
            <w:vAlign w:val="bottom"/>
          </w:tcPr>
          <w:p>
            <w:pPr>
              <w:pStyle w:val="TableContents"/>
              <w:bidi w:val="0"/>
              <w:spacing w:before="0" w:after="283"/>
              <w:jc w:val="center"/>
              <w:rPr>
                <w:b/>
              </w:rPr>
            </w:pPr>
            <w:r>
              <w:rPr>
                <w:b/>
              </w:rPr>
              <w:t>Third Quarter 2024*</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1"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$146 to $157 million</w:t>
            </w:r>
          </w:p>
        </w:tc>
      </w:tr>
      <w:tr>
        <w:trPr/>
        <w:tc>
          <w:tcPr>
            <w:tcW w:w="4697"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21"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center"/>
              <w:rPr/>
            </w:pPr>
            <w:r>
              <w:rPr/>
              <w:t>$141 to $151 million</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1"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$37 to $43 million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assumed foreign exchange rates prevailing as of June 30,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Flywire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These statements are forward-looking and actual results may differ materially. Refer to the Safe Harbor Statement below for information on the factors that could cause Flywires actual results to differ materially from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to discuss second quarter 2024 financial results today at 5:00 pm ET. Hosting the call will be Mike Massaro, CEO, Rob Orgel, President and COO, and Cosmin Pitigoi, CFO. The conference call can be accessed live via webcast from the Companys investor relations website at </w:t>
      </w:r>
      <w:r>
        <w:rPr>
          <w:rFonts w:ascii="Times New Roman" w:hAnsi="Times New Roman"/>
          <w:sz w:val="20"/>
          <w:u w:val="single"/>
        </w:rPr>
        <w:t>https://ir.flywire.com/</w:t>
      </w:r>
      <w:r>
        <w:rPr>
          <w:rFonts w:ascii="Times New Roman" w:hAnsi="Times New Roman"/>
          <w:sz w:val="20"/>
        </w:rPr>
        <w:t xml:space="preserve">. A replay will be available on the investor relations website following the call. </w:t>
      </w:r>
    </w:p>
    <w:p>
      <w:pPr>
        <w:pStyle w:val="TextBody"/>
        <w:bidi w:val="0"/>
        <w:spacing w:before="360" w:after="0"/>
        <w:jc w:val="left"/>
        <w:rPr>
          <w:rFonts w:ascii="Times New Roman" w:hAnsi="Times New Roman"/>
          <w:b/>
          <w:sz w:val="20"/>
        </w:rPr>
      </w:pPr>
      <w:r>
        <w:rPr>
          <w:rFonts w:ascii="Times New Roman" w:hAnsi="Times New Roman"/>
          <w:b/>
          <w:sz w:val="20"/>
        </w:rPr>
        <w:t xml:space="preserve">Note Regarding 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Repurchases under the Companys share repurchase program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The Repurchase Program does not expire and may be modified, suspended or terminated at any time without notice at the Companys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Key Operating Metrics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 to period comparisons. There are limitations to the use of the non-GAAP financial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Flywire uses supplemental measures of its performance which are derived from its consolidated financial information, but which are not presented in its consolidated financial statements prepared in accordance with GAAP. These non-GAAP financial measures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Adjusted Gross Margin represents Adjusted Gross Profit divided by Revenue Less Ancillary Services. Management believes this presentation supplements the GAAP presentation of Gross Margin with a useful measure of the gross margin of the Companys payment-related services, which are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Adjusted EBITDA represents EBITDA further adjusted by excluding (i) stock-based compensation expense and related payroll taxes, (ii) the impact from the change in fair value measurement for contingent consideration associated with acquisitions,(iii) gain (loss) from the remeasurement of foreign currency, (iv) indirect taxes related to intercompany activity, (v) acquisition related transaction costs, if applicable, and (vi) employee retention costs, such as incentive compensation, associated with acquisition activities. Management believes that the exclusion of these amounts to calculate Adjusted EBITDA provides useful measures for period-to-period comparisons of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at Constant Currency.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Flywire analyzes Revenue Less Ancillary Services on a constant currency basis to provide a comparable framework for assessing how the business performed excluding the effect of foreign currency fluctuations.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Expenses - 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and (v) the impact from the change in fair value measurement for contingent consideration associated with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non-GAAP financial measures are not meant to be considered as indicators of performance in isolation from or as a substitute for the Companys revenue, gross profit, gross margin or net income (loss), or operating expenses prepared in accordance with GAAP and should be read only in conjunction with financial information presented on a GAAP basis. Reconciliations of Revenue Less Ancillary Services, Revenue Less Ancillary Services at Constant Currency, Adjusted Gross Profit, Adjusted Gross Margin, Adjusted EBITDA and non-GAAP Operating Expenses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Flywire has not provided a quantitative reconciliation of forecasted Adjusted EBITDA to forecasted GAAP net income (loss) or to forecasted GAAP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w:t>
      </w:r>
    </w:p>
    <w:p>
      <w:pPr>
        <w:pStyle w:val="TextBody"/>
        <w:bidi w:val="0"/>
        <w:spacing w:before="360" w:after="0"/>
        <w:jc w:val="left"/>
        <w:rPr>
          <w:rFonts w:ascii="Times New Roman" w:hAnsi="Times New Roman"/>
          <w:b/>
          <w:sz w:val="20"/>
        </w:rPr>
      </w:pPr>
      <w:r>
        <w:rPr>
          <w:rFonts w:ascii="Times New Roman" w:hAnsi="Times New Roman"/>
          <w:b/>
          <w:sz w:val="20"/>
        </w:rPr>
        <w:t xml:space="preserve">About Flywire </w:t>
      </w:r>
    </w:p>
    <w:p>
      <w:pPr>
        <w:pStyle w:val="TextBody"/>
        <w:bidi w:val="0"/>
        <w:spacing w:before="120" w:after="0"/>
        <w:jc w:val="left"/>
        <w:rPr>
          <w:rFonts w:ascii="Times New Roman" w:hAnsi="Times New Roman"/>
          <w:sz w:val="20"/>
        </w:rPr>
      </w:pPr>
      <w:r>
        <w:rPr>
          <w:rFonts w:ascii="Times New Roman" w:hAnsi="Times New Roman"/>
          <w:sz w:val="20"/>
        </w:rPr>
        <w:t xml:space="preserve">Flywire is a global payments enablement and software company. Flywire combines its proprietary global payments network, next-gen payments platform and vertical-specific software to deliver the most important and complex payments for its clients and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Flywire supports more than 4,000 clients with diverse payment methods in more than 140 currencies across 240 countries and territories around the world. Flywire is headquartered in Boston, MA, USA with additional offices around the globe. For more information, visit </w:t>
      </w:r>
      <w:r>
        <w:rPr>
          <w:rFonts w:ascii="Times New Roman" w:hAnsi="Times New Roman"/>
          <w:b/>
          <w:sz w:val="20"/>
          <w:u w:val="single"/>
        </w:rPr>
        <w:t>www.flywire.com</w:t>
      </w:r>
      <w:r>
        <w:rPr>
          <w:rFonts w:ascii="Times New Roman" w:hAnsi="Times New Roman"/>
          <w:sz w:val="20"/>
        </w:rPr>
        <w:t xml:space="preserve">. Follow Flywire on </w:t>
      </w:r>
      <w:r>
        <w:rPr>
          <w:rFonts w:ascii="Times New Roman" w:hAnsi="Times New Roman"/>
          <w:sz w:val="20"/>
          <w:u w:val="single"/>
        </w:rPr>
        <w:t>X</w:t>
      </w:r>
      <w:r>
        <w:rPr>
          <w:rFonts w:ascii="Times New Roman" w:hAnsi="Times New Roman"/>
          <w:sz w:val="20"/>
        </w:rPr>
        <w:t xml:space="preserve"> (formerly known as Twitter), </w:t>
      </w:r>
      <w:r>
        <w:rPr>
          <w:rFonts w:ascii="Times New Roman" w:hAnsi="Times New Roman"/>
          <w:b/>
          <w:sz w:val="20"/>
          <w:u w:val="single"/>
        </w:rPr>
        <w:t>LinkedIn</w:t>
      </w:r>
      <w:r>
        <w:rPr>
          <w:rFonts w:ascii="Times New Roman" w:hAnsi="Times New Roman"/>
          <w:sz w:val="20"/>
        </w:rPr>
        <w:t xml:space="preserve"> and</w:t>
      </w:r>
      <w:r>
        <w:rPr>
          <w:rFonts w:ascii="Times New Roman" w:hAnsi="Times New Roman"/>
          <w:sz w:val="20"/>
          <w:u w:val="single"/>
        </w:rPr>
        <w:t xml:space="preserve"> </w:t>
      </w:r>
      <w:r>
        <w:rPr>
          <w:rFonts w:ascii="Times New Roman" w:hAnsi="Times New Roman"/>
          <w:b/>
          <w:sz w:val="20"/>
          <w:u w:val="single"/>
        </w:rPr>
        <w:t>Facebook</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2023, and Quarterly Report on Form 10-Q for the quarter ended March 31, 2024, which are on file with the Securities and Exchange Commission (SEC) and available on the SECs website at </w:t>
      </w:r>
      <w:r>
        <w:rPr>
          <w:rFonts w:ascii="Times New Roman" w:hAnsi="Times New Roman"/>
          <w:sz w:val="20"/>
          <w:u w:val="single"/>
        </w:rPr>
        <w:t>https://www.sec.gov/</w:t>
      </w:r>
      <w:r>
        <w:rPr>
          <w:rFonts w:ascii="Times New Roman" w:hAnsi="Times New Roman"/>
          <w:sz w:val="20"/>
        </w:rPr>
        <w:t xml:space="preserve">. Additional factors may be described in those sections of Flywires Quarterly Report on Form 10-Q for the quarter ended March 31, 2024, expected to be filed with the SEC in the third quarter of 2024. The information in this release is provided only as of the date of this release, and Flywire undertakes no obligation to update any forward-looking statements contained in this release on account of new information, future events,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ir@Flywire.com </w:t>
      </w:r>
    </w:p>
    <w:p>
      <w:pPr>
        <w:pStyle w:val="TextBody"/>
        <w:bidi w:val="0"/>
        <w:spacing w:before="36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Sarah King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Media@Flywire.com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(Amounts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0"/>
        <w:gridCol w:w="240"/>
        <w:gridCol w:w="146"/>
        <w:gridCol w:w="1274"/>
        <w:gridCol w:w="161"/>
        <w:gridCol w:w="190"/>
        <w:gridCol w:w="146"/>
        <w:gridCol w:w="1276"/>
        <w:gridCol w:w="155"/>
        <w:gridCol w:w="188"/>
        <w:gridCol w:w="140"/>
        <w:gridCol w:w="1227"/>
        <w:gridCol w:w="155"/>
        <w:gridCol w:w="188"/>
        <w:gridCol w:w="140"/>
        <w:gridCol w:w="1227"/>
        <w:gridCol w:w="162"/>
      </w:tblGrid>
      <w:tr>
        <w:trPr/>
        <w:tc>
          <w:tcPr>
            <w:tcW w:w="319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1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103,676</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84,869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217,779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179,226</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27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39,899</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33,804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81,549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67,659</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Technology and development</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15,834</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16,016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32,571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30,539</w:t>
            </w:r>
          </w:p>
        </w:tc>
        <w:tc>
          <w:tcPr>
            <w:tcW w:w="162" w:type="dxa"/>
            <w:tcBorders/>
            <w:vAlign w:val="bottom"/>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31,771</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27,273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61,854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51,707</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31,959</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24,584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63,555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52,697</w:t>
            </w:r>
          </w:p>
        </w:tc>
        <w:tc>
          <w:tcPr>
            <w:tcW w:w="162" w:type="dxa"/>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119,463</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101,677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239,529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202,602</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(15,787</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(16,808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(21,750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(23,376</w:t>
            </w:r>
          </w:p>
        </w:tc>
        <w:tc>
          <w:tcPr>
            <w:tcW w:w="162" w:type="dxa"/>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(133</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(275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(181</w:t>
            </w:r>
          </w:p>
        </w:tc>
        <w:tc>
          <w:tcPr>
            <w:tcW w:w="162" w:type="dxa"/>
            <w:tcBorders/>
            <w:vAlign w:val="bottom"/>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5,719</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1,935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11,598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3,870</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998</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(755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(3,378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715</w:t>
            </w:r>
          </w:p>
        </w:tc>
        <w:tc>
          <w:tcPr>
            <w:tcW w:w="162" w:type="dxa"/>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6,584</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1,102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7,945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4,404</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(9,203</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(15,706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(13,805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(18,972</w:t>
            </w:r>
          </w:p>
        </w:tc>
        <w:tc>
          <w:tcPr>
            <w:tcW w:w="162" w:type="dxa"/>
            <w:tcBorders/>
            <w:vAlign w:val="bottom"/>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4,677</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1,107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6,292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1,524</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(13,880</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(16,813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(20,097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(20,496</w:t>
            </w:r>
          </w:p>
        </w:tc>
        <w:tc>
          <w:tcPr>
            <w:tcW w:w="162" w:type="dxa"/>
            <w:tcBorders/>
            <w:vAlign w:val="bottom"/>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193</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2,449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(1,168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2,082</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losses on available-for-sale debt securities, net</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(53</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140</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2,449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(1,221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2,082</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(13,740</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(14,364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(21,318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(18,414</w:t>
            </w:r>
          </w:p>
        </w:tc>
        <w:tc>
          <w:tcPr>
            <w:tcW w:w="162" w:type="dxa"/>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 basic and diluted</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(13,880</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(16,813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(20,097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(20,496</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 basic and diluted</w:t>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(0.11</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(0.19</w:t>
            </w:r>
          </w:p>
        </w:tc>
        <w:tc>
          <w:tcPr>
            <w:tcW w:w="162" w:type="dxa"/>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 and diluted</w:t>
            </w:r>
          </w:p>
        </w:tc>
        <w:tc>
          <w:tcPr>
            <w:tcW w:w="2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124,562,015</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111,133,221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123,859,762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110,464,092</w:t>
            </w:r>
          </w:p>
        </w:tc>
        <w:tc>
          <w:tcPr>
            <w:tcW w:w="162" w:type="dxa"/>
            <w:tcBorders/>
            <w:shd w:fill="CCEEFF" w:val="clear"/>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7"/>
        <w:gridCol w:w="156"/>
        <w:gridCol w:w="140"/>
        <w:gridCol w:w="887"/>
        <w:gridCol w:w="155"/>
        <w:gridCol w:w="116"/>
        <w:gridCol w:w="169"/>
        <w:gridCol w:w="1247"/>
        <w:gridCol w:w="158"/>
      </w:tblGrid>
      <w:tr>
        <w:trPr/>
        <w:tc>
          <w:tcPr>
            <w:tcW w:w="7177"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717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539,300</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654,608</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31,694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20,275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18,215</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receivables, net</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13,052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10,689</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84,974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113,945</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21,633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18,227</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710,928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815,684</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26,721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17,074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15,134</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101,303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108,178</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120,657</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121,646</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22,029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19,089</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998,712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1,079,731</w:t>
            </w:r>
          </w:p>
        </w:tc>
        <w:tc>
          <w:tcPr>
            <w:tcW w:w="158" w:type="dxa"/>
            <w:tcBorders/>
            <w:vAlign w:val="bottom"/>
          </w:tcPr>
          <w:p>
            <w:pPr>
              <w:pStyle w:val="TableContents"/>
              <w:bidi w:val="0"/>
              <w:spacing w:before="0" w:after="283"/>
              <w:jc w:val="left"/>
              <w:rPr/>
            </w:pPr>
            <w:r>
              <w:rPr/>
              <w:t> </w:t>
            </w:r>
          </w:p>
        </w:tc>
      </w:tr>
      <w:tr>
        <w:trPr/>
        <w:tc>
          <w:tcPr>
            <w:tcW w:w="717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13,509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12,587</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116,191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210,922</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43,536</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43,315</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4,183</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6,968</w:t>
            </w:r>
          </w:p>
        </w:tc>
        <w:tc>
          <w:tcPr>
            <w:tcW w:w="158" w:type="dxa"/>
            <w:tcBorders/>
            <w:vAlign w:val="bottom"/>
          </w:tcPr>
          <w:p>
            <w:pPr>
              <w:pStyle w:val="TableContents"/>
              <w:bidi w:val="0"/>
              <w:spacing w:before="0" w:after="283"/>
              <w:jc w:val="left"/>
              <w:rPr/>
            </w:pPr>
            <w:r>
              <w:rPr/>
              <w:t> </w:t>
            </w:r>
          </w:p>
        </w:tc>
      </w:tr>
      <w:tr>
        <w:trPr/>
        <w:tc>
          <w:tcPr>
            <w:tcW w:w="717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177,419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273,792</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14,744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15,391</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3,989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4,431</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196,152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293,614</w:t>
            </w:r>
          </w:p>
        </w:tc>
        <w:tc>
          <w:tcPr>
            <w:tcW w:w="158" w:type="dxa"/>
            <w:tcBorders/>
            <w:vAlign w:val="bottom"/>
          </w:tcPr>
          <w:p>
            <w:pPr>
              <w:pStyle w:val="TableContents"/>
              <w:bidi w:val="0"/>
              <w:spacing w:before="0" w:after="283"/>
              <w:jc w:val="left"/>
              <w:rPr/>
            </w:pPr>
            <w:r>
              <w:rPr/>
              <w:t> </w:t>
            </w:r>
          </w:p>
        </w:tc>
      </w:tr>
      <w:tr>
        <w:trPr/>
        <w:tc>
          <w:tcPr>
            <w:tcW w:w="717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16)</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10,000,000 shares authorized as of June 30, 2024 and December 31, 2023; and no shares issued and outstanding as of June 30, 2024 and December 31, 2023</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Voting common stock, $0.0001 par value; 2,000,000,000 shares authorized as of June 30, 2024 and December 31, 2023; 125,528,991 shares issued and 123,233,953 shares outstanding as of June 30, 2024; 123,010,207 shares issued and 120,695,162 shares outstanding as of December 31, 2023</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Non-voting common stock, $0.0001 par value; 10,000,000 shares authorized as of June 30, 2024 and December 31, 2023; 1,873,320 shares issued and outstanding as of June 30, 2024 and December 31, 2023</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Treasury voting common stock, 2,295,038 and 2,315,045 shares as of June 30, 2024 and December 31, 2023, respectively, held at cost</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(741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(747</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997,057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959,302</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1,320</w:t>
            </w:r>
          </w:p>
        </w:tc>
        <w:tc>
          <w:tcPr>
            <w:tcW w:w="158"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(193,867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(173,770</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802,560</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786,117</w:t>
            </w:r>
          </w:p>
        </w:tc>
        <w:tc>
          <w:tcPr>
            <w:tcW w:w="158" w:type="dxa"/>
            <w:tcBorders/>
            <w:vAlign w:val="bottom"/>
          </w:tcPr>
          <w:p>
            <w:pPr>
              <w:pStyle w:val="TableContents"/>
              <w:bidi w:val="0"/>
              <w:spacing w:before="0" w:after="283"/>
              <w:jc w:val="left"/>
              <w:rPr/>
            </w:pPr>
            <w:r>
              <w:rPr/>
              <w:t> </w:t>
            </w:r>
          </w:p>
        </w:tc>
      </w:tr>
      <w:tr>
        <w:trPr/>
        <w:tc>
          <w:tcPr>
            <w:tcW w:w="717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998,712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1,079,731</w:t>
            </w:r>
          </w:p>
        </w:tc>
        <w:tc>
          <w:tcPr>
            <w:tcW w:w="158" w:type="dxa"/>
            <w:tcBorders/>
            <w:shd w:fill="CCEEFF" w:val="clear"/>
            <w:vAlign w:val="bottom"/>
          </w:tcPr>
          <w:p>
            <w:pPr>
              <w:pStyle w:val="TableContents"/>
              <w:bidi w:val="0"/>
              <w:spacing w:before="0" w:after="283"/>
              <w:jc w:val="left"/>
              <w:rPr/>
            </w:pPr>
            <w:r>
              <w:rPr/>
              <w:t> </w:t>
            </w:r>
          </w:p>
        </w:tc>
      </w:tr>
      <w:tr>
        <w:trPr/>
        <w:tc>
          <w:tcPr>
            <w:tcW w:w="717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7"/>
        <w:gridCol w:w="159"/>
        <w:gridCol w:w="178"/>
        <w:gridCol w:w="1170"/>
        <w:gridCol w:w="197"/>
        <w:gridCol w:w="127"/>
        <w:gridCol w:w="178"/>
        <w:gridCol w:w="1031"/>
        <w:gridCol w:w="158"/>
      </w:tblGrid>
      <w:tr>
        <w:trPr/>
        <w:tc>
          <w:tcPr>
            <w:tcW w:w="7007"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8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8" w:type="dxa"/>
            <w:tcBorders/>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03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(20,097</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031" w:type="dxa"/>
            <w:tcBorders/>
            <w:vAlign w:val="bottom"/>
          </w:tcPr>
          <w:p>
            <w:pPr>
              <w:pStyle w:val="TableContents"/>
              <w:bidi w:val="0"/>
              <w:spacing w:before="0" w:after="283"/>
              <w:jc w:val="right"/>
              <w:rPr/>
            </w:pPr>
            <w:r>
              <w:rPr/>
              <w:t>(20,496</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03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8,463</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7,876</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31,903</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19,979</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 costs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517</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228</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(894</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410</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provision (benefit)</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(1,045</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(584</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uncollectible accounts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(121</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599</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138</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144</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discounts on investments, net of amortization of premiums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(143</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03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(1,939</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(6,186</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Unbilled receivables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(2,363</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(1,511</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28,971</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19,649</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other current assets and other assets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(4,421</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(1,030</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(94,730</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(42,347</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other current liabilities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1,807</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1,121</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(467</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(675</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(574</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(2,785</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(2,463</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(57,414</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(25,652</w:t>
            </w:r>
          </w:p>
        </w:tc>
        <w:tc>
          <w:tcPr>
            <w:tcW w:w="158" w:type="dxa"/>
            <w:tcBorders/>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03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debt securities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(58,491</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debt securities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165</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 of internally developed software</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(3,304</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(2,812</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(604</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(671</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(62,234</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(3,483</w:t>
            </w:r>
          </w:p>
        </w:tc>
        <w:tc>
          <w:tcPr>
            <w:tcW w:w="158" w:type="dxa"/>
            <w:tcBorders/>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03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debt issuance costs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(783</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 paid for acquisitions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(1,207</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issuance of stock under Employee Stock Purchase Plan</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1,415</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864</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3,227</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6,044</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3,859</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5,701</w:t>
            </w:r>
          </w:p>
        </w:tc>
        <w:tc>
          <w:tcPr>
            <w:tcW w:w="158" w:type="dxa"/>
            <w:tcBorders/>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rates changes on cash and cash equivalents</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481</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320</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increase (decrease) in cash, cash equivalents and restricted </w:t>
              <w:br/>
              <w:t>cash</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(115,308</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(23,114</w:t>
            </w:r>
          </w:p>
        </w:tc>
        <w:tc>
          <w:tcPr>
            <w:tcW w:w="158" w:type="dxa"/>
            <w:tcBorders/>
            <w:vAlign w:val="bottom"/>
          </w:tcPr>
          <w:p>
            <w:pPr>
              <w:pStyle w:val="TableContents"/>
              <w:bidi w:val="0"/>
              <w:spacing w:before="0" w:after="283"/>
              <w:jc w:val="left"/>
              <w:rPr/>
            </w:pPr>
            <w:r>
              <w:rPr/>
              <w:t>) </w:t>
            </w:r>
          </w:p>
        </w:tc>
      </w:tr>
      <w:tr>
        <w:trPr/>
        <w:tc>
          <w:tcPr>
            <w:tcW w:w="7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beginning of year</w:t>
            </w:r>
          </w:p>
        </w:tc>
        <w:tc>
          <w:tcPr>
            <w:tcW w:w="15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654,608</w:t>
            </w:r>
          </w:p>
        </w:tc>
        <w:tc>
          <w:tcPr>
            <w:tcW w:w="19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031" w:type="dxa"/>
            <w:tcBorders/>
            <w:shd w:fill="CCEEFF" w:val="clear"/>
            <w:vAlign w:val="bottom"/>
          </w:tcPr>
          <w:p>
            <w:pPr>
              <w:pStyle w:val="TableContents"/>
              <w:bidi w:val="0"/>
              <w:spacing w:before="0" w:after="283"/>
              <w:jc w:val="right"/>
              <w:rPr/>
            </w:pPr>
            <w:r>
              <w:rPr/>
              <w:t>351,177</w:t>
            </w:r>
          </w:p>
        </w:tc>
        <w:tc>
          <w:tcPr>
            <w:tcW w:w="158" w:type="dxa"/>
            <w:tcBorders/>
            <w:shd w:fill="CCEEFF" w:val="clear"/>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07"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end of year</w:t>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539,300</w:t>
            </w:r>
          </w:p>
        </w:tc>
        <w:tc>
          <w:tcPr>
            <w:tcW w:w="19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031" w:type="dxa"/>
            <w:tcBorders/>
            <w:vAlign w:val="bottom"/>
          </w:tcPr>
          <w:p>
            <w:pPr>
              <w:pStyle w:val="TableContents"/>
              <w:bidi w:val="0"/>
              <w:spacing w:before="0" w:after="283"/>
              <w:jc w:val="right"/>
              <w:rPr/>
            </w:pPr>
            <w:r>
              <w:rPr/>
              <w:t>328,063</w:t>
            </w:r>
          </w:p>
        </w:tc>
        <w:tc>
          <w:tcPr>
            <w:tcW w:w="158" w:type="dxa"/>
            <w:tcBorders/>
            <w:vAlign w:val="bottom"/>
          </w:tcPr>
          <w:p>
            <w:pPr>
              <w:pStyle w:val="TableContents"/>
              <w:bidi w:val="0"/>
              <w:spacing w:before="0" w:after="283"/>
              <w:jc w:val="left"/>
              <w:rPr/>
            </w:pPr>
            <w:r>
              <w:rPr/>
              <w:t> </w:t>
            </w:r>
          </w:p>
        </w:tc>
      </w:tr>
      <w:tr>
        <w:trPr/>
        <w:tc>
          <w:tcPr>
            <w:tcW w:w="70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03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millions,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8"/>
        <w:gridCol w:w="329"/>
        <w:gridCol w:w="140"/>
        <w:gridCol w:w="1044"/>
        <w:gridCol w:w="275"/>
        <w:gridCol w:w="272"/>
        <w:gridCol w:w="140"/>
        <w:gridCol w:w="1044"/>
        <w:gridCol w:w="275"/>
        <w:gridCol w:w="272"/>
        <w:gridCol w:w="140"/>
        <w:gridCol w:w="1044"/>
        <w:gridCol w:w="275"/>
        <w:gridCol w:w="272"/>
        <w:gridCol w:w="140"/>
        <w:gridCol w:w="1044"/>
        <w:gridCol w:w="281"/>
      </w:tblGrid>
      <w:tr>
        <w:trPr/>
        <w:tc>
          <w:tcPr>
            <w:tcW w:w="3218"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218"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9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9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281" w:type="dxa"/>
            <w:tcBorders/>
            <w:vAlign w:val="bottom"/>
          </w:tcPr>
          <w:p>
            <w:pPr>
              <w:pStyle w:val="TableContents"/>
              <w:bidi w:val="0"/>
              <w:spacing w:before="0" w:after="283"/>
              <w:jc w:val="left"/>
              <w:rPr/>
            </w:pPr>
            <w:r>
              <w:rPr/>
              <w:t> </w:t>
            </w:r>
          </w:p>
        </w:tc>
      </w:tr>
      <w:tr>
        <w:trPr/>
        <w:tc>
          <w:tcPr>
            <w:tcW w:w="3218"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1"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103.7</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84.9</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217.8</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179.2</w:t>
            </w:r>
          </w:p>
        </w:tc>
        <w:tc>
          <w:tcPr>
            <w:tcW w:w="281"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(7.2</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(10.2</w:t>
            </w:r>
          </w:p>
        </w:tc>
        <w:tc>
          <w:tcPr>
            <w:tcW w:w="281"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(0.5</w:t>
            </w:r>
          </w:p>
        </w:tc>
        <w:tc>
          <w:tcPr>
            <w:tcW w:w="281" w:type="dxa"/>
            <w:tcBorders/>
            <w:vAlign w:val="bottom"/>
          </w:tcPr>
          <w:p>
            <w:pPr>
              <w:pStyle w:val="TableContents"/>
              <w:bidi w:val="0"/>
              <w:spacing w:before="0" w:after="283"/>
              <w:jc w:val="left"/>
              <w:rPr/>
            </w:pPr>
            <w:r>
              <w:rPr/>
              <w:t>) </w:t>
            </w:r>
          </w:p>
        </w:tc>
      </w:tr>
      <w:tr>
        <w:trPr/>
        <w:tc>
          <w:tcPr>
            <w:tcW w:w="321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79.5</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210.1</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168.5</w:t>
            </w:r>
          </w:p>
        </w:tc>
        <w:tc>
          <w:tcPr>
            <w:tcW w:w="281" w:type="dxa"/>
            <w:tcBorders/>
            <w:shd w:fill="CCEEFF" w:val="clear"/>
            <w:vAlign w:val="bottom"/>
          </w:tcPr>
          <w:p>
            <w:pPr>
              <w:pStyle w:val="TableContents"/>
              <w:bidi w:val="0"/>
              <w:spacing w:before="0" w:after="283"/>
              <w:jc w:val="left"/>
              <w:rPr/>
            </w:pPr>
            <w:r>
              <w:rPr/>
              <w:t> </w:t>
            </w:r>
          </w:p>
        </w:tc>
      </w:tr>
      <w:tr>
        <w:trPr/>
        <w:tc>
          <w:tcPr>
            <w:tcW w:w="321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r>
              <w:rPr/>
              <w:t>39.9</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r>
              <w:rPr/>
              <w:t>33.8</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r>
              <w:rPr/>
              <w:t>81.5</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r>
              <w:rPr/>
              <w:t>67.7</w:t>
            </w:r>
          </w:p>
        </w:tc>
        <w:tc>
          <w:tcPr>
            <w:tcW w:w="281"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 expenses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4.5</w:t>
            </w:r>
          </w:p>
        </w:tc>
        <w:tc>
          <w:tcPr>
            <w:tcW w:w="281" w:type="dxa"/>
            <w:tcBorders/>
            <w:shd w:fill="CCEEFF" w:val="clear"/>
            <w:vAlign w:val="bottom"/>
          </w:tcPr>
          <w:p>
            <w:pPr>
              <w:pStyle w:val="TableContents"/>
              <w:bidi w:val="0"/>
              <w:spacing w:before="0" w:after="283"/>
              <w:jc w:val="left"/>
              <w:rPr/>
            </w:pPr>
            <w:r>
              <w:rPr/>
              <w:t> </w:t>
            </w:r>
          </w:p>
        </w:tc>
      </w:tr>
      <w:tr>
        <w:trPr/>
        <w:tc>
          <w:tcPr>
            <w:tcW w:w="321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41.8</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36.1</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85.4</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72.2</w:t>
            </w:r>
          </w:p>
        </w:tc>
        <w:tc>
          <w:tcPr>
            <w:tcW w:w="281" w:type="dxa"/>
            <w:tcBorders/>
            <w:vAlign w:val="bottom"/>
          </w:tcPr>
          <w:p>
            <w:pPr>
              <w:pStyle w:val="TableContents"/>
              <w:bidi w:val="0"/>
              <w:spacing w:before="0" w:after="283"/>
              <w:jc w:val="left"/>
              <w:rPr/>
            </w:pPr>
            <w:r>
              <w:rPr/>
              <w:t> </w:t>
            </w:r>
          </w:p>
        </w:tc>
      </w:tr>
      <w:tr>
        <w:trPr/>
        <w:tc>
          <w:tcPr>
            <w:tcW w:w="321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(3.6</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(5.3</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(7.2</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(10.2</w:t>
            </w:r>
          </w:p>
        </w:tc>
        <w:tc>
          <w:tcPr>
            <w:tcW w:w="281"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(0.5</w:t>
            </w:r>
          </w:p>
        </w:tc>
        <w:tc>
          <w:tcPr>
            <w:tcW w:w="281"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Exclude depreciation and amortization</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(3.3</w:t>
            </w:r>
          </w:p>
        </w:tc>
        <w:tc>
          <w:tcPr>
            <w:tcW w:w="281" w:type="dxa"/>
            <w:tcBorders/>
            <w:vAlign w:val="bottom"/>
          </w:tcPr>
          <w:p>
            <w:pPr>
              <w:pStyle w:val="TableContents"/>
              <w:bidi w:val="0"/>
              <w:spacing w:before="0" w:after="283"/>
              <w:jc w:val="left"/>
              <w:rPr/>
            </w:pPr>
            <w:r>
              <w:rPr/>
              <w:t>) </w:t>
            </w:r>
          </w:p>
        </w:tc>
      </w:tr>
      <w:tr>
        <w:trPr/>
        <w:tc>
          <w:tcPr>
            <w:tcW w:w="321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36.5</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29.0</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74.7</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58.2</w:t>
            </w:r>
          </w:p>
        </w:tc>
        <w:tc>
          <w:tcPr>
            <w:tcW w:w="281" w:type="dxa"/>
            <w:tcBorders/>
            <w:shd w:fill="CCEEFF" w:val="clear"/>
            <w:vAlign w:val="bottom"/>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61.9</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48.8</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132.4</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107.0</w:t>
            </w:r>
          </w:p>
        </w:tc>
        <w:tc>
          <w:tcPr>
            <w:tcW w:w="281"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59.7</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57.5</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60.8</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59.7</w:t>
            </w:r>
          </w:p>
        </w:tc>
        <w:tc>
          <w:tcPr>
            <w:tcW w:w="281" w:type="dxa"/>
            <w:tcBorders/>
            <w:shd w:fill="CCEEFF" w:val="clear"/>
            <w:vAlign w:val="bottom"/>
          </w:tcPr>
          <w:p>
            <w:pPr>
              <w:pStyle w:val="TableContents"/>
              <w:bidi w:val="0"/>
              <w:spacing w:before="0" w:after="283"/>
              <w:jc w:val="left"/>
              <w:rPr/>
            </w:pPr>
            <w:r>
              <w:rPr/>
              <w:t>% </w:t>
            </w:r>
          </w:p>
        </w:tc>
      </w:tr>
      <w:tr>
        <w:trPr/>
        <w:tc>
          <w:tcPr>
            <w:tcW w:w="321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63.4</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50.5</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135.4</w:t>
            </w:r>
          </w:p>
        </w:tc>
        <w:tc>
          <w:tcPr>
            <w:tcW w:w="27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110.3</w:t>
            </w:r>
          </w:p>
        </w:tc>
        <w:tc>
          <w:tcPr>
            <w:tcW w:w="281" w:type="dxa"/>
            <w:tcBorders/>
            <w:vAlign w:val="bottom"/>
          </w:tcPr>
          <w:p>
            <w:pPr>
              <w:pStyle w:val="TableContents"/>
              <w:bidi w:val="0"/>
              <w:spacing w:before="0" w:after="283"/>
              <w:jc w:val="left"/>
              <w:rPr/>
            </w:pPr>
            <w:r>
              <w:rPr/>
              <w:t> </w:t>
            </w:r>
          </w:p>
        </w:tc>
      </w:tr>
      <w:tr>
        <w:trPr/>
        <w:tc>
          <w:tcPr>
            <w:tcW w:w="3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63.5</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63.5</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64.4</w:t>
            </w:r>
          </w:p>
        </w:tc>
        <w:tc>
          <w:tcPr>
            <w:tcW w:w="27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65.5</w:t>
            </w:r>
          </w:p>
        </w:tc>
        <w:tc>
          <w:tcPr>
            <w:tcW w:w="281" w:type="dxa"/>
            <w:tcBorders/>
            <w:shd w:fill="CCEEFF" w:val="clear"/>
            <w:vAlign w:val="bottom"/>
          </w:tcPr>
          <w:p>
            <w:pPr>
              <w:pStyle w:val="TableContents"/>
              <w:bidi w:val="0"/>
              <w:spacing w:before="0" w:after="283"/>
              <w:jc w:val="left"/>
              <w:rPr/>
            </w:pPr>
            <w:r>
              <w:rPr/>
              <w:t>% </w:t>
            </w:r>
          </w:p>
        </w:tc>
      </w:tr>
      <w:tr>
        <w:trPr/>
        <w:tc>
          <w:tcPr>
            <w:tcW w:w="3218"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760" w:type="dxa"/>
        <w:jc w:val="center"/>
        <w:tblInd w:w="0" w:type="dxa"/>
        <w:tblLayout w:type="fixed"/>
        <w:tblCellMar>
          <w:top w:w="0" w:type="dxa"/>
          <w:left w:w="0" w:type="dxa"/>
          <w:bottom w:w="0" w:type="dxa"/>
          <w:right w:w="0" w:type="dxa"/>
        </w:tblCellMar>
      </w:tblPr>
      <w:tblGrid>
        <w:gridCol w:w="1070"/>
        <w:gridCol w:w="120"/>
        <w:gridCol w:w="301"/>
        <w:gridCol w:w="949"/>
        <w:gridCol w:w="275"/>
        <w:gridCol w:w="60"/>
        <w:gridCol w:w="399"/>
        <w:gridCol w:w="1256"/>
        <w:gridCol w:w="275"/>
        <w:gridCol w:w="60"/>
        <w:gridCol w:w="181"/>
        <w:gridCol w:w="724"/>
        <w:gridCol w:w="275"/>
        <w:gridCol w:w="60"/>
        <w:gridCol w:w="250"/>
        <w:gridCol w:w="1000"/>
        <w:gridCol w:w="275"/>
        <w:gridCol w:w="60"/>
        <w:gridCol w:w="353"/>
        <w:gridCol w:w="1302"/>
        <w:gridCol w:w="275"/>
        <w:gridCol w:w="60"/>
        <w:gridCol w:w="181"/>
        <w:gridCol w:w="724"/>
        <w:gridCol w:w="2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2024</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85.3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18.4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103.7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180.5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37.3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217.8</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sz w:val="4"/>
                <w:szCs w:val="4"/>
              </w:rPr>
            </w:pPr>
            <w:r>
              <w:rPr>
                <w:sz w:val="4"/>
                <w:szCs w:val="4"/>
              </w:rPr>
            </w:r>
          </w:p>
        </w:tc>
        <w:tc>
          <w:tcPr>
            <w:tcW w:w="130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(7.2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(7.2</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85.1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180.0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30.1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210.1</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130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82.3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17.7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82.9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17.1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85.2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14.3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r>
        <w:trPr>
          <w:trHeight w:val="240" w:hRule="atLeast"/>
        </w:trPr>
        <w:tc>
          <w:tcPr>
            <w:tcW w:w="1070" w:type="dxa"/>
            <w:tcBorders/>
            <w:vAlign w:val="center"/>
          </w:tcPr>
          <w:p>
            <w:pPr>
              <w:pStyle w:val="TableContents"/>
              <w:bidi w:val="0"/>
              <w:spacing w:before="0" w:after="283"/>
              <w:jc w:val="left"/>
              <w:rPr>
                <w:sz w:val="4"/>
                <w:szCs w:val="4"/>
              </w:rPr>
            </w:pPr>
            <w:r>
              <w:rPr>
                <w:sz w:val="4"/>
                <w:szCs w:val="4"/>
              </w:rPr>
            </w:r>
          </w:p>
        </w:tc>
        <w:tc>
          <w:tcPr>
            <w:tcW w:w="4875" w:type="dxa"/>
            <w:gridSpan w:val="12"/>
            <w:tcBorders/>
            <w:vAlign w:val="center"/>
          </w:tcPr>
          <w:p>
            <w:pPr>
              <w:pStyle w:val="TableContents"/>
              <w:bidi w:val="0"/>
              <w:spacing w:before="0" w:after="283"/>
              <w:jc w:val="left"/>
              <w:rPr>
                <w:sz w:val="4"/>
                <w:szCs w:val="4"/>
              </w:rPr>
            </w:pPr>
            <w:r>
              <w:rPr>
                <w:sz w:val="4"/>
                <w:szCs w:val="4"/>
              </w:rPr>
            </w:r>
          </w:p>
        </w:tc>
        <w:tc>
          <w:tcPr>
            <w:tcW w:w="4815" w:type="dxa"/>
            <w:gridSpan w:val="12"/>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2023</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66.8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18.0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84.9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143.1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36.1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179.2</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sz w:val="4"/>
                <w:szCs w:val="4"/>
              </w:rPr>
            </w:pPr>
            <w:r>
              <w:rPr>
                <w:sz w:val="4"/>
                <w:szCs w:val="4"/>
              </w:rPr>
            </w:r>
          </w:p>
        </w:tc>
        <w:tc>
          <w:tcPr>
            <w:tcW w:w="130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(10.2</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66.7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79.5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142.6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25.9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168.5</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130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78.8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20.1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84.0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Revenue Less Ancillary Services at Constant Currency: </w:t>
      </w:r>
    </w:p>
    <w:p>
      <w:pPr>
        <w:pStyle w:val="TextBody"/>
        <w:bidi w:val="0"/>
        <w:spacing w:before="0" w:after="0"/>
        <w:jc w:val="left"/>
        <w:rPr>
          <w:rFonts w:ascii="Times New Roman" w:hAnsi="Times New Roman"/>
          <w:b/>
          <w:sz w:val="20"/>
        </w:rPr>
      </w:pPr>
      <w:r>
        <w:rPr>
          <w:rFonts w:ascii="Times New Roman" w:hAnsi="Times New Roman"/>
          <w:b/>
          <w:sz w:val="20"/>
          <w:u w:val="single"/>
        </w:rPr>
        <w:t>(unaudited) (in millions)</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28"/>
        <w:gridCol w:w="156"/>
        <w:gridCol w:w="206"/>
        <w:gridCol w:w="827"/>
        <w:gridCol w:w="229"/>
        <w:gridCol w:w="125"/>
        <w:gridCol w:w="206"/>
        <w:gridCol w:w="662"/>
        <w:gridCol w:w="155"/>
        <w:gridCol w:w="98"/>
        <w:gridCol w:w="254"/>
        <w:gridCol w:w="1108"/>
        <w:gridCol w:w="275"/>
        <w:gridCol w:w="99"/>
        <w:gridCol w:w="140"/>
        <w:gridCol w:w="573"/>
        <w:gridCol w:w="155"/>
        <w:gridCol w:w="99"/>
        <w:gridCol w:w="140"/>
        <w:gridCol w:w="573"/>
        <w:gridCol w:w="155"/>
        <w:gridCol w:w="99"/>
        <w:gridCol w:w="254"/>
        <w:gridCol w:w="1108"/>
        <w:gridCol w:w="281"/>
      </w:tblGrid>
      <w:tr>
        <w:trPr/>
        <w:tc>
          <w:tcPr>
            <w:tcW w:w="2228"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22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222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Growth Rate</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Growth Rate</w:t>
            </w:r>
          </w:p>
        </w:tc>
        <w:tc>
          <w:tcPr>
            <w:tcW w:w="281" w:type="dxa"/>
            <w:tcBorders/>
            <w:vAlign w:val="bottom"/>
          </w:tcPr>
          <w:p>
            <w:pPr>
              <w:pStyle w:val="TableContents"/>
              <w:bidi w:val="0"/>
              <w:spacing w:before="0" w:after="283"/>
              <w:jc w:val="left"/>
              <w:rPr/>
            </w:pPr>
            <w:r>
              <w:rPr/>
              <w:t> </w:t>
            </w:r>
          </w:p>
        </w:tc>
      </w:tr>
      <w:tr>
        <w:trPr/>
        <w:tc>
          <w:tcPr>
            <w:tcW w:w="2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5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103.7</w:t>
            </w:r>
          </w:p>
        </w:tc>
        <w:tc>
          <w:tcPr>
            <w:tcW w:w="22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662" w:type="dxa"/>
            <w:tcBorders/>
            <w:shd w:fill="CCEEFF" w:val="clear"/>
            <w:vAlign w:val="bottom"/>
          </w:tcPr>
          <w:p>
            <w:pPr>
              <w:pStyle w:val="TableContents"/>
              <w:bidi w:val="0"/>
              <w:spacing w:before="0" w:after="283"/>
              <w:jc w:val="right"/>
              <w:rPr/>
            </w:pPr>
            <w:r>
              <w:rPr/>
              <w:t>84.9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217.8</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179.2</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22</w:t>
            </w:r>
          </w:p>
        </w:tc>
        <w:tc>
          <w:tcPr>
            <w:tcW w:w="281" w:type="dxa"/>
            <w:tcBorders/>
            <w:shd w:fill="CCEEFF" w:val="clear"/>
            <w:vAlign w:val="bottom"/>
          </w:tcPr>
          <w:p>
            <w:pPr>
              <w:pStyle w:val="TableContents"/>
              <w:bidi w:val="0"/>
              <w:spacing w:before="0" w:after="283"/>
              <w:jc w:val="left"/>
              <w:rPr/>
            </w:pPr>
            <w:r>
              <w:rPr/>
              <w:t>% </w:t>
            </w:r>
          </w:p>
        </w:tc>
      </w:tr>
      <w:tr>
        <w:trPr/>
        <w:tc>
          <w:tcPr>
            <w:tcW w:w="2228" w:type="dxa"/>
            <w:tcBorders/>
          </w:tcPr>
          <w:p>
            <w:pPr>
              <w:pStyle w:val="TableContents"/>
              <w:bidi w:val="0"/>
              <w:spacing w:before="0" w:after="0"/>
              <w:jc w:val="left"/>
              <w:rPr>
                <w:rFonts w:ascii="Times New Roman" w:hAnsi="Times New Roman"/>
                <w:sz w:val="20"/>
              </w:rPr>
            </w:pPr>
            <w:r>
              <w:rPr>
                <w:rFonts w:ascii="Times New Roman" w:hAnsi="Times New Roman"/>
                <w:sz w:val="20"/>
              </w:rPr>
              <w:t>Ancillary services</w:t>
            </w:r>
          </w:p>
        </w:tc>
        <w:tc>
          <w:tcPr>
            <w:tcW w:w="156"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(3.8</w:t>
            </w:r>
          </w:p>
        </w:tc>
        <w:tc>
          <w:tcPr>
            <w:tcW w:w="22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2228"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6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5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99.9</w:t>
            </w:r>
          </w:p>
        </w:tc>
        <w:tc>
          <w:tcPr>
            <w:tcW w:w="22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79.5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26</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210.1</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168.5</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25</w:t>
            </w:r>
          </w:p>
        </w:tc>
        <w:tc>
          <w:tcPr>
            <w:tcW w:w="281" w:type="dxa"/>
            <w:tcBorders/>
            <w:shd w:fill="CCEEFF" w:val="clear"/>
            <w:vAlign w:val="bottom"/>
          </w:tcPr>
          <w:p>
            <w:pPr>
              <w:pStyle w:val="TableContents"/>
              <w:bidi w:val="0"/>
              <w:spacing w:before="0" w:after="283"/>
              <w:jc w:val="left"/>
              <w:rPr/>
            </w:pPr>
            <w:r>
              <w:rPr/>
              <w:t>% </w:t>
            </w:r>
          </w:p>
        </w:tc>
      </w:tr>
      <w:tr>
        <w:trPr/>
        <w:tc>
          <w:tcPr>
            <w:tcW w:w="2228"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6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228" w:type="dxa"/>
            <w:tcBorders/>
          </w:tcPr>
          <w:p>
            <w:pPr>
              <w:pStyle w:val="TableContents"/>
              <w:bidi w:val="0"/>
              <w:spacing w:before="0" w:after="0"/>
              <w:jc w:val="left"/>
              <w:rPr>
                <w:rFonts w:ascii="Times New Roman" w:hAnsi="Times New Roman"/>
                <w:sz w:val="20"/>
              </w:rPr>
            </w:pPr>
            <w:r>
              <w:rPr>
                <w:rFonts w:ascii="Times New Roman" w:hAnsi="Times New Roman"/>
                <w:sz w:val="20"/>
              </w:rPr>
              <w:t>Effects of foreign currency rate fluctuations</w:t>
            </w:r>
          </w:p>
        </w:tc>
        <w:tc>
          <w:tcPr>
            <w:tcW w:w="156"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0.9</w:t>
            </w:r>
          </w:p>
        </w:tc>
        <w:tc>
          <w:tcPr>
            <w:tcW w:w="22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2228"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6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 at Constant Currency</w:t>
            </w:r>
          </w:p>
        </w:tc>
        <w:tc>
          <w:tcPr>
            <w:tcW w:w="15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100.8</w:t>
            </w:r>
          </w:p>
        </w:tc>
        <w:tc>
          <w:tcPr>
            <w:tcW w:w="22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662" w:type="dxa"/>
            <w:tcBorders/>
            <w:shd w:fill="CCEEFF" w:val="clear"/>
            <w:vAlign w:val="bottom"/>
          </w:tcPr>
          <w:p>
            <w:pPr>
              <w:pStyle w:val="TableContents"/>
              <w:bidi w:val="0"/>
              <w:spacing w:before="0" w:after="283"/>
              <w:jc w:val="right"/>
              <w:rPr/>
            </w:pPr>
            <w:r>
              <w:rPr/>
              <w:t>79.5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210.8</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168.5</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25</w:t>
            </w:r>
          </w:p>
        </w:tc>
        <w:tc>
          <w:tcPr>
            <w:tcW w:w="281" w:type="dxa"/>
            <w:tcBorders/>
            <w:shd w:fill="CCEEFF" w:val="clear"/>
            <w:vAlign w:val="bottom"/>
          </w:tcPr>
          <w:p>
            <w:pPr>
              <w:pStyle w:val="TableContents"/>
              <w:bidi w:val="0"/>
              <w:spacing w:before="0" w:after="283"/>
              <w:jc w:val="left"/>
              <w:rPr/>
            </w:pPr>
            <w:r>
              <w:rPr/>
              <w:t>% </w:t>
            </w:r>
          </w:p>
        </w:tc>
      </w:tr>
      <w:tr>
        <w:trPr/>
        <w:tc>
          <w:tcPr>
            <w:tcW w:w="2228"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6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EBITDA and Adjusted EBITDA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80"/>
        <w:gridCol w:w="157"/>
        <w:gridCol w:w="202"/>
        <w:gridCol w:w="750"/>
        <w:gridCol w:w="224"/>
        <w:gridCol w:w="127"/>
        <w:gridCol w:w="202"/>
        <w:gridCol w:w="754"/>
        <w:gridCol w:w="155"/>
        <w:gridCol w:w="105"/>
        <w:gridCol w:w="175"/>
        <w:gridCol w:w="663"/>
        <w:gridCol w:w="194"/>
        <w:gridCol w:w="117"/>
        <w:gridCol w:w="175"/>
        <w:gridCol w:w="664"/>
        <w:gridCol w:w="161"/>
      </w:tblGrid>
      <w:tr>
        <w:trPr/>
        <w:tc>
          <w:tcPr>
            <w:tcW w:w="538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8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2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538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(13.9</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754" w:type="dxa"/>
            <w:tcBorders/>
            <w:shd w:fill="CCEEFF" w:val="clear"/>
            <w:vAlign w:val="bottom"/>
          </w:tcPr>
          <w:p>
            <w:pPr>
              <w:pStyle w:val="TableContents"/>
              <w:bidi w:val="0"/>
              <w:spacing w:before="0" w:after="283"/>
              <w:jc w:val="right"/>
              <w:rPr/>
            </w:pPr>
            <w:r>
              <w:rPr/>
              <w:t>(16.8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663" w:type="dxa"/>
            <w:tcBorders/>
            <w:shd w:fill="CCEEFF" w:val="clear"/>
            <w:vAlign w:val="bottom"/>
          </w:tcPr>
          <w:p>
            <w:pPr>
              <w:pStyle w:val="TableContents"/>
              <w:bidi w:val="0"/>
              <w:spacing w:before="0" w:after="283"/>
              <w:jc w:val="right"/>
              <w:rPr/>
            </w:pPr>
            <w:r>
              <w:rPr/>
              <w:t>(20.1</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664" w:type="dxa"/>
            <w:tcBorders/>
            <w:shd w:fill="CCEEFF" w:val="clear"/>
            <w:vAlign w:val="bottom"/>
          </w:tcPr>
          <w:p>
            <w:pPr>
              <w:pStyle w:val="TableContents"/>
              <w:bidi w:val="0"/>
              <w:spacing w:before="0" w:after="283"/>
              <w:jc w:val="right"/>
              <w:rPr/>
            </w:pPr>
            <w:r>
              <w:rPr/>
              <w:t>(20.5</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0.1</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0.3</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(5.7</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(11.6</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right"/>
              <w:rPr/>
            </w:pPr>
            <w:r>
              <w:rPr/>
              <w:t>(3.9</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4.7</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6.3</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4.5</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9.0</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right"/>
              <w:rPr/>
            </w:pPr>
            <w:r>
              <w:rPr/>
              <w:t>8.1</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6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(10.3</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(13.2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(16.1</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right"/>
              <w:rPr/>
            </w:pPr>
            <w:r>
              <w:rPr/>
              <w:t>(14.6</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and related taxes</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17.5</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32.6</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right"/>
              <w:rPr/>
            </w:pPr>
            <w:r>
              <w:rPr/>
              <w:t>20.7</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(0.4</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0.0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(0.9</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right"/>
              <w:rPr/>
            </w:pPr>
            <w:r>
              <w:rPr/>
              <w:t>0.4</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(1.0</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3.4</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right"/>
              <w:rPr/>
            </w:pPr>
            <w:r>
              <w:rPr/>
              <w:t>(0.7</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Indirect taxes related to intercompany activity</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0.1</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right"/>
              <w:rPr/>
            </w:pPr>
            <w:r>
              <w:rPr/>
              <w:t>0.1</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related employee retention costs</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right"/>
              <w:rPr/>
            </w:pPr>
            <w:r>
              <w:rPr/>
              <w:t>0.9</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6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5.8</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754"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19.1</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6.8</w:t>
            </w:r>
          </w:p>
        </w:tc>
        <w:tc>
          <w:tcPr>
            <w:tcW w:w="161" w:type="dxa"/>
            <w:tcBorders/>
            <w:vAlign w:val="bottom"/>
          </w:tcPr>
          <w:p>
            <w:pPr>
              <w:pStyle w:val="TableContents"/>
              <w:bidi w:val="0"/>
              <w:spacing w:before="0" w:after="283"/>
              <w:jc w:val="left"/>
              <w:rPr/>
            </w:pPr>
            <w:r>
              <w:rPr/>
              <w:t> </w:t>
            </w:r>
          </w:p>
        </w:tc>
      </w:tr>
      <w:tr>
        <w:trPr/>
        <w:tc>
          <w:tcPr>
            <w:tcW w:w="53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7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66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Operating Expenses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2"/>
        <w:gridCol w:w="208"/>
        <w:gridCol w:w="312"/>
        <w:gridCol w:w="982"/>
        <w:gridCol w:w="345"/>
        <w:gridCol w:w="220"/>
        <w:gridCol w:w="312"/>
        <w:gridCol w:w="985"/>
        <w:gridCol w:w="155"/>
        <w:gridCol w:w="152"/>
        <w:gridCol w:w="253"/>
        <w:gridCol w:w="937"/>
        <w:gridCol w:w="281"/>
        <w:gridCol w:w="197"/>
        <w:gridCol w:w="253"/>
        <w:gridCol w:w="941"/>
        <w:gridCol w:w="160"/>
      </w:tblGrid>
      <w:tr>
        <w:trPr/>
        <w:tc>
          <w:tcPr>
            <w:tcW w:w="3512"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31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8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208"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Technology and development</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15.8</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32.6</w:t>
            </w:r>
          </w:p>
        </w:tc>
        <w:tc>
          <w:tcPr>
            <w:tcW w:w="28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30.5</w:t>
            </w:r>
          </w:p>
        </w:tc>
        <w:tc>
          <w:tcPr>
            <w:tcW w:w="160" w:type="dxa"/>
            <w:tcBorders/>
            <w:shd w:fill="CCEEFF" w:val="clear"/>
            <w:vAlign w:val="bottom"/>
          </w:tcPr>
          <w:p>
            <w:pPr>
              <w:pStyle w:val="TableContents"/>
              <w:bidi w:val="0"/>
              <w:spacing w:before="0" w:after="283"/>
              <w:jc w:val="left"/>
              <w:rPr/>
            </w:pPr>
            <w:r>
              <w:rPr/>
              <w:t> </w:t>
            </w:r>
          </w:p>
        </w:tc>
      </w:tr>
      <w:tr>
        <w:trPr/>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(2.9</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(5.5</w:t>
            </w:r>
          </w:p>
        </w:tc>
        <w:tc>
          <w:tcPr>
            <w:tcW w:w="28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(4.3</w:t>
            </w:r>
          </w:p>
        </w:tc>
        <w:tc>
          <w:tcPr>
            <w:tcW w:w="160" w:type="dxa"/>
            <w:tcBorders/>
            <w:vAlign w:val="bottom"/>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(1.7</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(3.6</w:t>
            </w:r>
          </w:p>
        </w:tc>
        <w:tc>
          <w:tcPr>
            <w:tcW w:w="28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(4.0</w:t>
            </w:r>
          </w:p>
        </w:tc>
        <w:tc>
          <w:tcPr>
            <w:tcW w:w="160" w:type="dxa"/>
            <w:tcBorders/>
            <w:shd w:fill="CCEEFF" w:val="clear"/>
            <w:vAlign w:val="bottom"/>
          </w:tcPr>
          <w:p>
            <w:pPr>
              <w:pStyle w:val="TableContents"/>
              <w:bidi w:val="0"/>
              <w:spacing w:before="0" w:after="283"/>
              <w:jc w:val="left"/>
              <w:rPr/>
            </w:pPr>
            <w:r>
              <w:rPr/>
              <w:t>) </w:t>
            </w:r>
          </w:p>
        </w:tc>
      </w:tr>
      <w:tr>
        <w:trPr/>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 Acquisition related employee retention costs</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(0.7</w:t>
            </w:r>
          </w:p>
        </w:tc>
        <w:tc>
          <w:tcPr>
            <w:tcW w:w="16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Technology and development</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11.2</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10.4</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23.5</w:t>
            </w:r>
          </w:p>
        </w:tc>
        <w:tc>
          <w:tcPr>
            <w:tcW w:w="28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21.5</w:t>
            </w:r>
          </w:p>
        </w:tc>
        <w:tc>
          <w:tcPr>
            <w:tcW w:w="160" w:type="dxa"/>
            <w:tcBorders/>
            <w:shd w:fill="CCEEFF" w:val="clear"/>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GAAP Selling and marketing</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31.8</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27.3</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61.9</w:t>
            </w:r>
          </w:p>
        </w:tc>
        <w:tc>
          <w:tcPr>
            <w:tcW w:w="28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51.7</w:t>
            </w:r>
          </w:p>
        </w:tc>
        <w:tc>
          <w:tcPr>
            <w:tcW w:w="160" w:type="dxa"/>
            <w:tcBorders/>
            <w:vAlign w:val="bottom"/>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(4.9</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(9.0</w:t>
            </w:r>
          </w:p>
        </w:tc>
        <w:tc>
          <w:tcPr>
            <w:tcW w:w="28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(6.1</w:t>
            </w:r>
          </w:p>
        </w:tc>
        <w:tc>
          <w:tcPr>
            <w:tcW w:w="160" w:type="dxa"/>
            <w:tcBorders/>
            <w:shd w:fill="CCEEFF" w:val="clear"/>
            <w:vAlign w:val="bottom"/>
          </w:tcPr>
          <w:p>
            <w:pPr>
              <w:pStyle w:val="TableContents"/>
              <w:bidi w:val="0"/>
              <w:spacing w:before="0" w:after="283"/>
              <w:jc w:val="left"/>
              <w:rPr/>
            </w:pPr>
            <w:r>
              <w:rPr/>
              <w:t>) </w:t>
            </w:r>
          </w:p>
        </w:tc>
      </w:tr>
      <w:tr>
        <w:trPr/>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(2.0</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(3.9</w:t>
            </w:r>
          </w:p>
        </w:tc>
        <w:tc>
          <w:tcPr>
            <w:tcW w:w="28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(2.6</w:t>
            </w:r>
          </w:p>
        </w:tc>
        <w:tc>
          <w:tcPr>
            <w:tcW w:w="160" w:type="dxa"/>
            <w:tcBorders/>
            <w:vAlign w:val="bottom"/>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Acquisition related employee retention costs</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(0.2</w:t>
            </w:r>
          </w:p>
        </w:tc>
        <w:tc>
          <w:tcPr>
            <w:tcW w:w="160" w:type="dxa"/>
            <w:tcBorders/>
            <w:shd w:fill="CCEEFF" w:val="clear"/>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Non-GAAP Selling and marketing</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24.9</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22.5</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49.0</w:t>
            </w:r>
          </w:p>
        </w:tc>
        <w:tc>
          <w:tcPr>
            <w:tcW w:w="28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42.8</w:t>
            </w:r>
          </w:p>
        </w:tc>
        <w:tc>
          <w:tcPr>
            <w:tcW w:w="16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General and administrative</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32.0</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24.6</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63.6</w:t>
            </w:r>
          </w:p>
        </w:tc>
        <w:tc>
          <w:tcPr>
            <w:tcW w:w="28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52.7</w:t>
            </w:r>
          </w:p>
        </w:tc>
        <w:tc>
          <w:tcPr>
            <w:tcW w:w="160" w:type="dxa"/>
            <w:tcBorders/>
            <w:shd w:fill="CCEEFF" w:val="clear"/>
            <w:vAlign w:val="bottom"/>
          </w:tcPr>
          <w:p>
            <w:pPr>
              <w:pStyle w:val="TableContents"/>
              <w:bidi w:val="0"/>
              <w:spacing w:before="0" w:after="283"/>
              <w:jc w:val="left"/>
              <w:rPr/>
            </w:pPr>
            <w:r>
              <w:rPr/>
              <w:t> </w:t>
            </w:r>
          </w:p>
        </w:tc>
      </w:tr>
      <w:tr>
        <w:trPr/>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(9.7</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(18.1</w:t>
            </w:r>
          </w:p>
        </w:tc>
        <w:tc>
          <w:tcPr>
            <w:tcW w:w="28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(10.3</w:t>
            </w:r>
          </w:p>
        </w:tc>
        <w:tc>
          <w:tcPr>
            <w:tcW w:w="160" w:type="dxa"/>
            <w:tcBorders/>
            <w:vAlign w:val="bottom"/>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(0.8</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(1.5</w:t>
            </w:r>
          </w:p>
        </w:tc>
        <w:tc>
          <w:tcPr>
            <w:tcW w:w="28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(1.5</w:t>
            </w:r>
          </w:p>
        </w:tc>
        <w:tc>
          <w:tcPr>
            <w:tcW w:w="160" w:type="dxa"/>
            <w:tcBorders/>
            <w:shd w:fill="CCEEFF" w:val="clear"/>
            <w:vAlign w:val="bottom"/>
          </w:tcPr>
          <w:p>
            <w:pPr>
              <w:pStyle w:val="TableContents"/>
              <w:bidi w:val="0"/>
              <w:spacing w:before="0" w:after="283"/>
              <w:jc w:val="left"/>
              <w:rPr/>
            </w:pPr>
            <w:r>
              <w:rPr/>
              <w:t>) </w:t>
            </w:r>
          </w:p>
        </w:tc>
      </w:tr>
      <w:tr>
        <w:trPr/>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 Change in fair value of contingent consideration</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0.4</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0.9</w:t>
            </w:r>
          </w:p>
        </w:tc>
        <w:tc>
          <w:tcPr>
            <w:tcW w:w="28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(0.4</w:t>
            </w:r>
          </w:p>
        </w:tc>
        <w:tc>
          <w:tcPr>
            <w:tcW w:w="16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General and administrative</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21.9</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18.4</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44.9</w:t>
            </w:r>
          </w:p>
        </w:tc>
        <w:tc>
          <w:tcPr>
            <w:tcW w:w="28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40.5</w:t>
            </w:r>
          </w:p>
        </w:tc>
        <w:tc>
          <w:tcPr>
            <w:tcW w:w="160" w:type="dxa"/>
            <w:tcBorders/>
            <w:shd w:fill="CCEEFF" w:val="clear"/>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Net Margin, EBITDA Margin and Adjusted EBITDA Margin </w:t>
      </w:r>
    </w:p>
    <w:p>
      <w:pPr>
        <w:pStyle w:val="TextBody"/>
        <w:bidi w:val="0"/>
        <w:spacing w:before="0" w:after="0"/>
        <w:jc w:val="left"/>
        <w:rPr>
          <w:rFonts w:ascii="Times New Roman" w:hAnsi="Times New Roman"/>
          <w:b/>
          <w:sz w:val="20"/>
        </w:rPr>
      </w:pPr>
      <w:r>
        <w:rPr>
          <w:rFonts w:ascii="Times New Roman" w:hAnsi="Times New Roman"/>
          <w:b/>
          <w:sz w:val="20"/>
        </w:rPr>
        <w:t xml:space="preserve">(Unaudited) (Amounts in millions,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97"/>
        <w:gridCol w:w="176"/>
        <w:gridCol w:w="183"/>
        <w:gridCol w:w="758"/>
        <w:gridCol w:w="372"/>
        <w:gridCol w:w="136"/>
        <w:gridCol w:w="183"/>
        <w:gridCol w:w="704"/>
        <w:gridCol w:w="275"/>
        <w:gridCol w:w="119"/>
        <w:gridCol w:w="196"/>
        <w:gridCol w:w="620"/>
        <w:gridCol w:w="275"/>
        <w:gridCol w:w="119"/>
        <w:gridCol w:w="140"/>
        <w:gridCol w:w="563"/>
        <w:gridCol w:w="275"/>
        <w:gridCol w:w="119"/>
        <w:gridCol w:w="140"/>
        <w:gridCol w:w="564"/>
        <w:gridCol w:w="275"/>
        <w:gridCol w:w="119"/>
        <w:gridCol w:w="196"/>
        <w:gridCol w:w="620"/>
        <w:gridCol w:w="281"/>
      </w:tblGrid>
      <w:tr>
        <w:trPr/>
        <w:tc>
          <w:tcPr>
            <w:tcW w:w="2797"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79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3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6"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6"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279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7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1" w:type="dxa"/>
            <w:tcBorders/>
            <w:vAlign w:val="bottom"/>
          </w:tcPr>
          <w:p>
            <w:pPr>
              <w:pStyle w:val="TableContents"/>
              <w:bidi w:val="0"/>
              <w:spacing w:before="0" w:after="283"/>
              <w:jc w:val="left"/>
              <w:rPr/>
            </w:pPr>
            <w:r>
              <w:rPr/>
              <w:t> </w:t>
            </w:r>
          </w:p>
        </w:tc>
      </w:tr>
      <w:tr>
        <w:trPr/>
        <w:tc>
          <w:tcPr>
            <w:tcW w:w="2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w:t>
            </w:r>
          </w:p>
        </w:tc>
        <w:tc>
          <w:tcPr>
            <w:tcW w:w="17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103.7</w:t>
            </w:r>
          </w:p>
        </w:tc>
        <w:tc>
          <w:tcPr>
            <w:tcW w:w="37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84.9</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18.8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217.8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179.2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38.6</w:t>
            </w:r>
          </w:p>
        </w:tc>
        <w:tc>
          <w:tcPr>
            <w:tcW w:w="281" w:type="dxa"/>
            <w:tcBorders/>
            <w:shd w:fill="CCEEFF" w:val="clear"/>
            <w:vAlign w:val="bottom"/>
          </w:tcPr>
          <w:p>
            <w:pPr>
              <w:pStyle w:val="TableContents"/>
              <w:bidi w:val="0"/>
              <w:spacing w:before="0" w:after="283"/>
              <w:jc w:val="left"/>
              <w:rPr/>
            </w:pPr>
            <w:r>
              <w:rPr/>
              <w:t> </w:t>
            </w:r>
          </w:p>
        </w:tc>
      </w:tr>
      <w:tr>
        <w:trPr/>
        <w:tc>
          <w:tcPr>
            <w:tcW w:w="2797"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 (B)</w:t>
            </w:r>
          </w:p>
        </w:tc>
        <w:tc>
          <w:tcPr>
            <w:tcW w:w="17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99.9</w:t>
            </w:r>
          </w:p>
        </w:tc>
        <w:tc>
          <w:tcPr>
            <w:tcW w:w="37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79.5</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20.4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210.1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168.5</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41.6</w:t>
            </w:r>
          </w:p>
        </w:tc>
        <w:tc>
          <w:tcPr>
            <w:tcW w:w="281" w:type="dxa"/>
            <w:tcBorders/>
            <w:vAlign w:val="bottom"/>
          </w:tcPr>
          <w:p>
            <w:pPr>
              <w:pStyle w:val="TableContents"/>
              <w:bidi w:val="0"/>
              <w:spacing w:before="0" w:after="283"/>
              <w:jc w:val="left"/>
              <w:rPr/>
            </w:pPr>
            <w:r>
              <w:rPr/>
              <w:t> </w:t>
            </w:r>
          </w:p>
        </w:tc>
      </w:tr>
      <w:tr>
        <w:trPr/>
        <w:tc>
          <w:tcPr>
            <w:tcW w:w="2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(C)</w:t>
            </w:r>
          </w:p>
        </w:tc>
        <w:tc>
          <w:tcPr>
            <w:tcW w:w="17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(13.9</w:t>
            </w:r>
          </w:p>
        </w:tc>
        <w:tc>
          <w:tcPr>
            <w:tcW w:w="37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(16.8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(20.1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(20.5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0.4</w:t>
            </w:r>
          </w:p>
        </w:tc>
        <w:tc>
          <w:tcPr>
            <w:tcW w:w="281" w:type="dxa"/>
            <w:tcBorders/>
            <w:shd w:fill="CCEEFF" w:val="clear"/>
            <w:vAlign w:val="bottom"/>
          </w:tcPr>
          <w:p>
            <w:pPr>
              <w:pStyle w:val="TableContents"/>
              <w:bidi w:val="0"/>
              <w:spacing w:before="0" w:after="283"/>
              <w:jc w:val="left"/>
              <w:rPr/>
            </w:pPr>
            <w:r>
              <w:rPr/>
              <w:t> </w:t>
            </w:r>
          </w:p>
        </w:tc>
      </w:tr>
      <w:tr>
        <w:trPr/>
        <w:tc>
          <w:tcPr>
            <w:tcW w:w="2797" w:type="dxa"/>
            <w:tcBorders/>
          </w:tcPr>
          <w:p>
            <w:pPr>
              <w:pStyle w:val="TableContents"/>
              <w:bidi w:val="0"/>
              <w:spacing w:before="0" w:after="0"/>
              <w:jc w:val="left"/>
              <w:rPr>
                <w:rFonts w:ascii="Times New Roman" w:hAnsi="Times New Roman"/>
                <w:sz w:val="20"/>
              </w:rPr>
            </w:pPr>
            <w:r>
              <w:rPr>
                <w:rFonts w:ascii="Times New Roman" w:hAnsi="Times New Roman"/>
                <w:sz w:val="20"/>
              </w:rPr>
              <w:t>EBITDA (D)</w:t>
            </w:r>
          </w:p>
        </w:tc>
        <w:tc>
          <w:tcPr>
            <w:tcW w:w="17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(10.3</w:t>
            </w:r>
          </w:p>
        </w:tc>
        <w:tc>
          <w:tcPr>
            <w:tcW w:w="37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(13.2</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(16.1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(14.6</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(1.5</w:t>
            </w:r>
          </w:p>
        </w:tc>
        <w:tc>
          <w:tcPr>
            <w:tcW w:w="281" w:type="dxa"/>
            <w:tcBorders/>
            <w:vAlign w:val="bottom"/>
          </w:tcPr>
          <w:p>
            <w:pPr>
              <w:pStyle w:val="TableContents"/>
              <w:bidi w:val="0"/>
              <w:spacing w:before="0" w:after="283"/>
              <w:jc w:val="left"/>
              <w:rPr/>
            </w:pPr>
            <w:r>
              <w:rPr/>
              <w:t>) </w:t>
            </w:r>
          </w:p>
        </w:tc>
      </w:tr>
      <w:tr>
        <w:trPr/>
        <w:tc>
          <w:tcPr>
            <w:tcW w:w="2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(E)</w:t>
            </w:r>
          </w:p>
        </w:tc>
        <w:tc>
          <w:tcPr>
            <w:tcW w:w="17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5.8</w:t>
            </w:r>
          </w:p>
        </w:tc>
        <w:tc>
          <w:tcPr>
            <w:tcW w:w="37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12.3</w:t>
            </w:r>
          </w:p>
        </w:tc>
        <w:tc>
          <w:tcPr>
            <w:tcW w:w="281" w:type="dxa"/>
            <w:tcBorders/>
            <w:shd w:fill="CCEEFF" w:val="clear"/>
            <w:vAlign w:val="bottom"/>
          </w:tcPr>
          <w:p>
            <w:pPr>
              <w:pStyle w:val="TableContents"/>
              <w:bidi w:val="0"/>
              <w:spacing w:before="0" w:after="283"/>
              <w:jc w:val="left"/>
              <w:rPr/>
            </w:pPr>
            <w:r>
              <w:rPr/>
              <w:t> </w:t>
            </w:r>
          </w:p>
        </w:tc>
      </w:tr>
      <w:tr>
        <w:trPr/>
        <w:tc>
          <w:tcPr>
            <w:tcW w:w="2797" w:type="dxa"/>
            <w:tcBorders/>
          </w:tcPr>
          <w:p>
            <w:pPr>
              <w:pStyle w:val="TableContents"/>
              <w:bidi w:val="0"/>
              <w:spacing w:before="0" w:after="0"/>
              <w:jc w:val="left"/>
              <w:rPr>
                <w:rFonts w:ascii="Times New Roman" w:hAnsi="Times New Roman"/>
                <w:sz w:val="20"/>
              </w:rPr>
            </w:pPr>
            <w:r>
              <w:rPr>
                <w:rFonts w:ascii="Times New Roman" w:hAnsi="Times New Roman"/>
                <w:sz w:val="20"/>
              </w:rPr>
              <w:t>Net margin (C/A)</w:t>
            </w:r>
          </w:p>
        </w:tc>
        <w:tc>
          <w:tcPr>
            <w:tcW w:w="17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-13.4</w:t>
            </w:r>
          </w:p>
        </w:tc>
        <w:tc>
          <w:tcPr>
            <w:tcW w:w="37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-19.8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6.4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-9.2</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-11.4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2.2</w:t>
            </w:r>
          </w:p>
        </w:tc>
        <w:tc>
          <w:tcPr>
            <w:tcW w:w="281" w:type="dxa"/>
            <w:tcBorders/>
            <w:vAlign w:val="bottom"/>
          </w:tcPr>
          <w:p>
            <w:pPr>
              <w:pStyle w:val="TableContents"/>
              <w:bidi w:val="0"/>
              <w:spacing w:before="0" w:after="283"/>
              <w:jc w:val="left"/>
              <w:rPr/>
            </w:pPr>
            <w:r>
              <w:rPr/>
              <w:t>% </w:t>
            </w:r>
          </w:p>
        </w:tc>
      </w:tr>
      <w:tr>
        <w:trPr/>
        <w:tc>
          <w:tcPr>
            <w:tcW w:w="2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margin using RLAS (C/B)</w:t>
            </w:r>
          </w:p>
        </w:tc>
        <w:tc>
          <w:tcPr>
            <w:tcW w:w="17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-13.9</w:t>
            </w:r>
          </w:p>
        </w:tc>
        <w:tc>
          <w:tcPr>
            <w:tcW w:w="37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-21.1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-9.6</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-12.2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2.6</w:t>
            </w:r>
          </w:p>
        </w:tc>
        <w:tc>
          <w:tcPr>
            <w:tcW w:w="281" w:type="dxa"/>
            <w:tcBorders/>
            <w:shd w:fill="CCEEFF" w:val="clear"/>
            <w:vAlign w:val="bottom"/>
          </w:tcPr>
          <w:p>
            <w:pPr>
              <w:pStyle w:val="TableContents"/>
              <w:bidi w:val="0"/>
              <w:spacing w:before="0" w:after="283"/>
              <w:jc w:val="left"/>
              <w:rPr/>
            </w:pPr>
            <w:r>
              <w:rPr/>
              <w:t>% </w:t>
            </w:r>
          </w:p>
        </w:tc>
      </w:tr>
      <w:tr>
        <w:trPr/>
        <w:tc>
          <w:tcPr>
            <w:tcW w:w="2797" w:type="dxa"/>
            <w:tcBorders/>
          </w:tcPr>
          <w:p>
            <w:pPr>
              <w:pStyle w:val="TableContents"/>
              <w:bidi w:val="0"/>
              <w:spacing w:before="0" w:after="0"/>
              <w:jc w:val="left"/>
              <w:rPr>
                <w:rFonts w:ascii="Times New Roman" w:hAnsi="Times New Roman"/>
                <w:sz w:val="20"/>
              </w:rPr>
            </w:pPr>
            <w:r>
              <w:rPr>
                <w:rFonts w:ascii="Times New Roman" w:hAnsi="Times New Roman"/>
                <w:sz w:val="20"/>
              </w:rPr>
              <w:t>EBITDA Margin (D/A)</w:t>
            </w:r>
          </w:p>
        </w:tc>
        <w:tc>
          <w:tcPr>
            <w:tcW w:w="17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-9.9</w:t>
            </w:r>
          </w:p>
        </w:tc>
        <w:tc>
          <w:tcPr>
            <w:tcW w:w="37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-15.6</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5.6</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0.8</w:t>
            </w:r>
          </w:p>
        </w:tc>
        <w:tc>
          <w:tcPr>
            <w:tcW w:w="281" w:type="dxa"/>
            <w:tcBorders/>
            <w:vAlign w:val="bottom"/>
          </w:tcPr>
          <w:p>
            <w:pPr>
              <w:pStyle w:val="TableContents"/>
              <w:bidi w:val="0"/>
              <w:spacing w:before="0" w:after="283"/>
              <w:jc w:val="left"/>
              <w:rPr/>
            </w:pPr>
            <w:r>
              <w:rPr/>
              <w:t>% </w:t>
            </w:r>
          </w:p>
        </w:tc>
      </w:tr>
      <w:tr>
        <w:trPr/>
        <w:tc>
          <w:tcPr>
            <w:tcW w:w="2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(E/A)</w:t>
            </w:r>
          </w:p>
        </w:tc>
        <w:tc>
          <w:tcPr>
            <w:tcW w:w="17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5.6</w:t>
            </w:r>
          </w:p>
        </w:tc>
        <w:tc>
          <w:tcPr>
            <w:tcW w:w="37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5.7</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5.0</w:t>
            </w:r>
          </w:p>
        </w:tc>
        <w:tc>
          <w:tcPr>
            <w:tcW w:w="281" w:type="dxa"/>
            <w:tcBorders/>
            <w:shd w:fill="CCEEFF" w:val="clear"/>
            <w:vAlign w:val="bottom"/>
          </w:tcPr>
          <w:p>
            <w:pPr>
              <w:pStyle w:val="TableContents"/>
              <w:bidi w:val="0"/>
              <w:spacing w:before="0" w:after="283"/>
              <w:jc w:val="left"/>
              <w:rPr/>
            </w:pPr>
            <w:r>
              <w:rPr/>
              <w:t>% </w:t>
            </w:r>
          </w:p>
        </w:tc>
      </w:tr>
      <w:tr>
        <w:trPr/>
        <w:tc>
          <w:tcPr>
            <w:tcW w:w="2797" w:type="dxa"/>
            <w:tcBorders/>
          </w:tcPr>
          <w:p>
            <w:pPr>
              <w:pStyle w:val="TableContents"/>
              <w:bidi w:val="0"/>
              <w:spacing w:before="0" w:after="0"/>
              <w:jc w:val="left"/>
              <w:rPr>
                <w:rFonts w:ascii="Times New Roman" w:hAnsi="Times New Roman"/>
                <w:sz w:val="20"/>
              </w:rPr>
            </w:pPr>
            <w:r>
              <w:rPr>
                <w:rFonts w:ascii="Times New Roman" w:hAnsi="Times New Roman"/>
                <w:sz w:val="20"/>
              </w:rPr>
              <w:t>EBITDA Margin using RLAS (D/B)</w:t>
            </w:r>
          </w:p>
        </w:tc>
        <w:tc>
          <w:tcPr>
            <w:tcW w:w="17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-10.3</w:t>
            </w:r>
          </w:p>
        </w:tc>
        <w:tc>
          <w:tcPr>
            <w:tcW w:w="37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-16.6</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-7.7</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-8.7</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1.0</w:t>
            </w:r>
          </w:p>
        </w:tc>
        <w:tc>
          <w:tcPr>
            <w:tcW w:w="281" w:type="dxa"/>
            <w:tcBorders/>
            <w:vAlign w:val="bottom"/>
          </w:tcPr>
          <w:p>
            <w:pPr>
              <w:pStyle w:val="TableContents"/>
              <w:bidi w:val="0"/>
              <w:spacing w:before="0" w:after="283"/>
              <w:jc w:val="left"/>
              <w:rPr/>
            </w:pPr>
            <w:r>
              <w:rPr/>
              <w:t>% </w:t>
            </w:r>
          </w:p>
        </w:tc>
      </w:tr>
      <w:tr>
        <w:trPr/>
        <w:tc>
          <w:tcPr>
            <w:tcW w:w="2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using RLAS (E/B)</w:t>
            </w:r>
          </w:p>
        </w:tc>
        <w:tc>
          <w:tcPr>
            <w:tcW w:w="17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5.8</w:t>
            </w:r>
          </w:p>
        </w:tc>
        <w:tc>
          <w:tcPr>
            <w:tcW w:w="37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6.0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5.1</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Guidance </w:t>
      </w:r>
    </w:p>
    <w:p>
      <w:pPr>
        <w:pStyle w:val="TextBody"/>
        <w:bidi w:val="0"/>
        <w:spacing w:before="0" w:after="0"/>
        <w:jc w:val="left"/>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9"/>
        <w:gridCol w:w="153"/>
        <w:gridCol w:w="191"/>
        <w:gridCol w:w="771"/>
        <w:gridCol w:w="212"/>
        <w:gridCol w:w="124"/>
        <w:gridCol w:w="191"/>
        <w:gridCol w:w="773"/>
        <w:gridCol w:w="155"/>
        <w:gridCol w:w="107"/>
        <w:gridCol w:w="169"/>
        <w:gridCol w:w="703"/>
        <w:gridCol w:w="187"/>
        <w:gridCol w:w="116"/>
        <w:gridCol w:w="168"/>
        <w:gridCol w:w="706"/>
        <w:gridCol w:w="160"/>
      </w:tblGrid>
      <w:tr>
        <w:trPr/>
        <w:tc>
          <w:tcPr>
            <w:tcW w:w="531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1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2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 2024</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2024</w:t>
            </w:r>
          </w:p>
        </w:tc>
        <w:tc>
          <w:tcPr>
            <w:tcW w:w="160" w:type="dxa"/>
            <w:tcBorders/>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21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8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60" w:type="dxa"/>
            <w:tcBorders/>
            <w:vAlign w:val="bottom"/>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5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146.0</w:t>
            </w:r>
          </w:p>
        </w:tc>
        <w:tc>
          <w:tcPr>
            <w:tcW w:w="21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157.0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483.0</w:t>
            </w:r>
          </w:p>
        </w:tc>
        <w:tc>
          <w:tcPr>
            <w:tcW w:w="18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506.0</w:t>
            </w:r>
          </w:p>
        </w:tc>
        <w:tc>
          <w:tcPr>
            <w:tcW w:w="160" w:type="dxa"/>
            <w:tcBorders/>
            <w:shd w:fill="CCEEFF" w:val="clear"/>
            <w:vAlign w:val="bottom"/>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5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 through cost for printing and mailing</w:t>
            </w:r>
          </w:p>
        </w:tc>
        <w:tc>
          <w:tcPr>
            <w:tcW w:w="15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(3.4</w:t>
            </w:r>
          </w:p>
        </w:tc>
        <w:tc>
          <w:tcPr>
            <w:tcW w:w="21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(11.8</w:t>
            </w:r>
          </w:p>
        </w:tc>
        <w:tc>
          <w:tcPr>
            <w:tcW w:w="18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(18.0</w:t>
            </w:r>
          </w:p>
        </w:tc>
        <w:tc>
          <w:tcPr>
            <w:tcW w:w="160" w:type="dxa"/>
            <w:tcBorders/>
            <w:shd w:fill="CCEEFF" w:val="clear"/>
            <w:vAlign w:val="bottom"/>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5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(1.7</w:t>
            </w:r>
          </w:p>
        </w:tc>
        <w:tc>
          <w:tcPr>
            <w:tcW w:w="21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(2.2</w:t>
            </w:r>
          </w:p>
        </w:tc>
        <w:tc>
          <w:tcPr>
            <w:tcW w:w="18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(3.0</w:t>
            </w:r>
          </w:p>
        </w:tc>
        <w:tc>
          <w:tcPr>
            <w:tcW w:w="160" w:type="dxa"/>
            <w:tcBorders/>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5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141.0</w:t>
            </w:r>
          </w:p>
        </w:tc>
        <w:tc>
          <w:tcPr>
            <w:tcW w:w="21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151.0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469.0</w:t>
            </w:r>
          </w:p>
        </w:tc>
        <w:tc>
          <w:tcPr>
            <w:tcW w:w="18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485.0</w:t>
            </w:r>
          </w:p>
        </w:tc>
        <w:tc>
          <w:tcPr>
            <w:tcW w:w="160" w:type="dxa"/>
            <w:tcBorders/>
            <w:shd w:fill="CCEEFF" w:val="clear"/>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120" w:hRule="atLeast"/>
        </w:trPr>
        <w:tc>
          <w:tcPr>
            <w:tcW w:w="5319" w:type="dxa"/>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c>
          <w:tcPr>
            <w:tcW w:w="1243" w:type="dxa"/>
            <w:gridSpan w:val="4"/>
            <w:tcBorders/>
            <w:vAlign w:val="center"/>
          </w:tcPr>
          <w:p>
            <w:pPr>
              <w:pStyle w:val="TableContents"/>
              <w:bidi w:val="0"/>
              <w:spacing w:before="0" w:after="283"/>
              <w:jc w:val="left"/>
              <w:rPr>
                <w:sz w:val="4"/>
                <w:szCs w:val="4"/>
              </w:rPr>
            </w:pPr>
            <w:r>
              <w:rPr>
                <w:sz w:val="4"/>
                <w:szCs w:val="4"/>
              </w:rPr>
            </w:r>
          </w:p>
        </w:tc>
        <w:tc>
          <w:tcPr>
            <w:tcW w:w="1166"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37.0</w:t>
            </w:r>
          </w:p>
        </w:tc>
        <w:tc>
          <w:tcPr>
            <w:tcW w:w="21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43.0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72.0</w:t>
            </w:r>
          </w:p>
        </w:tc>
        <w:tc>
          <w:tcPr>
            <w:tcW w:w="18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80.0</w:t>
            </w:r>
          </w:p>
        </w:tc>
        <w:tc>
          <w:tcPr>
            <w:tcW w:w="160" w:type="dxa"/>
            <w:tcBorders/>
            <w:vAlign w:val="bottom"/>
          </w:tcPr>
          <w:p>
            <w:pPr>
              <w:pStyle w:val="TableContents"/>
              <w:bidi w:val="0"/>
              <w:spacing w:before="0" w:after="283"/>
              <w:jc w:val="left"/>
              <w:rPr/>
            </w:pPr>
            <w:r>
              <w:rPr/>
              <w:t> </w:t>
            </w:r>
          </w:p>
        </w:tc>
      </w:tr>
    </w:tbl>
    <w:p>
      <w:pPr>
        <w:pStyle w:val="TextBody"/>
        <w:bidi w:val="0"/>
        <w:jc w:val="center"/>
        <w:rPr/>
      </w:pPr>
      <w:bookmarkStart w:id="4" w:name="d882377dex992.htm"/>
      <w:bookmarkStart w:id="5" w:name="ksd882377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Q2 2024 Earnings Supplement August 6,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Disclosures This presentation includes forward-looking statements within the meaning of the Private Securities Litigation Reform Act of 1995 and Section 21E of the Securities Exchange Act of 1934, as amended. All statements other than statements of historical facts contained in this presentation, including statements regarding Flywire’s ability to successfully implement Flywire’s business plan, future results of operations and ﬁnancial position, business strategy and plans and Flywire’s objectives for future operations, are forward -looking statements. The words “believe,” “may,” “will,” “estimate,” “continue,” “anticipate,” “intend,” “expect,” “plans,” “potential,” “seeks,” “projects,” “should,” “could” and “would” and similar expressions are intended to identify forward -looking statements, although not all forward-looking statements contain these identifying words. Flywire has based these forward-looking statements largely on Flywire’s current expectations and projections about future events and ﬁnancial trends that Flywire believes may affect Flywire’s ﬁnancial condition, results of operations, business strategy, short-term and long-term business operations and objectives, and ﬁnancial needs. These forward-looking statements are subject to a number of risks, uncertainties and assumptions that are described in the Risk Factors and Management's Discussion and Analysis of Financial Condition and Results of Operations sections of Flywire's Annual Report on Form 10-K for the year ended December 31, 2023, and Quarterly Report on Form 10-Q for the quarter ended March 31, 2024, which are on ﬁle with the Securities and Exchange Commission (SEC) and available on the SEC's website at www.sec.gov. Additional factors may be described in those sections of Flywire's Quarterly Report on Form 10-Q for the quarter ended June 30, 2024 is expected to be ﬁled with the SEC in the third quarter of 2024. In light of these risks, uncertainties and assumptions, the forward -looking events and circumstances discussed in this presentation may not occur and actual results could dier ma ff terially and adversely from those anticipated or implied in the forward-looking statements. You should not rely upon forward-looking statements as predictions of future events or performance. In addition, projections, assumptions and estimates of the future performance of the industries in which Flywire operates and the markets it serves are inherently imprecise and subject to a high degree of uncertainty and risk. All ﬁnancial projections contained in this presentation are forward -looking statements and are based on Flywire’s management’s assessment of such matters. It is unlikely, however, that the assumptions on which Flywire has based its projections will prove to be fully correct or that the projected ﬁgures will be attained. Flywire’s actual future results may dier ma ff terially from Flywire’s projections, and it makes no express or implied representation or warranty as to attainability of the results reﬂected in these projections. Investments in Flywire’s securities involve a high degree of risk and should be regarded as speculative. Certain information contained in this presentation, including Flywire’s estimated Total Addressable Market (TAM), relates to or is based on studies, publications, surveys and other data obtained from third-party sources and Flywire’s own internal estimates and research. While Flywire believes these third-party sources to be reliable as of the date of this presentation, it has not independently veriﬁed,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Flywire believes its own internal research is reliable, such research has not been veriﬁed by any independent source. The information in this presentation is provided only as of August 6, 2024, and Flywire undertakes no obligation to update any forward-looking statements contained in this presentation on account of new information, future events, or otherwise, except as required by law. This presentation contains certain non-GAAP ﬁnancial measures as deﬁned by SEC rules. Flywire has provided a reconciliation of those measures to the most directly comparable GAAP measures, which is available in the Appendix. The company has not provided a quantitative reconciliation from forecasted adjusted EBITDA to forecasted GAAP net income (loss) or to forecasted GAAP income (loss) before income taxes, because it is unable without making unreasonable eorts, to calcula ff te certain reconciling items with conﬁdence. These items include but are not limited to income taxes which are directly impacted by unpredictable ﬂuctuations in the market price of the company's stock.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Execution Fulﬁllment Our mission is to deliver the most important and complex payments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2024 performance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ﬁnancial highlights Q2 2024 $103.7M 59.7% $(13.9M)* Revenue Gross Margin Net Loss *Q2 includes a higher income tax provision of approximately $4M based on full year tax estimates, which ampliﬁed our loss in the quarter, driven by seasonality of our business. The H1 2024 tax provision of $6.3M therefore represents more than half the year, and should normalize through rest of the year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operating metrics (Non-GAAP) Q2 2024 $99.9M $63.4M $5.8M $4.9B 1 2 1 1 +18.8% +25.7% + 25.5% + 593 bps Total Revenue Less Adjusted Adjusted EBITDA payment Ancillary Gross Proﬁt (Adjusted EBITDA volume Services Margin Expansion) 1. Represents Y-o-Y Growth as compared to Q2 2023. 2. Represents Y-o-Y Margin Expansion as compared to Q2 2023. See Appendix for reconciliation to GAAP amounts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Growth strategies Grow with Grow with Expand our Expand to Pursue strategic existing new clients ecosystem new industries, &amp; clients through channel geographies &amp; value-enhancing partnerships products acquisitions 125% 200+ 2023 average New clients in Q2 annual dollar-based 2024 net retention rate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Capital allocation strategy overview 13 2 Organic Growth Strategic Share Investments Acquisitions Buybacks $150M Share Repurchase Program Geographic Expansion Accelerate within existing enables purchasing when industry and / or geographies projected return exceeds our GTM Enhancement cost of equity New product capability for Deeper Software Integrations cross-sells &amp; upsells Prudent approach in maintaining operational liquidity and Ecosystem expansions with Enter new geographies or ﬁnancial ﬂexibility for organic Strategic Payables &amp; International regions investments &amp; strategic M&amp;A Agent solutions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Canadian Government action impact Upward revision of government action / policy impact based on slower than expected recovery and applications seen since Q2 guidance (All impacts listed below in $ M) Q2 Guidance Q1 Q2E Q3E Q4E FYE Q2 Guidance: Canadian Full year mid-teens (M/HSD) (MSD) (Low $20s M) Revenue Impact negative impact. Assumed Canadian enrollment would ramp steadily in Q2 Recapture in H2: +MSD and through the rest +MSD Rest of World of the year, as well as recapture in other markets. Q3 Guidance* Q1 Q2 Q3E Q4E FYE Q3 Guidance: Full year ~$30M+ Canadian ~($30M+) (M/HSD) (M/HSD) (M/HSD) (M/HSD) negative impact. Revenue Impact HSD ppts Assumes slower recovery as well as removes recapture Recapture in due to uncertainty in None None None Rest of World timing of students pivoting to other countries Acronym Deﬁnition Note: “LSD” Low Single Digits; “MSD” Mid Single Digits; “HSD” High Single Digits *Based on guidance and information available as of August 6, 2024, including expectations regarding the external headwinds in Canada and FX rates as of June 30,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Canada Higher Ed quarterly trend Canadian policies impacting revenue growth; expecting weakness to persist in H2 Canadian Higher Education Transaction Revenue Less Ancillary Services (RLAS) Q3’24E and Q4’24E based on guidance and information available as of August 6, 2024, including expectations regarding the external headwinds in Canada and FX rates as of June 30,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B2B spotlight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Why traditional payment solutions doesn’t meet B2B Businesses global collection needs ✘ High cost of getting paid ✘ Back-office inefficiencies ✘ Poor customer experience ✘ Inability to scale and operate globally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B2B businesses trust Flywire to: 12345 Lower payment Make global Save time and get Drive growth with Make decisions that processing costs expansion easy paid faster happier customers matter B2B client’s payers Our software Our global payments Incoming merchant B2B clients have full can pay in 140+ automates payment and networks allows B2B card and bank wire visibility into payment currencies from 240+ cash application client to grow by fees reduce statuses, access to countries via multiple process, with direct processing local signiﬁcantly, saving complete payment methods. integration to systems payments without a businesses money. data and of record, so B2B clients local entity, bank transactional Payers can view can get paid faster and account or taking on B2B client’s customers insights to make payment history, ensure amounts billed = FX risk. pay in their local smarter business status and have amounts received. currency, with decisions. ﬂexible ways to pay, Easily scale knowing competitive and all while beneﬁting Flywire manages Flywire handles transparent pricing from round-the clock chargebacks, refunds payment data without compromising support via text, live and fraud so B2B clients securely and in on security or chat, phone and email. can focus on core compliance with all reliability. business. applicable laws.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Improving payments drives business results* Drive Simplify Decrease Increase expansion collections DSO proﬁtability 90% 88% 87% 55% could accelerate agree would like to lose up to with an easier cross-border oer add ff itional 5% in revenue way to deal with collections payment methods monthly due to cross-border impacts ability to decrease DSO current payment payments and FX to grow processing rates *According to a Survey of more than 300 ﬁnance professionals, who help run accounting and ﬁnance processes at Source: Flywire B2B Pulse on companies with both global and US-only based operations, conducted by Flywire Payments Report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Flywire supports the entire lifecycle of an accounts receivable transaction Domestic &amp; international ﬂows with Flywire Customer Flywire B2B Business ₹ B2B $ € Business Diverse &amp; local 240+ Countries &amp; territories payment methods Credit/Debit 140+ Bank Transfer Currencies supported Online Methods Receive fully reconciled funds and Customer receives invoice/makes settled next day in bank account payment. Flywire supports ¥ ₩ domestic and cross border Incoming payments automatically applied invoices and presents familiar £ payment options in customers’ No FX risk or currency pricing native currency Flywire processes payment locally, conﬁgurations eliminating cross border transaction. ✘ ✘ Low/no additional X-border Typically eliminates foreign Flywire’s business model designed to deliver value to $ $ $ fees transaction fees clients and payers, and reduce banking fees for both No short payments to write-off POSITIVE CUSTOMER EXPERIENCE: Customers have choice and transparency and true localization at point of sale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Invoiced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Our B2B product connects payers and clients through payments To date we Payers Clients haven’t had software depth matching EDU or Healthcare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With Invoiced, Flywire to be more deeply embedded into invoicing/AR workﬂow Payers Clients processes and automation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Broadens B2B product suite Invoicing and deeper software were key components to our vision: Invoiced 1 accelerates our roadmap, and is expected to make Flywire stickier and drive adoption of payments faster Cross-sell opportunities Strategic Enabling Flywire as a payments option within 2 Invoiced customers; leveraging Invoiced’s rationale solution with our existing base &amp; pipeline for Invoiced Financial beneﬁts acquisition Acquisition accelerates our B2B footprint; 3 expected to enhance gross proﬁt margin, and support revenue growth &amp; EBITDA margin Team expertise and focus 4 Invoiced team experienced in deeper ERP integrations; product-centric organization will be accretive to Flywire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Software embeds Flywire deeper into customers’ AR workﬂows B2B workﬂows begin and end with ERPs; however back-office operations are driven by a combination of software and payments solutions Invoicing Flow ERP Software +Payments Software ERP System of Order entry &amp; Customer Cash Dispute Data System of Collections Record management Invoicing Application Management Management Record Invoiced Is Expected to Accelerate Flywire B2B Invoiced Improvements across multiple B2B business functions Invoiced appeals to customers who want: 1. Better ability to read from and write to their ERPs, including: ✔ Sales function – enhances conversion of sales prospects keen on deep integration with major ERP platforms • Netsuite • Sage Intacct ✔ Powerful software – workﬂow automations software to streamline • Xero the end-to-end A/R process • Quickbooks ✔ Experienced B2B team – brings strong sector focus and expertise 2. The ability to handle recurring payments 3. The ability to structure communication with customers ✔ Volume Capture – deeper integrations increases volume conversion 4. Presenting and organizing multiple invoices to customers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Outlook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 2024 outlook* $141 – $151M $37 – $43M Revenue Less Adjusted 1 Ancillary Services EBITDA 1. Flywire has not provided a quantitative reconciliation of forecasted Adjusted EBITDA to forecasted GAAP net income (loss) or to forecasted GAAP income (loss) before income taxes within this presentation because Flywire is unable, without making unreasonable eorts, ff to calculate certain reconciling items with conﬁdence. These items include, but are not limited to income taxes which are directly impacted by unpredictable ﬂuctuations in the market price of Flywire's stock. *Assumes foreign exchange rates prevailing as of June 30, 2024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 2024 outlook* $469 – $485M $72 – $80M Revenue Less Adjusted 1 Ancillary Services EBITDA 1. Flywire has not provided a quantitative reconciliation of forecasted Adjusted EBITDA to forecasted GAAP net income (loss) or to forecasted GAAP income (loss) before income taxes within this presentation because Flywire is unable, without making unreasonable eorts, ff to calculate certain reconciling items with conﬁdence. These items include, but are not limited to income taxes which are directly impacted by unpredictable ﬂuctuations in the market price of Flywire's stock. *Assumes foreign exchange rates prevailing as of June 30, 2024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at constant currency* $USD in Millions (unaudited)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&amp; Adjusted Gross Margin Reconciliations $USD in Millions (unaudited)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disaggregation by revenue type 27 $USD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Loss to Adjusted EBITDA reconciliation 28 $USD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Margin, EBITDA Margin and Adjusted EBITDA Margin 29 $USD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Non-GAAP Operating Expenses 30 $USD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Revenue to Revenue Less Ancillary Services Guidance 31 $USD in Millions (unaudited)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8646</Words>
  <Characters>47430</Characters>
  <CharactersWithSpaces>57612</CharactersWithSpaces>
  <Paragraphs>3906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