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Ellis Michael 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FLYWIRE CORPORATION</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141 TREMONT STREET, SUITE 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Flywire Corp</w:t>
              </w:r>
            </w:hyperlink>
            <w:r>
              <w:rPr/>
              <w:t xml:space="preserve"> [ </w:t>
            </w:r>
            <w:r>
              <w:rPr>
                <w:rFonts w:ascii="Times;serif" w:hAnsi="Times;serif"/>
                <w:color w:val="0000FF"/>
                <w:sz w:val="24"/>
                <w:shd w:fill="FFFFFF" w:val="clear"/>
              </w:rPr>
              <w:t>FLYW</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01/16/2024</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231"/>
              <w:gridCol w:w="6303"/>
            </w:tblGrid>
            <w:tr>
              <w:trPr/>
              <w:tc>
                <w:tcPr>
                  <w:tcW w:w="231" w:type="dxa"/>
                  <w:tcBorders/>
                  <w:vAlign w:val="center"/>
                </w:tcPr>
                <w:tbl>
                  <w:tblPr>
                    <w:tblW w:w="346" w:type="dxa"/>
                    <w:jc w:val="left"/>
                    <w:tblInd w:w="0" w:type="dxa"/>
                    <w:tblLayout w:type="fixed"/>
                    <w:tblCellMar>
                      <w:top w:w="28" w:type="dxa"/>
                      <w:left w:w="28" w:type="dxa"/>
                      <w:bottom w:w="28" w:type="dxa"/>
                      <w:right w:w="28" w:type="dxa"/>
                    </w:tblCellMar>
                  </w:tblPr>
                  <w:tblGrid>
                    <w:gridCol w:w="346"/>
                  </w:tblGrid>
                  <w:tr>
                    <w:trPr/>
                    <w:tc>
                      <w:tcPr>
                        <w:tcW w:w="3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X</w:t>
                        </w:r>
                      </w:p>
                    </w:tc>
                  </w:tr>
                </w:tbl>
                <w:p>
                  <w:pPr>
                    <w:pStyle w:val="TableContents"/>
                    <w:bidi w:val="0"/>
                    <w:spacing w:before="0" w:after="283"/>
                    <w:jc w:val="left"/>
                    <w:rPr>
                      <w:sz w:val="4"/>
                      <w:szCs w:val="4"/>
                    </w:rPr>
                  </w:pPr>
                  <w:r>
                    <w:rPr>
                      <w:sz w:val="4"/>
                      <w:szCs w:val="4"/>
                    </w:rPr>
                  </w:r>
                </w:p>
              </w:tc>
              <w:tc>
                <w:tcPr>
                  <w:tcW w:w="63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73"/>
        <w:gridCol w:w="904"/>
        <w:gridCol w:w="774"/>
        <w:gridCol w:w="600"/>
        <w:gridCol w:w="349"/>
        <w:gridCol w:w="846"/>
        <w:gridCol w:w="454"/>
        <w:gridCol w:w="755"/>
        <w:gridCol w:w="1195"/>
        <w:gridCol w:w="998"/>
        <w:gridCol w:w="95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7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5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7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7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Voting 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01/16/2024</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3,500</w:t>
            </w:r>
          </w:p>
        </w:tc>
        <w:tc>
          <w:tcPr>
            <w:tcW w:w="4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3.95</w:t>
            </w:r>
            <w:r>
              <w:rPr/>
              <w:t xml:space="preserve"> </w:t>
            </w:r>
          </w:p>
        </w:tc>
        <w:tc>
          <w:tcPr>
            <w:tcW w:w="11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340,818</w:t>
            </w:r>
            <w:r>
              <w:rPr>
                <w:rFonts w:ascii="Times;serif" w:hAnsi="Times;serif"/>
                <w:color w:val="008000"/>
                <w:position w:val="7"/>
                <w:sz w:val="16"/>
                <w:sz w:val="20"/>
                <w:shd w:fill="FFFFFF" w:val="clear"/>
              </w:rPr>
              <w:t>(1)</w:t>
            </w:r>
            <w:r>
              <w:rPr/>
              <w:t xml:space="preserve"> </w:t>
            </w:r>
          </w:p>
        </w:tc>
        <w:tc>
          <w:tcPr>
            <w:tcW w:w="9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5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7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Voting 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01/16/2024</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3,500</w:t>
            </w:r>
          </w:p>
        </w:tc>
        <w:tc>
          <w:tcPr>
            <w:tcW w:w="4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20.31</w:t>
            </w:r>
            <w:r>
              <w:rPr/>
              <w:t xml:space="preserve"> </w:t>
            </w:r>
          </w:p>
        </w:tc>
        <w:tc>
          <w:tcPr>
            <w:tcW w:w="11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337,318</w:t>
            </w:r>
          </w:p>
        </w:tc>
        <w:tc>
          <w:tcPr>
            <w:tcW w:w="9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5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7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Voting 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9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27,805</w:t>
            </w:r>
          </w:p>
        </w:tc>
        <w:tc>
          <w:tcPr>
            <w:tcW w:w="9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5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GRAT</w:t>
            </w:r>
            <w:r>
              <w:rPr>
                <w:rFonts w:ascii="Times;serif" w:hAnsi="Times;serif"/>
                <w:color w:val="008000"/>
                <w:position w:val="7"/>
                <w:sz w:val="16"/>
                <w:sz w:val="20"/>
                <w:shd w:fill="FFFFFF" w:val="clear"/>
              </w:rPr>
              <w:t>(2)</w:t>
            </w:r>
            <w:r>
              <w:rPr/>
              <w:t xml:space="preserve"> </w:t>
            </w:r>
          </w:p>
        </w:tc>
      </w:tr>
    </w:tbl>
    <w:tbl>
      <w:tblPr>
        <w:tblW w:w="1180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80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3.95</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01/16/2024</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3,500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01/20/2031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Voting 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Adjusted to reflect 314 shares acquired under the Issuer's Employee Stock Purchase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shares are held by the Michael Ellis 2021 Grantor Retained Annuity Trust No. 2, of which the Reporting Person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shares originally subject to this option vest over 4 years of service following January 21, 2021, with 25% vesting upon completion of 1 year of continuous service to the Issuer and the balance vesting in 36 equal monthly installments thereafter.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Michael G. Ellis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01/18/2024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862898" TargetMode="External"/><Relationship Id="rId4" Type="http://schemas.openxmlformats.org/officeDocument/2006/relationships/hyperlink" Target="http://www.sec.gov/cgi-bin/browse-edgar?action=getcompany&amp;CIK=0001580560"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727</Words>
  <Characters>3884</Characters>
  <CharactersWithSpaces>4526</CharactersWithSpaces>
  <Paragraphs>123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