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80"/>
        <w:spacing w:after="0" w:line="311"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Flywire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FLYW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03/14/2023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44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80" w:type="dxa"/>
            <w:vAlign w:val="bottom"/>
            <w:gridSpan w:val="6"/>
          </w:tcPr>
          <w:p>
            <w:pPr>
              <w:ind w:left="80"/>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1"/>
          </w:tcPr>
          <w:p>
            <w:pPr>
              <w:ind w:left="4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3"/>
          </w:tcPr>
          <w:p>
            <w:pPr>
              <w:ind w:left="420"/>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9"/>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02111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Person</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20" w:type="dxa"/>
            <w:vAlign w:val="bottom"/>
            <w:gridSpan w:val="3"/>
            <w:vMerge w:val="continue"/>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20" w:type="dxa"/>
            <w:vAlign w:val="bottom"/>
            <w:tcBorders>
              <w:bottom w:val="single" w:sz="8" w:color="2C2C2C"/>
            </w:tcBorders>
            <w:gridSpan w:val="3"/>
          </w:tcPr>
          <w:p>
            <w:pPr>
              <w:spacing w:after="0"/>
              <w:rPr>
                <w:sz w:val="10"/>
                <w:szCs w:val="10"/>
                <w:color w:val="auto"/>
              </w:rPr>
            </w:pPr>
          </w:p>
        </w:tc>
        <w:tc>
          <w:tcPr>
            <w:tcW w:w="2660" w:type="dxa"/>
            <w:vAlign w:val="bottom"/>
            <w:tcBorders>
              <w:bottom w:val="single" w:sz="8" w:color="2C2C2C"/>
            </w:tcBorders>
            <w:gridSpan w:val="5"/>
          </w:tcPr>
          <w:p>
            <w:pPr>
              <w:spacing w:after="0"/>
              <w:rPr>
                <w:sz w:val="10"/>
                <w:szCs w:val="10"/>
                <w:color w:val="auto"/>
              </w:rPr>
            </w:pPr>
          </w:p>
        </w:tc>
        <w:tc>
          <w:tcPr>
            <w:tcW w:w="1380" w:type="dxa"/>
            <w:vAlign w:val="bottom"/>
            <w:tcBorders>
              <w:bottom w:val="single" w:sz="8" w:color="2C2C2C"/>
            </w:tcBorders>
            <w:gridSpan w:val="4"/>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6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60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03/14/2023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3"/>
                <w:szCs w:val="13"/>
                <w:color w:val="0000FF"/>
              </w:rPr>
              <w:t>A</w:t>
            </w:r>
          </w:p>
        </w:tc>
        <w:tc>
          <w:tcPr>
            <w:tcW w:w="860" w:type="dxa"/>
            <w:vAlign w:val="bottom"/>
            <w:tcBorders>
              <w:bottom w:val="single" w:sz="8" w:color="2C2C2C"/>
            </w:tcBorders>
          </w:tcPr>
          <w:p>
            <w:pPr>
              <w:jc w:val="center"/>
              <w:ind w:right="11"/>
              <w:spacing w:after="0"/>
              <w:rPr>
                <w:sz w:val="20"/>
                <w:szCs w:val="20"/>
                <w:color w:val="auto"/>
              </w:rPr>
            </w:pPr>
            <w:r>
              <w:rPr>
                <w:rFonts w:ascii="Times New Roman" w:cs="Times New Roman" w:eastAsia="Times New Roman" w:hAnsi="Times New Roman"/>
                <w:sz w:val="17"/>
                <w:szCs w:val="17"/>
                <w:color w:val="0000FF"/>
              </w:rPr>
              <w:t>120,640</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932,819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2180" w:type="dxa"/>
            <w:vAlign w:val="bottom"/>
            <w:tcBorders>
              <w:bottom w:val="single" w:sz="8" w:color="2C2C2C"/>
            </w:tcBorders>
            <w:gridSpan w:val="4"/>
          </w:tcPr>
          <w:p>
            <w:pPr>
              <w:jc w:val="right"/>
              <w:ind w:right="639"/>
              <w:spacing w:after="0"/>
              <w:rPr>
                <w:sz w:val="20"/>
                <w:szCs w:val="20"/>
                <w:color w:val="auto"/>
              </w:rPr>
            </w:pPr>
            <w:r>
              <w:rPr>
                <w:rFonts w:ascii="Times New Roman" w:cs="Times New Roman" w:eastAsia="Times New Roman" w:hAnsi="Times New Roman"/>
                <w:sz w:val="17"/>
                <w:szCs w:val="17"/>
                <w:color w:val="0000FF"/>
              </w:rPr>
              <w:t>03/14/2023</w:t>
            </w: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60" w:type="dxa"/>
            <w:vAlign w:val="bottom"/>
            <w:tcBorders>
              <w:bottom w:val="single" w:sz="8" w:color="2C2C2C"/>
            </w:tcBorders>
          </w:tcPr>
          <w:p>
            <w:pPr>
              <w:jc w:val="right"/>
              <w:ind w:right="171"/>
              <w:spacing w:after="0"/>
              <w:rPr>
                <w:sz w:val="20"/>
                <w:szCs w:val="20"/>
                <w:color w:val="auto"/>
              </w:rPr>
            </w:pPr>
            <w:r>
              <w:rPr>
                <w:rFonts w:ascii="Times New Roman" w:cs="Times New Roman" w:eastAsia="Times New Roman" w:hAnsi="Times New Roman"/>
                <w:sz w:val="17"/>
                <w:szCs w:val="17"/>
                <w:color w:val="0000FF"/>
              </w:rPr>
              <w:t>8,985</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26.308</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923,834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9"/>
              </w:rPr>
              <w:t>8,654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82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60" w:type="dxa"/>
            <w:vAlign w:val="bottom"/>
            <w:tcBorders>
              <w:bottom w:val="single" w:sz="8" w:color="2C2C2C"/>
            </w:tcBorders>
            <w:gridSpan w:val="4"/>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6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6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79"/>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underlying a time-based restricted stock unit award (RSU). The RSU vests with respect to 25% of the shares on March 1, 2024, with the remainder vesting in equal quarterly installments over the following three years, provided that the Reporting Person has provided continuous service to the Issuer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RSUs.</w:t>
      </w:r>
    </w:p>
    <w:p>
      <w:pPr>
        <w:spacing w:after="0" w:line="50"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03/15/2023</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2023-03-15T19:58:44Z</dcterms:created>
  <dcterms:modified xsi:type="dcterms:W3CDTF">2023-03-15T19:58:44Z</dcterms:modified>
</cp:coreProperties>
</file>