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539750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554355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178435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86" w:lineRule="exact"/>
        <w:rPr>
          <w:sz w:val="24"/>
          <w:szCs w:val="24"/>
          <w:color w:val="auto"/>
        </w:rPr>
      </w:pPr>
    </w:p>
    <w:p>
      <w:pPr>
        <w:jc w:val="center"/>
        <w:ind w:right="-24"/>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64770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27"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0"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193675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8" w:lineRule="exact"/>
        <w:rPr>
          <w:sz w:val="24"/>
          <w:szCs w:val="24"/>
          <w:color w:val="auto"/>
        </w:rPr>
      </w:pPr>
    </w:p>
    <w:p>
      <w:pPr>
        <w:jc w:val="center"/>
        <w:ind w:right="-4"/>
        <w:spacing w:after="0"/>
        <w:rPr>
          <w:sz w:val="20"/>
          <w:szCs w:val="20"/>
          <w:color w:val="auto"/>
        </w:rPr>
      </w:pPr>
      <w:r>
        <w:rPr>
          <w:rFonts w:ascii="Arial" w:cs="Arial" w:eastAsia="Arial" w:hAnsi="Arial"/>
          <w:sz w:val="36"/>
          <w:szCs w:val="36"/>
          <w:b w:val="1"/>
          <w:bCs w:val="1"/>
          <w:color w:val="auto"/>
        </w:rPr>
        <w:t>FLYWIRE CORPORATION</w:t>
      </w:r>
    </w:p>
    <w:p>
      <w:pPr>
        <w:spacing w:after="0" w:line="37" w:lineRule="exact"/>
        <w:rPr>
          <w:sz w:val="24"/>
          <w:szCs w:val="24"/>
          <w:color w:val="auto"/>
        </w:rPr>
      </w:pPr>
    </w:p>
    <w:p>
      <w:pPr>
        <w:jc w:val="center"/>
        <w:ind w:right="-64"/>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167005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ectPr>
          <w:pgSz w:w="11900" w:h="16838" w:orient="portrait"/>
          <w:cols w:equalWidth="0" w:num="1">
            <w:col w:w="11145"/>
          </w:cols>
          <w:pgMar w:left="315" w:top="1138" w:right="439" w:bottom="1440" w:gutter="0" w:footer="0" w:header="0"/>
        </w:sectPr>
      </w:pPr>
    </w:p>
    <w:p>
      <w:pPr>
        <w:spacing w:after="0" w:line="386" w:lineRule="exact"/>
        <w:rPr>
          <w:sz w:val="24"/>
          <w:szCs w:val="24"/>
          <w:color w:val="auto"/>
        </w:rPr>
      </w:pPr>
    </w:p>
    <w:p>
      <w:pPr>
        <w:ind w:left="1885"/>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001-40430</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27-0690799</w:t>
      </w:r>
    </w:p>
    <w:p>
      <w:pPr>
        <w:spacing w:after="0" w:line="10" w:lineRule="exact"/>
        <w:rPr>
          <w:sz w:val="24"/>
          <w:szCs w:val="24"/>
          <w:color w:val="auto"/>
        </w:rPr>
      </w:pPr>
    </w:p>
    <w:p>
      <w:pPr>
        <w:sectPr>
          <w:pgSz w:w="11900" w:h="16838" w:orient="portrait"/>
          <w:cols w:equalWidth="0" w:num="3">
            <w:col w:w="4925" w:space="720"/>
            <w:col w:w="2660" w:space="720"/>
            <w:col w:w="2120"/>
          </w:cols>
          <w:pgMar w:left="315" w:top="1138" w:right="439" w:bottom="1440" w:gutter="0" w:footer="0" w:header="0"/>
          <w:type w:val="continuous"/>
        </w:sectPr>
      </w:pPr>
    </w:p>
    <w:p>
      <w:pPr>
        <w:spacing w:after="0" w:line="11" w:lineRule="exact"/>
        <w:rPr>
          <w:sz w:val="24"/>
          <w:szCs w:val="24"/>
          <w:color w:val="auto"/>
        </w:rPr>
      </w:pPr>
    </w:p>
    <w:p>
      <w:pPr>
        <w:jc w:val="center"/>
        <w:ind w:right="495"/>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495"/>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(Commission</w:t>
      </w:r>
    </w:p>
    <w:p>
      <w:pPr>
        <w:jc w:val="center"/>
        <w:ind w:right="1860"/>
        <w:spacing w:after="0"/>
        <w:rPr>
          <w:sz w:val="20"/>
          <w:szCs w:val="20"/>
          <w:color w:val="auto"/>
        </w:rPr>
      </w:pPr>
      <w:r>
        <w:rPr>
          <w:rFonts w:ascii="Times New Roman" w:cs="Times New Roman" w:eastAsia="Times New Roman" w:hAnsi="Times New Roman"/>
          <w:sz w:val="13"/>
          <w:szCs w:val="13"/>
          <w:b w:val="1"/>
          <w:bCs w:val="1"/>
          <w:color w:val="auto"/>
        </w:rPr>
        <w:t>File No.)</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905" w:space="720"/>
            <w:col w:w="2580" w:space="720"/>
            <w:col w:w="2220"/>
          </w:cols>
          <w:pgMar w:left="315" w:top="1138" w:right="439" w:bottom="1440" w:gutter="0" w:footer="0" w:header="0"/>
          <w:type w:val="continuous"/>
        </w:sectPr>
      </w:pPr>
    </w:p>
    <w:p>
      <w:pPr>
        <w:spacing w:after="0" w:line="99" w:lineRule="exact"/>
        <w:rPr>
          <w:sz w:val="24"/>
          <w:szCs w:val="24"/>
          <w:color w:val="auto"/>
        </w:rPr>
      </w:pPr>
    </w:p>
    <w:p>
      <w:pPr>
        <w:ind w:left="4965"/>
        <w:spacing w:after="0"/>
        <w:rPr>
          <w:sz w:val="20"/>
          <w:szCs w:val="20"/>
          <w:color w:val="auto"/>
        </w:rPr>
      </w:pPr>
      <w:r>
        <w:rPr>
          <w:rFonts w:ascii="Times New Roman" w:cs="Times New Roman" w:eastAsia="Times New Roman" w:hAnsi="Times New Roman"/>
          <w:sz w:val="16"/>
          <w:szCs w:val="16"/>
          <w:b w:val="1"/>
          <w:bCs w:val="1"/>
          <w:color w:val="auto"/>
        </w:rPr>
        <w:t>141 Tremont St #10</w:t>
      </w:r>
    </w:p>
    <w:p>
      <w:pPr>
        <w:spacing w:after="0" w:line="23" w:lineRule="exact"/>
        <w:rPr>
          <w:sz w:val="24"/>
          <w:szCs w:val="24"/>
          <w:color w:val="auto"/>
        </w:rPr>
      </w:pPr>
    </w:p>
    <w:p>
      <w:pPr>
        <w:ind w:left="5005"/>
        <w:spacing w:after="0"/>
        <w:rPr>
          <w:sz w:val="20"/>
          <w:szCs w:val="20"/>
          <w:color w:val="auto"/>
        </w:rPr>
      </w:pPr>
      <w:r>
        <w:rPr>
          <w:rFonts w:ascii="Times New Roman" w:cs="Times New Roman" w:eastAsia="Times New Roman" w:hAnsi="Times New Roman"/>
          <w:sz w:val="16"/>
          <w:szCs w:val="16"/>
          <w:b w:val="1"/>
          <w:bCs w:val="1"/>
          <w:color w:val="auto"/>
        </w:rPr>
        <w:t>Boston, MA 02111</w:t>
      </w:r>
    </w:p>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98"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(617) 329-4524</w:t>
      </w:r>
    </w:p>
    <w:p>
      <w:pPr>
        <w:spacing w:after="0" w:line="135"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164465</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ectPr>
          <w:pgSz w:w="11900" w:h="16838" w:orient="portrait"/>
          <w:cols w:equalWidth="0" w:num="1">
            <w:col w:w="11145"/>
          </w:cols>
          <w:pgMar w:left="315" w:top="1138" w:right="439" w:bottom="1440" w:gutter="0" w:footer="0" w:header="0"/>
          <w:type w:val="continuous"/>
        </w:sectPr>
      </w:pPr>
    </w:p>
    <w:p>
      <w:pPr>
        <w:spacing w:after="0" w:line="34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245" w:hanging="245"/>
        <w:spacing w:after="0"/>
        <w:tabs>
          <w:tab w:leader="none" w:pos="2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5" w:right="3860" w:hanging="5"/>
        <w:spacing w:after="0" w:line="405" w:lineRule="auto"/>
        <w:tabs>
          <w:tab w:leader="none" w:pos="24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25" w:type="dxa"/>
        <w:tblCellMar>
          <w:top w:w="0" w:type="dxa"/>
          <w:left w:w="0" w:type="dxa"/>
          <w:bottom w:w="0" w:type="dxa"/>
          <w:right w:w="0" w:type="dxa"/>
        </w:tblCellMar>
      </w:tblPr>
      <w:tr>
        <w:trPr>
          <w:trHeight w:val="131"/>
        </w:trPr>
        <w:tc>
          <w:tcPr>
            <w:tcW w:w="47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40" w:type="dxa"/>
            <w:vAlign w:val="bottom"/>
          </w:tcPr>
          <w:p>
            <w:pPr>
              <w:jc w:val="center"/>
              <w:ind w:right="12"/>
              <w:spacing w:after="0" w:line="131"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800" w:type="dxa"/>
            <w:vAlign w:val="bottom"/>
          </w:tcPr>
          <w:p>
            <w:pPr>
              <w:jc w:val="center"/>
              <w:ind w:left="109"/>
              <w:spacing w:after="0" w:line="131"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80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9"/>
        </w:trPr>
        <w:tc>
          <w:tcPr>
            <w:tcW w:w="4780" w:type="dxa"/>
            <w:vAlign w:val="bottom"/>
          </w:tcPr>
          <w:p>
            <w:pPr>
              <w:jc w:val="center"/>
              <w:ind w:right="229"/>
              <w:spacing w:after="0" w:line="169" w:lineRule="exact"/>
              <w:rPr>
                <w:sz w:val="20"/>
                <w:szCs w:val="20"/>
                <w:color w:val="auto"/>
              </w:rPr>
            </w:pPr>
            <w:r>
              <w:rPr>
                <w:rFonts w:ascii="Times New Roman" w:cs="Times New Roman" w:eastAsia="Times New Roman" w:hAnsi="Times New Roman"/>
                <w:sz w:val="16"/>
                <w:szCs w:val="16"/>
                <w:color w:val="auto"/>
                <w:w w:val="98"/>
              </w:rPr>
              <w:t>Voting Common Stock, $0.0001 par value per share</w:t>
            </w:r>
          </w:p>
        </w:tc>
        <w:tc>
          <w:tcPr>
            <w:tcW w:w="2440" w:type="dxa"/>
            <w:vAlign w:val="bottom"/>
          </w:tcPr>
          <w:p>
            <w:pPr>
              <w:jc w:val="center"/>
              <w:ind w:right="12"/>
              <w:spacing w:after="0" w:line="169" w:lineRule="exact"/>
              <w:rPr>
                <w:sz w:val="20"/>
                <w:szCs w:val="20"/>
                <w:color w:val="auto"/>
              </w:rPr>
            </w:pPr>
            <w:r>
              <w:rPr>
                <w:rFonts w:ascii="Times New Roman" w:cs="Times New Roman" w:eastAsia="Times New Roman" w:hAnsi="Times New Roman"/>
                <w:sz w:val="16"/>
                <w:szCs w:val="16"/>
                <w:color w:val="auto"/>
                <w:w w:val="96"/>
              </w:rPr>
              <w:t>FLYW</w:t>
            </w:r>
          </w:p>
        </w:tc>
        <w:tc>
          <w:tcPr>
            <w:tcW w:w="3800" w:type="dxa"/>
            <w:vAlign w:val="bottom"/>
          </w:tcPr>
          <w:p>
            <w:pPr>
              <w:jc w:val="center"/>
              <w:ind w:left="129"/>
              <w:spacing w:after="0" w:line="169" w:lineRule="exact"/>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0" w:type="dxa"/>
            <w:vAlign w:val="bottom"/>
          </w:tcPr>
          <w:p>
            <w:pPr>
              <w:jc w:val="center"/>
              <w:ind w:left="129"/>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5" w:right="1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0" w:lineRule="exact"/>
        <w:rPr>
          <w:sz w:val="24"/>
          <w:szCs w:val="24"/>
          <w:color w:val="auto"/>
        </w:rPr>
      </w:pPr>
    </w:p>
    <w:p>
      <w:pPr>
        <w:ind w:left="5" w:right="260" w:firstLine="51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662940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145"/>
          </w:cols>
          <w:pgMar w:left="315" w:top="1138" w:right="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On May 5, 2026, Flywire Corporation (“Flywire” or the “Company”) issued a press release (the “Press Release”) and is holding a conference call regarding its preliminary and unaudited financial results for the quarter ended March 31, 2026. The Press Release is furnished as Exhibit 99.1 to this Current Report on Form 8-K and is incorporated by reference herein.</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uncertainties associated with the timing and scope of future repurchases by FLYW of its common stock, including the ability to enter into, consummate, or complete the ASR, the purchase price of the shares acquired pursuant to the applicable ASR agreement, and the timing and duration of the ASR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2025 which are on file with the Securities and Exchange Commission (SEC) and available on the SEC’s website at https://www.sec.gov/. Additional factors may be described in those sections of Flywire’s Quarterly Report on Form 10-Q for the quarter ended March 31, 2026, expected to be filed in the second quarter of 2026.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527685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May 5, 2026, the Company provided an investor presentation that will be made available on the investor relations section of the Company’s website at https://ir.flywire.com/.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investor presentation is furnished as Exhibit 99.2 to this Current Report on Form 8-K and is incorporated by reference herein.</w:t>
      </w:r>
    </w:p>
    <w:p>
      <w:pPr>
        <w:spacing w:after="0" w:line="1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p>
      <w:pPr>
        <w:ind w:left="180"/>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Flywire Corporation Press Release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-8255</wp:posOffset>
            </wp:positionV>
            <wp:extent cx="22180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Flywire Corporation Investor Presentation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-8255</wp:posOffset>
            </wp:positionV>
            <wp:extent cx="25184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8410" cy="7620"/>
                    </a:xfrm>
                    <a:prstGeom prst="rect">
                      <a:avLst/>
                    </a:prstGeom>
                    <a:noFill/>
                  </pic:spPr>
                </pic:pic>
              </a:graphicData>
            </a:graphic>
          </wp:anchor>
        </w:drawing>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FLYWIRE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Cosmin Pitigoi</w:t>
            </w:r>
          </w:p>
        </w:tc>
      </w:tr>
      <w:tr>
        <w:trPr>
          <w:trHeight w:val="176"/>
        </w:trPr>
        <w:tc>
          <w:tcPr>
            <w:tcW w:w="10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Cosmin Pitigoi</w:t>
            </w:r>
          </w:p>
        </w:tc>
      </w:tr>
      <w:tr>
        <w:trPr>
          <w:trHeight w:val="20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Flywire Reports First Quarter 2026 Financial Results</w:t>
      </w:r>
    </w:p>
    <w:p>
      <w:pPr>
        <w:spacing w:after="0" w:line="12" w:lineRule="exact"/>
        <w:rPr>
          <w:sz w:val="20"/>
          <w:szCs w:val="20"/>
          <w:color w:val="auto"/>
        </w:rPr>
      </w:pPr>
    </w:p>
    <w:p>
      <w:pPr>
        <w:ind w:left="3280"/>
        <w:spacing w:after="0"/>
        <w:rPr>
          <w:sz w:val="20"/>
          <w:szCs w:val="20"/>
          <w:color w:val="auto"/>
        </w:rPr>
      </w:pPr>
      <w:r>
        <w:rPr>
          <w:rFonts w:ascii="Arial" w:cs="Arial" w:eastAsia="Arial" w:hAnsi="Arial"/>
          <w:sz w:val="19"/>
          <w:szCs w:val="19"/>
          <w:i w:val="1"/>
          <w:iCs w:val="1"/>
          <w:color w:val="auto"/>
        </w:rPr>
        <w:t>First Quarter Revenue Increased 41.0% Year-over-Year</w:t>
      </w:r>
    </w:p>
    <w:p>
      <w:pPr>
        <w:spacing w:after="0" w:line="191" w:lineRule="exact"/>
        <w:rPr>
          <w:sz w:val="20"/>
          <w:szCs w:val="20"/>
          <w:color w:val="auto"/>
        </w:rPr>
      </w:pPr>
    </w:p>
    <w:p>
      <w:pPr>
        <w:ind w:left="2280"/>
        <w:spacing w:after="0"/>
        <w:rPr>
          <w:sz w:val="20"/>
          <w:szCs w:val="20"/>
          <w:color w:val="auto"/>
        </w:rPr>
      </w:pPr>
      <w:r>
        <w:rPr>
          <w:rFonts w:ascii="Arial" w:cs="Arial" w:eastAsia="Arial" w:hAnsi="Arial"/>
          <w:sz w:val="19"/>
          <w:szCs w:val="19"/>
          <w:i w:val="1"/>
          <w:iCs w:val="1"/>
          <w:color w:val="auto"/>
        </w:rPr>
        <w:t>First Quarter Revenue Less Ancillary Services Increased 43.0% Year-over-Year</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Previous Fiscal Year 2026 Revenue Less Ancillary Services growth guidance raised by 300 bps at midpoint, Adjusted EBITDA margin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growth guidance raised by 25 bps at midpoint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Announces up to $50 million accelerated share repurchase (ASR) program</w:t>
      </w:r>
    </w:p>
    <w:p>
      <w:pPr>
        <w:spacing w:after="0" w:line="200" w:lineRule="exact"/>
        <w:rPr>
          <w:sz w:val="20"/>
          <w:szCs w:val="20"/>
          <w:color w:val="auto"/>
        </w:rPr>
      </w:pPr>
    </w:p>
    <w:p>
      <w:pPr>
        <w:spacing w:after="0" w:line="384" w:lineRule="exact"/>
        <w:rPr>
          <w:sz w:val="20"/>
          <w:szCs w:val="20"/>
          <w:color w:val="auto"/>
        </w:rPr>
      </w:pPr>
    </w:p>
    <w:p>
      <w:pPr>
        <w:ind w:right="200"/>
        <w:spacing w:after="0" w:line="267" w:lineRule="auto"/>
        <w:rPr>
          <w:sz w:val="20"/>
          <w:szCs w:val="20"/>
          <w:color w:val="auto"/>
        </w:rPr>
      </w:pPr>
      <w:r>
        <w:rPr>
          <w:rFonts w:ascii="Arial" w:cs="Arial" w:eastAsia="Arial" w:hAnsi="Arial"/>
          <w:sz w:val="19"/>
          <w:szCs w:val="19"/>
          <w:b w:val="1"/>
          <w:bCs w:val="1"/>
          <w:color w:val="auto"/>
        </w:rPr>
        <w:t xml:space="preserve">Boston, MA – May 5, 2026: </w:t>
      </w:r>
      <w:r>
        <w:rPr>
          <w:rFonts w:ascii="Arial" w:cs="Arial" w:eastAsia="Arial" w:hAnsi="Arial"/>
          <w:sz w:val="19"/>
          <w:szCs w:val="19"/>
          <w:color w:val="auto"/>
        </w:rPr>
        <w:t>Flywire Corporation (Nasdaq: FLYW) (“Flywire” or the “Company”), a global payments enablement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software company, today reported financial results for its first quarter ended March 31, 2026.</w:t>
      </w:r>
    </w:p>
    <w:p>
      <w:pPr>
        <w:spacing w:after="0" w:line="131" w:lineRule="exact"/>
        <w:rPr>
          <w:sz w:val="20"/>
          <w:szCs w:val="20"/>
          <w:color w:val="auto"/>
        </w:rPr>
      </w:pPr>
    </w:p>
    <w:p>
      <w:pPr>
        <w:ind w:right="260"/>
        <w:spacing w:after="0" w:line="249" w:lineRule="auto"/>
        <w:rPr>
          <w:sz w:val="20"/>
          <w:szCs w:val="20"/>
          <w:color w:val="auto"/>
        </w:rPr>
      </w:pPr>
      <w:r>
        <w:rPr>
          <w:rFonts w:ascii="Arial" w:cs="Arial" w:eastAsia="Arial" w:hAnsi="Arial"/>
          <w:sz w:val="19"/>
          <w:szCs w:val="19"/>
          <w:i w:val="1"/>
          <w:iCs w:val="1"/>
          <w:color w:val="auto"/>
        </w:rPr>
        <w:t>“We started 2026 with a strong first quarter — above expectations on revenue and adjusted EBITDA, with new client wins across all four verticals,</w:t>
      </w:r>
      <w:r>
        <w:rPr>
          <w:rFonts w:ascii="Arial" w:cs="Arial" w:eastAsia="Arial" w:hAnsi="Arial"/>
          <w:sz w:val="19"/>
          <w:szCs w:val="19"/>
          <w:color w:val="auto"/>
        </w:rPr>
        <w:t>" said Mike Massaro, Flywire’s CEO.</w:t>
      </w:r>
      <w:r>
        <w:rPr>
          <w:rFonts w:ascii="Arial" w:cs="Arial" w:eastAsia="Arial" w:hAnsi="Arial"/>
          <w:sz w:val="19"/>
          <w:szCs w:val="19"/>
          <w:i w:val="1"/>
          <w:iCs w:val="1"/>
          <w:color w:val="auto"/>
        </w:rPr>
        <w:t xml:space="preserve"> “The results reflect what we have been building toward: a durable, scalable business, diversified across verticals and geographies - and one that is increasingly resilient and increasingly profitable.”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First Quarter 2026 Financial Highlights: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GAAP Results</w:t>
      </w:r>
    </w:p>
    <w:p>
      <w:pPr>
        <w:spacing w:after="0" w:line="184" w:lineRule="exact"/>
        <w:rPr>
          <w:sz w:val="20"/>
          <w:szCs w:val="20"/>
          <w:color w:val="auto"/>
        </w:rPr>
      </w:pPr>
    </w:p>
    <w:p>
      <w:pPr>
        <w:ind w:left="740" w:right="420" w:hanging="370"/>
        <w:spacing w:after="0" w:line="243"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9"/>
          <w:szCs w:val="19"/>
          <w:color w:val="auto"/>
        </w:rPr>
        <w:t>Revenue increased 41.0% to $188.1 million in the First quarter of 2026, compared to $133.5 million in the First quarter of 2025.</w:t>
      </w:r>
    </w:p>
    <w:p>
      <w:pPr>
        <w:spacing w:after="0" w:line="1" w:lineRule="exact"/>
        <w:rPr>
          <w:rFonts w:ascii="Times New Roman" w:cs="Times New Roman" w:eastAsia="Times New Roman" w:hAnsi="Times New Roman"/>
          <w:sz w:val="17"/>
          <w:szCs w:val="17"/>
          <w:color w:val="auto"/>
        </w:rPr>
      </w:pPr>
    </w:p>
    <w:p>
      <w:pPr>
        <w:ind w:left="740" w:right="100" w:hanging="370"/>
        <w:spacing w:after="0" w:line="233"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9"/>
          <w:szCs w:val="19"/>
          <w:color w:val="auto"/>
        </w:rPr>
        <w:t>Gross Profit increased to $106.8 million, resulting in Gross Margin of 56.8%, for the First quarter of 2026, compared to Gross Profit of $80.5 million and Gross Margin of 60.3% in the First quarter of 2025.</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9"/>
          <w:szCs w:val="19"/>
          <w:color w:val="auto"/>
        </w:rPr>
        <w:t>Net income was $12.5 million in the First quarter of 2026, compared to net loss of ($4.2) million in the First quarter of 2025.</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Key Operating Metrics and Non-GAAP Results</w:t>
      </w:r>
    </w:p>
    <w:p>
      <w:pPr>
        <w:spacing w:after="0" w:line="184" w:lineRule="exact"/>
        <w:rPr>
          <w:sz w:val="20"/>
          <w:szCs w:val="20"/>
          <w:color w:val="auto"/>
        </w:rPr>
      </w:pPr>
    </w:p>
    <w:p>
      <w:pPr>
        <w:ind w:left="740" w:right="540" w:hanging="370"/>
        <w:spacing w:after="0" w:line="243" w:lineRule="auto"/>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Total Payment Volume increased 36.5% to $11.4 billion in the First quarter of 2026, compared to $8.4 billion in the First quarter of 2025.</w:t>
      </w:r>
    </w:p>
    <w:p>
      <w:pPr>
        <w:ind w:left="740" w:right="20" w:hanging="370"/>
        <w:spacing w:after="0" w:line="233" w:lineRule="auto"/>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Revenue Less Ancillary Services increased 43.0% to $184.0 million in the First quarter of 2026, compared to $128.7 million in the First quarter of 2025. FX-Neutral Revenue Less Ancillary Services increased 37.2% year-over-year.</w:t>
      </w:r>
    </w:p>
    <w:p>
      <w:pPr>
        <w:ind w:left="740" w:right="180" w:hanging="370"/>
        <w:spacing w:after="0" w:line="233" w:lineRule="auto"/>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Adjusted Gross Profit increased to $110.5 million, up 33.9% compared to $82.5 million in the First quarter of 2025. Adjusted Gross Margin was 60.1% in the First quarter of 2026 compared to 64.1% in the First quarter of 2025.</w:t>
      </w:r>
    </w:p>
    <w:p>
      <w:pPr>
        <w:ind w:left="740" w:right="120" w:hanging="370"/>
        <w:spacing w:after="0" w:line="246" w:lineRule="auto"/>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Adjusted EBITDA increased 81.8% to $39.3 million in the First quarter of 2026, compared to $21.6 million in the First quarter of 2025. Adjusted EBITDA margin increased by 452 bps year-over-year to 21.4%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577215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5" w:name="page6"/>
    <w:bookmarkEnd w:id="5"/>
    <w:p>
      <w:pPr>
        <w:ind w:left="745" w:right="140" w:hanging="370"/>
        <w:spacing w:after="0" w:line="294" w:lineRule="auto"/>
        <w:tabs>
          <w:tab w:leader="none" w:pos="74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Repurchased approximately 0.9 million shares of our common stock for approximately $10 million (excluding commissions), with approximately $172 million remaining in the share repurchase program as of the end of the First quarter of 2026.</w:t>
      </w:r>
    </w:p>
    <w:p>
      <w:pPr>
        <w:spacing w:after="0" w:line="32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Key Business Performance highlights: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Commercial Highlights</w:t>
      </w:r>
    </w:p>
    <w:p>
      <w:pPr>
        <w:spacing w:after="0" w:line="22" w:lineRule="exact"/>
        <w:rPr>
          <w:sz w:val="20"/>
          <w:szCs w:val="20"/>
          <w:color w:val="auto"/>
        </w:rPr>
      </w:pPr>
    </w:p>
    <w:p>
      <w:pPr>
        <w:ind w:left="745" w:right="800" w:hanging="370"/>
        <w:spacing w:after="0" w:line="208" w:lineRule="auto"/>
        <w:tabs>
          <w:tab w:leader="none" w:pos="745"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Signed over 200 new clients </w:t>
      </w:r>
      <w:r>
        <w:rPr>
          <w:rFonts w:ascii="Arial" w:cs="Arial" w:eastAsia="Arial" w:hAnsi="Arial"/>
          <w:sz w:val="19"/>
          <w:szCs w:val="19"/>
          <w:color w:val="auto"/>
        </w:rPr>
        <w:t>across all verticals</w:t>
      </w:r>
      <w:r>
        <w:rPr>
          <w:rFonts w:ascii="Arial" w:cs="Arial" w:eastAsia="Arial" w:hAnsi="Arial"/>
          <w:sz w:val="25"/>
          <w:szCs w:val="25"/>
          <w:color w:val="auto"/>
          <w:vertAlign w:val="superscript"/>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demonstrating broad-based demand and consistent top-of-funnel</w:t>
      </w:r>
      <w:r>
        <w:rPr>
          <w:rFonts w:ascii="Arial" w:cs="Arial" w:eastAsia="Arial" w:hAnsi="Arial"/>
          <w:sz w:val="19"/>
          <w:szCs w:val="19"/>
          <w:b w:val="1"/>
          <w:bCs w:val="1"/>
          <w:color w:val="auto"/>
        </w:rPr>
        <w:t xml:space="preserve"> </w:t>
      </w:r>
      <w:r>
        <w:rPr>
          <w:rFonts w:ascii="Arial" w:cs="Arial" w:eastAsia="Arial" w:hAnsi="Arial"/>
          <w:sz w:val="19"/>
          <w:szCs w:val="19"/>
          <w:color w:val="auto"/>
        </w:rPr>
        <w:t>conversion.</w:t>
      </w:r>
    </w:p>
    <w:p>
      <w:pPr>
        <w:spacing w:after="0" w:line="1" w:lineRule="exact"/>
        <w:rPr>
          <w:rFonts w:ascii="Times New Roman" w:cs="Times New Roman" w:eastAsia="Times New Roman" w:hAnsi="Times New Roman"/>
          <w:sz w:val="19"/>
          <w:szCs w:val="19"/>
          <w:color w:val="auto"/>
        </w:rPr>
      </w:pPr>
    </w:p>
    <w:p>
      <w:pPr>
        <w:jc w:val="both"/>
        <w:ind w:left="745" w:right="440" w:hanging="370"/>
        <w:spacing w:after="0" w:line="260" w:lineRule="auto"/>
        <w:tabs>
          <w:tab w:leader="none" w:pos="74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Strategic Expansion via Inspired Education Group: </w:t>
      </w:r>
      <w:r>
        <w:rPr>
          <w:rFonts w:ascii="Arial" w:cs="Arial" w:eastAsia="Arial" w:hAnsi="Arial"/>
          <w:sz w:val="18"/>
          <w:szCs w:val="18"/>
          <w:color w:val="auto"/>
        </w:rPr>
        <w:t>Continued to grow our partnership with one of the world’s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K–12 education groups, accelerating expansion across premium international schools in Europe and adding new clients in Switzerland, Portugal, Latvia, and Belgium, while creating a scalable pathway for broader group-wide growth.</w:t>
      </w:r>
    </w:p>
    <w:p>
      <w:pPr>
        <w:spacing w:after="0" w:line="160"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Product &amp; Partner Highlights</w:t>
      </w:r>
    </w:p>
    <w:p>
      <w:pPr>
        <w:spacing w:after="0" w:line="12" w:lineRule="exact"/>
        <w:rPr>
          <w:sz w:val="20"/>
          <w:szCs w:val="20"/>
          <w:color w:val="auto"/>
        </w:rPr>
      </w:pPr>
    </w:p>
    <w:p>
      <w:pPr>
        <w:ind w:left="745" w:right="80" w:hanging="370"/>
        <w:spacing w:after="0" w:line="233" w:lineRule="auto"/>
        <w:tabs>
          <w:tab w:leader="none" w:pos="745"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Deepening EDU Ecosystem Monetization — Partnered with Scholarship America </w:t>
      </w:r>
      <w:r>
        <w:rPr>
          <w:rFonts w:ascii="Arial" w:cs="Arial" w:eastAsia="Arial" w:hAnsi="Arial"/>
          <w:sz w:val="19"/>
          <w:szCs w:val="19"/>
          <w:color w:val="auto"/>
        </w:rPr>
        <w:t>to embed Flywire deeper into the</w:t>
      </w:r>
      <w:r>
        <w:rPr>
          <w:rFonts w:ascii="Arial" w:cs="Arial" w:eastAsia="Arial" w:hAnsi="Arial"/>
          <w:sz w:val="19"/>
          <w:szCs w:val="19"/>
          <w:b w:val="1"/>
          <w:bCs w:val="1"/>
          <w:color w:val="auto"/>
        </w:rPr>
        <w:t xml:space="preserve"> </w:t>
      </w:r>
      <w:r>
        <w:rPr>
          <w:rFonts w:ascii="Arial" w:cs="Arial" w:eastAsia="Arial" w:hAnsi="Arial"/>
          <w:sz w:val="19"/>
          <w:szCs w:val="19"/>
          <w:color w:val="auto"/>
        </w:rPr>
        <w:t>student financial journey — automating scholarship disbursements and replacing manual paper checks with seamless digital delivery. This expands the payment flows we own within institutions, capturing disbursement alongside tuition collection and moving Flywire closer to becoming the end-to-end financial infrastructure layer for higher education.</w:t>
      </w:r>
    </w:p>
    <w:p>
      <w:pPr>
        <w:spacing w:after="0" w:line="2" w:lineRule="exact"/>
        <w:rPr>
          <w:rFonts w:ascii="Times New Roman" w:cs="Times New Roman" w:eastAsia="Times New Roman" w:hAnsi="Times New Roman"/>
          <w:sz w:val="19"/>
          <w:szCs w:val="19"/>
          <w:color w:val="auto"/>
        </w:rPr>
      </w:pPr>
    </w:p>
    <w:p>
      <w:pPr>
        <w:ind w:left="745" w:right="180" w:hanging="370"/>
        <w:spacing w:after="0" w:line="233" w:lineRule="auto"/>
        <w:tabs>
          <w:tab w:leader="none" w:pos="745"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Hosted Flywire's annual U.K. higher education conference, </w:t>
      </w:r>
      <w:r>
        <w:rPr>
          <w:rFonts w:ascii="Arial" w:cs="Arial" w:eastAsia="Arial" w:hAnsi="Arial"/>
          <w:sz w:val="19"/>
          <w:szCs w:val="19"/>
          <w:color w:val="auto"/>
        </w:rPr>
        <w:t>bringing together more than 140 senior finance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admissions professionals from U.K. university clients to showcase how Student Financial Software (SFS) is automating the student financial journey, driving self-service, reducing manual work, and creating more predictable working capital cycles.</w:t>
      </w:r>
    </w:p>
    <w:p>
      <w:pPr>
        <w:spacing w:after="0" w:line="2" w:lineRule="exact"/>
        <w:rPr>
          <w:rFonts w:ascii="Times New Roman" w:cs="Times New Roman" w:eastAsia="Times New Roman" w:hAnsi="Times New Roman"/>
          <w:sz w:val="19"/>
          <w:szCs w:val="19"/>
          <w:color w:val="auto"/>
        </w:rPr>
      </w:pPr>
    </w:p>
    <w:p>
      <w:pPr>
        <w:ind w:left="745" w:hanging="370"/>
        <w:spacing w:after="0" w:line="233" w:lineRule="auto"/>
        <w:tabs>
          <w:tab w:leader="none" w:pos="745"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Over the past year, Flywire has embedded AI in its product development processes, </w:t>
      </w:r>
      <w:r>
        <w:rPr>
          <w:rFonts w:ascii="Arial" w:cs="Arial" w:eastAsia="Arial" w:hAnsi="Arial"/>
          <w:sz w:val="19"/>
          <w:szCs w:val="19"/>
          <w:color w:val="auto"/>
        </w:rPr>
        <w:t>cutting weeks off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time, speeding issue fixes and decreased payment processing time by 20%. Flywire has expanded the platform with capabilities that automate custom email communications to specific groups of students, improve due date visibility, and digitize non-traditional funding sources, such as processing U.S. loan disbursements. Flywire continues to add functionality to the Collection Management component of SFS, including support for multiple account types. This will enable institutions to manage and collect on separate debts in parallel. Together, these enhancements are designed to reduce operational burden and strengthen revenue management.</w:t>
      </w:r>
    </w:p>
    <w:p>
      <w:pPr>
        <w:spacing w:after="0" w:line="4" w:lineRule="exact"/>
        <w:rPr>
          <w:rFonts w:ascii="Times New Roman" w:cs="Times New Roman" w:eastAsia="Times New Roman" w:hAnsi="Times New Roman"/>
          <w:sz w:val="19"/>
          <w:szCs w:val="19"/>
          <w:color w:val="auto"/>
        </w:rPr>
      </w:pPr>
    </w:p>
    <w:p>
      <w:pPr>
        <w:ind w:left="745" w:right="200" w:hanging="370"/>
        <w:spacing w:after="0" w:line="233" w:lineRule="auto"/>
        <w:tabs>
          <w:tab w:leader="none" w:pos="745"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 xml:space="preserve">Flywire successfully </w:t>
      </w:r>
      <w:r>
        <w:rPr>
          <w:rFonts w:ascii="Arial" w:cs="Arial" w:eastAsia="Arial" w:hAnsi="Arial"/>
          <w:sz w:val="19"/>
          <w:szCs w:val="19"/>
          <w:b w:val="1"/>
          <w:bCs w:val="1"/>
          <w:color w:val="auto"/>
        </w:rPr>
        <w:t>migrated its first hospitality client onto the new core Flywire travel platform.</w:t>
      </w:r>
      <w:r>
        <w:rPr>
          <w:rFonts w:ascii="Arial" w:cs="Arial" w:eastAsia="Arial" w:hAnsi="Arial"/>
          <w:sz w:val="19"/>
          <w:szCs w:val="19"/>
          <w:color w:val="auto"/>
        </w:rPr>
        <w:t xml:space="preserve"> The team is also </w:t>
      </w:r>
      <w:r>
        <w:rPr>
          <w:rFonts w:ascii="Arial" w:cs="Arial" w:eastAsia="Arial" w:hAnsi="Arial"/>
          <w:sz w:val="19"/>
          <w:szCs w:val="19"/>
          <w:b w:val="1"/>
          <w:bCs w:val="1"/>
          <w:color w:val="auto"/>
        </w:rPr>
        <w:t>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track to launch a unified "Sign and Pay" </w:t>
      </w:r>
      <w:r>
        <w:rPr>
          <w:rFonts w:ascii="Arial" w:cs="Arial" w:eastAsia="Arial" w:hAnsi="Arial"/>
          <w:sz w:val="19"/>
          <w:szCs w:val="19"/>
          <w:color w:val="auto"/>
        </w:rPr>
        <w:t>product combining Sertifi's contracting with Flywire's payment rails.</w:t>
      </w:r>
    </w:p>
    <w:p>
      <w:pPr>
        <w:ind w:left="745" w:right="80" w:hanging="370"/>
        <w:spacing w:after="0" w:line="238" w:lineRule="auto"/>
        <w:tabs>
          <w:tab w:leader="none" w:pos="745"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Workday Partnership. </w:t>
      </w:r>
      <w:r>
        <w:rPr>
          <w:rFonts w:ascii="Arial" w:cs="Arial" w:eastAsia="Arial" w:hAnsi="Arial"/>
          <w:sz w:val="19"/>
          <w:szCs w:val="19"/>
          <w:color w:val="auto"/>
        </w:rPr>
        <w:t>Flywire has strengthened its competitive position as a leader in the education payments market by</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successfully certifying its integration with Workday Student. Our deep integration with Workday Student acts as a key growth catalyst by enabling higher education institutions to automate global billing and reconciliation, reducing administrative inquiries by 40% and driving market share growth within the Workday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1482090" cy="4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157" w:lineRule="exact"/>
        <w:rPr>
          <w:sz w:val="20"/>
          <w:szCs w:val="20"/>
          <w:color w:val="auto"/>
        </w:rPr>
      </w:pPr>
    </w:p>
    <w:p>
      <w:pPr>
        <w:ind w:left="105" w:hanging="105"/>
        <w:spacing w:after="0"/>
        <w:tabs>
          <w:tab w:leader="none" w:pos="105" w:val="left"/>
        </w:tabs>
        <w:numPr>
          <w:ilvl w:val="0"/>
          <w:numId w:val="7"/>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Excludes properties added through Flywire’s hospitality business (Sertifi)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579120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967" w:right="35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Guidance</w:t>
      </w:r>
    </w:p>
    <w:p>
      <w:pPr>
        <w:spacing w:after="0" w:line="12"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Today we are announcing an accelerated share repurchase program of up to $50 million — the single largest capital return action in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Flywire's history as a public company. The ASR program reflects our conviction in the intrinsic value of the business and our view that the current share price represents a compelling opportunity," </w:t>
      </w:r>
      <w:r>
        <w:rPr>
          <w:rFonts w:ascii="Arial" w:cs="Arial" w:eastAsia="Arial" w:hAnsi="Arial"/>
          <w:sz w:val="19"/>
          <w:szCs w:val="19"/>
          <w:color w:val="auto"/>
        </w:rPr>
        <w:t>said Flywire's CFO, Cosmin Pitigoi. “</w:t>
      </w:r>
      <w:r>
        <w:rPr>
          <w:rFonts w:ascii="Arial" w:cs="Arial" w:eastAsia="Arial" w:hAnsi="Arial"/>
          <w:sz w:val="19"/>
          <w:szCs w:val="19"/>
          <w:i w:val="1"/>
          <w:iCs w:val="1"/>
          <w:color w:val="auto"/>
        </w:rPr>
        <w:t>Q1 performance was broad-based and exceeded expectations. Gross profit dollar growth converted into adjusted EBITDA margin expansion, demonstrating the operating leverage in this model. We are raising our full-year guidance on the back of these strong results.”</w:t>
      </w:r>
    </w:p>
    <w:p>
      <w:pPr>
        <w:spacing w:after="0" w:line="157" w:lineRule="exact"/>
        <w:rPr>
          <w:sz w:val="20"/>
          <w:szCs w:val="20"/>
          <w:color w:val="auto"/>
        </w:rPr>
      </w:pPr>
    </w:p>
    <w:p>
      <w:pPr>
        <w:ind w:right="500"/>
        <w:spacing w:after="0" w:line="267" w:lineRule="auto"/>
        <w:rPr>
          <w:sz w:val="20"/>
          <w:szCs w:val="20"/>
          <w:color w:val="auto"/>
        </w:rPr>
      </w:pPr>
      <w:r>
        <w:rPr>
          <w:rFonts w:ascii="Arial" w:cs="Arial" w:eastAsia="Arial" w:hAnsi="Arial"/>
          <w:sz w:val="19"/>
          <w:szCs w:val="19"/>
          <w:color w:val="auto"/>
        </w:rPr>
        <w:t>Based on information available as of May 5, 2026, Flywire anticipates the following results for the second quarter and fiscal year 2026*.</w:t>
      </w:r>
    </w:p>
    <w:p>
      <w:pPr>
        <w:spacing w:after="0" w:line="128" w:lineRule="exact"/>
        <w:rPr>
          <w:sz w:val="20"/>
          <w:szCs w:val="20"/>
          <w:color w:val="auto"/>
        </w:rPr>
      </w:pPr>
    </w:p>
    <w:tbl>
      <w:tblPr>
        <w:tblLayout w:type="fixed"/>
        <w:tblInd w:w="50" w:type="dxa"/>
        <w:tblCellMar>
          <w:top w:w="0" w:type="dxa"/>
          <w:left w:w="0" w:type="dxa"/>
          <w:bottom w:w="0" w:type="dxa"/>
          <w:right w:w="0" w:type="dxa"/>
        </w:tblCellMar>
      </w:tblPr>
      <w:tr>
        <w:trPr>
          <w:trHeight w:val="512"/>
        </w:trPr>
        <w:tc>
          <w:tcPr>
            <w:tcW w:w="7780" w:type="dxa"/>
            <w:vAlign w:val="bottom"/>
            <w:tcBorders>
              <w:top w:val="single" w:sz="8" w:color="auto"/>
              <w:left w:val="single" w:sz="8" w:color="auto"/>
              <w:right w:val="single" w:sz="8" w:color="auto"/>
            </w:tcBorders>
          </w:tcPr>
          <w:p>
            <w:pPr>
              <w:spacing w:after="0"/>
              <w:rPr>
                <w:sz w:val="24"/>
                <w:szCs w:val="24"/>
                <w:color w:val="auto"/>
              </w:rPr>
            </w:pP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Fiscal Year 2026</w:t>
            </w:r>
          </w:p>
        </w:tc>
      </w:tr>
      <w:tr>
        <w:trPr>
          <w:trHeight w:val="233"/>
        </w:trPr>
        <w:tc>
          <w:tcPr>
            <w:tcW w:w="778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r>
      <w:tr>
        <w:trPr>
          <w:trHeight w:val="482"/>
        </w:trPr>
        <w:tc>
          <w:tcPr>
            <w:tcW w:w="7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FX-Neutral Revenue Less Ancillary Services Growth</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18-24% YoY</w:t>
            </w:r>
          </w:p>
        </w:tc>
      </w:tr>
      <w:tr>
        <w:trPr>
          <w:trHeight w:val="247"/>
        </w:trPr>
        <w:tc>
          <w:tcPr>
            <w:tcW w:w="7780" w:type="dxa"/>
            <w:vAlign w:val="bottom"/>
            <w:tcBorders>
              <w:left w:val="single" w:sz="8" w:color="auto"/>
              <w:bottom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spacing w:after="0"/>
              <w:rPr>
                <w:sz w:val="21"/>
                <w:szCs w:val="21"/>
                <w:color w:val="auto"/>
              </w:rPr>
            </w:pPr>
          </w:p>
        </w:tc>
      </w:tr>
      <w:tr>
        <w:trPr>
          <w:trHeight w:val="478"/>
        </w:trPr>
        <w:tc>
          <w:tcPr>
            <w:tcW w:w="7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Adjusted EBITDA Margin Growth</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+175 to 375 bps YoY</w:t>
            </w:r>
          </w:p>
        </w:tc>
      </w:tr>
      <w:tr>
        <w:trPr>
          <w:trHeight w:val="247"/>
        </w:trPr>
        <w:tc>
          <w:tcPr>
            <w:tcW w:w="7780" w:type="dxa"/>
            <w:vAlign w:val="bottom"/>
            <w:tcBorders>
              <w:left w:val="single" w:sz="8" w:color="auto"/>
              <w:bottom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67" w:lineRule="exact"/>
        <w:rPr>
          <w:sz w:val="20"/>
          <w:szCs w:val="20"/>
          <w:color w:val="auto"/>
        </w:rPr>
      </w:pPr>
    </w:p>
    <w:tbl>
      <w:tblPr>
        <w:tblLayout w:type="fixed"/>
        <w:tblInd w:w="50" w:type="dxa"/>
        <w:tblCellMar>
          <w:top w:w="0" w:type="dxa"/>
          <w:left w:w="0" w:type="dxa"/>
          <w:bottom w:w="0" w:type="dxa"/>
          <w:right w:w="0" w:type="dxa"/>
        </w:tblCellMar>
      </w:tblPr>
      <w:tr>
        <w:trPr>
          <w:trHeight w:val="512"/>
        </w:trPr>
        <w:tc>
          <w:tcPr>
            <w:tcW w:w="7480" w:type="dxa"/>
            <w:vAlign w:val="bottom"/>
            <w:tcBorders>
              <w:top w:val="single" w:sz="8" w:color="auto"/>
              <w:left w:val="single" w:sz="8" w:color="auto"/>
              <w:right w:val="single" w:sz="8" w:color="auto"/>
            </w:tcBorders>
          </w:tcPr>
          <w:p>
            <w:pPr>
              <w:spacing w:after="0"/>
              <w:rPr>
                <w:sz w:val="24"/>
                <w:szCs w:val="24"/>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Second Quarter 2026</w:t>
            </w:r>
          </w:p>
        </w:tc>
      </w:tr>
      <w:tr>
        <w:trPr>
          <w:trHeight w:val="233"/>
        </w:trPr>
        <w:tc>
          <w:tcPr>
            <w:tcW w:w="7480" w:type="dxa"/>
            <w:vAlign w:val="bottom"/>
            <w:tcBorders>
              <w:left w:val="single" w:sz="8" w:color="auto"/>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r>
      <w:tr>
        <w:trPr>
          <w:trHeight w:val="482"/>
        </w:trPr>
        <w:tc>
          <w:tcPr>
            <w:tcW w:w="7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FX-Neutral Revenue Less Ancillary Services Growth</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18-24% YoY</w:t>
            </w:r>
          </w:p>
        </w:tc>
      </w:tr>
      <w:tr>
        <w:trPr>
          <w:trHeight w:val="247"/>
        </w:trPr>
        <w:tc>
          <w:tcPr>
            <w:tcW w:w="7480" w:type="dxa"/>
            <w:vAlign w:val="bottom"/>
            <w:tcBorders>
              <w:left w:val="single" w:sz="8" w:color="auto"/>
              <w:bottom w:val="single" w:sz="8" w:color="auto"/>
              <w:right w:val="single" w:sz="8" w:color="auto"/>
            </w:tcBorders>
          </w:tcPr>
          <w:p>
            <w:pPr>
              <w:spacing w:after="0"/>
              <w:rPr>
                <w:sz w:val="21"/>
                <w:szCs w:val="21"/>
                <w:color w:val="auto"/>
              </w:rPr>
            </w:pPr>
          </w:p>
        </w:tc>
        <w:tc>
          <w:tcPr>
            <w:tcW w:w="3680" w:type="dxa"/>
            <w:vAlign w:val="bottom"/>
            <w:tcBorders>
              <w:bottom w:val="single" w:sz="8" w:color="auto"/>
              <w:right w:val="single" w:sz="8" w:color="auto"/>
            </w:tcBorders>
          </w:tcPr>
          <w:p>
            <w:pPr>
              <w:spacing w:after="0"/>
              <w:rPr>
                <w:sz w:val="21"/>
                <w:szCs w:val="21"/>
                <w:color w:val="auto"/>
              </w:rPr>
            </w:pPr>
          </w:p>
        </w:tc>
      </w:tr>
      <w:tr>
        <w:trPr>
          <w:trHeight w:val="478"/>
        </w:trPr>
        <w:tc>
          <w:tcPr>
            <w:tcW w:w="7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Adjusted EBITDA Margin Growth</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0 to +150 bps YoY</w:t>
            </w:r>
          </w:p>
        </w:tc>
      </w:tr>
      <w:tr>
        <w:trPr>
          <w:trHeight w:val="247"/>
        </w:trPr>
        <w:tc>
          <w:tcPr>
            <w:tcW w:w="7480" w:type="dxa"/>
            <w:vAlign w:val="bottom"/>
            <w:tcBorders>
              <w:left w:val="single" w:sz="8" w:color="auto"/>
              <w:bottom w:val="single" w:sz="8" w:color="auto"/>
              <w:right w:val="single" w:sz="8" w:color="auto"/>
            </w:tcBorders>
          </w:tcPr>
          <w:p>
            <w:pPr>
              <w:spacing w:after="0"/>
              <w:rPr>
                <w:sz w:val="21"/>
                <w:szCs w:val="21"/>
                <w:color w:val="auto"/>
              </w:rPr>
            </w:pPr>
          </w:p>
        </w:tc>
        <w:tc>
          <w:tcPr>
            <w:tcW w:w="3680" w:type="dxa"/>
            <w:vAlign w:val="bottom"/>
            <w:tcBorders>
              <w:bottom w:val="single" w:sz="8" w:color="auto"/>
              <w:right w:val="single" w:sz="8" w:color="auto"/>
            </w:tcBorders>
          </w:tcPr>
          <w:p>
            <w:pPr>
              <w:spacing w:after="0"/>
              <w:rPr>
                <w:sz w:val="21"/>
                <w:szCs w:val="2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701675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7" w:name="page8"/>
    <w:bookmarkEnd w:id="7"/>
    <w:p>
      <w:pPr>
        <w:ind w:right="680"/>
        <w:spacing w:after="0" w:line="295" w:lineRule="auto"/>
        <w:rPr>
          <w:sz w:val="20"/>
          <w:szCs w:val="20"/>
          <w:color w:val="auto"/>
        </w:rPr>
      </w:pPr>
      <w:r>
        <w:rPr>
          <w:rFonts w:ascii="Arial" w:cs="Arial" w:eastAsia="Arial" w:hAnsi="Arial"/>
          <w:sz w:val="18"/>
          <w:szCs w:val="18"/>
          <w:color w:val="auto"/>
        </w:rPr>
        <w:t>These statements are forward-looking, and actual results may differ materially. Refer to the “Safe Harbor Statement” below for information on the factors that could cause Flywire’s actual results to differ materially from these forward-looking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w:t>
      </w:r>
    </w:p>
    <w:p>
      <w:pPr>
        <w:spacing w:after="0" w:line="184"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Company will host a conference call to discuss first quarter financial results today at 5:00 pm ET. Hosting the call will be Mike Massaro, CEO, Rob Orgel, President and COO, and Cosmin Pitigoi, CFO. The conference call can be accessed live via webcast from the Company's investor relations website at https://ir.flywire.com/. A replay will be available on the investor relations website following the call.</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Regarding Share Repurchase Program</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Repurchases under the Company’s share repurchase program (the Repurchase Program) may be made from time to time through open market purchases, in privately negotiated transactions or by other means, including through accelerated share repurchase transactions or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Operating Metrics and Non-GAAP Financial Measures</w:t>
      </w:r>
    </w:p>
    <w:p>
      <w:pPr>
        <w:spacing w:after="0" w:line="184"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583565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8" w:name="page9"/>
    <w:bookmarkEnd w:id="8"/>
    <w:p>
      <w:pPr>
        <w:ind w:right="800"/>
        <w:spacing w:after="0" w:line="295" w:lineRule="auto"/>
        <w:rPr>
          <w:sz w:val="20"/>
          <w:szCs w:val="20"/>
          <w:color w:val="auto"/>
        </w:rPr>
      </w:pPr>
      <w:r>
        <w:rPr>
          <w:rFonts w:ascii="Arial" w:cs="Arial" w:eastAsia="Arial" w:hAnsi="Arial"/>
          <w:sz w:val="18"/>
          <w:szCs w:val="18"/>
          <w:color w:val="auto"/>
        </w:rPr>
        <w:t>comparable to similarly titled measures of other companies. Other companies, including companies in Flywire’s industry, may calculate non-GAAP financial measures differently, limiting the usefulness of those measures for comparative purposes.</w:t>
      </w:r>
    </w:p>
    <w:p>
      <w:pPr>
        <w:spacing w:after="0" w:line="82"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169" w:lineRule="exact"/>
        <w:rPr>
          <w:sz w:val="20"/>
          <w:szCs w:val="20"/>
          <w:color w:val="auto"/>
        </w:rPr>
      </w:pPr>
    </w:p>
    <w:p>
      <w:pPr>
        <w:ind w:left="740" w:right="120" w:hanging="370"/>
        <w:spacing w:after="0" w:line="244" w:lineRule="auto"/>
        <w:tabs>
          <w:tab w:leader="none" w:pos="74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w:t>
      </w:r>
    </w:p>
    <w:p>
      <w:pPr>
        <w:spacing w:after="0" w:line="151" w:lineRule="exact"/>
        <w:rPr>
          <w:rFonts w:ascii="Times New Roman" w:cs="Times New Roman" w:eastAsia="Times New Roman" w:hAnsi="Times New Roman"/>
          <w:sz w:val="19"/>
          <w:szCs w:val="19"/>
          <w:color w:val="auto"/>
        </w:rPr>
      </w:pPr>
    </w:p>
    <w:p>
      <w:pPr>
        <w:ind w:left="740" w:hanging="370"/>
        <w:spacing w:after="0" w:line="239" w:lineRule="auto"/>
        <w:tabs>
          <w:tab w:leader="none" w:pos="74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payment-related services, which are the primary services it provides to its clients.</w:t>
      </w:r>
    </w:p>
    <w:p>
      <w:pPr>
        <w:spacing w:after="0" w:line="155" w:lineRule="exact"/>
        <w:rPr>
          <w:rFonts w:ascii="Times New Roman" w:cs="Times New Roman" w:eastAsia="Times New Roman" w:hAnsi="Times New Roman"/>
          <w:sz w:val="19"/>
          <w:szCs w:val="19"/>
          <w:color w:val="auto"/>
        </w:rPr>
      </w:pPr>
    </w:p>
    <w:p>
      <w:pPr>
        <w:ind w:left="740" w:right="80" w:hanging="370"/>
        <w:spacing w:after="0" w:line="238" w:lineRule="auto"/>
        <w:tabs>
          <w:tab w:leader="none" w:pos="74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Adjusted EBITDA. EBITDA represents our consolidated net income (loss) in accordance with GAAP adjusted to include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Management believes that the exclusion of these amounts to calculate Adjusted EBITDA provides useful measures for period-to-period comparisons of the Company’s business.</w:t>
      </w:r>
    </w:p>
    <w:p>
      <w:pPr>
        <w:spacing w:after="0" w:line="177" w:lineRule="exact"/>
        <w:rPr>
          <w:rFonts w:ascii="Times New Roman" w:cs="Times New Roman" w:eastAsia="Times New Roman" w:hAnsi="Times New Roman"/>
          <w:sz w:val="19"/>
          <w:szCs w:val="19"/>
          <w:color w:val="auto"/>
        </w:rPr>
      </w:pPr>
    </w:p>
    <w:p>
      <w:pPr>
        <w:ind w:left="740" w:right="20" w:hanging="370"/>
        <w:spacing w:after="0" w:line="270" w:lineRule="auto"/>
        <w:tabs>
          <w:tab w:leader="none" w:pos="7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Margin - Adjusted EBITDA Margin represents Adjusted EBITDA divided by Revenue Less Ancillary Services. Management believes this presentation supplements the GAAP presentation of gross margin with a useful measure of the gross margin of the Company’s payment-related services, which are the primary services it provides to its clients.</w:t>
      </w:r>
    </w:p>
    <w:p>
      <w:pPr>
        <w:spacing w:after="0" w:line="152" w:lineRule="exact"/>
        <w:rPr>
          <w:rFonts w:ascii="Times New Roman" w:cs="Times New Roman" w:eastAsia="Times New Roman" w:hAnsi="Times New Roman"/>
          <w:sz w:val="18"/>
          <w:szCs w:val="18"/>
          <w:color w:val="auto"/>
        </w:rPr>
      </w:pPr>
    </w:p>
    <w:p>
      <w:pPr>
        <w:ind w:left="740" w:hanging="370"/>
        <w:spacing w:after="0" w:line="250" w:lineRule="auto"/>
        <w:tabs>
          <w:tab w:leader="none" w:pos="74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FX Neutral Revenue Less Ancillary Services. FX Neutral Revenue Less Ancillary Services represents Revenue Less Ancillary Services adjusted to show presentation on a FX Neutral basis. The FX Neutral information presented is calculated by translating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574675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1" w:right="319" w:bottom="1440" w:gutter="0" w:footer="0" w:header="0"/>
        </w:sectPr>
      </w:pPr>
    </w:p>
    <w:bookmarkStart w:id="9" w:name="page10"/>
    <w:bookmarkEnd w:id="9"/>
    <w:p>
      <w:pPr>
        <w:ind w:left="740" w:right="20"/>
        <w:spacing w:after="0" w:line="250" w:lineRule="auto"/>
        <w:rPr>
          <w:sz w:val="20"/>
          <w:szCs w:val="20"/>
          <w:color w:val="auto"/>
        </w:rPr>
      </w:pPr>
      <w:r>
        <w:rPr>
          <w:rFonts w:ascii="Arial" w:cs="Arial" w:eastAsia="Arial" w:hAnsi="Arial"/>
          <w:sz w:val="19"/>
          <w:szCs w:val="19"/>
          <w:color w:val="auto"/>
        </w:rPr>
        <w:t>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w:t>
      </w:r>
    </w:p>
    <w:p>
      <w:pPr>
        <w:spacing w:after="0" w:line="169" w:lineRule="exact"/>
        <w:rPr>
          <w:sz w:val="20"/>
          <w:szCs w:val="20"/>
          <w:color w:val="auto"/>
        </w:rPr>
      </w:pPr>
    </w:p>
    <w:p>
      <w:pPr>
        <w:ind w:left="740" w:right="100" w:hanging="370"/>
        <w:spacing w:after="0" w:line="242" w:lineRule="auto"/>
        <w:tabs>
          <w:tab w:leader="none" w:pos="740" w:val="left"/>
        </w:tabs>
        <w:numPr>
          <w:ilvl w:val="0"/>
          <w:numId w:val="9"/>
        </w:numPr>
        <w:rPr>
          <w:rFonts w:ascii="Times New Roman" w:cs="Times New Roman" w:eastAsia="Times New Roman" w:hAnsi="Times New Roman"/>
          <w:sz w:val="19"/>
          <w:szCs w:val="19"/>
          <w:color w:val="auto"/>
        </w:rPr>
      </w:pPr>
      <w:r>
        <w:rPr>
          <w:rFonts w:ascii="Arial" w:cs="Arial" w:eastAsia="Arial" w:hAnsi="Arial"/>
          <w:sz w:val="19"/>
          <w:szCs w:val="19"/>
          <w:color w:val="auto"/>
        </w:rPr>
        <w:t>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w:t>
      </w:r>
    </w:p>
    <w:p>
      <w:pPr>
        <w:spacing w:after="0" w:line="142"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Flywire</w:t>
      </w:r>
    </w:p>
    <w:p>
      <w:pPr>
        <w:spacing w:after="0" w:line="184" w:lineRule="exact"/>
        <w:rPr>
          <w:sz w:val="20"/>
          <w:szCs w:val="20"/>
          <w:color w:val="auto"/>
        </w:rPr>
      </w:pPr>
    </w:p>
    <w:p>
      <w:pPr>
        <w:ind w:right="400"/>
        <w:spacing w:after="0" w:line="250" w:lineRule="auto"/>
        <w:rPr>
          <w:sz w:val="20"/>
          <w:szCs w:val="20"/>
          <w:color w:val="auto"/>
        </w:rPr>
      </w:pPr>
      <w:r>
        <w:rPr>
          <w:rFonts w:ascii="Arial" w:cs="Arial" w:eastAsia="Arial" w:hAnsi="Arial"/>
          <w:sz w:val="19"/>
          <w:szCs w:val="19"/>
          <w:color w:val="0A0A0A"/>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45" w:lineRule="exact"/>
        <w:rPr>
          <w:sz w:val="20"/>
          <w:szCs w:val="20"/>
          <w:color w:val="auto"/>
        </w:rPr>
      </w:pPr>
    </w:p>
    <w:p>
      <w:pPr>
        <w:jc w:val="both"/>
        <w:ind w:right="400"/>
        <w:spacing w:after="0" w:line="250" w:lineRule="auto"/>
        <w:rPr>
          <w:sz w:val="20"/>
          <w:szCs w:val="20"/>
          <w:color w:val="auto"/>
        </w:rPr>
      </w:pPr>
      <w:r>
        <w:rPr>
          <w:rFonts w:ascii="Arial" w:cs="Arial" w:eastAsia="Arial" w:hAnsi="Arial"/>
          <w:sz w:val="19"/>
          <w:szCs w:val="19"/>
          <w:color w:val="0A0A0A"/>
        </w:rPr>
        <w:t>Flywire leverages its vertical-specific software and payments technology to deeply embed within the existing A/R workflows for its clients across the education, healthcare, and travel vertical markets, as well as in key B2B industries. Flywire also integrates with leading 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695325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10" w:name="page11"/>
    <w:bookmarkEnd w:id="10"/>
    <w:p>
      <w:pPr>
        <w:ind w:right="300"/>
        <w:spacing w:after="0" w:line="267" w:lineRule="auto"/>
        <w:rPr>
          <w:sz w:val="20"/>
          <w:szCs w:val="20"/>
          <w:color w:val="auto"/>
        </w:rPr>
      </w:pPr>
      <w:r>
        <w:rPr>
          <w:rFonts w:ascii="Arial" w:cs="Arial" w:eastAsia="Arial" w:hAnsi="Arial"/>
          <w:sz w:val="19"/>
          <w:szCs w:val="19"/>
          <w:color w:val="0A0A0A"/>
        </w:rPr>
        <w:t>systems, such as NetSuite, so organizations can optimize the payment experience for their customers while eliminating operational challenges.</w:t>
      </w:r>
    </w:p>
    <w:p>
      <w:pPr>
        <w:spacing w:after="0" w:line="129"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0A0A0A"/>
        </w:rPr>
        <w:t xml:space="preserve">Flywire supports approximately 5,100** clients with diverse payment methods in more than 140 currencies across more than 240 countries and territories around the world. Flywire is headquartered in Boston, MA, USA, with global offices. For more information, visit </w:t>
      </w:r>
      <w:r>
        <w:rPr>
          <w:rFonts w:ascii="Arial" w:cs="Arial" w:eastAsia="Arial" w:hAnsi="Arial"/>
          <w:sz w:val="19"/>
          <w:szCs w:val="19"/>
          <w:color w:val="000000"/>
        </w:rPr>
        <w:t>www.flywire.com</w:t>
      </w:r>
      <w:r>
        <w:rPr>
          <w:rFonts w:ascii="Arial" w:cs="Arial" w:eastAsia="Arial" w:hAnsi="Arial"/>
          <w:sz w:val="19"/>
          <w:szCs w:val="19"/>
          <w:color w:val="0A0A0A"/>
        </w:rPr>
        <w:t>. Follow Flywire on</w:t>
      </w:r>
      <w:r>
        <w:rPr>
          <w:rFonts w:ascii="Arial" w:cs="Arial" w:eastAsia="Arial" w:hAnsi="Arial"/>
          <w:sz w:val="19"/>
          <w:szCs w:val="19"/>
          <w:color w:val="000000"/>
        </w:rPr>
        <w:t xml:space="preserve"> X </w:t>
      </w:r>
      <w:r>
        <w:rPr>
          <w:rFonts w:ascii="Arial" w:cs="Arial" w:eastAsia="Arial" w:hAnsi="Arial"/>
          <w:sz w:val="19"/>
          <w:szCs w:val="19"/>
          <w:color w:val="0A0A0A"/>
        </w:rPr>
        <w:t>(formerly known as Twitter),</w:t>
      </w:r>
      <w:r>
        <w:rPr>
          <w:rFonts w:ascii="Arial" w:cs="Arial" w:eastAsia="Arial" w:hAnsi="Arial"/>
          <w:sz w:val="19"/>
          <w:szCs w:val="19"/>
          <w:color w:val="000000"/>
        </w:rPr>
        <w:t xml:space="preserve"> LinkedIn </w:t>
      </w:r>
      <w:r>
        <w:rPr>
          <w:rFonts w:ascii="Arial" w:cs="Arial" w:eastAsia="Arial" w:hAnsi="Arial"/>
          <w:sz w:val="19"/>
          <w:szCs w:val="19"/>
          <w:color w:val="0A0A0A"/>
        </w:rPr>
        <w:t>and</w:t>
      </w:r>
      <w:r>
        <w:rPr>
          <w:rFonts w:ascii="Arial" w:cs="Arial" w:eastAsia="Arial" w:hAnsi="Arial"/>
          <w:sz w:val="19"/>
          <w:szCs w:val="19"/>
          <w:color w:val="000000"/>
        </w:rPr>
        <w:t xml:space="preserve"> Facebook</w:t>
      </w:r>
      <w:r>
        <w:rPr>
          <w:rFonts w:ascii="Arial" w:cs="Arial" w:eastAsia="Arial" w:hAnsi="Arial"/>
          <w:sz w:val="19"/>
          <w:szCs w:val="19"/>
          <w:color w:val="0A0A0A"/>
        </w:rPr>
        <w: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0A0A0A"/>
        </w:rPr>
        <w:t>**Excludes clients from Flywire’s Sertifi and Invoiced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A0A0A"/>
        </w:rPr>
        <w:t>Safe Harbor Statement</w:t>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9"/>
          <w:szCs w:val="19"/>
          <w:color w:val="0A0A0A"/>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uncertainties associated with the timing and scope of future repurchases by FLYW of its common stock, including the ability to enter into, consummate, or complete the ASR, the purchase price of the shares acquired pursuant to the applicable ASR agreement, and the timing and duration of the ASR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sector; Flywire’s expectations regarding anticipated technology needs and developments and its ability to address those needs and developments with its solutions; Flywire’s expectations regarding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19"/>
          <w:szCs w:val="19"/>
          <w:color w:val="0A0A0A"/>
        </w:rPr>
        <w:t xml:space="preserve">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w:t>
      </w:r>
      <w:r>
        <w:rPr>
          <w:rFonts w:ascii="Arial" w:cs="Arial" w:eastAsia="Arial" w:hAnsi="Arial"/>
          <w:sz w:val="19"/>
          <w:szCs w:val="19"/>
          <w:color w:val="000000"/>
        </w:rPr>
        <w:t>ended December 31, 2025, whi</w:t>
      </w:r>
      <w:r>
        <w:rPr>
          <w:rFonts w:ascii="Arial" w:cs="Arial" w:eastAsia="Arial" w:hAnsi="Arial"/>
          <w:sz w:val="19"/>
          <w:szCs w:val="19"/>
          <w:color w:val="0A0A0A"/>
        </w:rPr>
        <w:t xml:space="preserve">ch is on file with the Securities and Exchange Commission (SEC) and available on the SEC's website at </w:t>
      </w:r>
      <w:r>
        <w:rPr>
          <w:rFonts w:ascii="Arial" w:cs="Arial" w:eastAsia="Arial" w:hAnsi="Arial"/>
          <w:sz w:val="19"/>
          <w:szCs w:val="19"/>
          <w:color w:val="000000"/>
        </w:rPr>
        <w:t>https://www.sec.gov/</w:t>
      </w:r>
      <w:r>
        <w:rPr>
          <w:rFonts w:ascii="Arial" w:cs="Arial" w:eastAsia="Arial" w:hAnsi="Arial"/>
          <w:sz w:val="19"/>
          <w:szCs w:val="19"/>
          <w:color w:val="0A0A0A"/>
        </w:rPr>
        <w:t>. Additional factors may be described in those sections of Flywire’s Quarterly Report on Form 10-Q for the quarter ended March 31, 2026, expected to be filed in the second quarter of 2026.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Relations</w:t>
      </w:r>
      <w:r>
        <w:rPr>
          <w:rFonts w:ascii="Arial" w:cs="Arial" w:eastAsia="Arial" w:hAnsi="Arial"/>
          <w:sz w:val="19"/>
          <w:szCs w:val="19"/>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Masha Kahn</w:t>
      </w:r>
    </w:p>
    <w:p>
      <w:pPr>
        <w:spacing w:after="0"/>
        <w:rPr>
          <w:sz w:val="20"/>
          <w:szCs w:val="20"/>
          <w:color w:val="auto"/>
        </w:rPr>
      </w:pPr>
      <w:r>
        <w:rPr>
          <w:rFonts w:ascii="Arial" w:cs="Arial" w:eastAsia="Arial" w:hAnsi="Arial"/>
          <w:sz w:val="19"/>
          <w:szCs w:val="19"/>
          <w:b w:val="1"/>
          <w:bCs w:val="1"/>
          <w:color w:val="1155CC"/>
        </w:rPr>
        <w:t>ir@Flywire.com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w:t>
      </w:r>
      <w:r>
        <w:rPr>
          <w:rFonts w:ascii="Arial" w:cs="Arial" w:eastAsia="Arial" w:hAnsi="Arial"/>
          <w:sz w:val="19"/>
          <w:szCs w:val="19"/>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Sarah King</w:t>
      </w:r>
    </w:p>
    <w:p>
      <w:pPr>
        <w:spacing w:after="0"/>
        <w:rPr>
          <w:sz w:val="20"/>
          <w:szCs w:val="20"/>
          <w:color w:val="auto"/>
        </w:rPr>
      </w:pPr>
      <w:r>
        <w:rPr>
          <w:rFonts w:ascii="Arial" w:cs="Arial" w:eastAsia="Arial" w:hAnsi="Arial"/>
          <w:sz w:val="19"/>
          <w:szCs w:val="19"/>
          <w:b w:val="1"/>
          <w:bCs w:val="1"/>
          <w:color w:val="1155CC"/>
        </w:rPr>
        <w:t>Media@Flywire.com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708025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(Amounts in thousands, except share and per share amount)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74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69"/>
              <w:spacing w:after="0" w:line="157"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89"/>
              <w:spacing w:after="0" w:line="157"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Revenue</w:t>
            </w: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188,112</w:t>
            </w:r>
          </w:p>
        </w:tc>
        <w:tc>
          <w:tcPr>
            <w:tcW w:w="520" w:type="dxa"/>
            <w:vAlign w:val="bottom"/>
            <w:gridSpan w:val="2"/>
            <w:shd w:val="clear" w:color="auto" w:fill="CFF0FC"/>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133,452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Costs and operating expenses:</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Payment processing services costs</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77,452</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Technology and development</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19,432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16,911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Selling and marketing</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39,953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Restructuring</w:t>
            </w:r>
          </w:p>
        </w:tc>
        <w:tc>
          <w:tcPr>
            <w:tcW w:w="4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Pr>
          <w:p>
            <w:pPr>
              <w:spacing w:after="0" w:line="157" w:lineRule="exact"/>
              <w:rPr>
                <w:sz w:val="20"/>
                <w:szCs w:val="20"/>
                <w:color w:val="auto"/>
              </w:rPr>
            </w:pPr>
            <w:r>
              <w:rPr>
                <w:rFonts w:ascii="Arial" w:cs="Arial" w:eastAsia="Arial" w:hAnsi="Arial"/>
                <w:sz w:val="14"/>
                <w:szCs w:val="14"/>
                <w:color w:val="auto"/>
              </w:rPr>
              <w:t>Total costs and operating expenses</w:t>
            </w: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177,330</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144,440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Income (loss) from operations</w:t>
            </w: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10,782</w:t>
            </w:r>
          </w:p>
        </w:tc>
        <w:tc>
          <w:tcPr>
            <w:tcW w:w="520" w:type="dxa"/>
            <w:vAlign w:val="bottom"/>
            <w:gridSpan w:val="2"/>
            <w:shd w:val="clear" w:color="auto" w:fill="CFF0FC"/>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Borders>
              <w:top w:val="single" w:sz="8" w:color="CFF0FC"/>
            </w:tcBorders>
          </w:tcPr>
          <w:p>
            <w:pPr>
              <w:spacing w:after="0" w:line="157" w:lineRule="exact"/>
              <w:rPr>
                <w:sz w:val="20"/>
                <w:szCs w:val="20"/>
                <w:color w:val="auto"/>
              </w:rPr>
            </w:pPr>
            <w:r>
              <w:rPr>
                <w:rFonts w:ascii="Arial" w:cs="Arial" w:eastAsia="Arial" w:hAnsi="Arial"/>
                <w:sz w:val="14"/>
                <w:szCs w:val="14"/>
                <w:color w:val="auto"/>
              </w:rPr>
              <w:t>Other income (expense):</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Gain from remeasurement of foreign currency</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Gain on available-for-sale debt securities</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other income (expense), net</w:t>
            </w:r>
          </w:p>
        </w:tc>
        <w:tc>
          <w:tcPr>
            <w:tcW w:w="4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3,906</w:t>
            </w:r>
          </w:p>
        </w:tc>
        <w:tc>
          <w:tcPr>
            <w:tcW w:w="1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5,944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Pr>
          <w:p>
            <w:pPr>
              <w:spacing w:after="0" w:line="157" w:lineRule="exact"/>
              <w:rPr>
                <w:sz w:val="20"/>
                <w:szCs w:val="20"/>
                <w:color w:val="auto"/>
              </w:rPr>
            </w:pPr>
            <w:r>
              <w:rPr>
                <w:rFonts w:ascii="Arial" w:cs="Arial" w:eastAsia="Arial" w:hAnsi="Arial"/>
                <w:sz w:val="14"/>
                <w:szCs w:val="14"/>
                <w:color w:val="auto"/>
              </w:rPr>
              <w:t>Income (loss) before income taxes</w:t>
            </w:r>
          </w:p>
        </w:tc>
        <w:tc>
          <w:tcPr>
            <w:tcW w:w="400" w:type="dxa"/>
            <w:vAlign w:val="bottom"/>
          </w:tcPr>
          <w:p>
            <w:pPr>
              <w:spacing w:after="0"/>
              <w:rPr>
                <w:sz w:val="13"/>
                <w:szCs w:val="13"/>
                <w:color w:val="auto"/>
              </w:rPr>
            </w:pP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14,688</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(5,044)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tcPr>
          <w:p>
            <w:pPr>
              <w:spacing w:after="0" w:line="157" w:lineRule="exact"/>
              <w:rPr>
                <w:sz w:val="20"/>
                <w:szCs w:val="20"/>
                <w:color w:val="auto"/>
              </w:rPr>
            </w:pPr>
            <w:r>
              <w:rPr>
                <w:rFonts w:ascii="Arial" w:cs="Arial" w:eastAsia="Arial" w:hAnsi="Arial"/>
                <w:sz w:val="14"/>
                <w:szCs w:val="14"/>
                <w:color w:val="auto"/>
              </w:rPr>
              <w:t>Net income (loss)</w:t>
            </w:r>
          </w:p>
        </w:tc>
        <w:tc>
          <w:tcPr>
            <w:tcW w:w="400" w:type="dxa"/>
            <w:vAlign w:val="bottom"/>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12,518</w:t>
            </w:r>
          </w:p>
        </w:tc>
        <w:tc>
          <w:tcPr>
            <w:tcW w:w="52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Unrealized losses on available-for-sale debt securities, net of taxes</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other comprehensive (loss) income</w:t>
            </w: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(935)</w:t>
            </w:r>
          </w:p>
        </w:tc>
        <w:tc>
          <w:tcPr>
            <w:tcW w:w="520" w:type="dxa"/>
            <w:vAlign w:val="bottom"/>
            <w:gridSpan w:val="2"/>
            <w:shd w:val="clear" w:color="auto" w:fill="CFF0FC"/>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40" w:type="dxa"/>
            <w:vAlign w:val="bottom"/>
          </w:tcPr>
          <w:p>
            <w:pPr>
              <w:spacing w:after="0" w:line="157"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11,583</w:t>
            </w:r>
          </w:p>
        </w:tc>
        <w:tc>
          <w:tcPr>
            <w:tcW w:w="52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54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income (loss) attributable to common stockholders – basic and diluted</w:t>
            </w:r>
          </w:p>
        </w:tc>
        <w:tc>
          <w:tcPr>
            <w:tcW w:w="400" w:type="dxa"/>
            <w:vAlign w:val="bottom"/>
            <w:shd w:val="clear" w:color="auto" w:fill="CFF0FC"/>
          </w:tcPr>
          <w:p>
            <w:pPr>
              <w:jc w:val="right"/>
              <w:ind w:right="249"/>
              <w:spacing w:after="0" w:line="141"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12,518</w:t>
            </w:r>
          </w:p>
        </w:tc>
        <w:tc>
          <w:tcPr>
            <w:tcW w:w="520" w:type="dxa"/>
            <w:vAlign w:val="bottom"/>
            <w:gridSpan w:val="2"/>
            <w:shd w:val="clear" w:color="auto" w:fill="CFF0FC"/>
          </w:tcPr>
          <w:p>
            <w:pPr>
              <w:jc w:val="right"/>
              <w:ind w:right="320"/>
              <w:spacing w:after="0" w:line="141"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Net income (loss) per share attributable to common stockholders – basic</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0.10</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 attributable to common stockholders – diluted</w:t>
            </w:r>
          </w:p>
        </w:tc>
        <w:tc>
          <w:tcPr>
            <w:tcW w:w="400" w:type="dxa"/>
            <w:vAlign w:val="bottom"/>
            <w:shd w:val="clear" w:color="auto" w:fill="CFF0FC"/>
          </w:tcPr>
          <w:p>
            <w:pPr>
              <w:jc w:val="right"/>
              <w:ind w:right="24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122,175,684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123,235,263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127,945,858</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123,235,263</w:t>
            </w:r>
          </w:p>
        </w:tc>
        <w:tc>
          <w:tcPr>
            <w:tcW w:w="0" w:type="dxa"/>
            <w:vAlign w:val="bottom"/>
          </w:tcPr>
          <w:p>
            <w:pPr>
              <w:spacing w:after="0"/>
              <w:rPr>
                <w:sz w:val="1"/>
                <w:szCs w:val="1"/>
                <w:color w:val="auto"/>
              </w:rPr>
            </w:pPr>
          </w:p>
        </w:tc>
      </w:tr>
      <w:tr>
        <w:trPr>
          <w:trHeight w:val="1139"/>
        </w:trPr>
        <w:tc>
          <w:tcPr>
            <w:tcW w:w="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-2920365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-2695575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-2049780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-1831975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-1396365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(Amounts in thousands, except par value per share and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69"/>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2025</w:t>
            </w:r>
          </w:p>
        </w:tc>
      </w:tr>
      <w:tr>
        <w:trPr>
          <w:trHeight w:val="157"/>
        </w:trPr>
        <w:tc>
          <w:tcPr>
            <w:tcW w:w="20" w:type="dxa"/>
            <w:vAlign w:val="bottom"/>
          </w:tcPr>
          <w:p>
            <w:pPr>
              <w:spacing w:after="0"/>
              <w:rPr>
                <w:sz w:val="13"/>
                <w:szCs w:val="13"/>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311,893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330,303</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13,190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24,692</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40,182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34,776</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Unbilled receivables, net</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14,874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20,522</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Funds receivable from payment partners</w:t>
            </w:r>
          </w:p>
        </w:tc>
        <w:tc>
          <w:tcPr>
            <w:tcW w:w="3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92,942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155,455</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39,268</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36,540</w:t>
            </w:r>
          </w:p>
        </w:tc>
      </w:tr>
      <w:tr>
        <w:trPr>
          <w:trHeight w:val="157"/>
        </w:trPr>
        <w:tc>
          <w:tcPr>
            <w:tcW w:w="20" w:type="dxa"/>
            <w:vAlign w:val="bottom"/>
          </w:tcPr>
          <w:p>
            <w:pPr>
              <w:spacing w:after="0"/>
              <w:rPr>
                <w:sz w:val="13"/>
                <w:szCs w:val="13"/>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512,349</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602,288</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24,333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22,125</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net</w:t>
            </w:r>
          </w:p>
        </w:tc>
        <w:tc>
          <w:tcPr>
            <w:tcW w:w="3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183,152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189,050</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406,766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406,507</w:t>
            </w: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35,779</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33,343</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169"/>
              <w:spacing w:after="0" w:line="157" w:lineRule="exact"/>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1,162,379</w:t>
            </w:r>
          </w:p>
        </w:tc>
        <w:tc>
          <w:tcPr>
            <w:tcW w:w="3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57" w:lineRule="exact"/>
              <w:rPr>
                <w:sz w:val="20"/>
                <w:szCs w:val="20"/>
                <w:color w:val="auto"/>
              </w:rPr>
            </w:pPr>
            <w:r>
              <w:rPr>
                <w:rFonts w:ascii="Arial" w:cs="Arial" w:eastAsia="Arial" w:hAnsi="Arial"/>
                <w:sz w:val="14"/>
                <w:szCs w:val="14"/>
                <w:color w:val="auto"/>
              </w:rPr>
              <w:t>1,253,313</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shd w:val="clear" w:color="auto" w:fill="CFF0FC"/>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16,047</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15,298</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Funds payable to clients</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201,379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310,799</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53,432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55,715</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22,669</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19,951</w:t>
            </w:r>
          </w:p>
        </w:tc>
      </w:tr>
      <w:tr>
        <w:trPr>
          <w:trHeight w:val="157"/>
        </w:trPr>
        <w:tc>
          <w:tcPr>
            <w:tcW w:w="20" w:type="dxa"/>
            <w:vAlign w:val="bottom"/>
          </w:tcPr>
          <w:p>
            <w:pPr>
              <w:spacing w:after="0"/>
              <w:rPr>
                <w:sz w:val="13"/>
                <w:szCs w:val="13"/>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current liabilities</w:t>
            </w:r>
          </w:p>
        </w:tc>
        <w:tc>
          <w:tcPr>
            <w:tcW w:w="3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293,527</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401,763</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13,380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12,900</w:t>
            </w: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3,479</w:t>
            </w: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310,151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418,142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-1209675</wp:posOffset>
            </wp:positionV>
            <wp:extent cx="7149465" cy="1314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31445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p>
      <w:pPr>
        <w:spacing w:after="0"/>
        <w:rPr>
          <w:sz w:val="20"/>
          <w:szCs w:val="20"/>
          <w:color w:val="auto"/>
        </w:rPr>
      </w:pPr>
      <w:r>
        <w:rPr>
          <w:rFonts w:ascii="Arial" w:cs="Arial" w:eastAsia="Arial" w:hAnsi="Arial"/>
          <w:sz w:val="14"/>
          <w:szCs w:val="14"/>
          <w:color w:val="auto"/>
        </w:rPr>
        <w:t>Commitments and contingencies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49465" cy="210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10185"/>
                    </a:xfrm>
                    <a:prstGeom prst="rect">
                      <a:avLst/>
                    </a:prstGeom>
                    <a:noFill/>
                  </pic:spPr>
                </pic:pic>
              </a:graphicData>
            </a:graphic>
          </wp:anchor>
        </w:drawing>
      </w:r>
    </w:p>
    <w:p>
      <w:pPr>
        <w:ind w:right="620"/>
        <w:spacing w:after="0" w:line="246" w:lineRule="auto"/>
        <w:rPr>
          <w:sz w:val="20"/>
          <w:szCs w:val="20"/>
          <w:color w:val="auto"/>
        </w:rPr>
      </w:pPr>
      <w:r>
        <w:rPr>
          <w:rFonts w:ascii="Arial" w:cs="Arial" w:eastAsia="Arial" w:hAnsi="Arial"/>
          <w:sz w:val="14"/>
          <w:szCs w:val="14"/>
          <w:color w:val="auto"/>
        </w:rPr>
        <w:t>Preferred stock, $0.0001 par value; 10,000,000 shares authorized, none issued and outstanding as of March 31, 2026 and December 31, 2025</w:t>
      </w:r>
    </w:p>
    <w:p>
      <w:pPr>
        <w:spacing w:after="0" w:line="1" w:lineRule="exact"/>
        <w:rPr>
          <w:sz w:val="20"/>
          <w:szCs w:val="20"/>
          <w:color w:val="auto"/>
        </w:rPr>
      </w:pPr>
    </w:p>
    <w:p>
      <w:pPr>
        <w:jc w:val="both"/>
        <w:ind w:right="1240"/>
        <w:spacing w:after="0" w:line="246" w:lineRule="auto"/>
        <w:rPr>
          <w:sz w:val="20"/>
          <w:szCs w:val="20"/>
          <w:color w:val="auto"/>
        </w:rPr>
      </w:pPr>
      <w:r>
        <w:rPr>
          <w:rFonts w:ascii="Arial" w:cs="Arial" w:eastAsia="Arial" w:hAnsi="Arial"/>
          <w:sz w:val="14"/>
          <w:szCs w:val="14"/>
          <w:color w:val="auto"/>
        </w:rPr>
        <w:t>Voting common stock, $0.0001 par value; 2,000,000,000 shares authorized, 132,560,689 shares issued and 121,451,032 shares outstanding as of March 31, 2026; 130,335,519 shares issued and 120,086,090 shares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49465" cy="210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10185"/>
                    </a:xfrm>
                    <a:prstGeom prst="rect">
                      <a:avLst/>
                    </a:prstGeom>
                    <a:noFill/>
                  </pic:spPr>
                </pic:pic>
              </a:graphicData>
            </a:graphic>
          </wp:anchor>
        </w:drawing>
      </w:r>
    </w:p>
    <w:p>
      <w:pPr>
        <w:ind w:right="1320"/>
        <w:spacing w:after="0" w:line="246" w:lineRule="auto"/>
        <w:rPr>
          <w:sz w:val="20"/>
          <w:szCs w:val="20"/>
          <w:color w:val="auto"/>
        </w:rPr>
      </w:pPr>
      <w:r>
        <w:rPr>
          <w:rFonts w:ascii="Arial" w:cs="Arial" w:eastAsia="Arial" w:hAnsi="Arial"/>
          <w:sz w:val="14"/>
          <w:szCs w:val="14"/>
          <w:color w:val="auto"/>
        </w:rPr>
        <w:t>Non-voting common stock, $0.0001 par value; 10,000,000 shares authorized, 1,873,320 shares issued and outstanding as of March 31, 2026 and December 31, 2025,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Treasury voting common stock, at cost; 11,109,657 and 10,249,429 shares as of March 31, 2026 and December 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49465" cy="105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Additional paid-in capital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Accumulated other comprehensive income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jc w:val="right"/>
              <w:ind w:right="5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4"/>
        </w:trPr>
        <w:tc>
          <w:tcPr>
            <w:tcW w:w="1260" w:type="dxa"/>
            <w:vAlign w:val="bottom"/>
          </w:tcPr>
          <w:p>
            <w:pPr>
              <w:jc w:val="right"/>
              <w:ind w:right="549"/>
              <w:spacing w:after="0"/>
              <w:rPr>
                <w:sz w:val="20"/>
                <w:szCs w:val="20"/>
                <w:color w:val="auto"/>
              </w:rPr>
            </w:pPr>
            <w:r>
              <w:rPr>
                <w:rFonts w:ascii="Arial" w:cs="Arial" w:eastAsia="Arial" w:hAnsi="Arial"/>
                <w:sz w:val="14"/>
                <w:szCs w:val="14"/>
                <w:color w:val="auto"/>
              </w:rPr>
              <w:t>13</w:t>
            </w: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414"/>
        </w:trPr>
        <w:tc>
          <w:tcPr>
            <w:tcW w:w="1260" w:type="dxa"/>
            <w:vAlign w:val="bottom"/>
          </w:tcPr>
          <w:p>
            <w:pPr>
              <w:jc w:val="right"/>
              <w:ind w:right="5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1"/>
        </w:trPr>
        <w:tc>
          <w:tcPr>
            <w:tcW w:w="1260" w:type="dxa"/>
            <w:vAlign w:val="bottom"/>
          </w:tcPr>
          <w:p>
            <w:pPr>
              <w:jc w:val="right"/>
              <w:ind w:right="549"/>
              <w:spacing w:after="0"/>
              <w:rPr>
                <w:sz w:val="20"/>
                <w:szCs w:val="20"/>
                <w:color w:val="auto"/>
              </w:rPr>
            </w:pPr>
            <w:r>
              <w:rPr>
                <w:rFonts w:ascii="Arial" w:cs="Arial" w:eastAsia="Arial" w:hAnsi="Arial"/>
                <w:sz w:val="14"/>
                <w:szCs w:val="14"/>
                <w:color w:val="auto"/>
              </w:rPr>
              <w:t>(128,125)</w:t>
            </w:r>
          </w:p>
        </w:tc>
        <w:tc>
          <w:tcPr>
            <w:tcW w:w="1240" w:type="dxa"/>
            <w:vAlign w:val="bottom"/>
          </w:tcPr>
          <w:p>
            <w:pPr>
              <w:jc w:val="right"/>
              <w:spacing w:after="0"/>
              <w:rPr>
                <w:sz w:val="20"/>
                <w:szCs w:val="20"/>
                <w:color w:val="auto"/>
              </w:rPr>
            </w:pPr>
            <w:r>
              <w:rPr>
                <w:rFonts w:ascii="Arial" w:cs="Arial" w:eastAsia="Arial" w:hAnsi="Arial"/>
                <w:sz w:val="14"/>
                <w:szCs w:val="14"/>
                <w:color w:val="auto"/>
              </w:rPr>
              <w:t>(118,636)</w:t>
            </w:r>
          </w:p>
        </w:tc>
      </w:tr>
      <w:tr>
        <w:trPr>
          <w:trHeight w:val="227"/>
        </w:trPr>
        <w:tc>
          <w:tcPr>
            <w:tcW w:w="1260" w:type="dxa"/>
            <w:vAlign w:val="bottom"/>
          </w:tcPr>
          <w:p>
            <w:pPr>
              <w:jc w:val="right"/>
              <w:ind w:right="549"/>
              <w:spacing w:after="0"/>
              <w:rPr>
                <w:sz w:val="20"/>
                <w:szCs w:val="20"/>
                <w:color w:val="auto"/>
              </w:rPr>
            </w:pPr>
            <w:r>
              <w:rPr>
                <w:rFonts w:ascii="Arial" w:cs="Arial" w:eastAsia="Arial" w:hAnsi="Arial"/>
                <w:sz w:val="14"/>
                <w:szCs w:val="14"/>
                <w:color w:val="auto"/>
                <w:w w:val="99"/>
              </w:rPr>
              <w:t>1,123,642</w:t>
            </w:r>
          </w:p>
        </w:tc>
        <w:tc>
          <w:tcPr>
            <w:tcW w:w="1240" w:type="dxa"/>
            <w:vAlign w:val="bottom"/>
          </w:tcPr>
          <w:p>
            <w:pPr>
              <w:jc w:val="right"/>
              <w:spacing w:after="0"/>
              <w:rPr>
                <w:sz w:val="20"/>
                <w:szCs w:val="20"/>
                <w:color w:val="auto"/>
              </w:rPr>
            </w:pPr>
            <w:r>
              <w:rPr>
                <w:rFonts w:ascii="Arial" w:cs="Arial" w:eastAsia="Arial" w:hAnsi="Arial"/>
                <w:sz w:val="14"/>
                <w:szCs w:val="14"/>
                <w:color w:val="auto"/>
              </w:rPr>
              <w:t>1,108,679</w:t>
            </w:r>
          </w:p>
        </w:tc>
      </w:tr>
      <w:tr>
        <w:trPr>
          <w:trHeight w:val="176"/>
        </w:trPr>
        <w:tc>
          <w:tcPr>
            <w:tcW w:w="1260" w:type="dxa"/>
            <w:vAlign w:val="bottom"/>
          </w:tcPr>
          <w:p>
            <w:pPr>
              <w:jc w:val="right"/>
              <w:ind w:right="549"/>
              <w:spacing w:after="0"/>
              <w:rPr>
                <w:sz w:val="20"/>
                <w:szCs w:val="20"/>
                <w:color w:val="auto"/>
              </w:rPr>
            </w:pPr>
            <w:r>
              <w:rPr>
                <w:rFonts w:ascii="Arial" w:cs="Arial" w:eastAsia="Arial" w:hAnsi="Arial"/>
                <w:sz w:val="14"/>
                <w:szCs w:val="14"/>
                <w:color w:val="auto"/>
              </w:rPr>
              <w:t>1,553</w:t>
            </w:r>
          </w:p>
        </w:tc>
        <w:tc>
          <w:tcPr>
            <w:tcW w:w="1240" w:type="dxa"/>
            <w:vAlign w:val="bottom"/>
          </w:tcPr>
          <w:p>
            <w:pPr>
              <w:jc w:val="right"/>
              <w:spacing w:after="0"/>
              <w:rPr>
                <w:sz w:val="20"/>
                <w:szCs w:val="20"/>
                <w:color w:val="auto"/>
              </w:rPr>
            </w:pPr>
            <w:r>
              <w:rPr>
                <w:rFonts w:ascii="Arial" w:cs="Arial" w:eastAsia="Arial" w:hAnsi="Arial"/>
                <w:sz w:val="14"/>
                <w:szCs w:val="14"/>
                <w:color w:val="auto"/>
              </w:rPr>
              <w:t>2,488</w:t>
            </w:r>
          </w:p>
        </w:tc>
      </w:tr>
    </w:tbl>
    <w:p>
      <w:pPr>
        <w:spacing w:after="0" w:line="7" w:lineRule="exact"/>
        <w:rPr>
          <w:sz w:val="20"/>
          <w:szCs w:val="20"/>
          <w:color w:val="auto"/>
        </w:rPr>
      </w:pPr>
    </w:p>
    <w:p>
      <w:pPr>
        <w:sectPr>
          <w:pgSz w:w="11900" w:h="16838" w:orient="portrait"/>
          <w:cols w:equalWidth="0" w:num="2">
            <w:col w:w="8020" w:space="720"/>
            <w:col w:w="2520"/>
          </w:cols>
          <w:pgMar w:left="320" w:top="974"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Accumulated deficit</w:t>
            </w:r>
          </w:p>
        </w:tc>
        <w:tc>
          <w:tcPr>
            <w:tcW w:w="6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(144,855)</w:t>
            </w: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(157,373)</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Total stockholders’ equity</w:t>
            </w:r>
          </w:p>
        </w:tc>
        <w:tc>
          <w:tcPr>
            <w:tcW w:w="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852,228</w:t>
            </w: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835,171</w:t>
            </w:r>
          </w:p>
        </w:tc>
      </w:tr>
      <w:tr>
        <w:trPr>
          <w:trHeight w:val="197"/>
        </w:trPr>
        <w:tc>
          <w:tcPr>
            <w:tcW w:w="20" w:type="dxa"/>
            <w:vAlign w:val="bottom"/>
          </w:tcPr>
          <w:p>
            <w:pPr>
              <w:spacing w:after="0"/>
              <w:rPr>
                <w:sz w:val="17"/>
                <w:szCs w:val="17"/>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shd w:val="clear" w:color="auto" w:fill="CFF0FC"/>
          </w:tcPr>
          <w:p>
            <w:pPr>
              <w:jc w:val="right"/>
              <w:ind w:right="469"/>
              <w:spacing w:after="0" w:line="157"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1,162,379</w:t>
            </w:r>
          </w:p>
        </w:tc>
        <w:tc>
          <w:tcPr>
            <w:tcW w:w="720" w:type="dxa"/>
            <w:vAlign w:val="bottom"/>
            <w:gridSpan w:val="2"/>
            <w:shd w:val="clear" w:color="auto" w:fill="CFF0FC"/>
          </w:tcPr>
          <w:p>
            <w:pPr>
              <w:jc w:val="right"/>
              <w:ind w:right="520"/>
              <w:spacing w:after="0" w:line="157"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1,253,313</w:t>
            </w:r>
          </w:p>
        </w:tc>
      </w:tr>
      <w:tr>
        <w:trPr>
          <w:trHeight w:val="1304"/>
        </w:trPr>
        <w:tc>
          <w:tcPr>
            <w:tcW w:w="20" w:type="dxa"/>
            <w:vAlign w:val="bottom"/>
            <w:tcBorders>
              <w:bottom w:val="single" w:sz="8" w:color="9A9A9A"/>
            </w:tcBorders>
          </w:tcPr>
          <w:p>
            <w:pPr>
              <w:spacing w:after="0"/>
              <w:rPr>
                <w:sz w:val="24"/>
                <w:szCs w:val="24"/>
                <w:color w:val="auto"/>
              </w:rPr>
            </w:pPr>
          </w:p>
        </w:tc>
        <w:tc>
          <w:tcPr>
            <w:tcW w:w="756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-1102995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-878205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-862965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type w:val="continuous"/>
        </w:sectPr>
      </w:pPr>
    </w:p>
    <w:bookmarkStart w:id="14" w:name="page15"/>
    <w:bookmarkEnd w:id="14"/>
    <w:p>
      <w:pPr>
        <w:jc w:val="center"/>
        <w:ind w:right="15"/>
        <w:spacing w:after="0"/>
        <w:rPr>
          <w:sz w:val="20"/>
          <w:szCs w:val="20"/>
          <w:color w:val="auto"/>
        </w:rPr>
      </w:pPr>
      <w:r>
        <w:rPr>
          <w:rFonts w:ascii="Arial" w:cs="Arial" w:eastAsia="Arial" w:hAnsi="Arial"/>
          <w:sz w:val="16"/>
          <w:szCs w:val="16"/>
          <w:b w:val="1"/>
          <w:bCs w:val="1"/>
          <w:color w:val="auto"/>
        </w:rPr>
        <w:t>Condensed Consolidated Statement of Cash Flows</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(Unaudited) (Amounts in thousands)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2026</w:t>
            </w:r>
          </w:p>
        </w:tc>
        <w:tc>
          <w:tcPr>
            <w:tcW w:w="680" w:type="dxa"/>
            <w:vAlign w:val="bottom"/>
          </w:tcPr>
          <w:p>
            <w:pPr>
              <w:spacing w:after="0"/>
              <w:rPr>
                <w:sz w:val="13"/>
                <w:szCs w:val="13"/>
                <w:color w:val="auto"/>
              </w:rPr>
            </w:pPr>
          </w:p>
        </w:tc>
        <w:tc>
          <w:tcPr>
            <w:tcW w:w="1200" w:type="dxa"/>
            <w:vAlign w:val="bottom"/>
            <w:gridSpan w:val="2"/>
          </w:tcPr>
          <w:p>
            <w:pPr>
              <w:jc w:val="right"/>
              <w:ind w:right="60"/>
              <w:spacing w:after="0" w:line="157" w:lineRule="exact"/>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Cash flows from operating activities:</w:t>
            </w:r>
          </w:p>
        </w:tc>
        <w:tc>
          <w:tcPr>
            <w:tcW w:w="1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Net income (loss)</w:t>
            </w:r>
          </w:p>
        </w:tc>
        <w:tc>
          <w:tcPr>
            <w:tcW w:w="1120" w:type="dxa"/>
            <w:vAlign w:val="bottom"/>
          </w:tcPr>
          <w:p>
            <w:pPr>
              <w:jc w:val="right"/>
              <w:ind w:right="96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12,518</w:t>
            </w:r>
          </w:p>
        </w:tc>
        <w:tc>
          <w:tcPr>
            <w:tcW w:w="120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(4,160)</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Unrealized gain on foreign exchange rates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(4,603)</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(4,712)</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8,016</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5,502</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17,537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18,218</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deferred contract costs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Change in fair value of contingent consideration</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Deferred tax provision</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Change in provision for uncollectible accounts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Non-cash interest income</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Amortization of debt issuance costs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Net accretion of discounts and amortization of premiums on investments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(3,623)</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Unbilled receivables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5,692</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4,221</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Funds receivable from payment partners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63,663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26,452</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Prepaid expenses, other current assets and other assets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(8,577)</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Funds payable to clients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(109,600)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(108,992)</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Accounts payable, accrued expenses and other current liabilities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(3,156)</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(5,135)</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Deferred revenue</w:t>
            </w:r>
          </w:p>
        </w:tc>
        <w:tc>
          <w:tcPr>
            <w:tcW w:w="1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w:t>
            </w: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r>
      <w:tr>
        <w:trPr>
          <w:trHeight w:val="157"/>
        </w:trPr>
        <w:tc>
          <w:tcPr>
            <w:tcW w:w="20" w:type="dxa"/>
            <w:vAlign w:val="bottom"/>
          </w:tcPr>
          <w:p>
            <w:pPr>
              <w:spacing w:after="0"/>
              <w:rPr>
                <w:sz w:val="13"/>
                <w:szCs w:val="13"/>
                <w:color w:val="auto"/>
              </w:rPr>
            </w:pPr>
          </w:p>
        </w:tc>
        <w:tc>
          <w:tcPr>
            <w:tcW w:w="756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Net cash used in operating activities</w:t>
            </w:r>
          </w:p>
        </w:tc>
        <w:tc>
          <w:tcPr>
            <w:tcW w:w="1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(15,848)</w:t>
            </w: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(80,794)</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Acquisitions of businesses, net of cash acquired</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(319,835)</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Purchase of short-term and long-term investments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(14,795)</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the maturity and sale of short-term and long-term investments</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98,712</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Capitalization of internally developed software</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(1,310)</w:t>
            </w: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Net cash provided by (used in) investing activities</w:t>
            </w:r>
          </w:p>
        </w:tc>
        <w:tc>
          <w:tcPr>
            <w:tcW w:w="1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7,708</w:t>
            </w:r>
          </w:p>
        </w:tc>
        <w:tc>
          <w:tcPr>
            <w:tcW w:w="1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(237,415)</w:t>
            </w:r>
          </w:p>
        </w:tc>
      </w:tr>
      <w:tr>
        <w:trPr>
          <w:trHeight w:val="157"/>
        </w:trPr>
        <w:tc>
          <w:tcPr>
            <w:tcW w:w="20" w:type="dxa"/>
            <w:vAlign w:val="bottom"/>
          </w:tcPr>
          <w:p>
            <w:pPr>
              <w:spacing w:after="0"/>
              <w:rPr>
                <w:sz w:val="13"/>
                <w:szCs w:val="13"/>
                <w:color w:val="auto"/>
              </w:rPr>
            </w:pPr>
          </w:p>
        </w:tc>
        <w:tc>
          <w:tcPr>
            <w:tcW w:w="7560" w:type="dxa"/>
            <w:vAlign w:val="bottom"/>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Proceeds from issuance of revolving credit facility</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125,000</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Payment of revolving credit facility</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(65,000)</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Payments of tax withholdings for net settled equity awards</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(1,676)</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Common stock repurchased</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(10,031)</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(49,304)</w:t>
            </w:r>
          </w:p>
        </w:tc>
      </w:tr>
      <w:tr>
        <w:trPr>
          <w:trHeight w:val="166"/>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color w:val="auto"/>
              </w:rPr>
              <w:t>Proceeds from the issuance of stock under Employee Stock Purchase Plan</w:t>
            </w: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1,242</w:t>
            </w:r>
          </w:p>
        </w:tc>
      </w:tr>
      <w:tr>
        <w:trPr>
          <w:trHeight w:val="166"/>
        </w:trPr>
        <w:tc>
          <w:tcPr>
            <w:tcW w:w="20" w:type="dxa"/>
            <w:vAlign w:val="bottom"/>
          </w:tcPr>
          <w:p>
            <w:pPr>
              <w:spacing w:after="0"/>
              <w:rPr>
                <w:sz w:val="14"/>
                <w:szCs w:val="14"/>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1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1,377</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Net cash (used in) provided by financing activities</w:t>
            </w:r>
          </w:p>
        </w:tc>
        <w:tc>
          <w:tcPr>
            <w:tcW w:w="1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(12,560)</w:t>
            </w:r>
          </w:p>
        </w:tc>
        <w:tc>
          <w:tcPr>
            <w:tcW w:w="1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11,639</w:t>
            </w:r>
          </w:p>
        </w:tc>
      </w:tr>
      <w:tr>
        <w:trPr>
          <w:trHeight w:val="157"/>
        </w:trPr>
        <w:tc>
          <w:tcPr>
            <w:tcW w:w="20" w:type="dxa"/>
            <w:vAlign w:val="bottom"/>
          </w:tcPr>
          <w:p>
            <w:pPr>
              <w:spacing w:after="0"/>
              <w:rPr>
                <w:sz w:val="13"/>
                <w:szCs w:val="13"/>
                <w:color w:val="auto"/>
              </w:rPr>
            </w:pPr>
          </w:p>
        </w:tc>
        <w:tc>
          <w:tcPr>
            <w:tcW w:w="756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Effect of exchange rates changes on cash and cash equivalents</w:t>
            </w:r>
          </w:p>
        </w:tc>
        <w:tc>
          <w:tcPr>
            <w:tcW w:w="1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2,290</w:t>
            </w: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1,835</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Net change in cash and cash equivalents</w:t>
            </w:r>
          </w:p>
        </w:tc>
        <w:tc>
          <w:tcPr>
            <w:tcW w:w="1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(18,410)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(304,735)</w:t>
            </w: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330,303</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495,242</w:t>
            </w:r>
          </w:p>
        </w:tc>
      </w:tr>
      <w:tr>
        <w:trPr>
          <w:trHeight w:val="157"/>
        </w:trPr>
        <w:tc>
          <w:tcPr>
            <w:tcW w:w="20" w:type="dxa"/>
            <w:vAlign w:val="bottom"/>
          </w:tcPr>
          <w:p>
            <w:pPr>
              <w:spacing w:after="0"/>
              <w:rPr>
                <w:sz w:val="13"/>
                <w:szCs w:val="13"/>
                <w:color w:val="auto"/>
              </w:rPr>
            </w:pPr>
          </w:p>
        </w:tc>
        <w:tc>
          <w:tcPr>
            <w:tcW w:w="7560" w:type="dxa"/>
            <w:vAlign w:val="bottom"/>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1120" w:type="dxa"/>
            <w:vAlign w:val="bottom"/>
          </w:tcPr>
          <w:p>
            <w:pPr>
              <w:jc w:val="right"/>
              <w:ind w:right="969"/>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311,893</w:t>
            </w:r>
          </w:p>
        </w:tc>
        <w:tc>
          <w:tcPr>
            <w:tcW w:w="1200" w:type="dxa"/>
            <w:vAlign w:val="bottom"/>
            <w:gridSpan w:val="2"/>
          </w:tcPr>
          <w:p>
            <w:pPr>
              <w:jc w:val="right"/>
              <w:ind w:right="1000"/>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190,507</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-2072005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-1433830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-590550</wp:posOffset>
            </wp:positionV>
            <wp:extent cx="9271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71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-352425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-134620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 w:lineRule="exact"/>
        <w:rPr>
          <w:sz w:val="20"/>
          <w:szCs w:val="20"/>
          <w:color w:val="auto"/>
        </w:rPr>
      </w:pPr>
    </w:p>
    <w:p>
      <w:pPr>
        <w:jc w:val="both"/>
        <w:ind w:left="5" w:right="3520" w:hanging="5"/>
        <w:spacing w:after="0" w:line="284" w:lineRule="auto"/>
        <w:tabs>
          <w:tab w:leader="none" w:pos="1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have revised the three months ended March 31, 2025, Condensed Consolidated Statements of Cash Flows to correct classification errors identified and previously disclosed in our Form 10-Q during the nine month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804545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4" w:right="3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(Amounts in millions,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Revenue Less Ancillary Services, Adjusted Gross Profit, and Adjusted Gross Margin</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7"/>
        </w:trPr>
        <w:tc>
          <w:tcPr>
            <w:tcW w:w="75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4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188.1</w:t>
            </w:r>
          </w:p>
        </w:tc>
        <w:tc>
          <w:tcPr>
            <w:tcW w:w="500" w:type="dxa"/>
            <w:vAlign w:val="bottom"/>
            <w:gridSpan w:val="2"/>
            <w:shd w:val="clear" w:color="auto" w:fill="CFF0FC"/>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Adjusted to exclude gross up for:</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Pass-through cost for printing and mailing</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Marketing fees</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gridSpan w:val="2"/>
            <w:shd w:val="clear" w:color="auto" w:fill="CFF0FC"/>
          </w:tcPr>
          <w:p>
            <w:pPr>
              <w:spacing w:after="0" w:line="157" w:lineRule="exact"/>
              <w:rPr>
                <w:sz w:val="20"/>
                <w:szCs w:val="20"/>
                <w:color w:val="auto"/>
              </w:rPr>
            </w:pPr>
            <w:r>
              <w:rPr>
                <w:rFonts w:ascii="Arial" w:cs="Arial" w:eastAsia="Arial" w:hAnsi="Arial"/>
                <w:sz w:val="14"/>
                <w:szCs w:val="14"/>
                <w:color w:val="auto"/>
              </w:rPr>
              <w:t>Revenue Less Ancillary Services</w:t>
            </w: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184.0</w:t>
            </w:r>
          </w:p>
        </w:tc>
        <w:tc>
          <w:tcPr>
            <w:tcW w:w="500" w:type="dxa"/>
            <w:vAlign w:val="bottom"/>
            <w:gridSpan w:val="2"/>
            <w:shd w:val="clear" w:color="auto" w:fill="CFF0FC"/>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tcBorders>
              <w:top w:val="single" w:sz="8" w:color="CFF0FC"/>
            </w:tcBorders>
            <w:gridSpan w:val="2"/>
          </w:tcPr>
          <w:p>
            <w:pPr>
              <w:spacing w:after="0" w:line="141" w:lineRule="exact"/>
              <w:rPr>
                <w:sz w:val="20"/>
                <w:szCs w:val="20"/>
                <w:color w:val="auto"/>
              </w:rPr>
            </w:pPr>
            <w:r>
              <w:rPr>
                <w:rFonts w:ascii="Arial" w:cs="Arial" w:eastAsia="Arial" w:hAnsi="Arial"/>
                <w:sz w:val="14"/>
                <w:szCs w:val="14"/>
                <w:color w:val="auto"/>
              </w:rPr>
              <w:t>Payment processing services costs</w:t>
            </w:r>
          </w:p>
        </w:tc>
        <w:tc>
          <w:tcPr>
            <w:tcW w:w="4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77.5</w:t>
            </w:r>
          </w:p>
        </w:tc>
        <w:tc>
          <w:tcPr>
            <w:tcW w:w="1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Hosting and amortization costs within technology and development expenses</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gridSpan w:val="2"/>
          </w:tcPr>
          <w:p>
            <w:pPr>
              <w:spacing w:after="0" w:line="157" w:lineRule="exact"/>
              <w:rPr>
                <w:sz w:val="20"/>
                <w:szCs w:val="20"/>
                <w:color w:val="auto"/>
              </w:rPr>
            </w:pPr>
            <w:r>
              <w:rPr>
                <w:rFonts w:ascii="Arial" w:cs="Arial" w:eastAsia="Arial" w:hAnsi="Arial"/>
                <w:sz w:val="14"/>
                <w:szCs w:val="14"/>
                <w:color w:val="auto"/>
              </w:rPr>
              <w:t>Cost of Revenue</w:t>
            </w:r>
          </w:p>
        </w:tc>
        <w:tc>
          <w:tcPr>
            <w:tcW w:w="400" w:type="dxa"/>
            <w:vAlign w:val="bottom"/>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81.3</w:t>
            </w:r>
          </w:p>
        </w:tc>
        <w:tc>
          <w:tcPr>
            <w:tcW w:w="5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Adjusted to:</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Exclude printing and mailing costs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Offset marketing fees against related costs</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Exclude depreciation and amortization</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gridSpan w:val="2"/>
            <w:shd w:val="clear" w:color="auto" w:fill="CFF0FC"/>
          </w:tcPr>
          <w:p>
            <w:pPr>
              <w:spacing w:after="0" w:line="157" w:lineRule="exact"/>
              <w:rPr>
                <w:sz w:val="20"/>
                <w:szCs w:val="20"/>
                <w:color w:val="auto"/>
              </w:rPr>
            </w:pPr>
            <w:r>
              <w:rPr>
                <w:rFonts w:ascii="Arial" w:cs="Arial" w:eastAsia="Arial" w:hAnsi="Arial"/>
                <w:sz w:val="14"/>
                <w:szCs w:val="14"/>
                <w:color w:val="auto"/>
              </w:rPr>
              <w:t>Adjusted Cost of Revenue</w:t>
            </w: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73.4</w:t>
            </w:r>
          </w:p>
        </w:tc>
        <w:tc>
          <w:tcPr>
            <w:tcW w:w="500" w:type="dxa"/>
            <w:vAlign w:val="bottom"/>
            <w:gridSpan w:val="2"/>
            <w:shd w:val="clear" w:color="auto" w:fill="CFF0FC"/>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106.8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Gross Margin</w:t>
            </w: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gridSpan w:val="2"/>
          </w:tcPr>
          <w:p>
            <w:pPr>
              <w:spacing w:after="0" w:line="141" w:lineRule="exact"/>
              <w:rPr>
                <w:sz w:val="20"/>
                <w:szCs w:val="20"/>
                <w:color w:val="auto"/>
              </w:rPr>
            </w:pPr>
            <w:r>
              <w:rPr>
                <w:rFonts w:ascii="Arial" w:cs="Arial" w:eastAsia="Arial" w:hAnsi="Arial"/>
                <w:sz w:val="14"/>
                <w:szCs w:val="14"/>
                <w:color w:val="auto"/>
              </w:rPr>
              <w:t>Adjusted Gross Profit</w:t>
            </w:r>
          </w:p>
        </w:tc>
        <w:tc>
          <w:tcPr>
            <w:tcW w:w="400" w:type="dxa"/>
            <w:vAlign w:val="bottom"/>
          </w:tcPr>
          <w:p>
            <w:pPr>
              <w:jc w:val="right"/>
              <w:ind w:right="249"/>
              <w:spacing w:after="0" w:line="141"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41" w:lineRule="exact"/>
              <w:rPr>
                <w:sz w:val="20"/>
                <w:szCs w:val="20"/>
                <w:color w:val="auto"/>
              </w:rPr>
            </w:pPr>
            <w:r>
              <w:rPr>
                <w:rFonts w:ascii="Arial" w:cs="Arial" w:eastAsia="Arial" w:hAnsi="Arial"/>
                <w:sz w:val="14"/>
                <w:szCs w:val="14"/>
                <w:color w:val="auto"/>
              </w:rPr>
              <w:t>110.5</w:t>
            </w:r>
          </w:p>
        </w:tc>
        <w:tc>
          <w:tcPr>
            <w:tcW w:w="50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1" w:lineRule="exact"/>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Adjusted Gross Margin</w:t>
            </w: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-1365885</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-1351280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-1133475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-254635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-239395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-21590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-6985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Less Ancillary Services Disaggregated by Revenue Type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7"/>
          </w:tcPr>
          <w:p>
            <w:pPr>
              <w:jc w:val="right"/>
              <w:ind w:right="589"/>
              <w:spacing w:after="0"/>
              <w:rPr>
                <w:sz w:val="20"/>
                <w:szCs w:val="20"/>
                <w:color w:val="auto"/>
              </w:rPr>
            </w:pPr>
            <w:r>
              <w:rPr>
                <w:rFonts w:ascii="Arial" w:cs="Arial" w:eastAsia="Arial" w:hAnsi="Arial"/>
                <w:sz w:val="14"/>
                <w:szCs w:val="14"/>
                <w:b w:val="1"/>
                <w:bCs w:val="1"/>
                <w:color w:val="auto"/>
              </w:rPr>
              <w:t>Three Months Ended March 31, 2026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7"/>
          </w:tcPr>
          <w:p>
            <w:pPr>
              <w:jc w:val="right"/>
              <w:ind w:right="549"/>
              <w:spacing w:after="0"/>
              <w:rPr>
                <w:sz w:val="20"/>
                <w:szCs w:val="20"/>
                <w:color w:val="auto"/>
              </w:rPr>
            </w:pPr>
            <w:r>
              <w:rPr>
                <w:rFonts w:ascii="Arial" w:cs="Arial" w:eastAsia="Arial" w:hAnsi="Arial"/>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89"/>
              <w:spacing w:after="0" w:line="145" w:lineRule="exact"/>
              <w:rPr>
                <w:sz w:val="20"/>
                <w:szCs w:val="20"/>
                <w:color w:val="auto"/>
              </w:rPr>
            </w:pPr>
            <w:r>
              <w:rPr>
                <w:rFonts w:ascii="Arial" w:cs="Arial" w:eastAsia="Arial" w:hAnsi="Arial"/>
                <w:sz w:val="14"/>
                <w:szCs w:val="14"/>
                <w:b w:val="1"/>
                <w:bCs w:val="1"/>
                <w:color w:val="auto"/>
              </w:rPr>
              <w:t>Platform and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89"/>
              <w:spacing w:after="0" w:line="145" w:lineRule="exact"/>
              <w:rPr>
                <w:sz w:val="20"/>
                <w:szCs w:val="20"/>
                <w:color w:val="auto"/>
              </w:rPr>
            </w:pPr>
            <w:r>
              <w:rPr>
                <w:rFonts w:ascii="Arial" w:cs="Arial" w:eastAsia="Arial" w:hAnsi="Arial"/>
                <w:sz w:val="14"/>
                <w:szCs w:val="14"/>
                <w:b w:val="1"/>
                <w:bCs w:val="1"/>
                <w:color w:val="auto"/>
                <w:w w:val="98"/>
              </w:rPr>
              <w:t>Platform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1120" w:type="dxa"/>
            <w:vAlign w:val="bottom"/>
          </w:tcPr>
          <w:p>
            <w:pPr>
              <w:jc w:val="right"/>
              <w:ind w:right="169"/>
              <w:spacing w:after="0"/>
              <w:rPr>
                <w:sz w:val="20"/>
                <w:szCs w:val="20"/>
                <w:color w:val="auto"/>
              </w:rPr>
            </w:pPr>
            <w:r>
              <w:rPr>
                <w:rFonts w:ascii="Arial" w:cs="Arial" w:eastAsia="Arial" w:hAnsi="Arial"/>
                <w:sz w:val="14"/>
                <w:szCs w:val="14"/>
                <w:b w:val="1"/>
                <w:bCs w:val="1"/>
                <w:color w:val="auto"/>
              </w:rPr>
              <w:t>Transaction</w:t>
            </w: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revenues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revenues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5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155.2</w:t>
            </w:r>
          </w:p>
        </w:tc>
        <w:tc>
          <w:tcPr>
            <w:tcW w:w="2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32.9</w:t>
            </w:r>
          </w:p>
        </w:tc>
        <w:tc>
          <w:tcPr>
            <w:tcW w:w="300" w:type="dxa"/>
            <w:vAlign w:val="bottom"/>
            <w:gridSpan w:val="2"/>
            <w:shd w:val="clear" w:color="auto" w:fill="CFF0FC"/>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188.1</w:t>
            </w:r>
          </w:p>
        </w:tc>
        <w:tc>
          <w:tcPr>
            <w:tcW w:w="26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108.5</w:t>
            </w:r>
          </w:p>
        </w:tc>
        <w:tc>
          <w:tcPr>
            <w:tcW w:w="2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25.0</w:t>
            </w:r>
          </w:p>
        </w:tc>
        <w:tc>
          <w:tcPr>
            <w:tcW w:w="26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Adjusted to exclude gross up for:</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Pass-through cost for printing and mailing</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Marketing fees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2"/>
            <w:shd w:val="clear" w:color="auto" w:fill="CFF0FC"/>
          </w:tcPr>
          <w:p>
            <w:pPr>
              <w:spacing w:after="0" w:line="157" w:lineRule="exact"/>
              <w:rPr>
                <w:sz w:val="20"/>
                <w:szCs w:val="20"/>
                <w:color w:val="auto"/>
              </w:rPr>
            </w:pPr>
            <w:r>
              <w:rPr>
                <w:rFonts w:ascii="Arial" w:cs="Arial" w:eastAsia="Arial" w:hAnsi="Arial"/>
                <w:sz w:val="14"/>
                <w:szCs w:val="14"/>
                <w:color w:val="auto"/>
              </w:rPr>
              <w:t>Revenue Less Ancillary Services</w:t>
            </w:r>
          </w:p>
        </w:tc>
        <w:tc>
          <w:tcPr>
            <w:tcW w:w="1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155.1</w:t>
            </w:r>
          </w:p>
        </w:tc>
        <w:tc>
          <w:tcPr>
            <w:tcW w:w="2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28.8</w:t>
            </w:r>
          </w:p>
        </w:tc>
        <w:tc>
          <w:tcPr>
            <w:tcW w:w="300" w:type="dxa"/>
            <w:vAlign w:val="bottom"/>
            <w:gridSpan w:val="2"/>
            <w:shd w:val="clear" w:color="auto" w:fill="CFF0FC"/>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184.0</w:t>
            </w:r>
          </w:p>
        </w:tc>
        <w:tc>
          <w:tcPr>
            <w:tcW w:w="26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108.2</w:t>
            </w:r>
          </w:p>
        </w:tc>
        <w:tc>
          <w:tcPr>
            <w:tcW w:w="2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20.6</w:t>
            </w:r>
          </w:p>
        </w:tc>
        <w:tc>
          <w:tcPr>
            <w:tcW w:w="26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tcBorders>
              <w:top w:val="single" w:sz="8" w:color="CFF0FC"/>
            </w:tcBorders>
            <w:gridSpan w:val="2"/>
          </w:tcPr>
          <w:p>
            <w:pPr>
              <w:spacing w:after="0" w:line="141" w:lineRule="exact"/>
              <w:rPr>
                <w:sz w:val="20"/>
                <w:szCs w:val="20"/>
                <w:color w:val="auto"/>
              </w:rPr>
            </w:pPr>
            <w:r>
              <w:rPr>
                <w:rFonts w:ascii="Arial" w:cs="Arial" w:eastAsia="Arial" w:hAnsi="Arial"/>
                <w:sz w:val="14"/>
                <w:szCs w:val="14"/>
                <w:color w:val="auto"/>
              </w:rPr>
              <w:t>Percentage of Revenue</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82.5%</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17.5%</w:t>
            </w: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81.3%</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18.7%</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Percentage of Revenue Less Ancillary Services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-232410</wp:posOffset>
            </wp:positionV>
            <wp:extent cx="7493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-217170</wp:posOffset>
            </wp:positionV>
            <wp:extent cx="749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-232410</wp:posOffset>
            </wp:positionV>
            <wp:extent cx="749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-217170</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-232410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-217170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-232410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-217170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-232410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-217170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FX Neutral Revenue Less Ancillary Services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569"/>
              <w:spacing w:after="0"/>
              <w:rPr>
                <w:sz w:val="20"/>
                <w:szCs w:val="20"/>
                <w:color w:val="auto"/>
              </w:rPr>
            </w:pPr>
            <w:r>
              <w:rPr>
                <w:rFonts w:ascii="Arial" w:cs="Arial" w:eastAsia="Arial" w:hAnsi="Arial"/>
                <w:sz w:val="14"/>
                <w:szCs w:val="14"/>
                <w:b w:val="1"/>
                <w:bCs w:val="1"/>
                <w:color w:val="auto"/>
              </w:rPr>
              <w:t>Growth</w:t>
            </w:r>
          </w:p>
        </w:tc>
      </w:tr>
      <w:tr>
        <w:trPr>
          <w:trHeight w:val="157"/>
        </w:trPr>
        <w:tc>
          <w:tcPr>
            <w:tcW w:w="55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3"/>
                <w:szCs w:val="13"/>
                <w:color w:val="auto"/>
              </w:rPr>
            </w:pPr>
          </w:p>
        </w:tc>
        <w:tc>
          <w:tcPr>
            <w:tcW w:w="126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auto"/>
              </w:rPr>
              <w:t>2026</w:t>
            </w:r>
          </w:p>
        </w:tc>
        <w:tc>
          <w:tcPr>
            <w:tcW w:w="560" w:type="dxa"/>
            <w:vAlign w:val="bottom"/>
          </w:tcPr>
          <w:p>
            <w:pPr>
              <w:spacing w:after="0"/>
              <w:rPr>
                <w:sz w:val="13"/>
                <w:szCs w:val="13"/>
                <w:color w:val="auto"/>
              </w:rPr>
            </w:pPr>
          </w:p>
        </w:tc>
        <w:tc>
          <w:tcPr>
            <w:tcW w:w="1360" w:type="dxa"/>
            <w:vAlign w:val="bottom"/>
            <w:gridSpan w:val="2"/>
          </w:tcPr>
          <w:p>
            <w:pPr>
              <w:jc w:val="right"/>
              <w:ind w:right="109"/>
              <w:spacing w:after="0" w:line="157" w:lineRule="exact"/>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Rate</w:t>
            </w:r>
          </w:p>
        </w:tc>
      </w:tr>
      <w:tr>
        <w:trPr>
          <w:trHeight w:val="157"/>
        </w:trPr>
        <w:tc>
          <w:tcPr>
            <w:tcW w:w="20" w:type="dxa"/>
            <w:vAlign w:val="bottom"/>
          </w:tcPr>
          <w:p>
            <w:pPr>
              <w:spacing w:after="0"/>
              <w:rPr>
                <w:sz w:val="13"/>
                <w:szCs w:val="13"/>
                <w:color w:val="auto"/>
              </w:rPr>
            </w:pPr>
          </w:p>
        </w:tc>
        <w:tc>
          <w:tcPr>
            <w:tcW w:w="5500" w:type="dxa"/>
            <w:vAlign w:val="bottom"/>
            <w:tcBorders>
              <w:top w:val="single" w:sz="8" w:color="auto"/>
            </w:tcBorders>
            <w:shd w:val="clear" w:color="auto" w:fill="CFF0FC"/>
          </w:tcPr>
          <w:p>
            <w:pPr>
              <w:spacing w:after="0" w:line="157"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ind w:right="1109"/>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188.1</w:t>
            </w:r>
          </w:p>
        </w:tc>
        <w:tc>
          <w:tcPr>
            <w:tcW w:w="12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ind w:right="1089"/>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133.5</w:t>
            </w:r>
          </w:p>
        </w:tc>
        <w:tc>
          <w:tcPr>
            <w:tcW w:w="120" w:type="dxa"/>
            <w:vAlign w:val="bottom"/>
            <w:shd w:val="clear" w:color="auto" w:fill="CFF0FC"/>
          </w:tcPr>
          <w:p>
            <w:pPr>
              <w:spacing w:after="0"/>
              <w:rPr>
                <w:sz w:val="13"/>
                <w:szCs w:val="13"/>
                <w:color w:val="auto"/>
              </w:rPr>
            </w:pPr>
          </w:p>
        </w:tc>
        <w:tc>
          <w:tcPr>
            <w:tcW w:w="17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41%</w:t>
            </w:r>
          </w:p>
        </w:tc>
      </w:tr>
      <w:tr>
        <w:trPr>
          <w:trHeight w:val="166"/>
        </w:trPr>
        <w:tc>
          <w:tcPr>
            <w:tcW w:w="2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Ancillary services</w:t>
            </w: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5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Revenue Less Ancillary Services</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184.0</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128.7</w:t>
            </w:r>
          </w:p>
        </w:tc>
        <w:tc>
          <w:tcPr>
            <w:tcW w:w="1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43%</w:t>
            </w:r>
          </w:p>
        </w:tc>
      </w:tr>
      <w:tr>
        <w:trPr>
          <w:trHeight w:val="166"/>
        </w:trPr>
        <w:tc>
          <w:tcPr>
            <w:tcW w:w="2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Effects of foreign currency rate fluctuations</w:t>
            </w: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FX Neutral Revenue Less Ancillary Services</w:t>
            </w:r>
          </w:p>
        </w:tc>
        <w:tc>
          <w:tcPr>
            <w:tcW w:w="1380" w:type="dxa"/>
            <w:vAlign w:val="bottom"/>
            <w:gridSpan w:val="2"/>
            <w:shd w:val="clear" w:color="auto" w:fill="CFF0FC"/>
          </w:tcPr>
          <w:p>
            <w:pPr>
              <w:jc w:val="right"/>
              <w:ind w:right="1109"/>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176.6</w:t>
            </w:r>
          </w:p>
        </w:tc>
        <w:tc>
          <w:tcPr>
            <w:tcW w:w="1360" w:type="dxa"/>
            <w:vAlign w:val="bottom"/>
            <w:gridSpan w:val="2"/>
            <w:shd w:val="clear" w:color="auto" w:fill="CFF0FC"/>
          </w:tcPr>
          <w:p>
            <w:pPr>
              <w:jc w:val="right"/>
              <w:ind w:right="1089"/>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128.7</w:t>
            </w:r>
          </w:p>
        </w:tc>
        <w:tc>
          <w:tcPr>
            <w:tcW w:w="1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37%</w:t>
            </w:r>
          </w:p>
        </w:tc>
      </w:tr>
      <w:tr>
        <w:trPr>
          <w:trHeight w:val="1114"/>
        </w:trPr>
        <w:tc>
          <w:tcPr>
            <w:tcW w:w="20" w:type="dxa"/>
            <w:vAlign w:val="bottom"/>
            <w:tcBorders>
              <w:bottom w:val="single" w:sz="8" w:color="9A9A9A"/>
            </w:tcBorders>
          </w:tcPr>
          <w:p>
            <w:pPr>
              <w:spacing w:after="0"/>
              <w:rPr>
                <w:sz w:val="24"/>
                <w:szCs w:val="24"/>
                <w:color w:val="auto"/>
              </w:rPr>
            </w:pPr>
          </w:p>
        </w:tc>
        <w:tc>
          <w:tcPr>
            <w:tcW w:w="55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76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-757555</wp:posOffset>
            </wp:positionV>
            <wp:extent cx="7493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-742950</wp:posOffset>
            </wp:positionV>
            <wp:extent cx="7493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-757555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-742950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Reconciliation of Non-GAAP 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7"/>
        </w:trPr>
        <w:tc>
          <w:tcPr>
            <w:tcW w:w="75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4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GAAP Technology and development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19.4</w:t>
            </w:r>
          </w:p>
        </w:tc>
        <w:tc>
          <w:tcPr>
            <w:tcW w:w="500" w:type="dxa"/>
            <w:vAlign w:val="bottom"/>
            <w:gridSpan w:val="2"/>
            <w:shd w:val="clear" w:color="auto" w:fill="CFF0FC"/>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 Stock-based compensation expense and related taxes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Depreciation and amortization</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7"/>
        </w:trPr>
        <w:tc>
          <w:tcPr>
            <w:tcW w:w="7580" w:type="dxa"/>
            <w:vAlign w:val="bottom"/>
            <w:gridSpan w:val="3"/>
          </w:tcPr>
          <w:p>
            <w:pPr>
              <w:spacing w:after="0" w:line="157" w:lineRule="exact"/>
              <w:rPr>
                <w:sz w:val="20"/>
                <w:szCs w:val="20"/>
                <w:color w:val="auto"/>
              </w:rPr>
            </w:pPr>
            <w:r>
              <w:rPr>
                <w:rFonts w:ascii="Arial" w:cs="Arial" w:eastAsia="Arial" w:hAnsi="Arial"/>
                <w:sz w:val="14"/>
                <w:szCs w:val="14"/>
                <w:color w:val="auto"/>
              </w:rPr>
              <w:t>Non-GAAP Technology and development</w:t>
            </w:r>
          </w:p>
        </w:tc>
        <w:tc>
          <w:tcPr>
            <w:tcW w:w="4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3"/>
                <w:szCs w:val="13"/>
                <w:color w:val="auto"/>
              </w:rPr>
            </w:pPr>
          </w:p>
        </w:tc>
        <w:tc>
          <w:tcPr>
            <w:tcW w:w="38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restart"/>
          </w:tcPr>
          <w:p>
            <w:pPr>
              <w:spacing w:after="0"/>
              <w:rPr>
                <w:sz w:val="12"/>
                <w:szCs w:val="12"/>
                <w:color w:val="auto"/>
              </w:rPr>
            </w:pPr>
          </w:p>
        </w:tc>
        <w:tc>
          <w:tcPr>
            <w:tcW w:w="7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GAAP Selling and marketing</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40.5</w:t>
            </w:r>
          </w:p>
        </w:tc>
        <w:tc>
          <w:tcPr>
            <w:tcW w:w="50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Stock-based compensation expense and related taxes</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 Depreciation and amortization</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bottom w:val="single" w:sz="8" w:color="CFF0FC"/>
            </w:tcBorders>
            <w:gridSpan w:val="2"/>
            <w:shd w:val="clear" w:color="auto" w:fill="CFF0FC"/>
          </w:tcPr>
          <w:p>
            <w:pPr>
              <w:spacing w:after="0" w:line="157" w:lineRule="exact"/>
              <w:rPr>
                <w:sz w:val="20"/>
                <w:szCs w:val="20"/>
                <w:color w:val="auto"/>
              </w:rPr>
            </w:pPr>
            <w:r>
              <w:rPr>
                <w:rFonts w:ascii="Arial" w:cs="Arial" w:eastAsia="Arial" w:hAnsi="Arial"/>
                <w:sz w:val="14"/>
                <w:szCs w:val="14"/>
                <w:color w:val="auto"/>
              </w:rPr>
              <w:t>Non-GAAP Selling and marketing</w:t>
            </w:r>
          </w:p>
        </w:tc>
        <w:tc>
          <w:tcPr>
            <w:tcW w:w="400" w:type="dxa"/>
            <w:vAlign w:val="bottom"/>
            <w:tcBorders>
              <w:bottom w:val="single" w:sz="8" w:color="auto"/>
            </w:tcBorders>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30.1</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GAAP General and administrative</w:t>
            </w:r>
          </w:p>
        </w:tc>
        <w:tc>
          <w:tcPr>
            <w:tcW w:w="400" w:type="dxa"/>
            <w:vAlign w:val="bottom"/>
            <w:shd w:val="clear" w:color="auto" w:fill="CFF0FC"/>
          </w:tcPr>
          <w:p>
            <w:pPr>
              <w:jc w:val="right"/>
              <w:ind w:right="24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50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 Stock-based compensation expense and related taxes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Depreciation and amortization</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 Acquisition related transaction costs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Change in fair value of contingent consideration</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7"/>
        </w:trPr>
        <w:tc>
          <w:tcPr>
            <w:tcW w:w="7580" w:type="dxa"/>
            <w:vAlign w:val="bottom"/>
            <w:gridSpan w:val="3"/>
          </w:tcPr>
          <w:p>
            <w:pPr>
              <w:spacing w:after="0" w:line="157" w:lineRule="exact"/>
              <w:rPr>
                <w:sz w:val="20"/>
                <w:szCs w:val="20"/>
                <w:color w:val="auto"/>
              </w:rPr>
            </w:pPr>
            <w:r>
              <w:rPr>
                <w:rFonts w:ascii="Arial" w:cs="Arial" w:eastAsia="Arial" w:hAnsi="Arial"/>
                <w:sz w:val="14"/>
                <w:szCs w:val="14"/>
                <w:color w:val="auto"/>
              </w:rPr>
              <w:t>Non-GAAP General and administrative</w:t>
            </w:r>
          </w:p>
        </w:tc>
        <w:tc>
          <w:tcPr>
            <w:tcW w:w="4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28.3</w:t>
            </w:r>
          </w:p>
        </w:tc>
        <w:tc>
          <w:tcPr>
            <w:tcW w:w="120" w:type="dxa"/>
            <w:vAlign w:val="bottom"/>
          </w:tcPr>
          <w:p>
            <w:pPr>
              <w:spacing w:after="0"/>
              <w:rPr>
                <w:sz w:val="13"/>
                <w:szCs w:val="13"/>
                <w:color w:val="auto"/>
              </w:rPr>
            </w:pPr>
          </w:p>
        </w:tc>
        <w:tc>
          <w:tcPr>
            <w:tcW w:w="38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-788035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-772795</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-900430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EBITDA Margin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7"/>
        </w:trPr>
        <w:tc>
          <w:tcPr>
            <w:tcW w:w="75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669"/>
              <w:spacing w:after="0" w:line="157"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4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12.5</w:t>
            </w:r>
          </w:p>
        </w:tc>
        <w:tc>
          <w:tcPr>
            <w:tcW w:w="500" w:type="dxa"/>
            <w:vAlign w:val="bottom"/>
            <w:gridSpan w:val="2"/>
            <w:shd w:val="clear" w:color="auto" w:fill="CFF0FC"/>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gridSpan w:val="2"/>
          </w:tcPr>
          <w:p>
            <w:pPr>
              <w:spacing w:after="0" w:line="157" w:lineRule="exact"/>
              <w:rPr>
                <w:sz w:val="20"/>
                <w:szCs w:val="20"/>
                <w:color w:val="auto"/>
              </w:rPr>
            </w:pPr>
            <w:r>
              <w:rPr>
                <w:rFonts w:ascii="Arial" w:cs="Arial" w:eastAsia="Arial" w:hAnsi="Arial"/>
                <w:sz w:val="14"/>
                <w:szCs w:val="14"/>
                <w:color w:val="auto"/>
              </w:rPr>
              <w:t>EBITDA</w:t>
            </w:r>
          </w:p>
        </w:tc>
        <w:tc>
          <w:tcPr>
            <w:tcW w:w="40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22.7</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 and related taxes</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Change in fair value of contingent consideration</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Gain from remeasurement of foreign currency</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Gain on available-for-sale debt securities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Indirect taxes related to intercompany activity</w:t>
            </w: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Acquisition-related transaction costs</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w:t>
            </w: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57"/>
        </w:trPr>
        <w:tc>
          <w:tcPr>
            <w:tcW w:w="7580" w:type="dxa"/>
            <w:vAlign w:val="bottom"/>
            <w:gridSpan w:val="3"/>
          </w:tcPr>
          <w:p>
            <w:pPr>
              <w:spacing w:after="0" w:line="157" w:lineRule="exact"/>
              <w:rPr>
                <w:sz w:val="20"/>
                <w:szCs w:val="20"/>
                <w:color w:val="auto"/>
              </w:rPr>
            </w:pPr>
            <w:r>
              <w:rPr>
                <w:rFonts w:ascii="Arial" w:cs="Arial" w:eastAsia="Arial" w:hAnsi="Arial"/>
                <w:sz w:val="14"/>
                <w:szCs w:val="14"/>
                <w:color w:val="auto"/>
              </w:rPr>
              <w:t>Adjusted EBITDA</w:t>
            </w:r>
          </w:p>
        </w:tc>
        <w:tc>
          <w:tcPr>
            <w:tcW w:w="4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3"/>
                <w:szCs w:val="13"/>
                <w:color w:val="auto"/>
              </w:rPr>
            </w:pPr>
          </w:p>
        </w:tc>
        <w:tc>
          <w:tcPr>
            <w:tcW w:w="38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Adjusted EBITDA margin</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21.4%</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139"/>
        </w:trPr>
        <w:tc>
          <w:tcPr>
            <w:tcW w:w="2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-1824355</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2026-05-05T15:16:23Z</dcterms:created>
  <dcterms:modified xsi:type="dcterms:W3CDTF">2026-05-05T15:16:23Z</dcterms:modified>
</cp:coreProperties>
</file>