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Flywire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Voting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302492103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302492103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Cadian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11,310,589.00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11,310,589.00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11,310,589.00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302492103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Cadian Capital Management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11,310,589.00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11,310,589.00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11,310,589.00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 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302492103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ERIC BANNASCH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11,310,589.00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11,310,589.00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11,310,589.00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Flywire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419"/>
        <w:spacing w:after="0"/>
        <w:rPr>
          <w:sz w:val="20"/>
          <w:szCs w:val="20"/>
          <w:color w:val="auto"/>
        </w:rPr>
      </w:pPr>
      <w:r>
        <w:rPr>
          <w:rFonts w:ascii="Times New Roman" w:cs="Times New Roman" w:eastAsia="Times New Roman" w:hAnsi="Times New Roman"/>
          <w:sz w:val="22"/>
          <w:szCs w:val="22"/>
          <w:color w:val="auto"/>
        </w:rPr>
        <w:t>141 Tremont Street #10, Boston, Massachusetts, 02111</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140" w:firstLine="6"/>
        <w:spacing w:after="0" w:line="256" w:lineRule="auto"/>
        <w:tabs>
          <w:tab w:leader="none" w:pos="25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Cadian Capital Management, LP, (ii) Cadian Capital Management GP, LLC, and (iii) Eric Bannasch (collectively, the "Reporting Persons")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each of the Reporting Persons: 535 Madison Avenue, 36th Floor, New York, New York 10022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120" w:firstLine="6"/>
        <w:spacing w:after="0" w:line="256" w:lineRule="auto"/>
        <w:tabs>
          <w:tab w:leader="none" w:pos="25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Cadian Capital Management, LP is a Delaware limited partnership, (ii) Cadian Capital Management GP, LLC is a Delaware limited liability company, and (iii) Eric Bannasch is a United States citizen.</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Voting 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302492103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00"/>
          </w:cols>
          <w:pgMar w:left="360" w:top="112" w:right="419" w:bottom="0" w:gutter="0" w:footer="0" w:header="0"/>
        </w:sectPr>
      </w:pPr>
    </w:p>
    <w:p>
      <w:pPr>
        <w:spacing w:after="0" w:line="33" w:lineRule="exact"/>
        <w:rPr>
          <w:sz w:val="20"/>
          <w:szCs w:val="20"/>
          <w:color w:val="auto"/>
        </w:rPr>
      </w:pPr>
    </w:p>
    <w:p>
      <w:pPr>
        <w:ind w:left="920" w:right="500"/>
        <w:spacing w:after="0" w:line="253" w:lineRule="auto"/>
        <w:rPr>
          <w:sz w:val="20"/>
          <w:szCs w:val="20"/>
          <w:color w:val="auto"/>
        </w:rPr>
      </w:pPr>
      <w:r>
        <w:rPr>
          <w:rFonts w:ascii="Times New Roman" w:cs="Times New Roman" w:eastAsia="Times New Roman" w:hAnsi="Times New Roman"/>
          <w:sz w:val="21"/>
          <w:szCs w:val="21"/>
          <w:color w:val="auto"/>
        </w:rPr>
        <w:t>As of September 30, 2025, each of the Reporting Persons may have been deemed to have beneficially owned 11,310,589 shares of Voting Common Stock, par value $0.0001 per share ("Voting Common Stock"), of Flywire</w:t>
      </w:r>
    </w:p>
    <w:p>
      <w:pPr>
        <w:spacing w:after="0" w:line="1" w:lineRule="exact"/>
        <w:rPr>
          <w:sz w:val="20"/>
          <w:szCs w:val="20"/>
          <w:color w:val="auto"/>
        </w:rPr>
      </w:pPr>
    </w:p>
    <w:p>
      <w:pPr>
        <w:ind w:left="920" w:right="60" w:hanging="912"/>
        <w:spacing w:after="0" w:line="201"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Corporation (the "Issuer"). All securities reported in this Schedule 13G were directly held by Cadian Master Fund L.P. and Cadian Opportunities Master Fund LP (collectively, the "Advisory Clients"), advisory clients of Cadian Capital Management, LP (the "Adviser"). Pursuant to Investment Management Agreements between the Advisory Clients and the Adviser, the Adviser exercises exclusive voting and investment power over securities directly held by the Advisory Clients. Cadian Capital Management GP, LLC is the general partner of the Adviser. Eric Bannasch is the sole managing member of Cadian Capital Management GP, LLC.</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right="20" w:hanging="912"/>
        <w:spacing w:after="0" w:line="193"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As of September 30, 2025, each of the Reporting Persons may have been deemed to have beneficially owned approximately 9.4% of the shares of Voting Common Stock of the Issuer outstanding, based on 120,238,939 shares of Voting Common Stock outstanding as of September 30, 2025, as disclosed in the Issuer's Form 10-Q filed with the Securities and Exchange Commission on November 10, 2025. %</w:t>
      </w:r>
    </w:p>
    <w:p>
      <w:pPr>
        <w:spacing w:after="0" w:line="18"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22"/>
          <w:szCs w:val="22"/>
          <w:color w:val="auto"/>
        </w:rPr>
        <w:t>As of September 30, 2025, each of the Reporting Persons may have been deemed to have had sole power to vote or to direct the vote of 0 shares of Voting Common Stock.</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20"/>
        <w:spacing w:after="0" w:line="258" w:lineRule="auto"/>
        <w:rPr>
          <w:sz w:val="20"/>
          <w:szCs w:val="20"/>
          <w:color w:val="auto"/>
        </w:rPr>
      </w:pPr>
      <w:r>
        <w:rPr>
          <w:rFonts w:ascii="Times New Roman" w:cs="Times New Roman" w:eastAsia="Times New Roman" w:hAnsi="Times New Roman"/>
          <w:sz w:val="22"/>
          <w:szCs w:val="22"/>
          <w:color w:val="auto"/>
        </w:rPr>
        <w:t>As of September 30, 2025, each of the Reporting Persons may have been deemed to have had shared power to vote or to direct the vote of 11,310,589 shares of Voting Common Stock.</w:t>
      </w:r>
    </w:p>
    <w:p>
      <w:pPr>
        <w:sectPr>
          <w:pgSz w:w="11900" w:h="16838" w:orient="portrait"/>
          <w:cols w:equalWidth="0" w:num="1">
            <w:col w:w="11120"/>
          </w:cols>
          <w:pgMar w:left="360" w:top="112" w:right="41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As of September 30, 2025, each of the Reporting Persons may have been deemed to have had sole power to dispose or to direct the disposition of 0 shares of Voting Common Stock.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700"/>
        <w:spacing w:after="0" w:line="258" w:lineRule="auto"/>
        <w:rPr>
          <w:sz w:val="20"/>
          <w:szCs w:val="20"/>
          <w:color w:val="auto"/>
        </w:rPr>
      </w:pPr>
      <w:r>
        <w:rPr>
          <w:rFonts w:ascii="Times New Roman" w:cs="Times New Roman" w:eastAsia="Times New Roman" w:hAnsi="Times New Roman"/>
          <w:sz w:val="22"/>
          <w:szCs w:val="22"/>
          <w:color w:val="auto"/>
        </w:rPr>
        <w:t>As of September 30, 2025, each of the Reporting Persons may have been deemed to have had shared power to dispose or to direct the disposition of 11,310,589 shares of Voting Common Stock.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securities reported in this Schedule 13G were directly held by the Advisory Clients. Cadian Master Fund L.P.</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individually directly holds Voting Common Stock representing more than 5% of the Issuer's Voting Common Stock.</w:t>
      </w:r>
    </w:p>
    <w:p>
      <w:pPr>
        <w:spacing w:after="0" w:line="32"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disclosure regarding the relationships among the Reporting Persons in Item 4 is incorporated by reference herein.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Cadian Capital Management,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 Bannasch</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Eric Bannasch/Managing Member, Cadian Capital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Management GP,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Cadian Capital Management GP, LLC</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 Bannasch</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Eric Bannasch/Managing Member</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ERIC BANNASCH</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 Bannasch</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Eric Bannasch/Self</w:t>
      </w:r>
    </w:p>
    <w:p>
      <w:pPr>
        <w:sectPr>
          <w:pgSz w:w="11900" w:h="16838" w:orient="portrait"/>
          <w:cols w:equalWidth="0" w:num="1">
            <w:col w:w="11140"/>
          </w:cols>
          <w:pgMar w:left="360" w:top="112" w:right="399" w:bottom="0" w:gutter="0" w:footer="0" w:header="0"/>
          <w:type w:val="continuous"/>
        </w:sectPr>
      </w:pPr>
    </w:p>
    <w:bookmarkStart w:id="5" w:name="page6"/>
    <w:bookmarkEnd w:id="5"/>
    <w:p>
      <w:pPr>
        <w:ind w:left="1880"/>
        <w:spacing w:after="0"/>
        <w:tabs>
          <w:tab w:leader="none" w:pos="294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11/14/2025</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Roman"/>
      <w:start w:val="1"/>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2025-11-14T12:41:25Z</dcterms:created>
  <dcterms:modified xsi:type="dcterms:W3CDTF">2025-11-14T12:41:25Z</dcterms:modified>
</cp:coreProperties>
</file>