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051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05155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Harris Matthew C</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268" w:lineRule="auto"/>
        <w:rPr>
          <w:sz w:val="20"/>
          <w:szCs w:val="20"/>
          <w:color w:val="auto"/>
        </w:rPr>
      </w:pPr>
      <w:r>
        <w:rPr>
          <w:rFonts w:ascii="Arial" w:cs="Arial" w:eastAsia="Arial" w:hAnsi="Arial"/>
          <w:sz w:val="18"/>
          <w:szCs w:val="18"/>
          <w:color w:val="0000FF"/>
        </w:rPr>
        <w:t>C/O BAIN CAPITAL VENTURE INVESTORS, LLC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CLARENDON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6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05/24/2023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2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2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0"/>
              <w:spacing w:after="0" w:line="136" w:lineRule="exact"/>
              <w:rPr>
                <w:sz w:val="20"/>
                <w:szCs w:val="20"/>
                <w:color w:val="auto"/>
              </w:rPr>
            </w:pPr>
            <w:r>
              <w:rPr>
                <w:rFonts w:ascii="Arial" w:cs="Arial" w:eastAsia="Arial" w:hAnsi="Arial"/>
                <w:sz w:val="12"/>
                <w:szCs w:val="12"/>
                <w:b w:val="1"/>
                <w:bCs w:val="1"/>
                <w:color w:val="auto"/>
              </w:rPr>
              <w:t>(A)</w:t>
            </w:r>
          </w:p>
        </w:tc>
        <w:tc>
          <w:tcPr>
            <w:tcW w:w="10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0"/>
              <w:spacing w:after="0" w:line="136" w:lineRule="exact"/>
              <w:rPr>
                <w:sz w:val="20"/>
                <w:szCs w:val="20"/>
                <w:color w:val="auto"/>
              </w:rPr>
            </w:pPr>
            <w:r>
              <w:rPr>
                <w:rFonts w:ascii="Arial" w:cs="Arial" w:eastAsia="Arial" w:hAnsi="Arial"/>
                <w:sz w:val="12"/>
                <w:szCs w:val="12"/>
                <w:b w:val="1"/>
                <w:bCs w:val="1"/>
                <w:color w:val="auto"/>
              </w:rPr>
              <w:t>or</w:t>
            </w:r>
          </w:p>
        </w:tc>
        <w:tc>
          <w:tcPr>
            <w:tcW w:w="10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(D)</w:t>
            </w:r>
          </w:p>
        </w:tc>
        <w:tc>
          <w:tcPr>
            <w:tcW w:w="10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0000FF"/>
              </w:rPr>
              <w:t>05/24/2023</w:t>
            </w:r>
          </w:p>
        </w:tc>
        <w:tc>
          <w:tcPr>
            <w:tcW w:w="820" w:type="dxa"/>
            <w:vAlign w:val="bottom"/>
          </w:tcPr>
          <w:p>
            <w:pPr>
              <w:spacing w:after="0"/>
              <w:rPr>
                <w:sz w:val="18"/>
                <w:szCs w:val="18"/>
                <w:color w:val="auto"/>
              </w:rPr>
            </w:pPr>
          </w:p>
        </w:tc>
        <w:tc>
          <w:tcPr>
            <w:tcW w:w="740" w:type="dxa"/>
            <w:vAlign w:val="bottom"/>
            <w:vMerge w:val="restart"/>
          </w:tcPr>
          <w:p>
            <w:pPr>
              <w:ind w:left="500"/>
              <w:spacing w:after="0"/>
              <w:rPr>
                <w:sz w:val="20"/>
                <w:szCs w:val="20"/>
                <w:color w:val="auto"/>
              </w:rPr>
            </w:pPr>
            <w:r>
              <w:rPr>
                <w:rFonts w:ascii="Arial" w:cs="Arial" w:eastAsia="Arial" w:hAnsi="Arial"/>
                <w:sz w:val="27"/>
                <w:szCs w:val="27"/>
                <w:color w:val="0000FF"/>
                <w:w w:val="97"/>
                <w:vertAlign w:val="subscript"/>
              </w:rPr>
              <w:t>J</w:t>
            </w:r>
            <w:r>
              <w:rPr>
                <w:rFonts w:ascii="Arial" w:cs="Arial" w:eastAsia="Arial" w:hAnsi="Arial"/>
                <w:sz w:val="11"/>
                <w:szCs w:val="11"/>
                <w:color w:val="008000"/>
                <w:w w:val="97"/>
              </w:rPr>
              <w:t>(3)</w:t>
            </w:r>
          </w:p>
        </w:tc>
        <w:tc>
          <w:tcPr>
            <w:tcW w:w="1460" w:type="dxa"/>
            <w:vAlign w:val="bottom"/>
            <w:gridSpan w:val="2"/>
            <w:vMerge w:val="restart"/>
          </w:tcPr>
          <w:p>
            <w:pPr>
              <w:jc w:val="right"/>
              <w:ind w:right="179"/>
              <w:spacing w:after="0"/>
              <w:rPr>
                <w:sz w:val="20"/>
                <w:szCs w:val="20"/>
                <w:color w:val="auto"/>
              </w:rPr>
            </w:pPr>
            <w:r>
              <w:rPr>
                <w:rFonts w:ascii="Arial" w:cs="Arial" w:eastAsia="Arial" w:hAnsi="Arial"/>
                <w:sz w:val="18"/>
                <w:szCs w:val="18"/>
                <w:color w:val="0000FF"/>
              </w:rPr>
              <w:t>3,830,284</w:t>
            </w:r>
          </w:p>
        </w:tc>
        <w:tc>
          <w:tcPr>
            <w:tcW w:w="120" w:type="dxa"/>
            <w:vAlign w:val="bottom"/>
            <w:vMerge w:val="restart"/>
          </w:tcPr>
          <w:p>
            <w:pPr>
              <w:spacing w:after="0"/>
              <w:rPr>
                <w:sz w:val="20"/>
                <w:szCs w:val="20"/>
                <w:color w:val="auto"/>
              </w:rPr>
            </w:pPr>
            <w:r>
              <w:rPr>
                <w:rFonts w:ascii="Arial" w:cs="Arial" w:eastAsia="Arial" w:hAnsi="Arial"/>
                <w:sz w:val="18"/>
                <w:szCs w:val="18"/>
                <w:color w:val="0000FF"/>
                <w:w w:val="76"/>
              </w:rPr>
              <w:t>D</w:t>
            </w:r>
          </w:p>
        </w:tc>
        <w:tc>
          <w:tcPr>
            <w:tcW w:w="920" w:type="dxa"/>
            <w:vAlign w:val="bottom"/>
            <w:vMerge w:val="restart"/>
          </w:tcPr>
          <w:p>
            <w:pPr>
              <w:jc w:val="center"/>
              <w:ind w:right="1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240" w:type="dxa"/>
            <w:vAlign w:val="bottom"/>
          </w:tcPr>
          <w:p>
            <w:pPr>
              <w:spacing w:after="0"/>
              <w:rPr>
                <w:sz w:val="18"/>
                <w:szCs w:val="18"/>
                <w:color w:val="auto"/>
              </w:rPr>
            </w:pPr>
          </w:p>
        </w:tc>
        <w:tc>
          <w:tcPr>
            <w:tcW w:w="1400" w:type="dxa"/>
            <w:vAlign w:val="bottom"/>
            <w:gridSpan w:val="2"/>
            <w:vMerge w:val="restart"/>
          </w:tcPr>
          <w:p>
            <w:pPr>
              <w:jc w:val="center"/>
              <w:ind w:right="359"/>
              <w:spacing w:after="0"/>
              <w:rPr>
                <w:sz w:val="20"/>
                <w:szCs w:val="20"/>
                <w:color w:val="auto"/>
              </w:rPr>
            </w:pPr>
            <w:r>
              <w:rPr>
                <w:rFonts w:ascii="Arial" w:cs="Arial" w:eastAsia="Arial" w:hAnsi="Arial"/>
                <w:sz w:val="18"/>
                <w:szCs w:val="18"/>
                <w:color w:val="0000FF"/>
                <w:w w:val="87"/>
              </w:rPr>
              <w:t>3,965,104</w:t>
            </w:r>
          </w:p>
        </w:tc>
        <w:tc>
          <w:tcPr>
            <w:tcW w:w="52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0000FF"/>
              </w:rPr>
              <w:t>05/26/2023</w:t>
            </w:r>
          </w:p>
        </w:tc>
        <w:tc>
          <w:tcPr>
            <w:tcW w:w="820" w:type="dxa"/>
            <w:vAlign w:val="bottom"/>
          </w:tcPr>
          <w:p>
            <w:pPr>
              <w:spacing w:after="0"/>
              <w:rPr>
                <w:sz w:val="22"/>
                <w:szCs w:val="22"/>
                <w:color w:val="auto"/>
              </w:rPr>
            </w:pPr>
          </w:p>
        </w:tc>
        <w:tc>
          <w:tcPr>
            <w:tcW w:w="740" w:type="dxa"/>
            <w:vAlign w:val="bottom"/>
            <w:vMerge w:val="restart"/>
          </w:tcPr>
          <w:p>
            <w:pPr>
              <w:ind w:left="560"/>
              <w:spacing w:after="0"/>
              <w:rPr>
                <w:sz w:val="20"/>
                <w:szCs w:val="20"/>
                <w:color w:val="auto"/>
              </w:rPr>
            </w:pPr>
            <w:r>
              <w:rPr>
                <w:rFonts w:ascii="Arial" w:cs="Arial" w:eastAsia="Arial" w:hAnsi="Arial"/>
                <w:sz w:val="14"/>
                <w:szCs w:val="14"/>
                <w:color w:val="0000FF"/>
              </w:rPr>
              <w:t>S</w:t>
            </w:r>
          </w:p>
        </w:tc>
        <w:tc>
          <w:tcPr>
            <w:tcW w:w="146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169,716</w:t>
            </w:r>
          </w:p>
        </w:tc>
        <w:tc>
          <w:tcPr>
            <w:tcW w:w="120" w:type="dxa"/>
            <w:vAlign w:val="bottom"/>
            <w:vMerge w:val="restart"/>
          </w:tcPr>
          <w:p>
            <w:pPr>
              <w:spacing w:after="0"/>
              <w:rPr>
                <w:sz w:val="20"/>
                <w:szCs w:val="20"/>
                <w:color w:val="auto"/>
              </w:rPr>
            </w:pPr>
            <w:r>
              <w:rPr>
                <w:rFonts w:ascii="Arial" w:cs="Arial" w:eastAsia="Arial" w:hAnsi="Arial"/>
                <w:sz w:val="18"/>
                <w:szCs w:val="18"/>
                <w:color w:val="0000FF"/>
                <w:w w:val="76"/>
              </w:rPr>
              <w:t>D</w:t>
            </w:r>
          </w:p>
        </w:tc>
        <w:tc>
          <w:tcPr>
            <w:tcW w:w="116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29.8104</w:t>
            </w:r>
            <w:r>
              <w:rPr>
                <w:rFonts w:ascii="Arial" w:cs="Arial" w:eastAsia="Arial" w:hAnsi="Arial"/>
                <w:sz w:val="22"/>
                <w:szCs w:val="22"/>
                <w:color w:val="008000"/>
                <w:vertAlign w:val="superscript"/>
              </w:rPr>
              <w:t>(4)</w:t>
            </w:r>
          </w:p>
        </w:tc>
        <w:tc>
          <w:tcPr>
            <w:tcW w:w="1400" w:type="dxa"/>
            <w:vAlign w:val="bottom"/>
            <w:gridSpan w:val="2"/>
            <w:vMerge w:val="restart"/>
          </w:tcPr>
          <w:p>
            <w:pPr>
              <w:jc w:val="center"/>
              <w:ind w:right="359"/>
              <w:spacing w:after="0"/>
              <w:rPr>
                <w:sz w:val="20"/>
                <w:szCs w:val="20"/>
                <w:color w:val="auto"/>
              </w:rPr>
            </w:pPr>
            <w:r>
              <w:rPr>
                <w:rFonts w:ascii="Arial" w:cs="Arial" w:eastAsia="Arial" w:hAnsi="Arial"/>
                <w:sz w:val="18"/>
                <w:szCs w:val="18"/>
                <w:color w:val="0000FF"/>
                <w:w w:val="87"/>
              </w:rPr>
              <w:t>3,795,388</w:t>
            </w:r>
          </w:p>
        </w:tc>
        <w:tc>
          <w:tcPr>
            <w:tcW w:w="52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jc w:val="center"/>
              <w:ind w:right="359"/>
              <w:spacing w:after="0"/>
              <w:rPr>
                <w:sz w:val="20"/>
                <w:szCs w:val="20"/>
                <w:color w:val="auto"/>
              </w:rPr>
            </w:pPr>
            <w:r>
              <w:rPr>
                <w:rFonts w:ascii="Arial" w:cs="Arial" w:eastAsia="Arial" w:hAnsi="Arial"/>
                <w:sz w:val="18"/>
                <w:szCs w:val="18"/>
                <w:color w:val="0000FF"/>
                <w:w w:val="84"/>
              </w:rPr>
              <w:t>45,692</w:t>
            </w:r>
            <w:r>
              <w:rPr>
                <w:rFonts w:ascii="Arial" w:cs="Arial" w:eastAsia="Arial" w:hAnsi="Arial"/>
                <w:sz w:val="22"/>
                <w:szCs w:val="22"/>
                <w:color w:val="008000"/>
                <w:w w:val="84"/>
                <w:vertAlign w:val="superscript"/>
              </w:rPr>
              <w:t>(5)</w:t>
            </w:r>
          </w:p>
        </w:tc>
        <w:tc>
          <w:tcPr>
            <w:tcW w:w="520" w:type="dxa"/>
            <w:vAlign w:val="bottom"/>
            <w:tcBorders>
              <w:bottom w:val="single" w:sz="8" w:color="2C2C2C"/>
            </w:tcBorders>
          </w:tcPr>
          <w:p>
            <w:pPr>
              <w:jc w:val="center"/>
              <w:ind w:right="270"/>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1"/>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20" w:type="dxa"/>
            <w:vAlign w:val="bottom"/>
            <w:gridSpan w:val="8"/>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4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92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9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8"/>
              </w:rPr>
              <w:t>Expiration</w:t>
            </w:r>
          </w:p>
        </w:tc>
        <w:tc>
          <w:tcPr>
            <w:tcW w:w="120" w:type="dxa"/>
            <w:vAlign w:val="bottom"/>
          </w:tcPr>
          <w:p>
            <w:pPr>
              <w:spacing w:after="0"/>
              <w:rPr>
                <w:sz w:val="11"/>
                <w:szCs w:val="11"/>
                <w:color w:val="auto"/>
              </w:rPr>
            </w:pPr>
          </w:p>
        </w:tc>
        <w:tc>
          <w:tcPr>
            <w:tcW w:w="9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securities held by Bain Capital Venture Fund 2014, L.P. ("BCV Fund 2014"), Bain Capital Venture Fund 2016, L.P. ("BCV Fund 2016"), Bain Capital Venture Coinvestment Fund II, L.P. ("BCV Coinvest Fund II"), BCV 2019-MD Coinvestment II, L.P. ("BCV 2019-MD Coinvest II"), Bain Capital Venture Partners 2014, L.P. ("BCV Partners 2014"), Bain Capital Venture Partners 2016, L.P. ("BCV Partners 2016"), Bain Capital Venture Coinvestment II Partners, L.P. ("BCV Coinvest II Partners"), BCIP Venture Associates ("BCIP Venture"), BCIP Venture Associates-B ("BCIP Venture-B"), BCIP Venture Associates II, LP ("BCIP Venture II") and BCIP Venture Associates II-B, LP ("BCIP Venture II-B" and, together with BCV Fund 2014, BCV Fund 2016, BCV Coinvest Fund II, BCV 2019-MD Coinvest II, BCV Partners 2014, BCV Partners 2016, BCV Coinvest II Partners, BCIP Venture, BCIP Venture-B and BCIP Venture II, the "Bain Capital Venture Entities").</w:t>
      </w:r>
    </w:p>
    <w:p>
      <w:pPr>
        <w:spacing w:after="0" w:line="12" w:lineRule="exact"/>
        <w:rPr>
          <w:rFonts w:ascii="Arial" w:cs="Arial" w:eastAsia="Arial" w:hAnsi="Arial"/>
          <w:sz w:val="12"/>
          <w:szCs w:val="12"/>
          <w:color w:val="008000"/>
        </w:rPr>
      </w:pPr>
    </w:p>
    <w:p>
      <w:pPr>
        <w:jc w:val="both"/>
        <w:ind w:left="40" w:right="2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Bain Capital Venture Investors, LLC ("BCVI") (i) is the ultimate general partner of BCV Fund 2014, BCV Fund 2016, BCV Coinvest Fund II, BCV 2019-MD Coinvest II, BCV Partners 2014, BCV Partners 2016 and BCV Coinvest II Partners and (ii) governs the investment strategy and decision-making process with respect to investments held by BCIP Venture, BCIP Venture-B, BCIP Venture II and BCIP Venture II-B. Mr. Harris is a Partner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9"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24, 2023, certain of the Bain Capital Venture Entities distributed an aggregate of 3,830,284 shares of Voting Common Stock to one or more partners in pro-rata in-kind distributions without consideration, including an aggregate of 26,468 shares of Voting Common Stock that were distributed to Mr. Harris.</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$29.265 to $30.18, inclusive. The reporting person undertakes to provide to Flywire Corporation, any security holder of Flywire Corporation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26,468 shares of Voting Common Stock received in the distributions referred to in footnote (3) above.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Matthew C Harris</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05/26/2023</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2023-05-26T17:06:12Z</dcterms:created>
  <dcterms:modified xsi:type="dcterms:W3CDTF">2023-05-26T17:06:12Z</dcterms:modified>
</cp:coreProperties>
</file>