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Orgel Rob</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05/28/2021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5"/>
        <w:spacing w:after="0"/>
        <w:rPr>
          <w:sz w:val="20"/>
          <w:szCs w:val="20"/>
          <w:color w:val="auto"/>
        </w:rPr>
      </w:pPr>
      <w:r>
        <w:rPr>
          <w:rFonts w:ascii="Arial" w:cs="Arial" w:eastAsia="Arial" w:hAnsi="Arial"/>
          <w:sz w:val="17"/>
          <w:szCs w:val="17"/>
          <w:color w:val="0000FF"/>
        </w:rPr>
        <w:t>President and COO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6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11"/>
          </w:tcPr>
          <w:p>
            <w:pPr>
              <w:ind w:left="4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4"/>
          </w:tcPr>
          <w:p>
            <w:pPr>
              <w:ind w:left="40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7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6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0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800" w:type="dxa"/>
            <w:vAlign w:val="bottom"/>
            <w:gridSpan w:val="3"/>
            <w:vMerge w:val="restart"/>
          </w:tcPr>
          <w:p>
            <w:pPr>
              <w:ind w:left="86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0000FF"/>
              </w:rPr>
              <w:t>75,000</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D</w:t>
            </w:r>
          </w:p>
        </w:tc>
        <w:tc>
          <w:tcPr>
            <w:tcW w:w="520" w:type="dxa"/>
            <w:vAlign w:val="bottom"/>
            <w:vMerge w:val="restart"/>
          </w:tcPr>
          <w:p>
            <w:pPr>
              <w:jc w:val="right"/>
              <w:ind w:right="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vMerge w:val="restart"/>
          </w:tcPr>
          <w:p>
            <w:pPr>
              <w:jc w:val="right"/>
              <w:ind w:right="517"/>
              <w:spacing w:after="0"/>
              <w:rPr>
                <w:sz w:val="20"/>
                <w:szCs w:val="20"/>
                <w:color w:val="auto"/>
              </w:rPr>
            </w:pPr>
            <w:r>
              <w:rPr>
                <w:rFonts w:ascii="Arial" w:cs="Arial" w:eastAsia="Arial" w:hAnsi="Arial"/>
                <w:sz w:val="17"/>
                <w:szCs w:val="17"/>
                <w:color w:val="0000FF"/>
              </w:rPr>
              <w:t>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0000FF"/>
                <w:w w:val="95"/>
              </w:rPr>
              <w:t>footnote</w:t>
            </w:r>
            <w:r>
              <w:rPr>
                <w:rFonts w:ascii="Arial" w:cs="Arial" w:eastAsia="Arial" w:hAnsi="Arial"/>
                <w:sz w:val="22"/>
                <w:szCs w:val="22"/>
                <w:color w:val="008000"/>
                <w:w w:val="95"/>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800" w:type="dxa"/>
            <w:vAlign w:val="bottom"/>
            <w:gridSpan w:val="3"/>
            <w:vMerge w:val="restart"/>
          </w:tcPr>
          <w:p>
            <w:pPr>
              <w:ind w:left="860"/>
              <w:spacing w:after="0"/>
              <w:rPr>
                <w:sz w:val="20"/>
                <w:szCs w:val="20"/>
                <w:color w:val="auto"/>
              </w:rPr>
            </w:pPr>
            <w:r>
              <w:rPr>
                <w:rFonts w:ascii="Arial" w:cs="Arial" w:eastAsia="Arial" w:hAnsi="Arial"/>
                <w:sz w:val="17"/>
                <w:szCs w:val="17"/>
                <w:color w:val="0000FF"/>
              </w:rPr>
              <w:t>05/28/2021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0000FF"/>
              </w:rPr>
              <w:t>75,000</w:t>
            </w: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A</w:t>
            </w:r>
          </w:p>
        </w:tc>
        <w:tc>
          <w:tcPr>
            <w:tcW w:w="520" w:type="dxa"/>
            <w:vAlign w:val="bottom"/>
            <w:vMerge w:val="restart"/>
          </w:tcPr>
          <w:p>
            <w:pPr>
              <w:jc w:val="right"/>
              <w:ind w:right="1"/>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300" w:type="dxa"/>
            <w:vAlign w:val="bottom"/>
            <w:gridSpan w:val="3"/>
            <w:vMerge w:val="restart"/>
          </w:tcPr>
          <w:p>
            <w:pPr>
              <w:jc w:val="right"/>
              <w:ind w:right="317"/>
              <w:spacing w:after="0"/>
              <w:rPr>
                <w:sz w:val="20"/>
                <w:szCs w:val="20"/>
                <w:color w:val="auto"/>
              </w:rPr>
            </w:pPr>
            <w:r>
              <w:rPr>
                <w:rFonts w:ascii="Arial" w:cs="Arial" w:eastAsia="Arial" w:hAnsi="Arial"/>
                <w:sz w:val="17"/>
                <w:szCs w:val="17"/>
                <w:color w:val="0000FF"/>
              </w:rPr>
              <w:t>75,000</w:t>
            </w:r>
          </w:p>
        </w:tc>
        <w:tc>
          <w:tcPr>
            <w:tcW w:w="300" w:type="dxa"/>
            <w:vAlign w:val="bottom"/>
          </w:tcPr>
          <w:p>
            <w:pPr>
              <w:spacing w:after="0"/>
              <w:rPr>
                <w:sz w:val="22"/>
                <w:szCs w:val="22"/>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a reclassification exempt under Rule 16b-7, each share of the Issuer's Class A Common Stock was automatically reclassified into one share of Voting Common Stock immediately prior to the closing of the Issuer's initial public offering.</w:t>
      </w:r>
    </w:p>
    <w:p>
      <w:pPr>
        <w:spacing w:after="0" w:line="15" w:lineRule="exact"/>
        <w:rPr>
          <w:rFonts w:ascii="Arial" w:cs="Arial" w:eastAsia="Arial" w:hAnsi="Arial"/>
          <w:sz w:val="13"/>
          <w:szCs w:val="13"/>
          <w:color w:val="008000"/>
        </w:rPr>
      </w:pPr>
    </w:p>
    <w:p>
      <w:pPr>
        <w:ind w:left="40" w:right="2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by a trust, of which the Reporting Person's spouse is the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Rob Orgel</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05/28/2021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049"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2021-05-28T22:07:25Z</dcterms:created>
  <dcterms:modified xsi:type="dcterms:W3CDTF">2021-05-28T22:07:25Z</dcterms:modified>
</cp:coreProperties>
</file>