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76,695</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219,408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The RSU vests with respect to 25% of the shares on March 1, 2025, with the remainder vesting in equal quarterly installments over the following three years, provided that the Reporting Person has provided continuous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3366</Characters>
  <CharactersWithSpaces>3921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