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BAIN CAPITAL VENTURE</w:t>
              </w:r>
            </w:hyperlink>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INVESTORS, LLC</w:t>
              </w:r>
            </w:hyperlink>
          </w:p>
        </w:tc>
        <w:tc>
          <w:tcPr>
            <w:tcW w:w="6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EE"/>
            </w:tcBorders>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4"/>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2C2C2C"/>
              <w:bottom w:val="single" w:sz="8" w:color="2C2C2C"/>
            </w:tcBorders>
          </w:tcPr>
          <w:p>
            <w:pPr>
              <w:spacing w:after="0"/>
              <w:rPr>
                <w:sz w:val="10"/>
                <w:szCs w:val="10"/>
                <w:color w:val="auto"/>
              </w:rPr>
            </w:pPr>
          </w:p>
        </w:tc>
        <w:tc>
          <w:tcPr>
            <w:tcW w:w="2900" w:type="dxa"/>
            <w:vAlign w:val="bottom"/>
            <w:tcBorders>
              <w:top w:val="single" w:sz="8" w:color="2C2C2C"/>
              <w:bottom w:val="single" w:sz="8" w:color="2C2C2C"/>
            </w:tcBorders>
            <w:gridSpan w:val="8"/>
          </w:tcPr>
          <w:p>
            <w:pPr>
              <w:spacing w:after="0" w:line="126"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10"/>
                <w:szCs w:val="10"/>
                <w:color w:val="auto"/>
              </w:rPr>
            </w:pPr>
          </w:p>
        </w:tc>
        <w:tc>
          <w:tcPr>
            <w:tcW w:w="100" w:type="dxa"/>
            <w:vAlign w:val="bottom"/>
            <w:tcBorders>
              <w:top w:val="single" w:sz="8" w:color="2C2C2C"/>
            </w:tcBorders>
          </w:tcPr>
          <w:p>
            <w:pPr>
              <w:spacing w:after="0"/>
              <w:rPr>
                <w:sz w:val="10"/>
                <w:szCs w:val="10"/>
                <w:color w:val="auto"/>
              </w:rPr>
            </w:pPr>
          </w:p>
        </w:tc>
        <w:tc>
          <w:tcPr>
            <w:tcW w:w="160" w:type="dxa"/>
            <w:vAlign w:val="bottom"/>
            <w:tcBorders>
              <w:top w:val="single" w:sz="8" w:color="2C2C2C"/>
            </w:tcBorders>
          </w:tcPr>
          <w:p>
            <w:pPr>
              <w:spacing w:after="0"/>
              <w:rPr>
                <w:sz w:val="10"/>
                <w:szCs w:val="10"/>
                <w:color w:val="auto"/>
              </w:rPr>
            </w:pPr>
          </w:p>
        </w:tc>
        <w:tc>
          <w:tcPr>
            <w:tcW w:w="80" w:type="dxa"/>
            <w:vAlign w:val="bottom"/>
            <w:tcBorders>
              <w:top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below)</w:t>
            </w:r>
          </w:p>
        </w:tc>
        <w:tc>
          <w:tcPr>
            <w:tcW w:w="88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0"/>
                <w:szCs w:val="20"/>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08/15/2022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40" w:type="dxa"/>
            <w:vAlign w:val="bottom"/>
            <w:gridSpan w:val="6"/>
            <w:vMerge w:val="restart"/>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MA</w:t>
            </w:r>
          </w:p>
        </w:tc>
        <w:tc>
          <w:tcPr>
            <w:tcW w:w="11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02116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40" w:type="dxa"/>
            <w:vAlign w:val="bottom"/>
            <w:gridSpan w:val="6"/>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3"/>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7"/>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2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6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6"/>
                <w:szCs w:val="6"/>
                <w:color w:val="auto"/>
              </w:rPr>
            </w:pPr>
          </w:p>
        </w:tc>
        <w:tc>
          <w:tcPr>
            <w:tcW w:w="8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20" w:type="dxa"/>
            <w:vAlign w:val="bottom"/>
          </w:tcPr>
          <w:p>
            <w:pPr>
              <w:spacing w:after="0"/>
              <w:rPr>
                <w:sz w:val="11"/>
                <w:szCs w:val="11"/>
                <w:color w:val="auto"/>
              </w:rPr>
            </w:pPr>
          </w:p>
        </w:tc>
        <w:tc>
          <w:tcPr>
            <w:tcW w:w="3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2"/>
                <w:szCs w:val="12"/>
                <w:b w:val="1"/>
                <w:bCs w:val="1"/>
                <w:color w:val="auto"/>
              </w:rPr>
              <w:t>(D)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08/15/2022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ind w:left="60"/>
              <w:spacing w:after="0" w:line="280"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1,653,986   D</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25.35</w:t>
            </w:r>
          </w:p>
        </w:tc>
        <w:tc>
          <w:tcPr>
            <w:tcW w:w="16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13,645,388</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gridSpan w:val="3"/>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44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2"/>
          </w:tcPr>
          <w:p>
            <w:pPr>
              <w:jc w:val="center"/>
              <w:ind w:right="6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19"/>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15"/>
                <w:szCs w:val="15"/>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4"/>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BAIN CAPITAL VENTURE INVESTORS,</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BCIP Venture Associates II,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40" w:type="dxa"/>
            <w:vAlign w:val="bottom"/>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40" w:type="dxa"/>
            <w:vAlign w:val="bottom"/>
          </w:tcPr>
          <w:p>
            <w:pPr>
              <w:ind w:left="34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BCIP Venture Associates II-B,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Salem Enrique 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-1261745</wp:posOffset>
            </wp:positionV>
            <wp:extent cx="2809240" cy="4209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20941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BAIN CAPITAL VENTURE INVESTORS,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Agarwal Ajay</w:t>
              </w:r>
            </w:hyperlink>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BAIN CAPITAL VENTURE INVESTORS,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15, 2022 Bain Capital Venture Fund 2014, L.P. ("Venture Fund 2014") sold 1,357,304 shares of the Issuer's Voting Common Stock, Bain Capital Venture Fund 2016, L.P. ("Venture Fund 2016") sold 90,482 shares of the Issuer's Voting Common Stock, Bain Capital Venture Coinvestment Fund II, L.P. ("Venture Coinvestment Fund II") sold 42,360 shares of the Issuer's Voting Common Stock, BCV 2019-MD Coinvestment II, L.P. ("2019-MD Coinvestment II") sold 1,694 shares of the Issuer's Voting Common Stock, BCIP Venture Associates ("BCIP Venture") sold 138,375 shares of the Issuer's Voting Common Stock,</w:t>
      </w:r>
    </w:p>
    <w:p>
      <w:pPr>
        <w:spacing w:after="0" w:line="24" w:lineRule="exact"/>
        <w:rPr>
          <w:rFonts w:ascii="Times New Roman" w:cs="Times New Roman" w:eastAsia="Times New Roman" w:hAnsi="Times New Roman"/>
          <w:sz w:val="13"/>
          <w:szCs w:val="13"/>
          <w:color w:val="008000"/>
        </w:rPr>
      </w:pPr>
    </w:p>
    <w:p>
      <w:pPr>
        <w:ind w:left="20" w:right="80" w:firstLine="7"/>
        <w:spacing w:after="0" w:line="246"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BCIP Venture Associates B ("BCIP Venture-B") sold 9,310 shares of the Issuer's Voting Common Stock, BCIP Venture Associates II, LP ("BCIP Venture II") sold 13,447 shares of the Issuer's Voting Common Stock , and BCIP Venture Associates II-B, LP ("BCIP Venture II-B" and, together with Venture Fund 2014, Venture Fund 2016, Venture Coinvestment Fund II,</w:t>
      </w:r>
    </w:p>
    <w:p>
      <w:pPr>
        <w:ind w:left="2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2019-MD Coinvestment II, BCIP Venture, BCIP Venture-B and BCIP Venture II, the "Bain Capital Venture Entities"), sold 1,014 shares of the Issuer's Voting Common Stock, in each case pursuant to Rule 144 under the Securities Act of 1933, as amended.</w:t>
      </w:r>
    </w:p>
    <w:p>
      <w:pPr>
        <w:spacing w:after="0" w:line="21"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11,197,754 shares of the Issuer's Voting Common Stock held directly by Venture Fund 2014, 746,477 shares of the Issuer's Voting Common Stock held directly by Venture Fund 2016, 1,141,597 shares of the Issuer's Voting Common Stock held directly by BCIP Venture, 76,804 shares of the Issuer's Voting Common Stock held directly by BCIP Venture-B, 110,942 shares of the Issuer's Voting Common Stock held directly by BCIP Venture II, 8,365 shares of the Issuer's Voting Common Stock held directly by BCIP Venture II-B, 349,470 shares of the Issuer's Voting Common Stock held directly by Venture Coinvestment Fund II and 13,979 shares of the Issuer's Voting Common Stock held directly by 2019-MD Coinvestment II, in each case, after giving effect to the sales referenced in footnote 1 above.</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is (i)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Boylston Coinvestors, LLC is (i) the managing partner of each of BCIP Venture and BCIP Venture-B and (ii) the general partner of each of BCIP Venture II and BCIP Venture II-B.</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governance, investment strategy and decision-making process with respect to the investments held by the Bain Capital Venture Entities is directed by the Executive Committee of BCVI, which consists of Enrique Salem and Ajay Agarwal. As a result, BCVI and Messrs. Salem and Agarwal may be deemed to share voting and dispositive power with respect to all of the securities held by the Bain Capital Venture Entities. BCVI and Messrs. Salem and Agarwal disclaim beneficial ownership of such securities except to the extent of its or his pecuniary interest therein.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2 of 2</w:t>
      </w:r>
    </w:p>
    <w:p>
      <w:pPr>
        <w:sectPr>
          <w:pgSz w:w="11900" w:h="16838" w:orient="portrait"/>
          <w:cols w:equalWidth="0" w:num="1">
            <w:col w:w="10880"/>
          </w:cols>
          <w:pgMar w:left="480" w:top="125"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BCIP Venture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0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5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2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BCIP Venture Associates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0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5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2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Enrique T. 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959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9598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Ajay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51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20"/>
          </w:cols>
          <w:pgMar w:left="480" w:top="125" w:right="53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5" w:right="5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859026" TargetMode="External"/><Relationship Id="rId16" Type="http://schemas.openxmlformats.org/officeDocument/2006/relationships/hyperlink" Target="http://www.sec.gov/cgi-bin/browse-edgar?action=getcompany&amp;CIK=0001859012" TargetMode="External"/><Relationship Id="rId17" Type="http://schemas.openxmlformats.org/officeDocument/2006/relationships/hyperlink" Target="http://www.sec.gov/cgi-bin/browse-edgar?action=getcompany&amp;CIK=0001295402" TargetMode="External"/><Relationship Id="rId19"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2022-08-17T18:13:03Z</dcterms:created>
  <dcterms:modified xsi:type="dcterms:W3CDTF">2022-08-17T18:13:03Z</dcterms:modified>
</cp:coreProperties>
</file>