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President and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1"/>
          </w:tcPr>
          <w:p>
            <w:pPr>
              <w:ind w:left="4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126,019</w:t>
            </w:r>
            <w:r>
              <w:rPr>
                <w:rFonts w:ascii="Arial" w:cs="Arial" w:eastAsia="Arial" w:hAnsi="Arial"/>
                <w:sz w:val="22"/>
                <w:szCs w:val="22"/>
                <w:color w:val="008000"/>
                <w:w w:val="9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126,019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40,000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The RSU vests with respect to 25% of the shares on March 4, 2023, with the remainder vesting in equal quarterly installments over the following three years, provided that the Reporting Person has provided continuous service to the Issuer through the applicable vesting date.</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2022-03-08T16:07:36Z</dcterms:created>
  <dcterms:modified xsi:type="dcterms:W3CDTF">2022-03-08T16:07:36Z</dcterms:modified>
</cp:coreProperties>
</file>